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AA" w:rsidRDefault="002A09AA" w:rsidP="00AF305F">
      <w:pPr>
        <w:rPr>
          <w:bCs/>
        </w:rPr>
      </w:pPr>
      <w:bookmarkStart w:id="0" w:name="_GoBack"/>
      <w:bookmarkEnd w:id="0"/>
      <w:r>
        <w:rPr>
          <w:rFonts w:hint="eastAsia"/>
        </w:rPr>
        <w:t>《气候公约》</w:t>
      </w:r>
      <w:r w:rsidR="005A7DC1">
        <w:rPr>
          <w:rFonts w:hint="eastAsia"/>
        </w:rPr>
        <w:t>决定草案</w:t>
      </w:r>
      <w:r w:rsidR="00AF305F">
        <w:rPr>
          <w:rFonts w:hint="eastAsia"/>
        </w:rPr>
        <w:t>常见说法的</w:t>
      </w:r>
      <w:r w:rsidR="005A7DC1">
        <w:rPr>
          <w:rFonts w:hint="eastAsia"/>
        </w:rPr>
        <w:t>建议译法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675"/>
        <w:gridCol w:w="138"/>
      </w:tblGrid>
      <w:tr w:rsidR="002A09AA" w:rsidRPr="00052754" w:rsidTr="00AF305F">
        <w:trPr>
          <w:gridAfter w:val="1"/>
          <w:wAfter w:w="138" w:type="dxa"/>
          <w:trHeight w:val="70"/>
        </w:trPr>
        <w:tc>
          <w:tcPr>
            <w:tcW w:w="4820" w:type="dxa"/>
          </w:tcPr>
          <w:p w:rsidR="002A09AA" w:rsidRPr="00052754" w:rsidRDefault="002A09AA" w:rsidP="009D4EB9">
            <w:r w:rsidRPr="00052754">
              <w:t>Article 4, paragraph 1(a) of the Convention</w:t>
            </w:r>
          </w:p>
        </w:tc>
        <w:tc>
          <w:tcPr>
            <w:tcW w:w="4675" w:type="dxa"/>
          </w:tcPr>
          <w:p w:rsidR="002A09AA" w:rsidRPr="00052754" w:rsidRDefault="002A09AA" w:rsidP="009D4EB9">
            <w:r w:rsidRPr="00052754">
              <w:t>《公约》第四条</w:t>
            </w:r>
            <w:r w:rsidRPr="00052754">
              <w:rPr>
                <w:color w:val="FF0000"/>
              </w:rPr>
              <w:t>第</w:t>
            </w:r>
            <w:r w:rsidRPr="00052754">
              <w:rPr>
                <w:color w:val="FF0000"/>
              </w:rPr>
              <w:t>1</w:t>
            </w:r>
            <w:r w:rsidRPr="00052754">
              <w:rPr>
                <w:color w:val="FF0000"/>
              </w:rPr>
              <w:t>款</w:t>
            </w:r>
            <w:r w:rsidRPr="00052754">
              <w:rPr>
                <w:color w:val="FF0000"/>
              </w:rPr>
              <w:t>(a)</w:t>
            </w:r>
            <w:r w:rsidRPr="00052754">
              <w:rPr>
                <w:color w:val="FF0000"/>
              </w:rPr>
              <w:t>项</w:t>
            </w:r>
          </w:p>
          <w:p w:rsidR="002A09AA" w:rsidRPr="00052754" w:rsidRDefault="002A09AA" w:rsidP="009D4EB9"/>
        </w:tc>
      </w:tr>
      <w:tr w:rsidR="002A09AA" w:rsidRPr="00052754" w:rsidTr="00AF305F">
        <w:trPr>
          <w:gridAfter w:val="1"/>
          <w:wAfter w:w="138" w:type="dxa"/>
          <w:trHeight w:val="70"/>
        </w:trPr>
        <w:tc>
          <w:tcPr>
            <w:tcW w:w="4820" w:type="dxa"/>
          </w:tcPr>
          <w:p w:rsidR="002A09AA" w:rsidRPr="00052754" w:rsidRDefault="002A09AA" w:rsidP="009D4EB9">
            <w:r w:rsidRPr="00052754">
              <w:t>Article 2, paragraph 1(</w:t>
            </w:r>
            <w:r>
              <w:t>a)</w:t>
            </w:r>
            <w:r w:rsidRPr="00052754">
              <w:t xml:space="preserve"> of the Kyoto Protocol</w:t>
            </w:r>
          </w:p>
        </w:tc>
        <w:tc>
          <w:tcPr>
            <w:tcW w:w="4675" w:type="dxa"/>
          </w:tcPr>
          <w:p w:rsidR="002A09AA" w:rsidRPr="00052754" w:rsidRDefault="002A09AA" w:rsidP="009D4EB9">
            <w:r w:rsidRPr="00052754">
              <w:t>《京都议定书》第二条</w:t>
            </w:r>
            <w:r w:rsidRPr="00052754">
              <w:rPr>
                <w:color w:val="FF0000"/>
              </w:rPr>
              <w:t>第</w:t>
            </w:r>
            <w:r w:rsidRPr="00052754">
              <w:rPr>
                <w:color w:val="FF0000"/>
              </w:rPr>
              <w:t>1</w:t>
            </w:r>
            <w:r w:rsidRPr="00052754">
              <w:rPr>
                <w:color w:val="FF0000"/>
              </w:rPr>
              <w:t>款</w:t>
            </w:r>
            <w:r w:rsidRPr="00052754">
              <w:rPr>
                <w:color w:val="FF0000"/>
              </w:rPr>
              <w:t>(a)</w:t>
            </w:r>
            <w:r w:rsidRPr="00052754">
              <w:rPr>
                <w:color w:val="FF0000"/>
              </w:rPr>
              <w:t>项</w:t>
            </w:r>
          </w:p>
          <w:p w:rsidR="002A09AA" w:rsidRPr="00052754" w:rsidRDefault="002A09AA" w:rsidP="009D4EB9"/>
        </w:tc>
      </w:tr>
      <w:tr w:rsidR="002A09AA" w:rsidRPr="00052754" w:rsidTr="00AF305F">
        <w:trPr>
          <w:gridAfter w:val="1"/>
          <w:wAfter w:w="138" w:type="dxa"/>
          <w:trHeight w:val="70"/>
        </w:trPr>
        <w:tc>
          <w:tcPr>
            <w:tcW w:w="4820" w:type="dxa"/>
          </w:tcPr>
          <w:p w:rsidR="002A09AA" w:rsidRPr="00052754" w:rsidRDefault="002A09AA" w:rsidP="009D4EB9">
            <w:r w:rsidRPr="00052754">
              <w:t>Article 7, paragraph 14(b) of the Paris Agreement</w:t>
            </w:r>
          </w:p>
        </w:tc>
        <w:tc>
          <w:tcPr>
            <w:tcW w:w="4675" w:type="dxa"/>
          </w:tcPr>
          <w:p w:rsidR="002A09AA" w:rsidRPr="00052754" w:rsidRDefault="002A09AA" w:rsidP="009D4EB9">
            <w:r w:rsidRPr="00052754">
              <w:t>《巴黎协定》第七条</w:t>
            </w:r>
            <w:r w:rsidRPr="00052754">
              <w:rPr>
                <w:color w:val="FF0000"/>
              </w:rPr>
              <w:t>第十四款</w:t>
            </w:r>
            <w:r>
              <w:rPr>
                <w:rFonts w:hint="eastAsia"/>
                <w:color w:val="FF0000"/>
              </w:rPr>
              <w:t>第</w:t>
            </w:r>
            <w:r w:rsidRPr="00052754">
              <w:rPr>
                <w:color w:val="FF0000"/>
              </w:rPr>
              <w:t>(</w:t>
            </w:r>
            <w:r w:rsidRPr="00052754">
              <w:rPr>
                <w:color w:val="FF0000"/>
              </w:rPr>
              <w:t>二</w:t>
            </w:r>
            <w:r w:rsidRPr="00052754">
              <w:rPr>
                <w:color w:val="FF0000"/>
              </w:rPr>
              <w:t>)</w:t>
            </w:r>
            <w:r w:rsidRPr="00052754">
              <w:rPr>
                <w:color w:val="FF0000"/>
              </w:rPr>
              <w:t>项</w:t>
            </w:r>
          </w:p>
        </w:tc>
      </w:tr>
      <w:tr w:rsidR="002A09AA" w:rsidTr="00AF305F">
        <w:trPr>
          <w:gridAfter w:val="1"/>
          <w:wAfter w:w="138" w:type="dxa"/>
        </w:trPr>
        <w:tc>
          <w:tcPr>
            <w:tcW w:w="4820" w:type="dxa"/>
          </w:tcPr>
          <w:p w:rsidR="002A09A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also</w:t>
            </w:r>
          </w:p>
        </w:tc>
        <w:tc>
          <w:tcPr>
            <w:tcW w:w="4675" w:type="dxa"/>
          </w:tcPr>
          <w:p w:rsidR="002A09A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又</w:t>
            </w:r>
            <w:r w:rsidR="003B3994">
              <w:rPr>
                <w:rFonts w:hint="eastAsia"/>
                <w:bCs/>
              </w:rPr>
              <w:t>(</w:t>
            </w:r>
            <w:r w:rsidR="003B3994" w:rsidRPr="003B3994">
              <w:rPr>
                <w:rFonts w:hint="eastAsia"/>
                <w:bCs/>
                <w:color w:val="FF0000"/>
              </w:rPr>
              <w:t>与</w:t>
            </w:r>
            <w:r w:rsidR="00286058">
              <w:rPr>
                <w:rFonts w:hint="eastAsia"/>
                <w:bCs/>
                <w:color w:val="FF0000"/>
              </w:rPr>
              <w:t>人权决议草案</w:t>
            </w:r>
            <w:r w:rsidR="003B3994" w:rsidRPr="003B3994">
              <w:rPr>
                <w:rFonts w:hint="eastAsia"/>
                <w:bCs/>
                <w:color w:val="FF0000"/>
              </w:rPr>
              <w:t>保持一致</w:t>
            </w:r>
            <w:r w:rsidR="003B3994">
              <w:rPr>
                <w:rFonts w:hint="eastAsia"/>
                <w:bCs/>
              </w:rPr>
              <w:t>)</w:t>
            </w:r>
          </w:p>
        </w:tc>
      </w:tr>
      <w:tr w:rsidR="002A09AA" w:rsidTr="00AF305F">
        <w:trPr>
          <w:gridAfter w:val="1"/>
          <w:wAfter w:w="138" w:type="dxa"/>
        </w:trPr>
        <w:tc>
          <w:tcPr>
            <w:tcW w:w="4820" w:type="dxa"/>
          </w:tcPr>
          <w:p w:rsidR="002A09A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further </w:t>
            </w:r>
          </w:p>
        </w:tc>
        <w:tc>
          <w:tcPr>
            <w:tcW w:w="4675" w:type="dxa"/>
          </w:tcPr>
          <w:p w:rsidR="002A09A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还</w:t>
            </w:r>
            <w:r w:rsidR="003B3994">
              <w:rPr>
                <w:rFonts w:hint="eastAsia"/>
                <w:bCs/>
              </w:rPr>
              <w:t>(</w:t>
            </w:r>
            <w:r w:rsidR="003B3994" w:rsidRPr="003B3994">
              <w:rPr>
                <w:rFonts w:hint="eastAsia"/>
                <w:bCs/>
                <w:color w:val="FF0000"/>
              </w:rPr>
              <w:t>与</w:t>
            </w:r>
            <w:r w:rsidR="00286058">
              <w:rPr>
                <w:rFonts w:hint="eastAsia"/>
                <w:bCs/>
                <w:color w:val="FF0000"/>
              </w:rPr>
              <w:t>人权决议草案</w:t>
            </w:r>
            <w:r w:rsidR="003B3994" w:rsidRPr="003B3994">
              <w:rPr>
                <w:rFonts w:hint="eastAsia"/>
                <w:bCs/>
                <w:color w:val="FF0000"/>
              </w:rPr>
              <w:t>保持一致</w:t>
            </w:r>
            <w:r w:rsidR="003B3994">
              <w:rPr>
                <w:rFonts w:hint="eastAsia"/>
                <w:bCs/>
              </w:rPr>
              <w:t>)</w:t>
            </w:r>
          </w:p>
        </w:tc>
      </w:tr>
      <w:tr w:rsidR="00AF305F" w:rsidTr="00AF305F">
        <w:trPr>
          <w:gridAfter w:val="1"/>
          <w:wAfter w:w="138" w:type="dxa"/>
          <w:trHeight w:val="212"/>
        </w:trPr>
        <w:tc>
          <w:tcPr>
            <w:tcW w:w="4820" w:type="dxa"/>
          </w:tcPr>
          <w:p w:rsidR="00AF305F" w:rsidRDefault="00AF305F" w:rsidP="00AF305F">
            <w:pPr>
              <w:rPr>
                <w:bCs/>
              </w:rPr>
            </w:pPr>
            <w:r>
              <w:rPr>
                <w:rFonts w:hint="eastAsia"/>
                <w:bCs/>
              </w:rPr>
              <w:t>request</w:t>
            </w:r>
          </w:p>
        </w:tc>
        <w:tc>
          <w:tcPr>
            <w:tcW w:w="4675" w:type="dxa"/>
          </w:tcPr>
          <w:p w:rsidR="00AF305F" w:rsidRDefault="00AF305F" w:rsidP="00AF305F">
            <w:pPr>
              <w:rPr>
                <w:bCs/>
              </w:rPr>
            </w:pPr>
            <w:r>
              <w:rPr>
                <w:rFonts w:hint="eastAsia"/>
                <w:bCs/>
              </w:rPr>
              <w:t>请</w:t>
            </w:r>
          </w:p>
        </w:tc>
      </w:tr>
      <w:tr w:rsidR="00AF305F" w:rsidTr="00AF305F">
        <w:trPr>
          <w:gridAfter w:val="1"/>
          <w:wAfter w:w="138" w:type="dxa"/>
          <w:trHeight w:val="212"/>
        </w:trPr>
        <w:tc>
          <w:tcPr>
            <w:tcW w:w="4820" w:type="dxa"/>
          </w:tcPr>
          <w:p w:rsidR="00AF305F" w:rsidRDefault="00AF305F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invite</w:t>
            </w:r>
          </w:p>
        </w:tc>
        <w:tc>
          <w:tcPr>
            <w:tcW w:w="4675" w:type="dxa"/>
          </w:tcPr>
          <w:p w:rsidR="00AF305F" w:rsidRDefault="00AF305F" w:rsidP="0078454F">
            <w:pPr>
              <w:rPr>
                <w:bCs/>
              </w:rPr>
            </w:pPr>
            <w:r>
              <w:rPr>
                <w:rFonts w:hint="eastAsia"/>
                <w:bCs/>
              </w:rPr>
              <w:t>邀请</w:t>
            </w:r>
          </w:p>
        </w:tc>
      </w:tr>
      <w:tr w:rsidR="002A09AA" w:rsidTr="00AF305F">
        <w:trPr>
          <w:gridAfter w:val="1"/>
          <w:wAfter w:w="138" w:type="dxa"/>
        </w:trPr>
        <w:tc>
          <w:tcPr>
            <w:tcW w:w="4820" w:type="dxa"/>
          </w:tcPr>
          <w:p w:rsidR="002A09A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implementation</w:t>
            </w:r>
            <w:r>
              <w:rPr>
                <w:bCs/>
              </w:rPr>
              <w:t xml:space="preserve"> of the </w:t>
            </w:r>
            <w:r>
              <w:rPr>
                <w:rFonts w:hint="eastAsia"/>
                <w:bCs/>
              </w:rPr>
              <w:t>Paris</w:t>
            </w:r>
            <w:r>
              <w:rPr>
                <w:bCs/>
              </w:rPr>
              <w:t xml:space="preserve"> Agreement </w:t>
            </w:r>
          </w:p>
        </w:tc>
        <w:tc>
          <w:tcPr>
            <w:tcW w:w="4675" w:type="dxa"/>
          </w:tcPr>
          <w:p w:rsidR="002A09AA" w:rsidRPr="00742BE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  <w:color w:val="FF0000"/>
              </w:rPr>
              <w:t>履行</w:t>
            </w:r>
            <w:r>
              <w:rPr>
                <w:rFonts w:hint="eastAsia"/>
                <w:bCs/>
              </w:rPr>
              <w:t>《巴黎协定》</w:t>
            </w:r>
          </w:p>
        </w:tc>
      </w:tr>
      <w:tr w:rsidR="002A09AA" w:rsidTr="00AF305F">
        <w:trPr>
          <w:gridAfter w:val="1"/>
          <w:wAfter w:w="138" w:type="dxa"/>
        </w:trPr>
        <w:tc>
          <w:tcPr>
            <w:tcW w:w="4820" w:type="dxa"/>
          </w:tcPr>
          <w:p w:rsidR="002A09AA" w:rsidRDefault="002A09AA" w:rsidP="009D4EB9">
            <w:pPr>
              <w:rPr>
                <w:bCs/>
              </w:rPr>
            </w:pPr>
            <w:r>
              <w:rPr>
                <w:bCs/>
              </w:rPr>
              <w:t xml:space="preserve">global </w:t>
            </w:r>
            <w:r>
              <w:rPr>
                <w:rFonts w:hint="eastAsia"/>
                <w:bCs/>
              </w:rPr>
              <w:t>stock</w:t>
            </w:r>
            <w:r>
              <w:rPr>
                <w:bCs/>
              </w:rPr>
              <w:t>take</w:t>
            </w:r>
          </w:p>
        </w:tc>
        <w:tc>
          <w:tcPr>
            <w:tcW w:w="4675" w:type="dxa"/>
          </w:tcPr>
          <w:p w:rsidR="002A09A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全球盘点</w:t>
            </w:r>
            <w:r>
              <w:rPr>
                <w:rFonts w:hint="eastAsia"/>
                <w:bCs/>
              </w:rPr>
              <w:t>(</w:t>
            </w:r>
            <w:r w:rsidRPr="00CC7AA8">
              <w:rPr>
                <w:rFonts w:hint="eastAsia"/>
                <w:bCs/>
                <w:color w:val="FF0000"/>
              </w:rPr>
              <w:t>不译“全球评估”</w:t>
            </w:r>
            <w:r>
              <w:rPr>
                <w:rFonts w:hint="eastAsia"/>
                <w:bCs/>
              </w:rPr>
              <w:t>)</w:t>
            </w:r>
          </w:p>
        </w:tc>
      </w:tr>
      <w:tr w:rsidR="002A09AA" w:rsidTr="00AF305F">
        <w:trPr>
          <w:gridAfter w:val="1"/>
          <w:wAfter w:w="138" w:type="dxa"/>
        </w:trPr>
        <w:tc>
          <w:tcPr>
            <w:tcW w:w="4820" w:type="dxa"/>
          </w:tcPr>
          <w:p w:rsidR="002A09A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low greenhouse gas emission development strategies</w:t>
            </w:r>
            <w:r>
              <w:rPr>
                <w:bCs/>
              </w:rPr>
              <w:t>, plans and actions</w:t>
            </w:r>
          </w:p>
          <w:p w:rsidR="002A09AA" w:rsidRDefault="002A09AA" w:rsidP="009D4EB9">
            <w:pPr>
              <w:rPr>
                <w:bCs/>
              </w:rPr>
            </w:pPr>
          </w:p>
          <w:p w:rsidR="002A09AA" w:rsidRDefault="002A09AA" w:rsidP="009D4EB9">
            <w:pPr>
              <w:rPr>
                <w:bCs/>
              </w:rPr>
            </w:pPr>
            <w:r>
              <w:rPr>
                <w:bCs/>
              </w:rPr>
              <w:t xml:space="preserve">low greenhouse gas emission and resilient development </w:t>
            </w:r>
          </w:p>
        </w:tc>
        <w:tc>
          <w:tcPr>
            <w:tcW w:w="4675" w:type="dxa"/>
          </w:tcPr>
          <w:p w:rsidR="002A09AA" w:rsidRDefault="002A09AA" w:rsidP="009D4EB9">
            <w:pPr>
              <w:rPr>
                <w:spacing w:val="2"/>
              </w:rPr>
            </w:pPr>
            <w:r>
              <w:rPr>
                <w:rFonts w:hint="eastAsia"/>
              </w:rPr>
              <w:t>温室气体</w:t>
            </w:r>
            <w:r w:rsidRPr="006F4B90">
              <w:rPr>
                <w:rFonts w:hint="eastAsia"/>
                <w:color w:val="FF0000"/>
              </w:rPr>
              <w:t>低</w:t>
            </w:r>
            <w:r>
              <w:rPr>
                <w:rFonts w:hint="eastAsia"/>
              </w:rPr>
              <w:t>排放发展战略、计划和行动</w:t>
            </w:r>
          </w:p>
          <w:p w:rsidR="002A09AA" w:rsidRPr="0053707E" w:rsidRDefault="002A09AA" w:rsidP="009D4EB9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(</w:t>
            </w:r>
            <w:r>
              <w:rPr>
                <w:rFonts w:hint="eastAsia"/>
                <w:spacing w:val="2"/>
              </w:rPr>
              <w:t>不译“</w:t>
            </w:r>
            <w:r w:rsidRPr="006F4B90">
              <w:rPr>
                <w:rFonts w:hint="eastAsia"/>
                <w:color w:val="FF0000"/>
                <w:spacing w:val="2"/>
              </w:rPr>
              <w:t>低</w:t>
            </w:r>
            <w:r>
              <w:rPr>
                <w:rFonts w:hint="eastAsia"/>
                <w:spacing w:val="2"/>
              </w:rPr>
              <w:t>温室气体排放发展战略、计划和行动”</w:t>
            </w:r>
            <w:r>
              <w:rPr>
                <w:rFonts w:hint="eastAsia"/>
                <w:spacing w:val="2"/>
              </w:rPr>
              <w:t>)</w:t>
            </w:r>
          </w:p>
          <w:p w:rsidR="002A09AA" w:rsidRPr="0053707E" w:rsidRDefault="002A09AA" w:rsidP="009D4EB9">
            <w:pPr>
              <w:rPr>
                <w:bCs/>
              </w:rPr>
            </w:pPr>
            <w:r w:rsidRPr="00E140A9">
              <w:rPr>
                <w:rFonts w:hint="eastAsia"/>
                <w:spacing w:val="2"/>
              </w:rPr>
              <w:t>温室气体</w:t>
            </w:r>
            <w:r w:rsidRPr="006F4B90">
              <w:rPr>
                <w:rFonts w:hint="eastAsia"/>
                <w:color w:val="FF0000"/>
                <w:spacing w:val="2"/>
              </w:rPr>
              <w:t>低</w:t>
            </w:r>
            <w:r w:rsidRPr="00E140A9">
              <w:rPr>
                <w:rFonts w:hint="eastAsia"/>
                <w:spacing w:val="2"/>
              </w:rPr>
              <w:t>排放和气候适应型发展</w:t>
            </w:r>
          </w:p>
        </w:tc>
      </w:tr>
      <w:tr w:rsidR="002A09AA" w:rsidRPr="00810D73" w:rsidTr="00AF305F">
        <w:trPr>
          <w:gridAfter w:val="1"/>
          <w:wAfter w:w="138" w:type="dxa"/>
          <w:trHeight w:val="21"/>
        </w:trPr>
        <w:tc>
          <w:tcPr>
            <w:tcW w:w="4820" w:type="dxa"/>
          </w:tcPr>
          <w:p w:rsidR="002A09AA" w:rsidRPr="0045041F" w:rsidRDefault="002A09AA" w:rsidP="009D4EB9">
            <w:pPr>
              <w:rPr>
                <w:bCs/>
              </w:rPr>
            </w:pPr>
            <w:r w:rsidRPr="0045041F">
              <w:rPr>
                <w:bCs/>
              </w:rPr>
              <w:t>carbon pool</w:t>
            </w:r>
          </w:p>
          <w:p w:rsidR="002A09AA" w:rsidRPr="0045041F" w:rsidRDefault="002A09AA" w:rsidP="009D4EB9">
            <w:pPr>
              <w:rPr>
                <w:bCs/>
              </w:rPr>
            </w:pPr>
            <w:r w:rsidRPr="0045041F">
              <w:rPr>
                <w:bCs/>
              </w:rPr>
              <w:t>pool</w:t>
            </w:r>
          </w:p>
          <w:p w:rsidR="002A09AA" w:rsidRPr="0045041F" w:rsidRDefault="002A09AA" w:rsidP="009D4EB9">
            <w:pPr>
              <w:rPr>
                <w:bCs/>
              </w:rPr>
            </w:pPr>
            <w:r w:rsidRPr="0045041F">
              <w:rPr>
                <w:bCs/>
              </w:rPr>
              <w:t>source, sink</w:t>
            </w:r>
            <w:r>
              <w:rPr>
                <w:bCs/>
              </w:rPr>
              <w:t xml:space="preserve"> and pool</w:t>
            </w:r>
          </w:p>
        </w:tc>
        <w:tc>
          <w:tcPr>
            <w:tcW w:w="4675" w:type="dxa"/>
          </w:tcPr>
          <w:p w:rsidR="002A09A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碳库</w:t>
            </w:r>
          </w:p>
          <w:p w:rsidR="002A09AA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库</w:t>
            </w:r>
          </w:p>
          <w:p w:rsidR="002A09AA" w:rsidRPr="0045041F" w:rsidRDefault="002A09AA" w:rsidP="009D4EB9">
            <w:pPr>
              <w:rPr>
                <w:bCs/>
              </w:rPr>
            </w:pPr>
            <w:r>
              <w:rPr>
                <w:rFonts w:hint="eastAsia"/>
                <w:bCs/>
              </w:rPr>
              <w:t>源、汇和库</w:t>
            </w:r>
          </w:p>
        </w:tc>
      </w:tr>
      <w:tr w:rsidR="002A09AA" w:rsidRPr="00810D73" w:rsidTr="00AF305F">
        <w:trPr>
          <w:gridAfter w:val="1"/>
          <w:wAfter w:w="138" w:type="dxa"/>
          <w:trHeight w:val="21"/>
        </w:trPr>
        <w:tc>
          <w:tcPr>
            <w:tcW w:w="4820" w:type="dxa"/>
          </w:tcPr>
          <w:p w:rsidR="002A09AA" w:rsidRPr="0045041F" w:rsidRDefault="002A09AA" w:rsidP="009D4EB9">
            <w:pPr>
              <w:rPr>
                <w:bCs/>
              </w:rPr>
            </w:pPr>
            <w:r>
              <w:rPr>
                <w:rFonts w:hint="eastAsia"/>
              </w:rPr>
              <w:t>carbon</w:t>
            </w:r>
            <w:r>
              <w:t xml:space="preserve"> dioxide (</w:t>
            </w:r>
            <w:r w:rsidRPr="00824FC7">
              <w:t>CO</w:t>
            </w:r>
            <w:r w:rsidRPr="00824FC7">
              <w:rPr>
                <w:vertAlign w:val="subscript"/>
              </w:rPr>
              <w:t>2</w:t>
            </w:r>
            <w:r>
              <w:t>),</w:t>
            </w:r>
            <w:r w:rsidRPr="00824FC7">
              <w:t xml:space="preserve"> methane (CH</w:t>
            </w:r>
            <w:r w:rsidRPr="00824FC7">
              <w:rPr>
                <w:vertAlign w:val="subscript"/>
              </w:rPr>
              <w:t>4</w:t>
            </w:r>
            <w:r w:rsidRPr="00824FC7">
              <w:t>), nitrous oxide (N</w:t>
            </w:r>
            <w:r w:rsidRPr="00824FC7">
              <w:rPr>
                <w:vertAlign w:val="subscript"/>
              </w:rPr>
              <w:t>2</w:t>
            </w:r>
            <w:r w:rsidRPr="00824FC7">
              <w:t>O), hydrofluorocarbons (HFCs), perfluorocarbons (PFCs),</w:t>
            </w:r>
            <w:r w:rsidRPr="00824FC7" w:rsidDel="003F5EC2">
              <w:t xml:space="preserve"> </w:t>
            </w:r>
            <w:r w:rsidRPr="00824FC7">
              <w:t>sul</w:t>
            </w:r>
            <w:r>
              <w:t>f</w:t>
            </w:r>
            <w:r w:rsidRPr="00824FC7">
              <w:t>ur hexafluoride (SF</w:t>
            </w:r>
            <w:r w:rsidRPr="00824FC7">
              <w:rPr>
                <w:vertAlign w:val="subscript"/>
              </w:rPr>
              <w:t>6</w:t>
            </w:r>
            <w:r w:rsidRPr="00824FC7">
              <w:t>) and nitrogen trifluoride (NF</w:t>
            </w:r>
            <w:r w:rsidRPr="00824FC7">
              <w:rPr>
                <w:vertAlign w:val="subscript"/>
              </w:rPr>
              <w:t>3</w:t>
            </w:r>
            <w:r w:rsidRPr="00824FC7">
              <w:t>)</w:t>
            </w:r>
          </w:p>
        </w:tc>
        <w:tc>
          <w:tcPr>
            <w:tcW w:w="4675" w:type="dxa"/>
          </w:tcPr>
          <w:p w:rsidR="002A09AA" w:rsidRDefault="002A09AA" w:rsidP="009D4EB9">
            <w:pPr>
              <w:rPr>
                <w:lang w:val="zh-CN"/>
              </w:rPr>
            </w:pPr>
            <w:r>
              <w:rPr>
                <w:lang w:val="zh-CN"/>
              </w:rPr>
              <w:t>二氧化碳、甲烷、</w:t>
            </w:r>
            <w:r w:rsidRPr="00B02C98">
              <w:rPr>
                <w:rFonts w:hint="eastAsia"/>
                <w:lang w:val="zh-CN"/>
              </w:rPr>
              <w:t>氧化亚氮</w:t>
            </w:r>
            <w:r>
              <w:rPr>
                <w:lang w:val="zh-CN"/>
              </w:rPr>
              <w:t>、氢氟碳化物、全氟</w:t>
            </w:r>
            <w:r>
              <w:rPr>
                <w:rFonts w:hint="eastAsia"/>
                <w:lang w:val="zh-CN"/>
              </w:rPr>
              <w:t>化</w:t>
            </w:r>
            <w:r>
              <w:rPr>
                <w:lang w:val="zh-CN"/>
              </w:rPr>
              <w:t>碳、六氟化硫和三氟化氮</w:t>
            </w:r>
          </w:p>
          <w:p w:rsidR="002A09AA" w:rsidRPr="0045041F" w:rsidRDefault="002A09AA" w:rsidP="00D23454">
            <w:pPr>
              <w:rPr>
                <w:bCs/>
              </w:rPr>
            </w:pPr>
            <w:r>
              <w:rPr>
                <w:rFonts w:hint="eastAsia"/>
                <w:lang w:val="zh-CN"/>
              </w:rPr>
              <w:t>(</w:t>
            </w:r>
            <w:r w:rsidRPr="00D23454">
              <w:rPr>
                <w:rFonts w:hint="eastAsia"/>
                <w:color w:val="FF0000"/>
                <w:lang w:val="zh-CN"/>
              </w:rPr>
              <w:t>《京都议定书》中所列的</w:t>
            </w:r>
            <w:r w:rsidRPr="00D23454">
              <w:rPr>
                <w:rFonts w:hint="eastAsia"/>
                <w:color w:val="FF0000"/>
                <w:lang w:val="zh-CN"/>
              </w:rPr>
              <w:t>7</w:t>
            </w:r>
            <w:r w:rsidRPr="00D23454">
              <w:rPr>
                <w:rFonts w:hint="eastAsia"/>
                <w:color w:val="FF0000"/>
                <w:lang w:val="zh-CN"/>
              </w:rPr>
              <w:t>种温室气体</w:t>
            </w:r>
            <w:r w:rsidR="00D23454" w:rsidRPr="00D23454">
              <w:rPr>
                <w:rFonts w:hint="eastAsia"/>
                <w:color w:val="FF0000"/>
                <w:lang w:val="zh-CN"/>
              </w:rPr>
              <w:t>，其中一些气体有不止一种</w:t>
            </w:r>
            <w:r w:rsidR="00D23454">
              <w:rPr>
                <w:rFonts w:hint="eastAsia"/>
                <w:color w:val="FF0000"/>
                <w:lang w:val="zh-CN"/>
              </w:rPr>
              <w:t>中文</w:t>
            </w:r>
            <w:r w:rsidR="00D23454" w:rsidRPr="00D23454">
              <w:rPr>
                <w:rFonts w:hint="eastAsia"/>
                <w:color w:val="FF0000"/>
                <w:lang w:val="zh-CN"/>
              </w:rPr>
              <w:t>译法，请使用《京都议定书》中的</w:t>
            </w:r>
            <w:r w:rsidR="0078454F" w:rsidRPr="00D23454">
              <w:rPr>
                <w:rFonts w:hint="eastAsia"/>
                <w:color w:val="FF0000"/>
                <w:lang w:val="zh-CN"/>
              </w:rPr>
              <w:t>译法</w:t>
            </w:r>
            <w:r>
              <w:rPr>
                <w:rFonts w:hint="eastAsia"/>
                <w:lang w:val="zh-CN"/>
              </w:rPr>
              <w:t>)</w:t>
            </w:r>
          </w:p>
        </w:tc>
      </w:tr>
      <w:tr w:rsidR="002A09AA" w:rsidTr="00AF305F">
        <w:tc>
          <w:tcPr>
            <w:tcW w:w="4820" w:type="dxa"/>
          </w:tcPr>
          <w:p w:rsidR="002A09AA" w:rsidRPr="002757DC" w:rsidRDefault="002A09AA" w:rsidP="009D4EB9">
            <w:pPr>
              <w:rPr>
                <w:bCs/>
              </w:rPr>
            </w:pPr>
            <w:r w:rsidRPr="00D55A84">
              <w:t>Holding the increase in the global average temperature to well below 2 °C above pre-industrial levels and pursuing efforts to limit the temperature increase to 1.5 °C above pre-industrial levels,</w:t>
            </w:r>
          </w:p>
        </w:tc>
        <w:tc>
          <w:tcPr>
            <w:tcW w:w="4813" w:type="dxa"/>
            <w:gridSpan w:val="2"/>
          </w:tcPr>
          <w:p w:rsidR="002A09AA" w:rsidRPr="003F137E" w:rsidRDefault="002A09AA" w:rsidP="009D4EB9">
            <w:r w:rsidRPr="003F137E">
              <w:t>把全球平均气温升幅</w:t>
            </w:r>
            <w:r w:rsidRPr="003F137E">
              <w:rPr>
                <w:rFonts w:hint="eastAsia"/>
              </w:rPr>
              <w:t>控制</w:t>
            </w:r>
            <w:r w:rsidRPr="003F137E">
              <w:t>在工业化前水平以上</w:t>
            </w:r>
            <w:r w:rsidRPr="003F137E">
              <w:rPr>
                <w:rFonts w:hint="eastAsia"/>
              </w:rPr>
              <w:t>低于</w:t>
            </w:r>
            <w:r w:rsidRPr="003F137E">
              <w:t>2</w:t>
            </w:r>
            <w:r w:rsidRPr="005B2BB7">
              <w:t>°C</w:t>
            </w:r>
            <w:r w:rsidRPr="003F137E">
              <w:t>之内</w:t>
            </w:r>
            <w:r w:rsidRPr="003F137E">
              <w:rPr>
                <w:rFonts w:hint="eastAsia"/>
              </w:rPr>
              <w:t>，并努力将气温升幅限制在工业化前水平以上</w:t>
            </w:r>
            <w:r w:rsidRPr="003F137E">
              <w:rPr>
                <w:rFonts w:hint="eastAsia"/>
              </w:rPr>
              <w:t>1.5</w:t>
            </w:r>
            <w:r w:rsidRPr="005B2BB7">
              <w:t>°C</w:t>
            </w:r>
            <w:r w:rsidRPr="003F137E">
              <w:rPr>
                <w:rFonts w:hint="eastAsia"/>
              </w:rPr>
              <w:t>之内</w:t>
            </w:r>
            <w:r w:rsidR="00AC2507">
              <w:rPr>
                <w:rFonts w:hint="eastAsia"/>
              </w:rPr>
              <w:t xml:space="preserve"> </w:t>
            </w:r>
            <w:r>
              <w:rPr>
                <w:rFonts w:hint="eastAsia"/>
                <w:lang w:val="fr-CH"/>
              </w:rPr>
              <w:t>(</w:t>
            </w:r>
            <w:r w:rsidR="00611EF9" w:rsidRPr="00611EF9">
              <w:rPr>
                <w:rFonts w:hint="eastAsia"/>
                <w:color w:val="FF0000"/>
                <w:lang w:val="fr-CH"/>
              </w:rPr>
              <w:t>这个短语在</w:t>
            </w:r>
            <w:r w:rsidR="00611EF9" w:rsidRPr="00611EF9">
              <w:rPr>
                <w:rFonts w:hint="eastAsia"/>
                <w:color w:val="FF0000"/>
                <w:lang w:val="fr-CH"/>
              </w:rPr>
              <w:t>1/CP.21</w:t>
            </w:r>
            <w:r w:rsidR="00611EF9" w:rsidRPr="00611EF9">
              <w:rPr>
                <w:rFonts w:hint="eastAsia"/>
                <w:color w:val="FF0000"/>
                <w:lang w:val="fr-CH"/>
              </w:rPr>
              <w:t>号决定中出现过两次，译法与</w:t>
            </w:r>
            <w:r w:rsidRPr="00611EF9">
              <w:rPr>
                <w:rFonts w:hint="eastAsia"/>
                <w:color w:val="FF0000"/>
                <w:lang w:val="fr-CH"/>
              </w:rPr>
              <w:t>《巴黎协定》</w:t>
            </w:r>
            <w:r w:rsidR="00611EF9" w:rsidRPr="00611EF9">
              <w:rPr>
                <w:rFonts w:hint="eastAsia"/>
                <w:color w:val="FF0000"/>
                <w:lang w:val="fr-CH"/>
              </w:rPr>
              <w:t>定本有所不同，请使用《巴黎协定》</w:t>
            </w:r>
            <w:r w:rsidR="00611EF9">
              <w:rPr>
                <w:rFonts w:hint="eastAsia"/>
                <w:color w:val="FF0000"/>
                <w:lang w:val="fr-CH"/>
              </w:rPr>
              <w:t>定本中的译法，详见</w:t>
            </w:r>
            <w:r w:rsidRPr="006D2F76">
              <w:rPr>
                <w:rFonts w:hint="eastAsia"/>
                <w:color w:val="FF0000"/>
                <w:lang w:val="fr-CH"/>
              </w:rPr>
              <w:t>第二条第一款</w:t>
            </w:r>
            <w:r w:rsidR="00C21521">
              <w:rPr>
                <w:rFonts w:hint="eastAsia"/>
                <w:color w:val="FF0000"/>
                <w:lang w:val="fr-CH"/>
              </w:rPr>
              <w:t>第</w:t>
            </w:r>
            <w:r>
              <w:rPr>
                <w:rFonts w:hint="eastAsia"/>
                <w:color w:val="FF0000"/>
                <w:lang w:val="fr-CH"/>
              </w:rPr>
              <w:t>(</w:t>
            </w:r>
            <w:r w:rsidRPr="006D2F76">
              <w:rPr>
                <w:rFonts w:hint="eastAsia"/>
                <w:color w:val="FF0000"/>
                <w:lang w:val="fr-CH"/>
              </w:rPr>
              <w:t>一</w:t>
            </w:r>
            <w:r>
              <w:rPr>
                <w:rFonts w:hint="eastAsia"/>
                <w:color w:val="FF0000"/>
                <w:lang w:val="fr-CH"/>
              </w:rPr>
              <w:t>)</w:t>
            </w:r>
            <w:r w:rsidRPr="006D2F76">
              <w:rPr>
                <w:rFonts w:hint="eastAsia"/>
                <w:color w:val="FF0000"/>
                <w:lang w:val="fr-CH"/>
              </w:rPr>
              <w:t>项</w:t>
            </w:r>
            <w:r>
              <w:rPr>
                <w:rFonts w:hint="eastAsia"/>
                <w:lang w:val="fr-CH"/>
              </w:rPr>
              <w:t>)</w:t>
            </w:r>
          </w:p>
        </w:tc>
      </w:tr>
      <w:tr w:rsidR="002A09AA" w:rsidTr="00AF305F">
        <w:tc>
          <w:tcPr>
            <w:tcW w:w="4820" w:type="dxa"/>
          </w:tcPr>
          <w:p w:rsidR="002A09AA" w:rsidRPr="007E2A12" w:rsidRDefault="002A09AA" w:rsidP="009D4EB9">
            <w:pPr>
              <w:rPr>
                <w:bCs/>
              </w:rPr>
            </w:pPr>
            <w:r w:rsidRPr="00D55A84">
              <w:rPr>
                <w:spacing w:val="1"/>
              </w:rPr>
              <w:t xml:space="preserve">the principle of equity and </w:t>
            </w:r>
            <w:r w:rsidRPr="00D55A84">
              <w:t>c</w:t>
            </w:r>
            <w:r w:rsidRPr="00D55A84">
              <w:rPr>
                <w:spacing w:val="4"/>
              </w:rPr>
              <w:t>o</w:t>
            </w:r>
            <w:r w:rsidRPr="00D55A84">
              <w:rPr>
                <w:spacing w:val="-1"/>
              </w:rPr>
              <w:t>m</w:t>
            </w:r>
            <w:r w:rsidRPr="00D55A84">
              <w:rPr>
                <w:spacing w:val="-4"/>
              </w:rPr>
              <w:t>m</w:t>
            </w:r>
            <w:r w:rsidRPr="00D55A84">
              <w:rPr>
                <w:spacing w:val="3"/>
              </w:rPr>
              <w:t>o</w:t>
            </w:r>
            <w:r w:rsidRPr="00D55A84">
              <w:t>n</w:t>
            </w:r>
            <w:r w:rsidRPr="00D55A84">
              <w:rPr>
                <w:spacing w:val="4"/>
              </w:rPr>
              <w:t xml:space="preserve"> </w:t>
            </w:r>
            <w:r w:rsidRPr="00D55A84">
              <w:rPr>
                <w:spacing w:val="1"/>
              </w:rPr>
              <w:t>b</w:t>
            </w:r>
            <w:r w:rsidRPr="00D55A84">
              <w:rPr>
                <w:spacing w:val="-1"/>
              </w:rPr>
              <w:t>u</w:t>
            </w:r>
            <w:r w:rsidRPr="00D55A84">
              <w:t>t</w:t>
            </w:r>
            <w:r w:rsidRPr="00D55A84">
              <w:rPr>
                <w:spacing w:val="10"/>
              </w:rPr>
              <w:t xml:space="preserve"> </w:t>
            </w:r>
            <w:r w:rsidRPr="00D55A84">
              <w:rPr>
                <w:spacing w:val="1"/>
              </w:rPr>
              <w:t>d</w:t>
            </w:r>
            <w:r w:rsidRPr="00D55A84">
              <w:rPr>
                <w:spacing w:val="2"/>
              </w:rPr>
              <w:t>i</w:t>
            </w:r>
            <w:r w:rsidRPr="00D55A84">
              <w:rPr>
                <w:spacing w:val="-2"/>
              </w:rPr>
              <w:t>ff</w:t>
            </w:r>
            <w:r w:rsidRPr="00D55A84">
              <w:t>e</w:t>
            </w:r>
            <w:r w:rsidRPr="00D55A84">
              <w:rPr>
                <w:spacing w:val="1"/>
              </w:rPr>
              <w:t>r</w:t>
            </w:r>
            <w:r w:rsidRPr="00D55A84">
              <w:rPr>
                <w:spacing w:val="3"/>
              </w:rPr>
              <w:t>e</w:t>
            </w:r>
            <w:r w:rsidRPr="00D55A84">
              <w:rPr>
                <w:spacing w:val="-1"/>
              </w:rPr>
              <w:t>n</w:t>
            </w:r>
            <w:r w:rsidRPr="00D55A84">
              <w:t>tia</w:t>
            </w:r>
            <w:r w:rsidRPr="00D55A84">
              <w:rPr>
                <w:spacing w:val="2"/>
              </w:rPr>
              <w:t>t</w:t>
            </w:r>
            <w:r w:rsidRPr="00D55A84">
              <w:t>ed</w:t>
            </w:r>
            <w:r w:rsidRPr="00D55A84">
              <w:rPr>
                <w:spacing w:val="3"/>
              </w:rPr>
              <w:t xml:space="preserve"> </w:t>
            </w:r>
            <w:r w:rsidRPr="00D55A84">
              <w:rPr>
                <w:spacing w:val="1"/>
              </w:rPr>
              <w:t>r</w:t>
            </w:r>
            <w:r w:rsidRPr="00D55A84">
              <w:t>es</w:t>
            </w:r>
            <w:r w:rsidRPr="00D55A84">
              <w:rPr>
                <w:spacing w:val="1"/>
              </w:rPr>
              <w:t>po</w:t>
            </w:r>
            <w:r w:rsidRPr="00D55A84">
              <w:rPr>
                <w:spacing w:val="-1"/>
              </w:rPr>
              <w:t>ns</w:t>
            </w:r>
            <w:r w:rsidRPr="00D55A84">
              <w:t>i</w:t>
            </w:r>
            <w:r w:rsidRPr="00D55A84">
              <w:rPr>
                <w:spacing w:val="1"/>
              </w:rPr>
              <w:t>b</w:t>
            </w:r>
            <w:r w:rsidRPr="00D55A84">
              <w:t>ili</w:t>
            </w:r>
            <w:r w:rsidRPr="00D55A84">
              <w:rPr>
                <w:spacing w:val="-1"/>
              </w:rPr>
              <w:t>t</w:t>
            </w:r>
            <w:r w:rsidRPr="00D55A84">
              <w:t xml:space="preserve">ies </w:t>
            </w:r>
            <w:r w:rsidRPr="00D55A84">
              <w:rPr>
                <w:spacing w:val="3"/>
              </w:rPr>
              <w:t>a</w:t>
            </w:r>
            <w:r w:rsidRPr="00D55A84">
              <w:rPr>
                <w:spacing w:val="-1"/>
              </w:rPr>
              <w:t>n</w:t>
            </w:r>
            <w:r w:rsidRPr="00D55A84">
              <w:t>d</w:t>
            </w:r>
            <w:r w:rsidRPr="00D55A84">
              <w:rPr>
                <w:spacing w:val="10"/>
              </w:rPr>
              <w:t xml:space="preserve"> </w:t>
            </w:r>
            <w:r w:rsidRPr="00D55A84">
              <w:rPr>
                <w:spacing w:val="1"/>
              </w:rPr>
              <w:t>r</w:t>
            </w:r>
            <w:r w:rsidRPr="00D55A84">
              <w:t>es</w:t>
            </w:r>
            <w:r w:rsidRPr="00D55A84">
              <w:rPr>
                <w:spacing w:val="1"/>
              </w:rPr>
              <w:t>p</w:t>
            </w:r>
            <w:r w:rsidRPr="00D55A84">
              <w:t>e</w:t>
            </w:r>
            <w:r w:rsidRPr="00D55A84">
              <w:rPr>
                <w:spacing w:val="1"/>
              </w:rPr>
              <w:t>c</w:t>
            </w:r>
            <w:r w:rsidRPr="00D55A84">
              <w:t>ti</w:t>
            </w:r>
            <w:r w:rsidRPr="00D55A84">
              <w:rPr>
                <w:spacing w:val="-2"/>
              </w:rPr>
              <w:t>v</w:t>
            </w:r>
            <w:r w:rsidRPr="00D55A84">
              <w:t>e</w:t>
            </w:r>
            <w:r w:rsidRPr="00D55A84">
              <w:rPr>
                <w:spacing w:val="5"/>
              </w:rPr>
              <w:t xml:space="preserve"> </w:t>
            </w:r>
            <w:r w:rsidRPr="00D55A84">
              <w:t>c</w:t>
            </w:r>
            <w:r w:rsidRPr="00D55A84">
              <w:rPr>
                <w:spacing w:val="1"/>
              </w:rPr>
              <w:t>ap</w:t>
            </w:r>
            <w:r w:rsidRPr="00D55A84">
              <w:t>a</w:t>
            </w:r>
            <w:r w:rsidRPr="00D55A84">
              <w:rPr>
                <w:spacing w:val="1"/>
              </w:rPr>
              <w:t>b</w:t>
            </w:r>
            <w:r w:rsidRPr="00D55A84">
              <w:t>ili</w:t>
            </w:r>
            <w:r w:rsidRPr="00D55A84">
              <w:rPr>
                <w:spacing w:val="-1"/>
              </w:rPr>
              <w:t>t</w:t>
            </w:r>
            <w:r w:rsidRPr="00D55A84">
              <w:t>ies</w:t>
            </w:r>
          </w:p>
        </w:tc>
        <w:tc>
          <w:tcPr>
            <w:tcW w:w="4813" w:type="dxa"/>
            <w:gridSpan w:val="2"/>
          </w:tcPr>
          <w:p w:rsidR="002A09AA" w:rsidRDefault="002A09AA" w:rsidP="009D4EB9">
            <w:pPr>
              <w:rPr>
                <w:bCs/>
              </w:rPr>
            </w:pPr>
            <w:r w:rsidRPr="00E31A25">
              <w:rPr>
                <w:rFonts w:hint="eastAsia"/>
              </w:rPr>
              <w:t>公平以及共同但有区别的责任和各自能力的原则</w:t>
            </w:r>
          </w:p>
        </w:tc>
      </w:tr>
      <w:tr w:rsidR="002A09AA" w:rsidTr="00AF305F">
        <w:tc>
          <w:tcPr>
            <w:tcW w:w="4820" w:type="dxa"/>
          </w:tcPr>
          <w:p w:rsidR="002A09AA" w:rsidRDefault="002A09AA" w:rsidP="009D4EB9">
            <w:r w:rsidRPr="006803C9">
              <w:t>The process to formulate and implement national adaptation plans</w:t>
            </w:r>
          </w:p>
          <w:p w:rsidR="002A09AA" w:rsidRPr="006803C9" w:rsidRDefault="002A09AA" w:rsidP="009D4EB9"/>
          <w:p w:rsidR="002A09AA" w:rsidRPr="006803C9" w:rsidRDefault="002A09AA" w:rsidP="009D4EB9"/>
        </w:tc>
        <w:tc>
          <w:tcPr>
            <w:tcW w:w="4813" w:type="dxa"/>
            <w:gridSpan w:val="2"/>
          </w:tcPr>
          <w:p w:rsidR="007D67A8" w:rsidRDefault="002A09AA" w:rsidP="007D67A8">
            <w:pPr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6803C9">
              <w:rPr>
                <w:rFonts w:asciiTheme="majorBidi" w:hAnsiTheme="majorBidi" w:cstheme="majorBidi"/>
                <w:color w:val="FF0000"/>
                <w:lang w:val="en-GB"/>
              </w:rPr>
              <w:t>制订和执行</w:t>
            </w:r>
            <w:r w:rsidRPr="005B2BB7">
              <w:t>国家</w:t>
            </w:r>
            <w:r w:rsidRPr="005B2BB7">
              <w:rPr>
                <w:rFonts w:asciiTheme="majorBidi" w:hAnsiTheme="majorBidi" w:cstheme="majorBidi"/>
                <w:color w:val="000000"/>
                <w:lang w:val="en-GB"/>
              </w:rPr>
              <w:t>适应</w:t>
            </w:r>
            <w:r w:rsidRPr="005B2BB7">
              <w:rPr>
                <w:rFonts w:asciiTheme="majorBidi" w:hAnsiTheme="majorBidi" w:cstheme="majorBidi" w:hint="eastAsia"/>
                <w:color w:val="000000"/>
                <w:lang w:val="en-GB"/>
              </w:rPr>
              <w:t>计划</w:t>
            </w:r>
            <w:r>
              <w:rPr>
                <w:rFonts w:asciiTheme="majorBidi" w:hAnsiTheme="majorBidi" w:cstheme="majorBidi" w:hint="eastAsia"/>
                <w:color w:val="000000"/>
                <w:lang w:val="en-GB"/>
              </w:rPr>
              <w:t>的</w:t>
            </w:r>
            <w:r w:rsidRPr="005B2BB7">
              <w:rPr>
                <w:rFonts w:asciiTheme="majorBidi" w:hAnsiTheme="majorBidi" w:cstheme="majorBidi"/>
                <w:color w:val="000000"/>
                <w:lang w:val="en-GB"/>
              </w:rPr>
              <w:t>进程</w:t>
            </w:r>
            <w:r w:rsidR="007D67A8">
              <w:rPr>
                <w:rFonts w:hint="eastAsia"/>
                <w:bCs/>
              </w:rPr>
              <w:t>(</w:t>
            </w:r>
            <w:r w:rsidR="007D67A8" w:rsidRPr="006803C9">
              <w:rPr>
                <w:rFonts w:hint="eastAsia"/>
                <w:bCs/>
                <w:color w:val="FF0000"/>
              </w:rPr>
              <w:t>《巴黎协定》第九条</w:t>
            </w:r>
            <w:r w:rsidR="007D67A8" w:rsidRPr="006803C9">
              <w:rPr>
                <w:rFonts w:hint="eastAsia"/>
                <w:bCs/>
                <w:color w:val="FF0000"/>
              </w:rPr>
              <w:t>(</w:t>
            </w:r>
            <w:r w:rsidR="007D67A8" w:rsidRPr="006803C9">
              <w:rPr>
                <w:rFonts w:hint="eastAsia"/>
                <w:bCs/>
                <w:color w:val="FF0000"/>
              </w:rPr>
              <w:t>二</w:t>
            </w:r>
            <w:r w:rsidR="007D67A8" w:rsidRPr="006803C9">
              <w:rPr>
                <w:rFonts w:hint="eastAsia"/>
                <w:bCs/>
                <w:color w:val="FF0000"/>
              </w:rPr>
              <w:t>)</w:t>
            </w:r>
            <w:r w:rsidR="007D67A8" w:rsidRPr="006803C9">
              <w:rPr>
                <w:rFonts w:hint="eastAsia"/>
                <w:bCs/>
                <w:color w:val="FF0000"/>
              </w:rPr>
              <w:t>项</w:t>
            </w:r>
            <w:r w:rsidR="007D67A8">
              <w:rPr>
                <w:rFonts w:hint="eastAsia"/>
                <w:bCs/>
              </w:rPr>
              <w:t>)</w:t>
            </w:r>
          </w:p>
          <w:p w:rsidR="007D67A8" w:rsidRDefault="007D67A8" w:rsidP="007D67A8">
            <w:pPr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 w:hint="eastAsia"/>
                <w:color w:val="000000"/>
                <w:lang w:val="en-GB"/>
              </w:rPr>
              <w:t>视上下文亦可译为“</w:t>
            </w:r>
            <w:r w:rsidR="002A09AA">
              <w:rPr>
                <w:rFonts w:asciiTheme="majorBidi" w:hAnsiTheme="majorBidi" w:cstheme="majorBidi" w:hint="eastAsia"/>
                <w:color w:val="000000"/>
                <w:lang w:val="en-GB"/>
              </w:rPr>
              <w:t>国家适应计划</w:t>
            </w:r>
            <w:r w:rsidR="002A09AA" w:rsidRPr="00184D73">
              <w:rPr>
                <w:rFonts w:asciiTheme="majorBidi" w:hAnsiTheme="majorBidi" w:cstheme="majorBidi" w:hint="eastAsia"/>
                <w:color w:val="FF0000"/>
                <w:lang w:val="en-GB"/>
              </w:rPr>
              <w:t>制订和执行</w:t>
            </w:r>
            <w:r w:rsidR="002A09AA">
              <w:rPr>
                <w:rFonts w:asciiTheme="majorBidi" w:hAnsiTheme="majorBidi" w:cstheme="majorBidi" w:hint="eastAsia"/>
                <w:color w:val="000000"/>
                <w:lang w:val="en-GB"/>
              </w:rPr>
              <w:t>进程</w:t>
            </w:r>
            <w:r>
              <w:rPr>
                <w:rFonts w:asciiTheme="majorBidi" w:hAnsiTheme="majorBidi" w:cstheme="majorBidi" w:hint="eastAsia"/>
                <w:color w:val="000000"/>
                <w:lang w:val="en-GB"/>
              </w:rPr>
              <w:t>”</w:t>
            </w:r>
          </w:p>
          <w:p w:rsidR="002A09AA" w:rsidRDefault="002A09AA" w:rsidP="007D67A8">
            <w:pPr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 w:hint="eastAsia"/>
                <w:color w:val="000000"/>
                <w:lang w:val="en-GB"/>
              </w:rPr>
              <w:t>(</w:t>
            </w:r>
            <w:r w:rsidR="007D67A8" w:rsidRPr="007D67A8">
              <w:rPr>
                <w:color w:val="FF0000"/>
              </w:rPr>
              <w:t>formulate and implement</w:t>
            </w:r>
            <w:r w:rsidRPr="00DF69E8">
              <w:rPr>
                <w:rFonts w:hint="eastAsia"/>
                <w:bCs/>
                <w:color w:val="FF0000"/>
              </w:rPr>
              <w:t>不</w:t>
            </w:r>
            <w:r>
              <w:rPr>
                <w:rFonts w:hint="eastAsia"/>
                <w:bCs/>
                <w:color w:val="FF0000"/>
              </w:rPr>
              <w:t>译</w:t>
            </w:r>
            <w:r w:rsidRPr="00DF69E8">
              <w:rPr>
                <w:rFonts w:hint="eastAsia"/>
                <w:bCs/>
                <w:color w:val="FF0000"/>
              </w:rPr>
              <w:t>“制定和实施</w:t>
            </w:r>
            <w:r>
              <w:rPr>
                <w:rFonts w:hint="eastAsia"/>
                <w:bCs/>
                <w:color w:val="FF0000"/>
              </w:rPr>
              <w:t>/</w:t>
            </w:r>
            <w:r>
              <w:rPr>
                <w:rFonts w:hint="eastAsia"/>
                <w:bCs/>
                <w:color w:val="FF0000"/>
              </w:rPr>
              <w:t>落实</w:t>
            </w:r>
            <w:r w:rsidRPr="00DF69E8">
              <w:rPr>
                <w:rFonts w:hint="eastAsia"/>
                <w:bCs/>
                <w:color w:val="FF0000"/>
              </w:rPr>
              <w:t>”或其他</w:t>
            </w:r>
            <w:r>
              <w:rPr>
                <w:rFonts w:hint="eastAsia"/>
                <w:bCs/>
                <w:color w:val="FF0000"/>
              </w:rPr>
              <w:t>同义</w:t>
            </w:r>
            <w:r w:rsidRPr="00DF69E8">
              <w:rPr>
                <w:rFonts w:hint="eastAsia"/>
                <w:bCs/>
                <w:color w:val="FF0000"/>
              </w:rPr>
              <w:t>动词</w:t>
            </w:r>
            <w:r>
              <w:rPr>
                <w:rFonts w:hint="eastAsia"/>
                <w:bCs/>
              </w:rPr>
              <w:t>)</w:t>
            </w:r>
          </w:p>
          <w:p w:rsidR="002A09AA" w:rsidRDefault="002A09AA" w:rsidP="007D67A8">
            <w:pPr>
              <w:rPr>
                <w:bCs/>
              </w:rPr>
            </w:pPr>
          </w:p>
        </w:tc>
      </w:tr>
      <w:tr w:rsidR="002A09AA" w:rsidTr="00AF305F">
        <w:tc>
          <w:tcPr>
            <w:tcW w:w="4820" w:type="dxa"/>
          </w:tcPr>
          <w:p w:rsidR="002A09AA" w:rsidRDefault="002A09AA" w:rsidP="009D4EB9">
            <w:pPr>
              <w:rPr>
                <w:bCs/>
              </w:rPr>
            </w:pPr>
            <w:r w:rsidRPr="00824FC7">
              <w:rPr>
                <w:rFonts w:eastAsia="Times New Roman"/>
                <w:color w:val="212121"/>
              </w:rPr>
              <w:t>Publish Parties’ biennial transparency reports and national inventory reports, if submitted as a stand-alone report</w:t>
            </w:r>
          </w:p>
        </w:tc>
        <w:tc>
          <w:tcPr>
            <w:tcW w:w="4813" w:type="dxa"/>
            <w:gridSpan w:val="2"/>
          </w:tcPr>
          <w:p w:rsidR="002A09AA" w:rsidRDefault="002A09AA" w:rsidP="009D4EB9">
            <w:pPr>
              <w:rPr>
                <w:bCs/>
              </w:rPr>
            </w:pPr>
            <w:r w:rsidRPr="004944E1">
              <w:rPr>
                <w:rFonts w:asciiTheme="majorBidi" w:hAnsiTheme="majorBidi" w:cstheme="majorBidi"/>
                <w:color w:val="FF0000"/>
              </w:rPr>
              <w:t>缔约方两年期透明度报告和作为独立报告提交的国家清单报告</w:t>
            </w:r>
            <w:r w:rsidR="00AC2507">
              <w:rPr>
                <w:rFonts w:asciiTheme="majorBidi" w:hAnsiTheme="majorBidi" w:cstheme="majorBidi" w:hint="eastAsia"/>
                <w:color w:val="212121"/>
              </w:rPr>
              <w:t>(</w:t>
            </w:r>
            <w:r>
              <w:rPr>
                <w:rFonts w:asciiTheme="majorBidi" w:hAnsiTheme="majorBidi" w:cstheme="majorBidi" w:hint="eastAsia"/>
                <w:color w:val="212121"/>
              </w:rPr>
              <w:t>不译</w:t>
            </w:r>
            <w:r>
              <w:rPr>
                <w:rFonts w:asciiTheme="majorBidi" w:hAnsiTheme="majorBidi" w:cstheme="majorBidi" w:hint="eastAsia"/>
                <w:color w:val="FF0000"/>
              </w:rPr>
              <w:t>“</w:t>
            </w:r>
            <w:r w:rsidRPr="004944E1">
              <w:rPr>
                <w:rFonts w:asciiTheme="majorBidi" w:hAnsiTheme="majorBidi" w:cstheme="majorBidi"/>
                <w:color w:val="FF0000"/>
              </w:rPr>
              <w:t>作为独立报告提交的缔约方两年期透明度报告和国家清单报告</w:t>
            </w:r>
            <w:r>
              <w:rPr>
                <w:rFonts w:asciiTheme="majorBidi" w:hAnsiTheme="majorBidi" w:cstheme="majorBidi" w:hint="eastAsia"/>
                <w:color w:val="FF0000"/>
              </w:rPr>
              <w:t>”</w:t>
            </w:r>
            <w:r w:rsidR="00AC2507">
              <w:rPr>
                <w:rFonts w:asciiTheme="majorBidi" w:hAnsiTheme="majorBidi" w:cstheme="majorBidi" w:hint="eastAsia"/>
                <w:color w:val="000000" w:themeColor="text1"/>
              </w:rPr>
              <w:t>)</w:t>
            </w:r>
          </w:p>
        </w:tc>
      </w:tr>
      <w:tr w:rsidR="002A09AA" w:rsidTr="00AF305F">
        <w:tc>
          <w:tcPr>
            <w:tcW w:w="4820" w:type="dxa"/>
          </w:tcPr>
          <w:p w:rsidR="002A09AA" w:rsidRPr="007E2A12" w:rsidRDefault="002A09AA" w:rsidP="002A09AA">
            <w:pPr>
              <w:tabs>
                <w:tab w:val="num" w:pos="568"/>
              </w:tabs>
              <w:rPr>
                <w:bCs/>
              </w:rPr>
            </w:pPr>
            <w:r w:rsidRPr="007E2A12">
              <w:rPr>
                <w:i/>
                <w:lang w:val="en-GB"/>
              </w:rPr>
              <w:lastRenderedPageBreak/>
              <w:t xml:space="preserve">Takes note of </w:t>
            </w:r>
            <w:r w:rsidRPr="00CC7AA8">
              <w:rPr>
                <w:iCs/>
                <w:lang w:val="en-GB"/>
              </w:rPr>
              <w:t>the estimated budgetary implications of the activities to be undertaken by the secretariat referred to in this decision</w:t>
            </w:r>
          </w:p>
        </w:tc>
        <w:tc>
          <w:tcPr>
            <w:tcW w:w="4813" w:type="dxa"/>
            <w:gridSpan w:val="2"/>
          </w:tcPr>
          <w:p w:rsidR="002A09AA" w:rsidRDefault="002A09AA" w:rsidP="009D4EB9">
            <w:pPr>
              <w:rPr>
                <w:bCs/>
              </w:rPr>
            </w:pPr>
            <w:r w:rsidRPr="007220B9">
              <w:rPr>
                <w:rFonts w:asciiTheme="majorBidi" w:eastAsia="楷体" w:hAnsiTheme="majorBidi" w:cstheme="majorBidi"/>
              </w:rPr>
              <w:t>注意到</w:t>
            </w:r>
            <w:r w:rsidR="0073683A">
              <w:rPr>
                <w:rFonts w:asciiTheme="majorBidi" w:hAnsiTheme="majorBidi" w:cstheme="majorBidi"/>
              </w:rPr>
              <w:t>本决定所述</w:t>
            </w:r>
            <w:r w:rsidR="00EE7A95">
              <w:rPr>
                <w:rFonts w:asciiTheme="majorBidi" w:hAnsiTheme="majorBidi" w:cstheme="majorBidi" w:hint="eastAsia"/>
              </w:rPr>
              <w:t>将由</w:t>
            </w:r>
            <w:r>
              <w:rPr>
                <w:rFonts w:asciiTheme="majorBidi" w:hAnsiTheme="majorBidi" w:cstheme="majorBidi"/>
              </w:rPr>
              <w:t>秘书处开展的活动所涉</w:t>
            </w:r>
            <w:r>
              <w:rPr>
                <w:rFonts w:asciiTheme="majorBidi" w:hAnsiTheme="majorBidi" w:cstheme="majorBidi" w:hint="eastAsia"/>
              </w:rPr>
              <w:t>估计预算</w:t>
            </w:r>
            <w:r w:rsidRPr="007220B9">
              <w:rPr>
                <w:rFonts w:asciiTheme="majorBidi" w:hAnsiTheme="majorBidi" w:cstheme="majorBidi"/>
              </w:rPr>
              <w:t>问题</w:t>
            </w:r>
          </w:p>
        </w:tc>
      </w:tr>
      <w:tr w:rsidR="002A09AA" w:rsidTr="00AF305F">
        <w:tc>
          <w:tcPr>
            <w:tcW w:w="4820" w:type="dxa"/>
          </w:tcPr>
          <w:p w:rsidR="002A09AA" w:rsidRDefault="002A09AA" w:rsidP="002A09AA">
            <w:pPr>
              <w:rPr>
                <w:i/>
              </w:rPr>
            </w:pPr>
            <w:r w:rsidRPr="00057B94">
              <w:rPr>
                <w:i/>
              </w:rPr>
              <w:t>Requests</w:t>
            </w:r>
            <w:r w:rsidRPr="00057B94">
              <w:t xml:space="preserve"> that the actions of the secretariat called for in this decision be undertaken subject to the avai</w:t>
            </w:r>
            <w:r>
              <w:t>lability of financial resources</w:t>
            </w:r>
          </w:p>
        </w:tc>
        <w:tc>
          <w:tcPr>
            <w:tcW w:w="4813" w:type="dxa"/>
            <w:gridSpan w:val="2"/>
          </w:tcPr>
          <w:p w:rsidR="002A09AA" w:rsidRDefault="002A09AA" w:rsidP="009D4EB9">
            <w:pPr>
              <w:rPr>
                <w:lang w:val="fr-CH"/>
              </w:rPr>
            </w:pPr>
            <w:r w:rsidRPr="00573F81">
              <w:rPr>
                <w:rFonts w:ascii="Time New Roman" w:eastAsia="楷体" w:hAnsi="Time New Roman" w:hint="eastAsia"/>
                <w:lang w:val="fr-CH"/>
              </w:rPr>
              <w:t>请</w:t>
            </w:r>
            <w:r w:rsidRPr="003637E4">
              <w:rPr>
                <w:rFonts w:hint="eastAsia"/>
                <w:lang w:val="fr-CH"/>
              </w:rPr>
              <w:t>秘书处在资金</w:t>
            </w:r>
            <w:r>
              <w:rPr>
                <w:rFonts w:hint="eastAsia"/>
                <w:lang w:val="fr-CH"/>
              </w:rPr>
              <w:t>允许</w:t>
            </w:r>
            <w:r w:rsidRPr="003637E4">
              <w:rPr>
                <w:rFonts w:hint="eastAsia"/>
                <w:lang w:val="fr-CH"/>
              </w:rPr>
              <w:t>的情况下开展本决定</w:t>
            </w:r>
            <w:r>
              <w:rPr>
                <w:rFonts w:hint="eastAsia"/>
                <w:lang w:val="fr-CH"/>
              </w:rPr>
              <w:t>所</w:t>
            </w:r>
            <w:r w:rsidRPr="003637E4">
              <w:rPr>
                <w:rFonts w:hint="eastAsia"/>
                <w:lang w:val="fr-CH"/>
              </w:rPr>
              <w:t>要求的行动</w:t>
            </w:r>
          </w:p>
          <w:p w:rsidR="002A09AA" w:rsidRPr="008C5C22" w:rsidRDefault="002A09AA" w:rsidP="009D4EB9">
            <w:pPr>
              <w:rPr>
                <w:rFonts w:ascii="Time New Roman" w:eastAsia="楷体" w:hAnsi="Time New Roman" w:hint="eastAsia"/>
                <w:lang w:val="fr-CH"/>
              </w:rPr>
            </w:pPr>
          </w:p>
        </w:tc>
      </w:tr>
    </w:tbl>
    <w:p w:rsidR="00B96D25" w:rsidRPr="002A09AA" w:rsidRDefault="00B96D25" w:rsidP="002A09AA"/>
    <w:sectPr w:rsidR="00B96D25" w:rsidRPr="002A09AA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22" w:rsidRDefault="00163122" w:rsidP="00163122">
      <w:pPr>
        <w:spacing w:line="240" w:lineRule="auto"/>
      </w:pPr>
      <w:r>
        <w:separator/>
      </w:r>
    </w:p>
  </w:endnote>
  <w:endnote w:type="continuationSeparator" w:id="0">
    <w:p w:rsidR="00163122" w:rsidRDefault="00163122" w:rsidP="00163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22" w:rsidRDefault="00163122" w:rsidP="00163122">
      <w:pPr>
        <w:spacing w:line="240" w:lineRule="auto"/>
      </w:pPr>
      <w:r>
        <w:separator/>
      </w:r>
    </w:p>
  </w:footnote>
  <w:footnote w:type="continuationSeparator" w:id="0">
    <w:p w:rsidR="00163122" w:rsidRDefault="00163122" w:rsidP="00163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AA"/>
    <w:rsid w:val="00031378"/>
    <w:rsid w:val="000538FF"/>
    <w:rsid w:val="00080AA8"/>
    <w:rsid w:val="000E7EAB"/>
    <w:rsid w:val="00106F6F"/>
    <w:rsid w:val="00160BB2"/>
    <w:rsid w:val="00163122"/>
    <w:rsid w:val="00167CE6"/>
    <w:rsid w:val="00187054"/>
    <w:rsid w:val="001C65EF"/>
    <w:rsid w:val="001E31C9"/>
    <w:rsid w:val="001E43D8"/>
    <w:rsid w:val="001E518A"/>
    <w:rsid w:val="001F33E9"/>
    <w:rsid w:val="00202DEB"/>
    <w:rsid w:val="00234455"/>
    <w:rsid w:val="00286058"/>
    <w:rsid w:val="00292ED1"/>
    <w:rsid w:val="00293C41"/>
    <w:rsid w:val="002A09AA"/>
    <w:rsid w:val="00300C47"/>
    <w:rsid w:val="003170EC"/>
    <w:rsid w:val="00322EA3"/>
    <w:rsid w:val="00341EDB"/>
    <w:rsid w:val="003B3994"/>
    <w:rsid w:val="003C5C4B"/>
    <w:rsid w:val="003D43DE"/>
    <w:rsid w:val="003D6693"/>
    <w:rsid w:val="00460699"/>
    <w:rsid w:val="00462455"/>
    <w:rsid w:val="00534217"/>
    <w:rsid w:val="00534AEE"/>
    <w:rsid w:val="00536B3E"/>
    <w:rsid w:val="005533BB"/>
    <w:rsid w:val="00577790"/>
    <w:rsid w:val="00595B29"/>
    <w:rsid w:val="005A42CD"/>
    <w:rsid w:val="005A7DC1"/>
    <w:rsid w:val="005F4EDD"/>
    <w:rsid w:val="00611EF9"/>
    <w:rsid w:val="00640C32"/>
    <w:rsid w:val="00645D43"/>
    <w:rsid w:val="006B504C"/>
    <w:rsid w:val="006D4C61"/>
    <w:rsid w:val="00710E8D"/>
    <w:rsid w:val="0073683A"/>
    <w:rsid w:val="0078454F"/>
    <w:rsid w:val="007B3C2C"/>
    <w:rsid w:val="007D67A8"/>
    <w:rsid w:val="007D77CA"/>
    <w:rsid w:val="007F1000"/>
    <w:rsid w:val="0086118C"/>
    <w:rsid w:val="009B7385"/>
    <w:rsid w:val="009D253E"/>
    <w:rsid w:val="00A018F4"/>
    <w:rsid w:val="00A35CC4"/>
    <w:rsid w:val="00A54750"/>
    <w:rsid w:val="00A92B8E"/>
    <w:rsid w:val="00AC163A"/>
    <w:rsid w:val="00AC2507"/>
    <w:rsid w:val="00AF305F"/>
    <w:rsid w:val="00B02D3C"/>
    <w:rsid w:val="00B34445"/>
    <w:rsid w:val="00B3601F"/>
    <w:rsid w:val="00B70816"/>
    <w:rsid w:val="00B96D25"/>
    <w:rsid w:val="00BC223C"/>
    <w:rsid w:val="00BE1D71"/>
    <w:rsid w:val="00C05691"/>
    <w:rsid w:val="00C118F6"/>
    <w:rsid w:val="00C140AD"/>
    <w:rsid w:val="00C21521"/>
    <w:rsid w:val="00C26F8E"/>
    <w:rsid w:val="00C27E78"/>
    <w:rsid w:val="00C46DC9"/>
    <w:rsid w:val="00C51DBA"/>
    <w:rsid w:val="00C66BCE"/>
    <w:rsid w:val="00D23454"/>
    <w:rsid w:val="00D956D2"/>
    <w:rsid w:val="00DB3D6E"/>
    <w:rsid w:val="00DC4721"/>
    <w:rsid w:val="00DD0927"/>
    <w:rsid w:val="00DD44A7"/>
    <w:rsid w:val="00E43081"/>
    <w:rsid w:val="00E70693"/>
    <w:rsid w:val="00E8720E"/>
    <w:rsid w:val="00EE7A95"/>
    <w:rsid w:val="00F158C5"/>
    <w:rsid w:val="00F2515B"/>
    <w:rsid w:val="00F34FB2"/>
    <w:rsid w:val="00F75230"/>
    <w:rsid w:val="00FA3A43"/>
    <w:rsid w:val="00FA57EA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90865C2-F984-4F32-890D-24D72C72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A09AA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SimSun" w:hAnsi="Times New Roman" w:cs="Times New Roman"/>
      <w:kern w:val="0"/>
      <w:szCs w:val="21"/>
    </w:rPr>
  </w:style>
  <w:style w:type="paragraph" w:styleId="Titre1">
    <w:name w:val="heading 1"/>
    <w:basedOn w:val="Normal"/>
    <w:next w:val="Normal"/>
    <w:link w:val="Titre1Car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5B9BD5" w:themeColor="accent1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5B9BD5" w:themeColor="accent1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4D78" w:themeColor="accent1" w:themeShade="7F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4D78" w:themeColor="accent1" w:themeShade="7F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5B9BD5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SimHei"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SimHei"/>
      <w:sz w:val="28"/>
      <w:szCs w:val="28"/>
    </w:rPr>
  </w:style>
  <w:style w:type="paragraph" w:customStyle="1" w:styleId="H1GC">
    <w:name w:val="_ H_1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SimHei"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SimHei"/>
      <w:sz w:val="22"/>
      <w:szCs w:val="22"/>
    </w:rPr>
  </w:style>
  <w:style w:type="paragraph" w:customStyle="1" w:styleId="H4GC">
    <w:name w:val="_ H_4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Normal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Policepardfaut"/>
    <w:link w:val="SingleTxtGC"/>
    <w:locked/>
    <w:rsid w:val="00341EDB"/>
    <w:rPr>
      <w:rFonts w:ascii="Times New Roman" w:eastAsia="SimSun" w:hAnsi="Times New Roman" w:cs="Times New Roman"/>
      <w:kern w:val="0"/>
      <w:szCs w:val="21"/>
    </w:rPr>
  </w:style>
  <w:style w:type="paragraph" w:customStyle="1" w:styleId="SLGC">
    <w:name w:val="__S_L_GC"/>
    <w:basedOn w:val="Normal"/>
    <w:next w:val="Normal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SimHei"/>
      <w:sz w:val="56"/>
      <w:szCs w:val="56"/>
    </w:rPr>
  </w:style>
  <w:style w:type="paragraph" w:customStyle="1" w:styleId="SMGC">
    <w:name w:val="__S_M_GC"/>
    <w:basedOn w:val="Normal"/>
    <w:next w:val="Normal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SimHei"/>
      <w:sz w:val="40"/>
      <w:szCs w:val="40"/>
    </w:rPr>
  </w:style>
  <w:style w:type="paragraph" w:customStyle="1" w:styleId="SSGC">
    <w:name w:val="__S_S_GC"/>
    <w:basedOn w:val="Normal"/>
    <w:next w:val="Normal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SimHei"/>
      <w:sz w:val="28"/>
      <w:szCs w:val="28"/>
    </w:rPr>
  </w:style>
  <w:style w:type="paragraph" w:customStyle="1" w:styleId="XLargeGC">
    <w:name w:val="__XLarge_GC"/>
    <w:basedOn w:val="Normal"/>
    <w:next w:val="Normal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SimHei"/>
      <w:sz w:val="40"/>
      <w:szCs w:val="40"/>
    </w:rPr>
  </w:style>
  <w:style w:type="paragraph" w:customStyle="1" w:styleId="Bullet1GC">
    <w:name w:val="_Bullet 1_GC"/>
    <w:basedOn w:val="Normal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Normal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Normal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Titre4Car">
    <w:name w:val="Titre 4 Car"/>
    <w:basedOn w:val="Policepardfaut"/>
    <w:link w:val="Titre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">
    <w:name w:val="表数文字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0">
    <w:name w:val="表中标题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1">
    <w:name w:val="表中文字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Lienhypertexte">
    <w:name w:val="Hyperlink"/>
    <w:basedOn w:val="Policepardfaut"/>
    <w:uiPriority w:val="99"/>
    <w:semiHidden/>
    <w:rsid w:val="00341EDB"/>
    <w:rPr>
      <w:color w:val="0563C1" w:themeColor="hyperlink"/>
      <w:u w:val="none"/>
    </w:rPr>
  </w:style>
  <w:style w:type="character" w:styleId="Lienhypertextesuivivisit">
    <w:name w:val="FollowedHyperlink"/>
    <w:basedOn w:val="Policepardfaut"/>
    <w:uiPriority w:val="99"/>
    <w:semiHidden/>
    <w:rsid w:val="00341EDB"/>
    <w:rPr>
      <w:color w:val="0000FF"/>
      <w:u w:val="none"/>
    </w:rPr>
  </w:style>
  <w:style w:type="paragraph" w:styleId="Textedemacro">
    <w:name w:val="macro"/>
    <w:link w:val="TextedemacroCar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kern w:val="24"/>
      <w:sz w:val="24"/>
      <w:szCs w:val="24"/>
    </w:rPr>
  </w:style>
  <w:style w:type="character" w:customStyle="1" w:styleId="TextedemacroCar">
    <w:name w:val="Texte de macro Car"/>
    <w:basedOn w:val="Policepardfaut"/>
    <w:link w:val="Textedemacro"/>
    <w:semiHidden/>
    <w:rsid w:val="00341EDB"/>
    <w:rPr>
      <w:rFonts w:ascii="Times New Roman" w:eastAsia="SimSun" w:hAnsi="Times New Roman" w:cs="Times New Roman"/>
      <w:kern w:val="24"/>
      <w:sz w:val="24"/>
      <w:szCs w:val="24"/>
    </w:rPr>
  </w:style>
  <w:style w:type="paragraph" w:styleId="Notedebasdepage">
    <w:name w:val="footnote text"/>
    <w:basedOn w:val="Normal"/>
    <w:link w:val="NotedebasdepageCar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341EDB"/>
    <w:rPr>
      <w:rFonts w:ascii="Times New Roman" w:eastAsia="SimSun" w:hAnsi="Times New Roman" w:cs="Times New Roman"/>
      <w:kern w:val="0"/>
      <w:sz w:val="18"/>
      <w:szCs w:val="18"/>
    </w:rPr>
  </w:style>
  <w:style w:type="character" w:styleId="Appelnotedebasdep">
    <w:name w:val="footnote reference"/>
    <w:basedOn w:val="Policepardfaut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2">
    <w:name w:val="目录段页次"/>
    <w:basedOn w:val="Normal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3">
    <w:name w:val="目录页次"/>
    <w:basedOn w:val="Normal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4">
    <w:name w:val="缩进正文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Notedefin">
    <w:name w:val="endnote text"/>
    <w:basedOn w:val="Notedebasdepage"/>
    <w:link w:val="NotedefinCar"/>
    <w:qFormat/>
    <w:rsid w:val="00341EDB"/>
    <w:pPr>
      <w:keepLines w:val="0"/>
      <w:spacing w:after="0"/>
    </w:pPr>
  </w:style>
  <w:style w:type="character" w:customStyle="1" w:styleId="NotedefinCar">
    <w:name w:val="Note de fin Car"/>
    <w:basedOn w:val="Policepardfaut"/>
    <w:link w:val="Notedefin"/>
    <w:rsid w:val="00341EDB"/>
    <w:rPr>
      <w:rFonts w:ascii="Times New Roman" w:eastAsia="SimSun" w:hAnsi="Times New Roman" w:cs="Times New Roman"/>
      <w:kern w:val="0"/>
      <w:sz w:val="18"/>
      <w:szCs w:val="18"/>
    </w:rPr>
  </w:style>
  <w:style w:type="character" w:styleId="Appeldenotedefin">
    <w:name w:val="endnote reference"/>
    <w:basedOn w:val="Appelnotedebasdep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5">
    <w:name w:val="悬挂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Pieddepage">
    <w:name w:val="footer"/>
    <w:basedOn w:val="Normal"/>
    <w:link w:val="PieddepageCar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PieddepageCar">
    <w:name w:val="Pied de page Car"/>
    <w:basedOn w:val="Policepardfaut"/>
    <w:link w:val="Pieddepage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Numrodepage">
    <w:name w:val="page number"/>
    <w:basedOn w:val="Policepardfaut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En-tte">
    <w:name w:val="header"/>
    <w:basedOn w:val="Normal"/>
    <w:link w:val="En-tteCar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En-tteCar">
    <w:name w:val="En-tête Car"/>
    <w:basedOn w:val="Policepardfaut"/>
    <w:link w:val="En-tte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table" w:styleId="Grilledutableau">
    <w:name w:val="Table Grid"/>
    <w:basedOn w:val="TableauNormal"/>
    <w:uiPriority w:val="39"/>
    <w:rsid w:val="002A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AD75-781E-40E7-97E5-22905AA8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Jianjun Chen</dc:creator>
  <cp:keywords/>
  <dc:description/>
  <cp:lastModifiedBy>Dingling Li</cp:lastModifiedBy>
  <cp:revision>2</cp:revision>
  <dcterms:created xsi:type="dcterms:W3CDTF">2019-06-20T11:13:00Z</dcterms:created>
  <dcterms:modified xsi:type="dcterms:W3CDTF">2019-06-20T11:13:00Z</dcterms:modified>
</cp:coreProperties>
</file>