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2B2CD" w14:textId="595EA046" w:rsidR="005362D3" w:rsidRPr="00C057DD" w:rsidRDefault="007E7E71" w:rsidP="003317E5">
      <w:pPr>
        <w:pStyle w:val="HMGC"/>
        <w:spacing w:before="0" w:after="0" w:line="288" w:lineRule="auto"/>
        <w:jc w:val="center"/>
        <w:rPr>
          <w:sz w:val="28"/>
          <w:szCs w:val="28"/>
        </w:rPr>
      </w:pPr>
      <w:bookmarkStart w:id="0" w:name="_GoBack"/>
      <w:bookmarkEnd w:id="0"/>
      <w:r w:rsidRPr="00C057DD">
        <w:rPr>
          <w:rFonts w:hint="eastAsia"/>
          <w:sz w:val="28"/>
          <w:szCs w:val="28"/>
        </w:rPr>
        <w:t>脚注</w:t>
      </w:r>
      <w:r w:rsidR="007A2F0E" w:rsidRPr="00C057DD">
        <w:rPr>
          <w:rFonts w:hint="eastAsia"/>
          <w:sz w:val="28"/>
          <w:szCs w:val="28"/>
        </w:rPr>
        <w:t>翻译指南</w:t>
      </w:r>
    </w:p>
    <w:p w14:paraId="4706E5B1" w14:textId="59DF2A90" w:rsidR="00C92FBB" w:rsidRPr="00A018D9" w:rsidRDefault="002F1783" w:rsidP="003317E5">
      <w:pPr>
        <w:pStyle w:val="HMGC"/>
        <w:spacing w:before="0" w:after="0" w:line="288" w:lineRule="auto"/>
        <w:jc w:val="center"/>
        <w:rPr>
          <w:rFonts w:eastAsia="SimSun"/>
          <w:sz w:val="22"/>
          <w:szCs w:val="22"/>
        </w:rPr>
      </w:pPr>
      <w:r w:rsidRPr="00A018D9">
        <w:rPr>
          <w:rFonts w:eastAsia="SimSun"/>
          <w:sz w:val="22"/>
          <w:szCs w:val="22"/>
        </w:rPr>
        <w:t>(</w:t>
      </w:r>
      <w:r w:rsidR="000F0101" w:rsidRPr="00A018D9">
        <w:rPr>
          <w:rFonts w:eastAsia="SimSun"/>
          <w:sz w:val="22"/>
          <w:szCs w:val="22"/>
        </w:rPr>
        <w:t>2019</w:t>
      </w:r>
      <w:r w:rsidR="000F0101" w:rsidRPr="00A018D9">
        <w:rPr>
          <w:rFonts w:eastAsia="SimSun" w:hint="eastAsia"/>
          <w:sz w:val="22"/>
          <w:szCs w:val="22"/>
        </w:rPr>
        <w:t>年</w:t>
      </w:r>
      <w:r w:rsidR="000F0101" w:rsidRPr="00A018D9">
        <w:rPr>
          <w:rFonts w:eastAsia="SimSun"/>
          <w:sz w:val="22"/>
          <w:szCs w:val="22"/>
        </w:rPr>
        <w:t>12</w:t>
      </w:r>
      <w:r w:rsidR="000F0101" w:rsidRPr="00A018D9">
        <w:rPr>
          <w:rFonts w:eastAsia="SimSun" w:hint="eastAsia"/>
          <w:sz w:val="22"/>
          <w:szCs w:val="22"/>
        </w:rPr>
        <w:t>月</w:t>
      </w:r>
      <w:r w:rsidR="007161CA" w:rsidRPr="00A018D9">
        <w:rPr>
          <w:rFonts w:eastAsia="SimSun"/>
          <w:sz w:val="22"/>
          <w:szCs w:val="22"/>
        </w:rPr>
        <w:t>13</w:t>
      </w:r>
      <w:r w:rsidR="000F0101" w:rsidRPr="00A018D9">
        <w:rPr>
          <w:rFonts w:eastAsia="SimSun" w:hint="eastAsia"/>
          <w:sz w:val="22"/>
          <w:szCs w:val="22"/>
        </w:rPr>
        <w:t>日更新</w:t>
      </w:r>
      <w:r w:rsidRPr="00A018D9">
        <w:rPr>
          <w:rFonts w:eastAsia="SimSun"/>
          <w:sz w:val="22"/>
          <w:szCs w:val="22"/>
        </w:rPr>
        <w:t>)</w:t>
      </w:r>
    </w:p>
    <w:p w14:paraId="0991C102" w14:textId="6390B04C" w:rsidR="00675C0B" w:rsidRPr="00A018D9" w:rsidRDefault="00675C0B" w:rsidP="003317E5">
      <w:pPr>
        <w:spacing w:line="288" w:lineRule="auto"/>
        <w:rPr>
          <w:rFonts w:eastAsia="SimHei"/>
          <w:sz w:val="22"/>
          <w:szCs w:val="22"/>
        </w:rPr>
      </w:pPr>
    </w:p>
    <w:p w14:paraId="79853B12" w14:textId="33DA74EC" w:rsidR="009F34B0" w:rsidRPr="00A018D9" w:rsidRDefault="00216769" w:rsidP="003317E5">
      <w:pPr>
        <w:tabs>
          <w:tab w:val="clear" w:pos="431"/>
          <w:tab w:val="left" w:pos="426"/>
        </w:tabs>
        <w:spacing w:line="288" w:lineRule="auto"/>
        <w:rPr>
          <w:sz w:val="22"/>
          <w:szCs w:val="22"/>
        </w:rPr>
      </w:pPr>
      <w:r w:rsidRPr="00A018D9">
        <w:rPr>
          <w:sz w:val="22"/>
          <w:szCs w:val="22"/>
        </w:rPr>
        <w:tab/>
      </w:r>
      <w:r w:rsidR="00F12B28" w:rsidRPr="00A018D9">
        <w:rPr>
          <w:rFonts w:hint="eastAsia"/>
          <w:sz w:val="22"/>
          <w:szCs w:val="22"/>
        </w:rPr>
        <w:t>中文科</w:t>
      </w:r>
      <w:r w:rsidR="00F12B28" w:rsidRPr="00A018D9">
        <w:rPr>
          <w:sz w:val="22"/>
          <w:szCs w:val="22"/>
        </w:rPr>
        <w:t>1987</w:t>
      </w:r>
      <w:r w:rsidR="00F12B28" w:rsidRPr="00A018D9">
        <w:rPr>
          <w:rFonts w:hint="eastAsia"/>
          <w:sz w:val="22"/>
          <w:szCs w:val="22"/>
        </w:rPr>
        <w:t>年公布</w:t>
      </w:r>
      <w:r w:rsidR="00CE16C0" w:rsidRPr="00A018D9">
        <w:rPr>
          <w:rFonts w:hint="eastAsia"/>
          <w:sz w:val="22"/>
          <w:szCs w:val="22"/>
        </w:rPr>
        <w:t>的</w:t>
      </w:r>
      <w:r w:rsidR="00F12B28" w:rsidRPr="00A018D9">
        <w:rPr>
          <w:rFonts w:hint="eastAsia"/>
          <w:sz w:val="22"/>
          <w:szCs w:val="22"/>
        </w:rPr>
        <w:t>《关于翻译脚注的几点暂行规定》多年来对翻译脚注起到了重要的指导作用。随着时间推移，原《暂行规定》部分内容已经过时，而一些新的脚注问题需要</w:t>
      </w:r>
      <w:r w:rsidR="00CE16C0" w:rsidRPr="00A018D9">
        <w:rPr>
          <w:rFonts w:hint="eastAsia"/>
          <w:sz w:val="22"/>
          <w:szCs w:val="22"/>
        </w:rPr>
        <w:t>得到</w:t>
      </w:r>
      <w:r w:rsidR="00E038EB" w:rsidRPr="00A018D9">
        <w:rPr>
          <w:rFonts w:hint="eastAsia"/>
          <w:sz w:val="22"/>
          <w:szCs w:val="22"/>
        </w:rPr>
        <w:t>处理</w:t>
      </w:r>
      <w:r w:rsidR="00F12B28" w:rsidRPr="00A018D9">
        <w:rPr>
          <w:rFonts w:hint="eastAsia"/>
          <w:sz w:val="22"/>
          <w:szCs w:val="22"/>
        </w:rPr>
        <w:t>。</w:t>
      </w:r>
      <w:r w:rsidR="00CE16C0" w:rsidRPr="00A018D9">
        <w:rPr>
          <w:rFonts w:hint="eastAsia"/>
          <w:sz w:val="22"/>
          <w:szCs w:val="22"/>
        </w:rPr>
        <w:t>有鉴于此，经</w:t>
      </w:r>
      <w:r w:rsidR="00200F91" w:rsidRPr="00A018D9">
        <w:rPr>
          <w:rFonts w:hint="eastAsia"/>
          <w:sz w:val="22"/>
          <w:szCs w:val="22"/>
        </w:rPr>
        <w:t>借</w:t>
      </w:r>
      <w:r w:rsidR="00F12B28" w:rsidRPr="00A018D9">
        <w:rPr>
          <w:rFonts w:hint="eastAsia"/>
          <w:sz w:val="22"/>
          <w:szCs w:val="22"/>
        </w:rPr>
        <w:t>鉴</w:t>
      </w:r>
      <w:r w:rsidR="00200F91" w:rsidRPr="00A018D9">
        <w:rPr>
          <w:rFonts w:hint="eastAsia"/>
          <w:sz w:val="22"/>
          <w:szCs w:val="22"/>
        </w:rPr>
        <w:t>并吸收</w:t>
      </w:r>
      <w:r w:rsidR="00BD7712" w:rsidRPr="00A018D9">
        <w:rPr>
          <w:rFonts w:hint="eastAsia"/>
          <w:sz w:val="22"/>
          <w:szCs w:val="22"/>
        </w:rPr>
        <w:t>总部中文处</w:t>
      </w:r>
      <w:r w:rsidR="00BD7712" w:rsidRPr="00A018D9">
        <w:rPr>
          <w:sz w:val="22"/>
          <w:szCs w:val="22"/>
        </w:rPr>
        <w:t>2015</w:t>
      </w:r>
      <w:r w:rsidR="00BD7712" w:rsidRPr="00A018D9">
        <w:rPr>
          <w:rFonts w:hint="eastAsia"/>
          <w:sz w:val="22"/>
          <w:szCs w:val="22"/>
        </w:rPr>
        <w:t>年更新的</w:t>
      </w:r>
      <w:r w:rsidR="00204200" w:rsidRPr="00A018D9">
        <w:rPr>
          <w:rFonts w:hint="eastAsia"/>
          <w:sz w:val="22"/>
          <w:szCs w:val="22"/>
        </w:rPr>
        <w:t>《</w:t>
      </w:r>
      <w:r w:rsidR="00BD7712" w:rsidRPr="00A018D9">
        <w:rPr>
          <w:rFonts w:hint="eastAsia"/>
          <w:sz w:val="22"/>
          <w:szCs w:val="22"/>
        </w:rPr>
        <w:t>脚注翻译</w:t>
      </w:r>
      <w:r w:rsidR="00204200" w:rsidRPr="00A018D9">
        <w:rPr>
          <w:rFonts w:hint="eastAsia"/>
          <w:sz w:val="22"/>
          <w:szCs w:val="22"/>
        </w:rPr>
        <w:t>》</w:t>
      </w:r>
      <w:r w:rsidR="00DB4B2E" w:rsidRPr="00A018D9">
        <w:rPr>
          <w:rFonts w:hint="eastAsia"/>
          <w:sz w:val="22"/>
          <w:szCs w:val="22"/>
        </w:rPr>
        <w:t>，</w:t>
      </w:r>
      <w:r w:rsidR="00CE16C0" w:rsidRPr="00A018D9">
        <w:rPr>
          <w:rFonts w:hint="eastAsia"/>
          <w:sz w:val="22"/>
          <w:szCs w:val="22"/>
        </w:rPr>
        <w:t>对</w:t>
      </w:r>
      <w:r w:rsidR="00F12B28" w:rsidRPr="00A018D9">
        <w:rPr>
          <w:rFonts w:hint="eastAsia"/>
          <w:sz w:val="22"/>
          <w:szCs w:val="22"/>
        </w:rPr>
        <w:t>原《暂行规定》</w:t>
      </w:r>
      <w:r w:rsidR="00CE16C0" w:rsidRPr="00A018D9">
        <w:rPr>
          <w:rFonts w:hint="eastAsia"/>
          <w:sz w:val="22"/>
          <w:szCs w:val="22"/>
        </w:rPr>
        <w:t>作了修订</w:t>
      </w:r>
      <w:r w:rsidR="00457B0B" w:rsidRPr="00A018D9">
        <w:rPr>
          <w:rFonts w:hint="eastAsia"/>
          <w:sz w:val="22"/>
          <w:szCs w:val="22"/>
        </w:rPr>
        <w:t>和</w:t>
      </w:r>
      <w:r w:rsidR="00CE16C0" w:rsidRPr="00A018D9">
        <w:rPr>
          <w:rFonts w:hint="eastAsia"/>
          <w:sz w:val="22"/>
          <w:szCs w:val="22"/>
        </w:rPr>
        <w:t>补充，</w:t>
      </w:r>
      <w:r w:rsidR="008C5291" w:rsidRPr="00A018D9">
        <w:rPr>
          <w:rFonts w:hint="eastAsia"/>
          <w:sz w:val="22"/>
          <w:szCs w:val="22"/>
        </w:rPr>
        <w:t>整理</w:t>
      </w:r>
      <w:r w:rsidR="00204200" w:rsidRPr="00A018D9">
        <w:rPr>
          <w:rFonts w:hint="eastAsia"/>
          <w:sz w:val="22"/>
          <w:szCs w:val="22"/>
        </w:rPr>
        <w:t>出一套</w:t>
      </w:r>
      <w:r w:rsidR="00200F91" w:rsidRPr="00A018D9">
        <w:rPr>
          <w:rFonts w:hint="eastAsia"/>
          <w:sz w:val="22"/>
          <w:szCs w:val="22"/>
        </w:rPr>
        <w:t>新的</w:t>
      </w:r>
      <w:r w:rsidR="00204200" w:rsidRPr="00A018D9">
        <w:rPr>
          <w:rFonts w:hint="eastAsia"/>
          <w:sz w:val="22"/>
          <w:szCs w:val="22"/>
        </w:rPr>
        <w:t>脚注翻译指南</w:t>
      </w:r>
      <w:r w:rsidR="00CE16C0" w:rsidRPr="00A018D9">
        <w:rPr>
          <w:rFonts w:hint="eastAsia"/>
          <w:sz w:val="22"/>
          <w:szCs w:val="22"/>
        </w:rPr>
        <w:t>，</w:t>
      </w:r>
      <w:r w:rsidR="00933218" w:rsidRPr="00A018D9">
        <w:rPr>
          <w:rFonts w:hint="eastAsia"/>
          <w:sz w:val="22"/>
          <w:szCs w:val="22"/>
        </w:rPr>
        <w:t>供</w:t>
      </w:r>
      <w:r w:rsidR="00CE16C0" w:rsidRPr="00A018D9">
        <w:rPr>
          <w:rFonts w:hint="eastAsia"/>
          <w:sz w:val="22"/>
          <w:szCs w:val="22"/>
        </w:rPr>
        <w:t>大家</w:t>
      </w:r>
      <w:r w:rsidR="006E0DA6" w:rsidRPr="00A018D9">
        <w:rPr>
          <w:rFonts w:hint="eastAsia"/>
          <w:sz w:val="22"/>
          <w:szCs w:val="22"/>
        </w:rPr>
        <w:t>以后</w:t>
      </w:r>
      <w:r w:rsidR="00CE16C0" w:rsidRPr="00A018D9">
        <w:rPr>
          <w:rFonts w:hint="eastAsia"/>
          <w:sz w:val="22"/>
          <w:szCs w:val="22"/>
        </w:rPr>
        <w:t>参考</w:t>
      </w:r>
      <w:r w:rsidR="009A3722" w:rsidRPr="00A018D9">
        <w:rPr>
          <w:rFonts w:hint="eastAsia"/>
          <w:sz w:val="22"/>
          <w:szCs w:val="22"/>
        </w:rPr>
        <w:t>。</w:t>
      </w:r>
      <w:r w:rsidR="00A27FD1" w:rsidRPr="00A018D9">
        <w:rPr>
          <w:rFonts w:hint="eastAsia"/>
          <w:sz w:val="22"/>
          <w:szCs w:val="22"/>
        </w:rPr>
        <w:t>因文件类型、体例、来源</w:t>
      </w:r>
      <w:r w:rsidR="00337A06" w:rsidRPr="00A018D9">
        <w:rPr>
          <w:rFonts w:hint="eastAsia"/>
          <w:sz w:val="22"/>
          <w:szCs w:val="22"/>
        </w:rPr>
        <w:t>、用途</w:t>
      </w:r>
      <w:r w:rsidR="00A27FD1" w:rsidRPr="00A018D9">
        <w:rPr>
          <w:rFonts w:hint="eastAsia"/>
          <w:sz w:val="22"/>
          <w:szCs w:val="22"/>
        </w:rPr>
        <w:t>等因素</w:t>
      </w:r>
      <w:r w:rsidR="00457B0B" w:rsidRPr="00A018D9">
        <w:rPr>
          <w:rFonts w:hint="eastAsia"/>
          <w:sz w:val="22"/>
          <w:szCs w:val="22"/>
        </w:rPr>
        <w:t>，脚注情况</w:t>
      </w:r>
      <w:r w:rsidR="00A27FD1" w:rsidRPr="00A018D9">
        <w:rPr>
          <w:rFonts w:hint="eastAsia"/>
          <w:sz w:val="22"/>
          <w:szCs w:val="22"/>
        </w:rPr>
        <w:t>各异，需译者</w:t>
      </w:r>
      <w:r w:rsidR="00241F2B" w:rsidRPr="00A018D9">
        <w:rPr>
          <w:rFonts w:hint="eastAsia"/>
          <w:sz w:val="22"/>
          <w:szCs w:val="22"/>
        </w:rPr>
        <w:t>酌情妥善处理。</w:t>
      </w:r>
      <w:r w:rsidR="00457B0B" w:rsidRPr="00A018D9">
        <w:rPr>
          <w:rFonts w:hint="eastAsia"/>
          <w:sz w:val="22"/>
          <w:szCs w:val="22"/>
        </w:rPr>
        <w:t>本指南分为“</w:t>
      </w:r>
      <w:r w:rsidR="00457B0B" w:rsidRPr="008B0AD7">
        <w:rPr>
          <w:rFonts w:hint="eastAsia"/>
          <w:b/>
          <w:bCs/>
          <w:sz w:val="22"/>
          <w:szCs w:val="22"/>
        </w:rPr>
        <w:t>简要指南</w:t>
      </w:r>
      <w:r w:rsidR="00457B0B" w:rsidRPr="00A018D9">
        <w:rPr>
          <w:rFonts w:hint="eastAsia"/>
          <w:sz w:val="22"/>
          <w:szCs w:val="22"/>
        </w:rPr>
        <w:t>”和“</w:t>
      </w:r>
      <w:r w:rsidR="00457B0B" w:rsidRPr="008B0AD7">
        <w:rPr>
          <w:rFonts w:hint="eastAsia"/>
          <w:b/>
          <w:bCs/>
          <w:sz w:val="22"/>
          <w:szCs w:val="22"/>
        </w:rPr>
        <w:t>详细指南和示例</w:t>
      </w:r>
      <w:r w:rsidR="00457B0B" w:rsidRPr="00A018D9">
        <w:rPr>
          <w:rFonts w:hint="eastAsia"/>
          <w:sz w:val="22"/>
          <w:szCs w:val="22"/>
        </w:rPr>
        <w:t>”</w:t>
      </w:r>
      <w:r w:rsidR="00783F09" w:rsidRPr="00A018D9">
        <w:rPr>
          <w:rFonts w:hint="eastAsia"/>
          <w:sz w:val="22"/>
          <w:szCs w:val="22"/>
        </w:rPr>
        <w:t>两部分。</w:t>
      </w:r>
    </w:p>
    <w:p w14:paraId="13912B70" w14:textId="77777777" w:rsidR="00200F91" w:rsidRPr="00A018D9" w:rsidRDefault="00200F91" w:rsidP="003317E5">
      <w:pPr>
        <w:spacing w:line="288" w:lineRule="auto"/>
        <w:rPr>
          <w:sz w:val="22"/>
          <w:szCs w:val="22"/>
        </w:rPr>
      </w:pPr>
    </w:p>
    <w:p w14:paraId="42B8A275" w14:textId="1676DFA3" w:rsidR="009E6A96" w:rsidRPr="00C057DD" w:rsidRDefault="009D0427" w:rsidP="009D0427">
      <w:pPr>
        <w:spacing w:line="288" w:lineRule="auto"/>
        <w:jc w:val="center"/>
        <w:rPr>
          <w:b/>
          <w:bCs/>
          <w:sz w:val="24"/>
          <w:szCs w:val="24"/>
        </w:rPr>
      </w:pPr>
      <w:r w:rsidRPr="00C057DD">
        <w:rPr>
          <w:rFonts w:hint="eastAsia"/>
          <w:b/>
          <w:bCs/>
          <w:sz w:val="24"/>
          <w:szCs w:val="24"/>
        </w:rPr>
        <w:t>一、</w:t>
      </w:r>
      <w:r w:rsidR="00365B65" w:rsidRPr="00C057DD">
        <w:rPr>
          <w:rFonts w:hint="eastAsia"/>
          <w:b/>
          <w:bCs/>
          <w:sz w:val="24"/>
          <w:szCs w:val="24"/>
        </w:rPr>
        <w:t>简</w:t>
      </w:r>
      <w:r w:rsidR="00457B0B" w:rsidRPr="00C057DD">
        <w:rPr>
          <w:rFonts w:hint="eastAsia"/>
          <w:b/>
          <w:bCs/>
          <w:sz w:val="24"/>
          <w:szCs w:val="24"/>
        </w:rPr>
        <w:t>要</w:t>
      </w:r>
      <w:r w:rsidR="00735548" w:rsidRPr="00C057DD">
        <w:rPr>
          <w:rFonts w:hint="eastAsia"/>
          <w:b/>
          <w:bCs/>
          <w:sz w:val="24"/>
          <w:szCs w:val="24"/>
        </w:rPr>
        <w:t>指南</w:t>
      </w:r>
    </w:p>
    <w:p w14:paraId="185E3546" w14:textId="77777777" w:rsidR="00700094" w:rsidRPr="00A018D9" w:rsidRDefault="00700094" w:rsidP="009E6A96">
      <w:pPr>
        <w:spacing w:line="288" w:lineRule="auto"/>
        <w:rPr>
          <w:rFonts w:eastAsia="SimHei"/>
          <w:sz w:val="22"/>
          <w:szCs w:val="22"/>
          <w:vertAlign w:val="subscript"/>
        </w:rPr>
      </w:pPr>
    </w:p>
    <w:p w14:paraId="7427429D" w14:textId="76B735CB" w:rsidR="00314F52" w:rsidRPr="00A018D9" w:rsidRDefault="00352A89" w:rsidP="00A13659">
      <w:pPr>
        <w:spacing w:line="288" w:lineRule="auto"/>
        <w:jc w:val="left"/>
        <w:rPr>
          <w:rFonts w:eastAsia="SimHei"/>
          <w:color w:val="0000FF"/>
          <w:sz w:val="22"/>
          <w:szCs w:val="22"/>
          <w:u w:val="single"/>
        </w:rPr>
      </w:pPr>
      <w:r w:rsidRPr="00A018D9">
        <w:rPr>
          <w:rFonts w:eastAsia="SimHei" w:hint="eastAsia"/>
          <w:color w:val="0000FF"/>
          <w:sz w:val="22"/>
          <w:szCs w:val="22"/>
          <w:u w:val="single"/>
        </w:rPr>
        <w:t>全</w:t>
      </w:r>
      <w:r w:rsidR="000F0101" w:rsidRPr="00A018D9">
        <w:rPr>
          <w:rFonts w:eastAsia="SimHei" w:hint="eastAsia"/>
          <w:color w:val="0000FF"/>
          <w:sz w:val="22"/>
          <w:szCs w:val="22"/>
          <w:u w:val="single"/>
        </w:rPr>
        <w:t>译的</w:t>
      </w:r>
      <w:r w:rsidRPr="00A018D9">
        <w:rPr>
          <w:rFonts w:eastAsia="SimHei" w:hint="eastAsia"/>
          <w:color w:val="0000FF"/>
          <w:sz w:val="22"/>
          <w:szCs w:val="22"/>
          <w:u w:val="single"/>
        </w:rPr>
        <w:t>脚注</w:t>
      </w:r>
    </w:p>
    <w:p w14:paraId="74DC4BD1" w14:textId="77777777" w:rsidR="000F0101" w:rsidRPr="00A018D9" w:rsidRDefault="000F0101" w:rsidP="003317E5">
      <w:pPr>
        <w:spacing w:line="288" w:lineRule="auto"/>
        <w:jc w:val="center"/>
        <w:rPr>
          <w:color w:val="0000FF"/>
          <w:sz w:val="22"/>
          <w:szCs w:val="22"/>
        </w:rPr>
      </w:pPr>
    </w:p>
    <w:p w14:paraId="37CC2032" w14:textId="27662882" w:rsidR="00F52B1E" w:rsidRPr="00A018D9" w:rsidRDefault="000F0101" w:rsidP="003317E5">
      <w:pPr>
        <w:spacing w:line="288" w:lineRule="auto"/>
        <w:ind w:firstLine="431"/>
        <w:rPr>
          <w:rFonts w:eastAsia="SimHei"/>
          <w:color w:val="0000FF"/>
          <w:sz w:val="22"/>
          <w:szCs w:val="22"/>
        </w:rPr>
      </w:pPr>
      <w:bookmarkStart w:id="1" w:name="_Hlk24550032"/>
      <w:bookmarkStart w:id="2" w:name="_Hlk24646546"/>
      <w:r w:rsidRPr="00A018D9">
        <w:rPr>
          <w:rFonts w:eastAsia="SimHei"/>
          <w:color w:val="0000FF"/>
          <w:sz w:val="22"/>
          <w:szCs w:val="22"/>
        </w:rPr>
        <w:t xml:space="preserve">1. </w:t>
      </w:r>
      <w:r w:rsidR="00F52B1E" w:rsidRPr="00A018D9">
        <w:rPr>
          <w:rFonts w:eastAsia="SimHei" w:hint="eastAsia"/>
          <w:color w:val="0000FF"/>
          <w:sz w:val="22"/>
          <w:szCs w:val="22"/>
        </w:rPr>
        <w:t>实质性内容全译。</w:t>
      </w:r>
    </w:p>
    <w:p w14:paraId="2CFBEDD0" w14:textId="2DCB2B8A" w:rsidR="00F52B1E" w:rsidRPr="00A018D9" w:rsidRDefault="00C16E71" w:rsidP="008B4B53">
      <w:pPr>
        <w:spacing w:line="300" w:lineRule="auto"/>
        <w:ind w:firstLine="431"/>
        <w:rPr>
          <w:rFonts w:eastAsia="SimHei"/>
          <w:color w:val="0000FF"/>
          <w:sz w:val="22"/>
          <w:szCs w:val="22"/>
        </w:rPr>
      </w:pPr>
      <w:r w:rsidRPr="00A018D9">
        <w:rPr>
          <w:rFonts w:eastAsia="SimHei"/>
          <w:color w:val="0000FF"/>
          <w:sz w:val="22"/>
          <w:szCs w:val="22"/>
        </w:rPr>
        <w:t>2.</w:t>
      </w:r>
      <w:r w:rsidR="007D7558" w:rsidRPr="00A018D9">
        <w:rPr>
          <w:rFonts w:eastAsia="SimHei"/>
          <w:color w:val="0000FF"/>
          <w:sz w:val="22"/>
          <w:szCs w:val="22"/>
        </w:rPr>
        <w:t xml:space="preserve"> </w:t>
      </w:r>
      <w:r w:rsidR="007D7558" w:rsidRPr="00A018D9">
        <w:rPr>
          <w:rFonts w:eastAsia="SimHei" w:hint="eastAsia"/>
          <w:color w:val="0000FF"/>
          <w:sz w:val="22"/>
          <w:szCs w:val="22"/>
        </w:rPr>
        <w:t>联合国</w:t>
      </w:r>
      <w:r w:rsidR="00304A88" w:rsidRPr="00A018D9">
        <w:rPr>
          <w:rFonts w:eastAsia="SimHei" w:hint="eastAsia"/>
          <w:color w:val="0000FF"/>
          <w:sz w:val="22"/>
          <w:szCs w:val="22"/>
        </w:rPr>
        <w:t>重</w:t>
      </w:r>
      <w:r w:rsidR="00BE4EC3" w:rsidRPr="00A018D9">
        <w:rPr>
          <w:rFonts w:eastAsia="SimHei" w:hint="eastAsia"/>
          <w:color w:val="0000FF"/>
          <w:sz w:val="22"/>
          <w:szCs w:val="22"/>
        </w:rPr>
        <w:t>要文件</w:t>
      </w:r>
      <w:r w:rsidR="00475A6E" w:rsidRPr="00A018D9">
        <w:rPr>
          <w:rFonts w:eastAsia="SimHei" w:hint="eastAsia"/>
          <w:color w:val="0000FF"/>
          <w:sz w:val="22"/>
          <w:szCs w:val="22"/>
        </w:rPr>
        <w:t>和出版物</w:t>
      </w:r>
      <w:r w:rsidR="002375CF" w:rsidRPr="00A018D9">
        <w:rPr>
          <w:rFonts w:eastAsia="SimHei" w:hint="eastAsia"/>
          <w:color w:val="0000FF"/>
          <w:sz w:val="22"/>
          <w:szCs w:val="22"/>
        </w:rPr>
        <w:t>名称和出处信息</w:t>
      </w:r>
      <w:r w:rsidR="00FF19EF" w:rsidRPr="00A018D9">
        <w:rPr>
          <w:rFonts w:eastAsia="SimHei" w:hint="eastAsia"/>
          <w:color w:val="0000FF"/>
          <w:sz w:val="22"/>
          <w:szCs w:val="22"/>
        </w:rPr>
        <w:t>全译。</w:t>
      </w:r>
    </w:p>
    <w:p w14:paraId="57DF219F" w14:textId="7451325E" w:rsidR="00F52B1E" w:rsidRPr="00A018D9" w:rsidRDefault="00C16E71" w:rsidP="003317E5">
      <w:pPr>
        <w:spacing w:line="288" w:lineRule="auto"/>
        <w:ind w:firstLine="431"/>
        <w:rPr>
          <w:rFonts w:eastAsia="SimHei"/>
          <w:color w:val="0000FF"/>
          <w:sz w:val="22"/>
          <w:szCs w:val="22"/>
        </w:rPr>
      </w:pPr>
      <w:r w:rsidRPr="00A018D9">
        <w:rPr>
          <w:rFonts w:eastAsia="SimHei"/>
          <w:color w:val="0000FF"/>
          <w:sz w:val="22"/>
          <w:szCs w:val="22"/>
        </w:rPr>
        <w:t xml:space="preserve">3. </w:t>
      </w:r>
      <w:r w:rsidR="00F52B1E" w:rsidRPr="00A018D9">
        <w:rPr>
          <w:rFonts w:eastAsia="SimHei" w:hint="eastAsia"/>
          <w:color w:val="0000FF"/>
          <w:sz w:val="22"/>
          <w:szCs w:val="22"/>
        </w:rPr>
        <w:t>国际法院</w:t>
      </w:r>
      <w:r w:rsidR="007A48F4" w:rsidRPr="00A018D9">
        <w:rPr>
          <w:rFonts w:eastAsia="SimHei" w:hint="eastAsia"/>
          <w:color w:val="0000FF"/>
          <w:sz w:val="22"/>
          <w:szCs w:val="22"/>
        </w:rPr>
        <w:t>案例</w:t>
      </w:r>
      <w:r w:rsidR="00556BAF" w:rsidRPr="00A018D9">
        <w:rPr>
          <w:rFonts w:eastAsia="SimHei" w:hint="eastAsia"/>
          <w:color w:val="0000FF"/>
          <w:sz w:val="22"/>
          <w:szCs w:val="22"/>
        </w:rPr>
        <w:t>等重要国际法案例</w:t>
      </w:r>
      <w:r w:rsidR="002375CF" w:rsidRPr="00A018D9">
        <w:rPr>
          <w:rFonts w:eastAsia="SimHei" w:hint="eastAsia"/>
          <w:color w:val="0000FF"/>
          <w:sz w:val="22"/>
          <w:szCs w:val="22"/>
        </w:rPr>
        <w:t>名称和出处信息</w:t>
      </w:r>
      <w:r w:rsidR="00F52B1E" w:rsidRPr="00A018D9">
        <w:rPr>
          <w:rFonts w:eastAsia="SimHei" w:hint="eastAsia"/>
          <w:color w:val="0000FF"/>
          <w:sz w:val="22"/>
          <w:szCs w:val="22"/>
        </w:rPr>
        <w:t>全译。</w:t>
      </w:r>
    </w:p>
    <w:p w14:paraId="7ADAC7F8" w14:textId="77777777" w:rsidR="00E066CA" w:rsidRPr="00A018D9" w:rsidRDefault="00E066CA" w:rsidP="003317E5">
      <w:pPr>
        <w:spacing w:line="288" w:lineRule="auto"/>
        <w:ind w:firstLine="431"/>
        <w:rPr>
          <w:rFonts w:eastAsia="SimHei"/>
          <w:color w:val="0000FF"/>
          <w:sz w:val="22"/>
          <w:szCs w:val="22"/>
        </w:rPr>
      </w:pPr>
    </w:p>
    <w:p w14:paraId="283F3D95" w14:textId="6DF841DA" w:rsidR="00C16E71" w:rsidRPr="00A018D9" w:rsidRDefault="00C16E71" w:rsidP="00A13659">
      <w:pPr>
        <w:spacing w:line="288" w:lineRule="auto"/>
        <w:jc w:val="left"/>
        <w:rPr>
          <w:rFonts w:eastAsia="SimHei"/>
          <w:color w:val="0000FF"/>
          <w:sz w:val="22"/>
          <w:szCs w:val="22"/>
          <w:u w:val="single"/>
        </w:rPr>
      </w:pPr>
      <w:r w:rsidRPr="00A018D9">
        <w:rPr>
          <w:rFonts w:eastAsia="SimHei" w:hint="eastAsia"/>
          <w:color w:val="0000FF"/>
          <w:sz w:val="22"/>
          <w:szCs w:val="22"/>
          <w:u w:val="single"/>
        </w:rPr>
        <w:t>不译的</w:t>
      </w:r>
      <w:r w:rsidR="00352A89" w:rsidRPr="00A018D9">
        <w:rPr>
          <w:rFonts w:eastAsia="SimHei" w:hint="eastAsia"/>
          <w:color w:val="0000FF"/>
          <w:sz w:val="22"/>
          <w:szCs w:val="22"/>
          <w:u w:val="single"/>
        </w:rPr>
        <w:t>脚注</w:t>
      </w:r>
    </w:p>
    <w:p w14:paraId="7985BA39" w14:textId="77777777" w:rsidR="00C16E71" w:rsidRPr="00A018D9" w:rsidRDefault="00C16E71" w:rsidP="003317E5">
      <w:pPr>
        <w:spacing w:line="288" w:lineRule="auto"/>
        <w:ind w:firstLine="431"/>
        <w:rPr>
          <w:rFonts w:eastAsia="SimHei"/>
          <w:color w:val="0000FF"/>
          <w:sz w:val="22"/>
          <w:szCs w:val="22"/>
        </w:rPr>
      </w:pPr>
    </w:p>
    <w:p w14:paraId="2619C188" w14:textId="2707D1A2" w:rsidR="00F52B1E" w:rsidRPr="00A018D9" w:rsidRDefault="00744F60" w:rsidP="003317E5">
      <w:pPr>
        <w:spacing w:line="288" w:lineRule="auto"/>
        <w:ind w:firstLine="431"/>
        <w:rPr>
          <w:rFonts w:eastAsia="SimHei"/>
          <w:color w:val="0000FF"/>
          <w:sz w:val="22"/>
          <w:szCs w:val="22"/>
        </w:rPr>
      </w:pPr>
      <w:r w:rsidRPr="00A018D9">
        <w:rPr>
          <w:rFonts w:eastAsia="SimHei" w:hint="eastAsia"/>
          <w:color w:val="0000FF"/>
          <w:sz w:val="22"/>
          <w:szCs w:val="22"/>
        </w:rPr>
        <w:t>1</w:t>
      </w:r>
      <w:r w:rsidR="00493FD4" w:rsidRPr="00A018D9">
        <w:rPr>
          <w:rFonts w:eastAsia="SimHei"/>
          <w:color w:val="0000FF"/>
          <w:sz w:val="22"/>
          <w:szCs w:val="22"/>
        </w:rPr>
        <w:t xml:space="preserve">. </w:t>
      </w:r>
      <w:r w:rsidR="00F52B1E" w:rsidRPr="00A018D9">
        <w:rPr>
          <w:rFonts w:eastAsia="SimHei" w:hint="eastAsia"/>
          <w:color w:val="0000FF"/>
          <w:sz w:val="22"/>
          <w:szCs w:val="22"/>
        </w:rPr>
        <w:t>私人著作</w:t>
      </w:r>
      <w:r w:rsidR="002375CF" w:rsidRPr="00A018D9">
        <w:rPr>
          <w:rFonts w:eastAsia="SimHei" w:hint="eastAsia"/>
          <w:color w:val="0000FF"/>
          <w:sz w:val="22"/>
          <w:szCs w:val="22"/>
        </w:rPr>
        <w:t>名称和出处信息</w:t>
      </w:r>
      <w:r w:rsidR="00F52B1E" w:rsidRPr="00A018D9">
        <w:rPr>
          <w:rFonts w:eastAsia="SimHei" w:hint="eastAsia"/>
          <w:color w:val="0000FF"/>
          <w:sz w:val="22"/>
          <w:szCs w:val="22"/>
        </w:rPr>
        <w:t>不译。</w:t>
      </w:r>
    </w:p>
    <w:p w14:paraId="4522400B" w14:textId="112A5B6D" w:rsidR="00F52B1E" w:rsidRPr="00A018D9" w:rsidRDefault="00744F60" w:rsidP="003317E5">
      <w:pPr>
        <w:spacing w:line="288" w:lineRule="auto"/>
        <w:ind w:firstLine="431"/>
        <w:rPr>
          <w:rFonts w:eastAsia="SimHei"/>
          <w:color w:val="0000FF"/>
          <w:sz w:val="22"/>
          <w:szCs w:val="22"/>
        </w:rPr>
      </w:pPr>
      <w:r w:rsidRPr="00A018D9">
        <w:rPr>
          <w:rFonts w:eastAsia="SimHei" w:hint="eastAsia"/>
          <w:color w:val="0000FF"/>
          <w:sz w:val="22"/>
          <w:szCs w:val="22"/>
        </w:rPr>
        <w:t>2</w:t>
      </w:r>
      <w:r w:rsidR="00493FD4" w:rsidRPr="00A018D9">
        <w:rPr>
          <w:rFonts w:eastAsia="SimHei"/>
          <w:color w:val="0000FF"/>
          <w:sz w:val="22"/>
          <w:szCs w:val="22"/>
        </w:rPr>
        <w:t xml:space="preserve">. </w:t>
      </w:r>
      <w:r w:rsidR="000C7E03" w:rsidRPr="00A018D9">
        <w:rPr>
          <w:rFonts w:eastAsia="SimHei" w:hint="eastAsia"/>
          <w:color w:val="0000FF"/>
          <w:sz w:val="22"/>
          <w:szCs w:val="22"/>
        </w:rPr>
        <w:t>非政府</w:t>
      </w:r>
      <w:r w:rsidR="00F52B1E" w:rsidRPr="00A018D9">
        <w:rPr>
          <w:rFonts w:eastAsia="SimHei" w:hint="eastAsia"/>
          <w:color w:val="0000FF"/>
          <w:sz w:val="22"/>
          <w:szCs w:val="22"/>
        </w:rPr>
        <w:t>组织文</w:t>
      </w:r>
      <w:r w:rsidR="00195E63" w:rsidRPr="00A018D9">
        <w:rPr>
          <w:rFonts w:eastAsia="SimHei" w:hint="eastAsia"/>
          <w:color w:val="0000FF"/>
          <w:sz w:val="22"/>
          <w:szCs w:val="22"/>
        </w:rPr>
        <w:t>件</w:t>
      </w:r>
      <w:r w:rsidR="007B75AB" w:rsidRPr="00A018D9">
        <w:rPr>
          <w:rFonts w:eastAsia="SimHei" w:hint="eastAsia"/>
          <w:color w:val="0000FF"/>
          <w:sz w:val="22"/>
          <w:szCs w:val="22"/>
        </w:rPr>
        <w:t>名称和出处信息</w:t>
      </w:r>
      <w:r w:rsidR="00F52B1E" w:rsidRPr="00A018D9">
        <w:rPr>
          <w:rFonts w:eastAsia="SimHei" w:hint="eastAsia"/>
          <w:color w:val="0000FF"/>
          <w:sz w:val="22"/>
          <w:szCs w:val="22"/>
        </w:rPr>
        <w:t>不译。</w:t>
      </w:r>
    </w:p>
    <w:p w14:paraId="62EAA2C9" w14:textId="6AC6D5C4" w:rsidR="00661CC8" w:rsidRPr="00A018D9" w:rsidRDefault="00744F60" w:rsidP="00661CC8">
      <w:pPr>
        <w:spacing w:line="288" w:lineRule="auto"/>
        <w:ind w:firstLine="431"/>
        <w:rPr>
          <w:rFonts w:eastAsia="SimHei"/>
          <w:color w:val="0000FF"/>
          <w:sz w:val="22"/>
          <w:szCs w:val="22"/>
        </w:rPr>
      </w:pPr>
      <w:r w:rsidRPr="00A018D9">
        <w:rPr>
          <w:rFonts w:eastAsia="SimHei" w:hint="eastAsia"/>
          <w:color w:val="0000FF"/>
          <w:sz w:val="22"/>
          <w:szCs w:val="22"/>
        </w:rPr>
        <w:t>3</w:t>
      </w:r>
      <w:r w:rsidR="00661CC8" w:rsidRPr="00A018D9">
        <w:rPr>
          <w:rFonts w:eastAsia="SimHei"/>
          <w:color w:val="0000FF"/>
          <w:sz w:val="22"/>
          <w:szCs w:val="22"/>
        </w:rPr>
        <w:t xml:space="preserve">. </w:t>
      </w:r>
      <w:r w:rsidR="000C7E03" w:rsidRPr="00A018D9">
        <w:rPr>
          <w:rFonts w:eastAsia="SimHei" w:hint="eastAsia"/>
          <w:color w:val="0000FF"/>
          <w:sz w:val="22"/>
          <w:szCs w:val="22"/>
        </w:rPr>
        <w:t>各国政府和</w:t>
      </w:r>
      <w:r w:rsidR="00783F09" w:rsidRPr="00A018D9">
        <w:rPr>
          <w:rFonts w:eastAsia="SimHei" w:hint="eastAsia"/>
          <w:color w:val="0000FF"/>
          <w:sz w:val="22"/>
          <w:szCs w:val="22"/>
        </w:rPr>
        <w:t>其他</w:t>
      </w:r>
      <w:r w:rsidR="003B053C" w:rsidRPr="00A018D9">
        <w:rPr>
          <w:rFonts w:eastAsia="SimHei" w:hint="eastAsia"/>
          <w:color w:val="0000FF"/>
          <w:sz w:val="22"/>
          <w:szCs w:val="22"/>
        </w:rPr>
        <w:t>国际组织</w:t>
      </w:r>
      <w:r w:rsidR="00661CC8" w:rsidRPr="00A018D9">
        <w:rPr>
          <w:rFonts w:eastAsia="SimHei" w:hint="eastAsia"/>
          <w:color w:val="0000FF"/>
          <w:sz w:val="22"/>
          <w:szCs w:val="22"/>
        </w:rPr>
        <w:t>文件</w:t>
      </w:r>
      <w:r w:rsidR="007B75AB" w:rsidRPr="00A018D9">
        <w:rPr>
          <w:rFonts w:eastAsia="SimHei" w:hint="eastAsia"/>
          <w:color w:val="0000FF"/>
          <w:sz w:val="22"/>
          <w:szCs w:val="22"/>
        </w:rPr>
        <w:t>名称和出处信息</w:t>
      </w:r>
      <w:r w:rsidR="00661CC8" w:rsidRPr="00A018D9">
        <w:rPr>
          <w:rFonts w:eastAsia="SimHei" w:hint="eastAsia"/>
          <w:color w:val="0000FF"/>
          <w:sz w:val="22"/>
          <w:szCs w:val="22"/>
        </w:rPr>
        <w:t>不译。</w:t>
      </w:r>
    </w:p>
    <w:p w14:paraId="6AD71837" w14:textId="25A9172B" w:rsidR="00300511" w:rsidRPr="00A018D9" w:rsidRDefault="00300511" w:rsidP="003317E5">
      <w:pPr>
        <w:spacing w:line="288" w:lineRule="auto"/>
        <w:ind w:firstLine="431"/>
        <w:rPr>
          <w:rFonts w:eastAsia="SimHei"/>
          <w:color w:val="0000FF"/>
          <w:sz w:val="22"/>
          <w:szCs w:val="22"/>
        </w:rPr>
      </w:pPr>
    </w:p>
    <w:p w14:paraId="3A95FF6F" w14:textId="5D2BEEC5" w:rsidR="00493FD4" w:rsidRPr="00A018D9" w:rsidRDefault="00412C3C" w:rsidP="00A13659">
      <w:pPr>
        <w:spacing w:line="288" w:lineRule="auto"/>
        <w:jc w:val="left"/>
        <w:rPr>
          <w:rFonts w:eastAsia="SimHei"/>
          <w:color w:val="0000FF"/>
          <w:sz w:val="22"/>
          <w:szCs w:val="22"/>
          <w:u w:val="single"/>
        </w:rPr>
      </w:pPr>
      <w:r w:rsidRPr="00A018D9">
        <w:rPr>
          <w:rFonts w:eastAsia="SimHei" w:hint="eastAsia"/>
          <w:color w:val="0000FF"/>
          <w:sz w:val="22"/>
          <w:szCs w:val="22"/>
          <w:u w:val="single"/>
        </w:rPr>
        <w:t>部分译的</w:t>
      </w:r>
      <w:r w:rsidR="00352A89" w:rsidRPr="00A018D9">
        <w:rPr>
          <w:rFonts w:eastAsia="SimHei" w:hint="eastAsia"/>
          <w:color w:val="0000FF"/>
          <w:sz w:val="22"/>
          <w:szCs w:val="22"/>
          <w:u w:val="single"/>
        </w:rPr>
        <w:t>脚注</w:t>
      </w:r>
    </w:p>
    <w:p w14:paraId="39B96857" w14:textId="77777777" w:rsidR="00412C3C" w:rsidRPr="00A018D9" w:rsidRDefault="00412C3C" w:rsidP="003317E5">
      <w:pPr>
        <w:spacing w:line="288" w:lineRule="auto"/>
        <w:ind w:firstLine="431"/>
        <w:jc w:val="center"/>
        <w:rPr>
          <w:rFonts w:eastAsia="SimHei"/>
          <w:color w:val="0000FF"/>
          <w:sz w:val="22"/>
          <w:szCs w:val="22"/>
        </w:rPr>
      </w:pPr>
    </w:p>
    <w:p w14:paraId="0B000F50" w14:textId="2522AFF7" w:rsidR="00FE2D5C" w:rsidRPr="00A018D9" w:rsidRDefault="00744F60" w:rsidP="00F11F4B">
      <w:pPr>
        <w:spacing w:line="300" w:lineRule="auto"/>
        <w:ind w:firstLine="431"/>
        <w:rPr>
          <w:rFonts w:eastAsia="SimHei"/>
          <w:color w:val="0000FF"/>
          <w:sz w:val="22"/>
          <w:szCs w:val="22"/>
        </w:rPr>
      </w:pPr>
      <w:r w:rsidRPr="00A018D9">
        <w:rPr>
          <w:rFonts w:eastAsia="SimHei" w:hint="eastAsia"/>
          <w:color w:val="0000FF"/>
          <w:sz w:val="22"/>
          <w:szCs w:val="22"/>
        </w:rPr>
        <w:t>1</w:t>
      </w:r>
      <w:r w:rsidR="006E0BA4" w:rsidRPr="00A018D9">
        <w:rPr>
          <w:rFonts w:eastAsia="SimHei"/>
          <w:color w:val="0000FF"/>
          <w:sz w:val="22"/>
          <w:szCs w:val="22"/>
        </w:rPr>
        <w:t xml:space="preserve">. </w:t>
      </w:r>
      <w:proofErr w:type="gramStart"/>
      <w:r w:rsidR="006C48FD" w:rsidRPr="00A018D9">
        <w:rPr>
          <w:rFonts w:eastAsia="SimHei" w:hint="eastAsia"/>
          <w:color w:val="0000FF"/>
          <w:sz w:val="22"/>
          <w:szCs w:val="22"/>
        </w:rPr>
        <w:t>仅译出</w:t>
      </w:r>
      <w:r w:rsidR="00DC339F" w:rsidRPr="00A018D9">
        <w:rPr>
          <w:rFonts w:eastAsia="SimHei" w:hint="eastAsia"/>
          <w:color w:val="0000FF"/>
          <w:sz w:val="22"/>
          <w:szCs w:val="22"/>
        </w:rPr>
        <w:t>“</w:t>
      </w:r>
      <w:proofErr w:type="gramEnd"/>
      <w:r w:rsidR="00DC339F" w:rsidRPr="00A018D9">
        <w:rPr>
          <w:rFonts w:eastAsia="SimHei" w:hint="eastAsia"/>
          <w:color w:val="0000FF"/>
          <w:sz w:val="22"/>
          <w:szCs w:val="22"/>
        </w:rPr>
        <w:t>全译的脚注”</w:t>
      </w:r>
      <w:r w:rsidR="00555CAE" w:rsidRPr="00A018D9">
        <w:rPr>
          <w:rFonts w:eastAsia="SimHei" w:hint="eastAsia"/>
          <w:color w:val="0000FF"/>
          <w:sz w:val="22"/>
          <w:szCs w:val="22"/>
        </w:rPr>
        <w:t>所指内容</w:t>
      </w:r>
      <w:r w:rsidR="00FE2D5C" w:rsidRPr="00A018D9">
        <w:rPr>
          <w:rFonts w:eastAsia="SimHei" w:hint="eastAsia"/>
          <w:color w:val="0000FF"/>
          <w:sz w:val="22"/>
          <w:szCs w:val="22"/>
        </w:rPr>
        <w:t>。</w:t>
      </w:r>
    </w:p>
    <w:p w14:paraId="2568DD14" w14:textId="3700C846" w:rsidR="00F11F4B" w:rsidRPr="00A018D9" w:rsidRDefault="00744F60" w:rsidP="00F11F4B">
      <w:pPr>
        <w:spacing w:line="300" w:lineRule="auto"/>
        <w:ind w:firstLine="431"/>
        <w:rPr>
          <w:rFonts w:eastAsia="SimHei"/>
          <w:color w:val="0000FF"/>
          <w:sz w:val="22"/>
          <w:szCs w:val="22"/>
        </w:rPr>
      </w:pPr>
      <w:r w:rsidRPr="00A018D9">
        <w:rPr>
          <w:rFonts w:eastAsia="SimHei" w:hint="eastAsia"/>
          <w:color w:val="0000FF"/>
          <w:sz w:val="22"/>
          <w:szCs w:val="22"/>
        </w:rPr>
        <w:t>2</w:t>
      </w:r>
      <w:r w:rsidR="00FE2D5C" w:rsidRPr="00A018D9">
        <w:rPr>
          <w:rFonts w:eastAsia="SimHei"/>
          <w:color w:val="0000FF"/>
          <w:sz w:val="22"/>
          <w:szCs w:val="22"/>
        </w:rPr>
        <w:t xml:space="preserve">. </w:t>
      </w:r>
      <w:r w:rsidR="00FD34BD" w:rsidRPr="00A018D9">
        <w:rPr>
          <w:rFonts w:eastAsia="SimHei" w:hint="eastAsia"/>
          <w:color w:val="0000FF"/>
          <w:sz w:val="22"/>
          <w:szCs w:val="22"/>
        </w:rPr>
        <w:t>脚注中</w:t>
      </w:r>
      <w:r w:rsidR="0093750D" w:rsidRPr="00A018D9">
        <w:rPr>
          <w:rFonts w:eastAsia="SimHei" w:hint="eastAsia"/>
          <w:color w:val="0000FF"/>
          <w:sz w:val="22"/>
          <w:szCs w:val="22"/>
        </w:rPr>
        <w:t>与原文不同的</w:t>
      </w:r>
      <w:r w:rsidR="00FD34BD" w:rsidRPr="00A018D9">
        <w:rPr>
          <w:rFonts w:eastAsia="SimHei" w:hint="eastAsia"/>
          <w:color w:val="0000FF"/>
          <w:sz w:val="22"/>
          <w:szCs w:val="22"/>
        </w:rPr>
        <w:t>其他语言不译</w:t>
      </w:r>
      <w:r w:rsidR="00F11F4B" w:rsidRPr="00A018D9">
        <w:rPr>
          <w:rFonts w:eastAsia="SimHei" w:hint="eastAsia"/>
          <w:color w:val="0000FF"/>
          <w:sz w:val="22"/>
          <w:szCs w:val="22"/>
        </w:rPr>
        <w:t>。</w:t>
      </w:r>
    </w:p>
    <w:p w14:paraId="5840F449" w14:textId="10D601DC" w:rsidR="000E4E1E" w:rsidRPr="00A018D9" w:rsidRDefault="00744F60" w:rsidP="008C6420">
      <w:pPr>
        <w:spacing w:line="300" w:lineRule="auto"/>
        <w:ind w:firstLine="431"/>
        <w:rPr>
          <w:rFonts w:eastAsia="SimHei"/>
          <w:color w:val="0000FF"/>
          <w:sz w:val="22"/>
          <w:szCs w:val="22"/>
        </w:rPr>
      </w:pPr>
      <w:r w:rsidRPr="00A018D9">
        <w:rPr>
          <w:rFonts w:eastAsia="SimHei" w:hint="eastAsia"/>
          <w:color w:val="0000FF"/>
          <w:sz w:val="22"/>
          <w:szCs w:val="22"/>
        </w:rPr>
        <w:t>3</w:t>
      </w:r>
      <w:r w:rsidR="00AE6AF7" w:rsidRPr="00A018D9">
        <w:rPr>
          <w:rFonts w:eastAsia="SimHei"/>
          <w:color w:val="0000FF"/>
          <w:sz w:val="22"/>
          <w:szCs w:val="22"/>
        </w:rPr>
        <w:t xml:space="preserve">. </w:t>
      </w:r>
      <w:r w:rsidR="008C6420" w:rsidRPr="00A018D9">
        <w:rPr>
          <w:rFonts w:eastAsia="SimHei" w:hint="eastAsia"/>
          <w:color w:val="0000FF"/>
          <w:sz w:val="22"/>
          <w:szCs w:val="22"/>
        </w:rPr>
        <w:t>网址保留原样但</w:t>
      </w:r>
      <w:r w:rsidR="008A1883">
        <w:rPr>
          <w:rFonts w:eastAsia="SimHei" w:hint="eastAsia"/>
          <w:color w:val="0000FF"/>
          <w:sz w:val="22"/>
          <w:szCs w:val="22"/>
        </w:rPr>
        <w:t>相关</w:t>
      </w:r>
      <w:r w:rsidR="007C3B8F">
        <w:rPr>
          <w:rFonts w:eastAsia="SimHei" w:hint="eastAsia"/>
          <w:color w:val="0000FF"/>
          <w:sz w:val="22"/>
          <w:szCs w:val="22"/>
        </w:rPr>
        <w:t>的</w:t>
      </w:r>
      <w:r w:rsidR="000102EC" w:rsidRPr="00A018D9">
        <w:rPr>
          <w:rFonts w:eastAsia="SimHei" w:hint="eastAsia"/>
          <w:color w:val="0000FF"/>
          <w:sz w:val="22"/>
          <w:szCs w:val="22"/>
        </w:rPr>
        <w:t>说明</w:t>
      </w:r>
      <w:r w:rsidR="008A1883">
        <w:rPr>
          <w:rFonts w:eastAsia="SimHei" w:hint="eastAsia"/>
          <w:color w:val="0000FF"/>
          <w:sz w:val="22"/>
          <w:szCs w:val="22"/>
        </w:rPr>
        <w:t>内容</w:t>
      </w:r>
      <w:r w:rsidR="008C6420" w:rsidRPr="00A018D9">
        <w:rPr>
          <w:rFonts w:eastAsia="SimHei" w:hint="eastAsia"/>
          <w:color w:val="0000FF"/>
          <w:sz w:val="22"/>
          <w:szCs w:val="22"/>
        </w:rPr>
        <w:t>译</w:t>
      </w:r>
      <w:r w:rsidR="000102EC" w:rsidRPr="00A018D9">
        <w:rPr>
          <w:rFonts w:eastAsia="SimHei" w:hint="eastAsia"/>
          <w:color w:val="0000FF"/>
          <w:sz w:val="22"/>
          <w:szCs w:val="22"/>
        </w:rPr>
        <w:t>出</w:t>
      </w:r>
      <w:r w:rsidR="00F11F4B" w:rsidRPr="00A018D9">
        <w:rPr>
          <w:rFonts w:eastAsia="SimHei" w:hint="eastAsia"/>
          <w:color w:val="0000FF"/>
          <w:sz w:val="22"/>
          <w:szCs w:val="22"/>
        </w:rPr>
        <w:t>。</w:t>
      </w:r>
    </w:p>
    <w:p w14:paraId="2C1F82A8" w14:textId="65E0F727" w:rsidR="00556BAF" w:rsidRPr="00A018D9" w:rsidRDefault="00744F60" w:rsidP="000E4E1E">
      <w:pPr>
        <w:spacing w:line="288" w:lineRule="auto"/>
        <w:ind w:firstLine="431"/>
        <w:rPr>
          <w:rFonts w:eastAsia="SimHei"/>
          <w:color w:val="0000FF"/>
          <w:sz w:val="22"/>
          <w:szCs w:val="22"/>
        </w:rPr>
      </w:pPr>
      <w:r w:rsidRPr="00A018D9">
        <w:rPr>
          <w:rFonts w:eastAsia="SimHei" w:hint="eastAsia"/>
          <w:color w:val="0000FF"/>
          <w:sz w:val="22"/>
          <w:szCs w:val="22"/>
        </w:rPr>
        <w:t>4</w:t>
      </w:r>
      <w:r w:rsidR="00732055" w:rsidRPr="00A018D9">
        <w:rPr>
          <w:rFonts w:eastAsia="SimHei"/>
          <w:color w:val="0000FF"/>
          <w:sz w:val="22"/>
          <w:szCs w:val="22"/>
        </w:rPr>
        <w:t xml:space="preserve">. </w:t>
      </w:r>
      <w:r w:rsidR="00556BAF" w:rsidRPr="00A018D9">
        <w:rPr>
          <w:rFonts w:eastAsia="SimHei" w:hint="eastAsia"/>
          <w:color w:val="0000FF"/>
          <w:sz w:val="22"/>
          <w:szCs w:val="22"/>
        </w:rPr>
        <w:t>“</w:t>
      </w:r>
      <w:proofErr w:type="gramStart"/>
      <w:r w:rsidR="00556BAF" w:rsidRPr="00A018D9">
        <w:rPr>
          <w:rFonts w:eastAsia="SimHei"/>
          <w:color w:val="0000FF"/>
          <w:sz w:val="22"/>
          <w:szCs w:val="22"/>
        </w:rPr>
        <w:t>See</w:t>
      </w:r>
      <w:r w:rsidR="00556BAF" w:rsidRPr="00A018D9">
        <w:rPr>
          <w:rFonts w:eastAsia="SimHei" w:hint="eastAsia"/>
          <w:color w:val="0000FF"/>
          <w:sz w:val="22"/>
          <w:szCs w:val="22"/>
        </w:rPr>
        <w:t>”均译为</w:t>
      </w:r>
      <w:proofErr w:type="gramEnd"/>
      <w:r w:rsidR="00556BAF" w:rsidRPr="00A018D9">
        <w:rPr>
          <w:rFonts w:eastAsia="SimHei" w:hint="eastAsia"/>
          <w:color w:val="0000FF"/>
          <w:sz w:val="22"/>
          <w:szCs w:val="22"/>
        </w:rPr>
        <w:t>“见”</w:t>
      </w:r>
      <w:r w:rsidR="00BF527A" w:rsidRPr="00A018D9">
        <w:rPr>
          <w:rFonts w:eastAsia="SimHei" w:hint="eastAsia"/>
          <w:color w:val="0000FF"/>
          <w:sz w:val="22"/>
          <w:szCs w:val="22"/>
        </w:rPr>
        <w:t>，不论后</w:t>
      </w:r>
      <w:r w:rsidR="00AF69A5">
        <w:rPr>
          <w:rFonts w:eastAsia="SimHei" w:hint="eastAsia"/>
          <w:color w:val="0000FF"/>
          <w:sz w:val="22"/>
          <w:szCs w:val="22"/>
        </w:rPr>
        <w:t>边</w:t>
      </w:r>
      <w:r w:rsidR="00BF527A" w:rsidRPr="00A018D9">
        <w:rPr>
          <w:rFonts w:eastAsia="SimHei" w:hint="eastAsia"/>
          <w:color w:val="0000FF"/>
          <w:sz w:val="22"/>
          <w:szCs w:val="22"/>
        </w:rPr>
        <w:t>内容是否译出</w:t>
      </w:r>
      <w:r w:rsidR="00556BAF" w:rsidRPr="00A018D9">
        <w:rPr>
          <w:rFonts w:eastAsia="SimHei" w:hint="eastAsia"/>
          <w:color w:val="0000FF"/>
          <w:sz w:val="22"/>
          <w:szCs w:val="22"/>
        </w:rPr>
        <w:t>。</w:t>
      </w:r>
    </w:p>
    <w:p w14:paraId="400A52EA" w14:textId="77777777" w:rsidR="00696C70" w:rsidRPr="00A018D9" w:rsidRDefault="00696C70" w:rsidP="003317E5">
      <w:pPr>
        <w:spacing w:line="288" w:lineRule="auto"/>
        <w:rPr>
          <w:rFonts w:eastAsia="SimHei"/>
          <w:color w:val="0000FF"/>
          <w:sz w:val="22"/>
          <w:szCs w:val="22"/>
        </w:rPr>
      </w:pPr>
    </w:p>
    <w:bookmarkEnd w:id="1"/>
    <w:bookmarkEnd w:id="2"/>
    <w:p w14:paraId="0267B134" w14:textId="77777777" w:rsidR="00A018D9" w:rsidRPr="00A018D9" w:rsidRDefault="00A018D9" w:rsidP="00A018D9">
      <w:pPr>
        <w:spacing w:line="288" w:lineRule="auto"/>
        <w:jc w:val="left"/>
        <w:rPr>
          <w:rFonts w:eastAsia="SimHei"/>
          <w:color w:val="0000FF"/>
          <w:sz w:val="22"/>
          <w:szCs w:val="22"/>
          <w:u w:val="single"/>
        </w:rPr>
      </w:pPr>
      <w:r w:rsidRPr="00A018D9">
        <w:rPr>
          <w:rFonts w:eastAsia="SimHei" w:hint="eastAsia"/>
          <w:color w:val="0000FF"/>
          <w:sz w:val="22"/>
          <w:szCs w:val="22"/>
          <w:u w:val="single"/>
        </w:rPr>
        <w:t>其他指南</w:t>
      </w:r>
    </w:p>
    <w:p w14:paraId="5F05D58E" w14:textId="77777777" w:rsidR="00A018D9" w:rsidRPr="00A018D9" w:rsidRDefault="00A018D9" w:rsidP="00A018D9">
      <w:pPr>
        <w:spacing w:line="288" w:lineRule="auto"/>
        <w:ind w:firstLine="431"/>
        <w:jc w:val="center"/>
        <w:rPr>
          <w:rFonts w:eastAsia="SimHei"/>
          <w:color w:val="0000FF"/>
          <w:sz w:val="22"/>
          <w:szCs w:val="22"/>
        </w:rPr>
      </w:pPr>
    </w:p>
    <w:p w14:paraId="7DDE953B" w14:textId="01E667D5" w:rsidR="00A018D9" w:rsidRPr="00A018D9" w:rsidRDefault="00A018D9" w:rsidP="00A018D9">
      <w:pPr>
        <w:spacing w:line="288" w:lineRule="auto"/>
        <w:ind w:firstLine="431"/>
        <w:rPr>
          <w:rFonts w:eastAsia="SimHei"/>
          <w:color w:val="0000FF"/>
          <w:sz w:val="22"/>
          <w:szCs w:val="22"/>
        </w:rPr>
      </w:pPr>
      <w:r w:rsidRPr="00A018D9">
        <w:rPr>
          <w:rFonts w:eastAsia="SimHei" w:hint="eastAsia"/>
          <w:color w:val="0000FF"/>
          <w:sz w:val="22"/>
          <w:szCs w:val="22"/>
        </w:rPr>
        <w:t>1</w:t>
      </w:r>
      <w:r w:rsidRPr="00A018D9">
        <w:rPr>
          <w:rFonts w:eastAsia="SimHei"/>
          <w:color w:val="0000FF"/>
          <w:sz w:val="22"/>
          <w:szCs w:val="22"/>
        </w:rPr>
        <w:t xml:space="preserve">. </w:t>
      </w:r>
      <w:r w:rsidRPr="00A018D9">
        <w:rPr>
          <w:rFonts w:eastAsia="SimHei" w:hint="eastAsia"/>
          <w:color w:val="0000FF"/>
          <w:sz w:val="22"/>
          <w:szCs w:val="22"/>
        </w:rPr>
        <w:t>页码一律照抄原文页码。</w:t>
      </w:r>
    </w:p>
    <w:p w14:paraId="5F0FF7CF" w14:textId="0DF0D073" w:rsidR="00A018D9" w:rsidRPr="00A018D9" w:rsidRDefault="00A018D9" w:rsidP="00A018D9">
      <w:pPr>
        <w:spacing w:line="288" w:lineRule="auto"/>
        <w:ind w:firstLine="431"/>
        <w:rPr>
          <w:rFonts w:eastAsia="SimHei"/>
          <w:color w:val="0000FF"/>
          <w:sz w:val="22"/>
          <w:szCs w:val="22"/>
        </w:rPr>
      </w:pPr>
      <w:r w:rsidRPr="00A018D9">
        <w:rPr>
          <w:rFonts w:eastAsia="SimHei" w:hint="eastAsia"/>
          <w:color w:val="0000FF"/>
          <w:sz w:val="22"/>
          <w:szCs w:val="22"/>
        </w:rPr>
        <w:t>2</w:t>
      </w:r>
      <w:r w:rsidRPr="00A018D9">
        <w:rPr>
          <w:rFonts w:eastAsia="SimHei"/>
          <w:color w:val="0000FF"/>
          <w:sz w:val="22"/>
          <w:szCs w:val="22"/>
        </w:rPr>
        <w:t xml:space="preserve">. </w:t>
      </w:r>
      <w:r w:rsidRPr="00A018D9">
        <w:rPr>
          <w:rFonts w:eastAsia="SimHei" w:hint="eastAsia"/>
          <w:color w:val="0000FF"/>
          <w:sz w:val="22"/>
          <w:szCs w:val="22"/>
        </w:rPr>
        <w:t>重要出版物出售品编号有中文版</w:t>
      </w:r>
      <w:r w:rsidR="00B91155">
        <w:rPr>
          <w:rFonts w:eastAsia="SimHei" w:hint="eastAsia"/>
          <w:color w:val="0000FF"/>
          <w:sz w:val="22"/>
          <w:szCs w:val="22"/>
        </w:rPr>
        <w:t>编号</w:t>
      </w:r>
      <w:r w:rsidRPr="00A018D9">
        <w:rPr>
          <w:rFonts w:eastAsia="SimHei" w:hint="eastAsia"/>
          <w:color w:val="0000FF"/>
          <w:sz w:val="22"/>
          <w:szCs w:val="22"/>
        </w:rPr>
        <w:t>的用中文版。</w:t>
      </w:r>
    </w:p>
    <w:p w14:paraId="02A2B850" w14:textId="77777777" w:rsidR="00A018D9" w:rsidRPr="00A018D9" w:rsidRDefault="00A018D9" w:rsidP="00A018D9">
      <w:pPr>
        <w:spacing w:line="288" w:lineRule="auto"/>
        <w:ind w:firstLine="431"/>
        <w:rPr>
          <w:rFonts w:eastAsia="SimHei"/>
          <w:color w:val="0000FF"/>
          <w:sz w:val="22"/>
          <w:szCs w:val="22"/>
        </w:rPr>
      </w:pPr>
      <w:r w:rsidRPr="00A018D9">
        <w:rPr>
          <w:rFonts w:eastAsia="SimHei" w:hint="eastAsia"/>
          <w:color w:val="0000FF"/>
          <w:sz w:val="22"/>
          <w:szCs w:val="22"/>
        </w:rPr>
        <w:t>3</w:t>
      </w:r>
      <w:r w:rsidRPr="00A018D9">
        <w:rPr>
          <w:rFonts w:eastAsia="SimHei"/>
          <w:color w:val="0000FF"/>
          <w:sz w:val="22"/>
          <w:szCs w:val="22"/>
        </w:rPr>
        <w:t xml:space="preserve">. </w:t>
      </w:r>
      <w:r w:rsidRPr="00A018D9">
        <w:rPr>
          <w:rFonts w:eastAsia="SimHei" w:hint="eastAsia"/>
          <w:color w:val="0000FF"/>
          <w:sz w:val="22"/>
          <w:szCs w:val="22"/>
        </w:rPr>
        <w:t>含中文字的句子用中文句号。不译的句子保留原文句号。</w:t>
      </w:r>
    </w:p>
    <w:p w14:paraId="37858F0F" w14:textId="77777777" w:rsidR="00A018D9" w:rsidRPr="00A018D9" w:rsidRDefault="00A018D9" w:rsidP="00A018D9">
      <w:pPr>
        <w:spacing w:line="288" w:lineRule="auto"/>
        <w:ind w:firstLine="431"/>
        <w:rPr>
          <w:rFonts w:eastAsia="SimHei"/>
          <w:color w:val="0000FF"/>
          <w:sz w:val="22"/>
          <w:szCs w:val="22"/>
        </w:rPr>
      </w:pPr>
      <w:r w:rsidRPr="00A018D9">
        <w:rPr>
          <w:rFonts w:eastAsia="SimHei" w:hint="eastAsia"/>
          <w:color w:val="0000FF"/>
          <w:sz w:val="22"/>
          <w:szCs w:val="22"/>
        </w:rPr>
        <w:t>4</w:t>
      </w:r>
      <w:r w:rsidRPr="00A018D9">
        <w:rPr>
          <w:rFonts w:eastAsia="SimHei"/>
          <w:color w:val="0000FF"/>
          <w:sz w:val="22"/>
          <w:szCs w:val="22"/>
        </w:rPr>
        <w:t xml:space="preserve">. </w:t>
      </w:r>
      <w:r w:rsidRPr="00A018D9">
        <w:rPr>
          <w:rFonts w:eastAsia="SimHei" w:hint="eastAsia"/>
          <w:color w:val="0000FF"/>
          <w:sz w:val="22"/>
          <w:szCs w:val="22"/>
        </w:rPr>
        <w:t>脚注编号和数量不变。一句话含多个脚注时，尽可能保留原顺序。</w:t>
      </w:r>
    </w:p>
    <w:p w14:paraId="19CDFC8F" w14:textId="342BC7E7" w:rsidR="00A018D9" w:rsidRPr="00A018D9" w:rsidRDefault="00A018D9" w:rsidP="00A018D9">
      <w:pPr>
        <w:spacing w:line="288" w:lineRule="auto"/>
        <w:rPr>
          <w:rFonts w:eastAsia="SimHei"/>
          <w:color w:val="0000FF"/>
          <w:sz w:val="22"/>
          <w:szCs w:val="22"/>
        </w:rPr>
      </w:pPr>
      <w:r w:rsidRPr="00A018D9">
        <w:rPr>
          <w:rFonts w:eastAsia="SimHei"/>
          <w:color w:val="0000FF"/>
          <w:sz w:val="22"/>
          <w:szCs w:val="22"/>
        </w:rPr>
        <w:tab/>
      </w:r>
      <w:r w:rsidRPr="00A018D9">
        <w:rPr>
          <w:rFonts w:eastAsia="SimHei" w:hint="eastAsia"/>
          <w:color w:val="0000FF"/>
          <w:sz w:val="22"/>
          <w:szCs w:val="22"/>
        </w:rPr>
        <w:t>5</w:t>
      </w:r>
      <w:r w:rsidRPr="00A018D9">
        <w:rPr>
          <w:rFonts w:eastAsia="SimHei"/>
          <w:color w:val="0000FF"/>
          <w:sz w:val="22"/>
          <w:szCs w:val="22"/>
        </w:rPr>
        <w:t xml:space="preserve">. </w:t>
      </w:r>
      <w:r w:rsidRPr="00A018D9">
        <w:rPr>
          <w:rFonts w:eastAsia="SimHei" w:hint="eastAsia"/>
          <w:color w:val="0000FF"/>
          <w:sz w:val="22"/>
          <w:szCs w:val="22"/>
        </w:rPr>
        <w:t>尾注、表注及图注参照上述指南处理，除非另有要求。</w:t>
      </w:r>
    </w:p>
    <w:p w14:paraId="060D45CC" w14:textId="77777777" w:rsidR="00700094" w:rsidRPr="00A018D9" w:rsidRDefault="00700094">
      <w:pPr>
        <w:spacing w:line="288" w:lineRule="auto"/>
        <w:rPr>
          <w:rFonts w:eastAsia="SimHei"/>
          <w:sz w:val="22"/>
          <w:szCs w:val="22"/>
        </w:rPr>
      </w:pPr>
    </w:p>
    <w:p w14:paraId="028DED9B" w14:textId="028C1BDC" w:rsidR="0001036C" w:rsidRPr="00A018D9" w:rsidRDefault="0001036C">
      <w:pPr>
        <w:tabs>
          <w:tab w:val="clear" w:pos="431"/>
        </w:tabs>
        <w:overflowPunct/>
        <w:adjustRightInd/>
        <w:snapToGrid/>
        <w:spacing w:line="240" w:lineRule="auto"/>
        <w:jc w:val="left"/>
        <w:rPr>
          <w:rFonts w:eastAsia="SimHei"/>
          <w:sz w:val="22"/>
          <w:szCs w:val="22"/>
        </w:rPr>
      </w:pPr>
      <w:r w:rsidRPr="00A018D9">
        <w:rPr>
          <w:rFonts w:eastAsia="SimHei"/>
          <w:sz w:val="22"/>
          <w:szCs w:val="22"/>
        </w:rPr>
        <w:br w:type="page"/>
      </w:r>
    </w:p>
    <w:p w14:paraId="38F96BC9" w14:textId="4C597EED" w:rsidR="00DB4B2E" w:rsidRPr="00C057DD" w:rsidRDefault="00294D58" w:rsidP="00294D58">
      <w:pPr>
        <w:spacing w:line="288" w:lineRule="auto"/>
        <w:jc w:val="center"/>
        <w:rPr>
          <w:b/>
          <w:bCs/>
          <w:sz w:val="24"/>
          <w:szCs w:val="24"/>
        </w:rPr>
      </w:pPr>
      <w:r w:rsidRPr="00C057DD">
        <w:rPr>
          <w:rFonts w:hint="eastAsia"/>
          <w:b/>
          <w:bCs/>
          <w:sz w:val="24"/>
          <w:szCs w:val="24"/>
        </w:rPr>
        <w:lastRenderedPageBreak/>
        <w:t>二、</w:t>
      </w:r>
      <w:r w:rsidR="00365B65" w:rsidRPr="00C057DD">
        <w:rPr>
          <w:rFonts w:hint="eastAsia"/>
          <w:b/>
          <w:bCs/>
          <w:sz w:val="24"/>
          <w:szCs w:val="24"/>
        </w:rPr>
        <w:t>详细指南和</w:t>
      </w:r>
      <w:r w:rsidR="00DB4B2E" w:rsidRPr="00C057DD">
        <w:rPr>
          <w:rFonts w:hint="eastAsia"/>
          <w:b/>
          <w:bCs/>
          <w:sz w:val="24"/>
          <w:szCs w:val="24"/>
        </w:rPr>
        <w:t>示例</w:t>
      </w:r>
    </w:p>
    <w:p w14:paraId="61B544E2" w14:textId="02207C0E" w:rsidR="00714A8E" w:rsidRPr="00A018D9" w:rsidRDefault="00714A8E">
      <w:pPr>
        <w:spacing w:line="288" w:lineRule="auto"/>
        <w:rPr>
          <w:rFonts w:eastAsia="SimHei"/>
          <w:sz w:val="22"/>
          <w:szCs w:val="22"/>
        </w:rPr>
      </w:pPr>
    </w:p>
    <w:p w14:paraId="77240878" w14:textId="2BC15676" w:rsidR="00170168" w:rsidRPr="00A018D9" w:rsidRDefault="00170168" w:rsidP="0001036C">
      <w:pPr>
        <w:spacing w:line="288" w:lineRule="auto"/>
        <w:jc w:val="left"/>
        <w:rPr>
          <w:rFonts w:eastAsia="SimHei"/>
          <w:color w:val="0000FF"/>
          <w:sz w:val="22"/>
          <w:szCs w:val="22"/>
          <w:u w:val="single"/>
        </w:rPr>
      </w:pPr>
      <w:r w:rsidRPr="00A018D9">
        <w:rPr>
          <w:rFonts w:eastAsia="SimHei" w:hint="eastAsia"/>
          <w:color w:val="0000FF"/>
          <w:sz w:val="22"/>
          <w:szCs w:val="22"/>
          <w:u w:val="single"/>
        </w:rPr>
        <w:t>全译的脚注</w:t>
      </w:r>
    </w:p>
    <w:p w14:paraId="391065F8" w14:textId="77777777" w:rsidR="00170168" w:rsidRPr="00A018D9" w:rsidRDefault="00170168" w:rsidP="00170168">
      <w:pPr>
        <w:spacing w:line="288" w:lineRule="auto"/>
        <w:jc w:val="center"/>
        <w:rPr>
          <w:sz w:val="22"/>
          <w:szCs w:val="22"/>
          <w:u w:val="single"/>
        </w:rPr>
      </w:pPr>
    </w:p>
    <w:p w14:paraId="69A88222" w14:textId="1A7AC935" w:rsidR="00170168" w:rsidRPr="00A018D9" w:rsidRDefault="00170168" w:rsidP="00170168">
      <w:pPr>
        <w:spacing w:line="288" w:lineRule="auto"/>
        <w:ind w:firstLine="431"/>
        <w:rPr>
          <w:rFonts w:eastAsia="SimHei"/>
          <w:color w:val="0000FF"/>
          <w:sz w:val="22"/>
          <w:szCs w:val="22"/>
        </w:rPr>
      </w:pPr>
      <w:r w:rsidRPr="00A018D9">
        <w:rPr>
          <w:rFonts w:eastAsia="SimHei"/>
          <w:color w:val="0000FF"/>
          <w:sz w:val="22"/>
          <w:szCs w:val="22"/>
        </w:rPr>
        <w:t xml:space="preserve">1. </w:t>
      </w:r>
      <w:r w:rsidRPr="00A018D9">
        <w:rPr>
          <w:rFonts w:eastAsia="SimHei" w:hint="eastAsia"/>
          <w:color w:val="0000FF"/>
          <w:sz w:val="22"/>
          <w:szCs w:val="22"/>
        </w:rPr>
        <w:t>实质性内容</w:t>
      </w:r>
      <w:r w:rsidR="004C5168" w:rsidRPr="00A018D9">
        <w:rPr>
          <w:rFonts w:eastAsia="SimHei" w:hint="eastAsia"/>
          <w:color w:val="0000FF"/>
          <w:sz w:val="22"/>
          <w:szCs w:val="22"/>
        </w:rPr>
        <w:t>全译</w:t>
      </w:r>
      <w:r w:rsidRPr="00A018D9">
        <w:rPr>
          <w:rFonts w:eastAsia="SimHei" w:hint="eastAsia"/>
          <w:color w:val="0000FF"/>
          <w:sz w:val="22"/>
          <w:szCs w:val="22"/>
        </w:rPr>
        <w:t>，无论长短。</w:t>
      </w:r>
    </w:p>
    <w:p w14:paraId="13D9E448" w14:textId="77777777" w:rsidR="00E244B7" w:rsidRPr="00A018D9" w:rsidRDefault="00E244B7" w:rsidP="003317E5">
      <w:pPr>
        <w:spacing w:line="288" w:lineRule="auto"/>
        <w:rPr>
          <w:rFonts w:eastAsia="SimHei"/>
          <w:sz w:val="22"/>
          <w:szCs w:val="22"/>
        </w:rPr>
      </w:pPr>
    </w:p>
    <w:p w14:paraId="382C2483" w14:textId="77777777" w:rsidR="006268A6" w:rsidRPr="00A018D9" w:rsidRDefault="006268A6" w:rsidP="003317E5">
      <w:pPr>
        <w:spacing w:after="240" w:line="288" w:lineRule="auto"/>
        <w:rPr>
          <w:sz w:val="22"/>
          <w:szCs w:val="22"/>
        </w:rPr>
      </w:pPr>
      <w:r w:rsidRPr="00A018D9">
        <w:rPr>
          <w:sz w:val="22"/>
          <w:szCs w:val="22"/>
        </w:rPr>
        <w:tab/>
      </w:r>
      <w:r w:rsidRPr="00A018D9">
        <w:rPr>
          <w:rFonts w:hint="eastAsia"/>
          <w:sz w:val="22"/>
          <w:szCs w:val="22"/>
        </w:rPr>
        <w:t>例如：</w:t>
      </w:r>
    </w:p>
    <w:p w14:paraId="586159F3" w14:textId="4CFE178D" w:rsidR="00175697" w:rsidRPr="00A018D9" w:rsidRDefault="005E3A81" w:rsidP="003317E5">
      <w:pPr>
        <w:spacing w:line="288" w:lineRule="auto"/>
        <w:rPr>
          <w:sz w:val="22"/>
          <w:szCs w:val="22"/>
        </w:rPr>
      </w:pPr>
      <w:r w:rsidRPr="00A018D9">
        <w:rPr>
          <w:sz w:val="22"/>
          <w:szCs w:val="22"/>
        </w:rPr>
        <w:t>1</w:t>
      </w:r>
      <w:r w:rsidR="00E244B7" w:rsidRPr="00A018D9">
        <w:rPr>
          <w:sz w:val="22"/>
          <w:szCs w:val="22"/>
        </w:rPr>
        <w:t>.</w:t>
      </w:r>
      <w:r w:rsidR="002B6C8E" w:rsidRPr="00A018D9">
        <w:rPr>
          <w:sz w:val="22"/>
          <w:szCs w:val="22"/>
        </w:rPr>
        <w:t xml:space="preserve"> </w:t>
      </w:r>
      <w:r w:rsidR="002B418E" w:rsidRPr="00A018D9">
        <w:rPr>
          <w:sz w:val="22"/>
          <w:szCs w:val="22"/>
        </w:rPr>
        <w:t xml:space="preserve"> </w:t>
      </w:r>
      <w:r w:rsidR="0070603B" w:rsidRPr="00A018D9">
        <w:rPr>
          <w:sz w:val="22"/>
          <w:szCs w:val="22"/>
        </w:rPr>
        <w:t>The present document was not edited before being sent to the United Nations translation services.</w:t>
      </w:r>
    </w:p>
    <w:p w14:paraId="29C49AEB" w14:textId="4ADA4CFF" w:rsidR="00175697" w:rsidRPr="00A018D9" w:rsidRDefault="007E2963" w:rsidP="003317E5">
      <w:pPr>
        <w:spacing w:line="288" w:lineRule="auto"/>
        <w:rPr>
          <w:sz w:val="22"/>
          <w:szCs w:val="22"/>
        </w:rPr>
      </w:pPr>
      <w:r w:rsidRPr="00A018D9">
        <w:rPr>
          <w:sz w:val="22"/>
          <w:szCs w:val="22"/>
        </w:rPr>
        <w:t>1</w:t>
      </w:r>
      <w:r w:rsidR="00E244B7" w:rsidRPr="00A018D9">
        <w:rPr>
          <w:sz w:val="22"/>
          <w:szCs w:val="22"/>
        </w:rPr>
        <w:t>.</w:t>
      </w:r>
      <w:r w:rsidR="00250C3C" w:rsidRPr="00A018D9">
        <w:rPr>
          <w:sz w:val="22"/>
          <w:szCs w:val="22"/>
        </w:rPr>
        <w:t xml:space="preserve"> </w:t>
      </w:r>
      <w:r w:rsidR="00D3496F" w:rsidRPr="00A018D9">
        <w:rPr>
          <w:sz w:val="22"/>
          <w:szCs w:val="22"/>
        </w:rPr>
        <w:t xml:space="preserve"> </w:t>
      </w:r>
      <w:r w:rsidR="0070603B" w:rsidRPr="00A018D9">
        <w:rPr>
          <w:rFonts w:hint="eastAsia"/>
          <w:sz w:val="22"/>
          <w:szCs w:val="22"/>
        </w:rPr>
        <w:t>本文件在送交联合国翻译部门前未经编辑</w:t>
      </w:r>
      <w:r w:rsidR="00175697" w:rsidRPr="00A018D9">
        <w:rPr>
          <w:rFonts w:hint="eastAsia"/>
          <w:sz w:val="22"/>
          <w:szCs w:val="22"/>
        </w:rPr>
        <w:t>。</w:t>
      </w:r>
    </w:p>
    <w:p w14:paraId="53C0B524" w14:textId="77777777" w:rsidR="00C566CE" w:rsidRPr="00A018D9" w:rsidRDefault="00C566CE" w:rsidP="003317E5">
      <w:pPr>
        <w:spacing w:line="288" w:lineRule="auto"/>
        <w:rPr>
          <w:sz w:val="22"/>
          <w:szCs w:val="22"/>
        </w:rPr>
      </w:pPr>
    </w:p>
    <w:p w14:paraId="1F620FED" w14:textId="33C8A522" w:rsidR="006F08CD" w:rsidRPr="00A018D9" w:rsidRDefault="00250C3C" w:rsidP="003317E5">
      <w:pPr>
        <w:spacing w:line="288" w:lineRule="auto"/>
        <w:rPr>
          <w:sz w:val="22"/>
          <w:szCs w:val="22"/>
        </w:rPr>
      </w:pPr>
      <w:r w:rsidRPr="00A018D9">
        <w:rPr>
          <w:sz w:val="22"/>
          <w:szCs w:val="22"/>
        </w:rPr>
        <w:t>2</w:t>
      </w:r>
      <w:r w:rsidR="00E244B7" w:rsidRPr="00A018D9">
        <w:rPr>
          <w:sz w:val="22"/>
          <w:szCs w:val="22"/>
        </w:rPr>
        <w:t>.</w:t>
      </w:r>
      <w:r w:rsidRPr="00A018D9">
        <w:rPr>
          <w:sz w:val="22"/>
          <w:szCs w:val="22"/>
        </w:rPr>
        <w:t xml:space="preserve">  </w:t>
      </w:r>
      <w:r w:rsidR="006F08CD" w:rsidRPr="00A018D9">
        <w:rPr>
          <w:sz w:val="22"/>
          <w:szCs w:val="22"/>
        </w:rPr>
        <w:t>Adopted by the Committee at its 124th session (8 October–2 November 2018).</w:t>
      </w:r>
    </w:p>
    <w:p w14:paraId="5B136297" w14:textId="3373E2AB" w:rsidR="00250C3C" w:rsidRPr="00A018D9" w:rsidRDefault="00250C3C" w:rsidP="003317E5">
      <w:pPr>
        <w:spacing w:line="288" w:lineRule="auto"/>
        <w:rPr>
          <w:sz w:val="22"/>
          <w:szCs w:val="22"/>
        </w:rPr>
      </w:pPr>
      <w:r w:rsidRPr="00A018D9">
        <w:rPr>
          <w:sz w:val="22"/>
          <w:szCs w:val="22"/>
        </w:rPr>
        <w:t>2</w:t>
      </w:r>
      <w:r w:rsidR="00E244B7" w:rsidRPr="00A018D9">
        <w:rPr>
          <w:sz w:val="22"/>
          <w:szCs w:val="22"/>
        </w:rPr>
        <w:t>.</w:t>
      </w:r>
      <w:r w:rsidRPr="00A018D9">
        <w:rPr>
          <w:sz w:val="22"/>
          <w:szCs w:val="22"/>
        </w:rPr>
        <w:t xml:space="preserve">  </w:t>
      </w:r>
      <w:r w:rsidR="00FD6ED5" w:rsidRPr="00A018D9">
        <w:rPr>
          <w:rFonts w:hint="eastAsia"/>
          <w:sz w:val="22"/>
          <w:szCs w:val="22"/>
        </w:rPr>
        <w:t>委员会第一二四届会议</w:t>
      </w:r>
      <w:r w:rsidR="00FD6ED5" w:rsidRPr="00A018D9">
        <w:rPr>
          <w:sz w:val="22"/>
          <w:szCs w:val="22"/>
        </w:rPr>
        <w:t>(2018</w:t>
      </w:r>
      <w:r w:rsidR="00FD6ED5" w:rsidRPr="00A018D9">
        <w:rPr>
          <w:rFonts w:hint="eastAsia"/>
          <w:sz w:val="22"/>
          <w:szCs w:val="22"/>
        </w:rPr>
        <w:t>年</w:t>
      </w:r>
      <w:r w:rsidR="00FD6ED5" w:rsidRPr="00A018D9">
        <w:rPr>
          <w:sz w:val="22"/>
          <w:szCs w:val="22"/>
        </w:rPr>
        <w:t>10</w:t>
      </w:r>
      <w:r w:rsidR="00FD6ED5" w:rsidRPr="00A018D9">
        <w:rPr>
          <w:rFonts w:hint="eastAsia"/>
          <w:sz w:val="22"/>
          <w:szCs w:val="22"/>
        </w:rPr>
        <w:t>月</w:t>
      </w:r>
      <w:r w:rsidR="00FD6ED5" w:rsidRPr="00A018D9">
        <w:rPr>
          <w:sz w:val="22"/>
          <w:szCs w:val="22"/>
        </w:rPr>
        <w:t>8</w:t>
      </w:r>
      <w:r w:rsidR="00FD6ED5" w:rsidRPr="00A018D9">
        <w:rPr>
          <w:rFonts w:hint="eastAsia"/>
          <w:sz w:val="22"/>
          <w:szCs w:val="22"/>
        </w:rPr>
        <w:t>日至</w:t>
      </w:r>
      <w:r w:rsidR="00FD6ED5" w:rsidRPr="00A018D9">
        <w:rPr>
          <w:sz w:val="22"/>
          <w:szCs w:val="22"/>
        </w:rPr>
        <w:t>11</w:t>
      </w:r>
      <w:r w:rsidR="00FD6ED5" w:rsidRPr="00A018D9">
        <w:rPr>
          <w:rFonts w:hint="eastAsia"/>
          <w:sz w:val="22"/>
          <w:szCs w:val="22"/>
        </w:rPr>
        <w:t>月</w:t>
      </w:r>
      <w:r w:rsidR="00FD6ED5" w:rsidRPr="00A018D9">
        <w:rPr>
          <w:sz w:val="22"/>
          <w:szCs w:val="22"/>
        </w:rPr>
        <w:t>2</w:t>
      </w:r>
      <w:proofErr w:type="gramStart"/>
      <w:r w:rsidR="00FD6ED5" w:rsidRPr="00A018D9">
        <w:rPr>
          <w:rFonts w:hint="eastAsia"/>
          <w:sz w:val="22"/>
          <w:szCs w:val="22"/>
        </w:rPr>
        <w:t>日</w:t>
      </w:r>
      <w:r w:rsidR="00FD6ED5" w:rsidRPr="00A018D9">
        <w:rPr>
          <w:sz w:val="22"/>
          <w:szCs w:val="22"/>
        </w:rPr>
        <w:t>)</w:t>
      </w:r>
      <w:r w:rsidR="00FD6ED5" w:rsidRPr="00A018D9">
        <w:rPr>
          <w:rFonts w:hint="eastAsia"/>
          <w:sz w:val="22"/>
          <w:szCs w:val="22"/>
        </w:rPr>
        <w:t>通过</w:t>
      </w:r>
      <w:proofErr w:type="gramEnd"/>
      <w:r w:rsidR="00FD6ED5" w:rsidRPr="00A018D9">
        <w:rPr>
          <w:rFonts w:hint="eastAsia"/>
          <w:sz w:val="22"/>
          <w:szCs w:val="22"/>
        </w:rPr>
        <w:t>。</w:t>
      </w:r>
    </w:p>
    <w:p w14:paraId="593ED8E3" w14:textId="11BA2ACD" w:rsidR="00250C3C" w:rsidRPr="00A018D9" w:rsidRDefault="00250C3C" w:rsidP="003317E5">
      <w:pPr>
        <w:spacing w:line="288" w:lineRule="auto"/>
        <w:rPr>
          <w:sz w:val="22"/>
          <w:szCs w:val="22"/>
        </w:rPr>
      </w:pPr>
    </w:p>
    <w:p w14:paraId="2E08BC30" w14:textId="7FCB8160" w:rsidR="00250C3C" w:rsidRPr="00A018D9" w:rsidRDefault="00250C3C" w:rsidP="003317E5">
      <w:pPr>
        <w:spacing w:line="288" w:lineRule="auto"/>
        <w:rPr>
          <w:sz w:val="22"/>
          <w:szCs w:val="22"/>
        </w:rPr>
      </w:pPr>
      <w:r w:rsidRPr="00A018D9">
        <w:rPr>
          <w:sz w:val="22"/>
          <w:szCs w:val="22"/>
        </w:rPr>
        <w:t>3</w:t>
      </w:r>
      <w:r w:rsidR="00E244B7" w:rsidRPr="00A018D9">
        <w:rPr>
          <w:sz w:val="22"/>
          <w:szCs w:val="22"/>
        </w:rPr>
        <w:t>.</w:t>
      </w:r>
      <w:r w:rsidRPr="00A018D9">
        <w:rPr>
          <w:sz w:val="22"/>
          <w:szCs w:val="22"/>
        </w:rPr>
        <w:t xml:space="preserve"> </w:t>
      </w:r>
      <w:r w:rsidR="00DA18BA" w:rsidRPr="00A018D9">
        <w:rPr>
          <w:sz w:val="22"/>
          <w:szCs w:val="22"/>
        </w:rPr>
        <w:t xml:space="preserve"> </w:t>
      </w:r>
      <w:r w:rsidR="00B16255" w:rsidRPr="00A018D9">
        <w:rPr>
          <w:sz w:val="22"/>
          <w:szCs w:val="22"/>
        </w:rPr>
        <w:t>The following members of the Committee participated in the examination of the communication: Ahmad Al-</w:t>
      </w:r>
      <w:proofErr w:type="spellStart"/>
      <w:r w:rsidR="00B16255" w:rsidRPr="00A018D9">
        <w:rPr>
          <w:sz w:val="22"/>
          <w:szCs w:val="22"/>
        </w:rPr>
        <w:t>Saif</w:t>
      </w:r>
      <w:proofErr w:type="spellEnd"/>
      <w:r w:rsidR="00B16255" w:rsidRPr="00A018D9">
        <w:rPr>
          <w:sz w:val="22"/>
          <w:szCs w:val="22"/>
        </w:rPr>
        <w:t xml:space="preserve">, </w:t>
      </w:r>
      <w:proofErr w:type="spellStart"/>
      <w:r w:rsidR="00B16255" w:rsidRPr="00A018D9">
        <w:rPr>
          <w:sz w:val="22"/>
          <w:szCs w:val="22"/>
        </w:rPr>
        <w:t>Monthian</w:t>
      </w:r>
      <w:proofErr w:type="spellEnd"/>
      <w:r w:rsidR="00B16255" w:rsidRPr="00A018D9">
        <w:rPr>
          <w:sz w:val="22"/>
          <w:szCs w:val="22"/>
        </w:rPr>
        <w:t xml:space="preserve"> </w:t>
      </w:r>
      <w:proofErr w:type="spellStart"/>
      <w:r w:rsidR="00B16255" w:rsidRPr="00A018D9">
        <w:rPr>
          <w:sz w:val="22"/>
          <w:szCs w:val="22"/>
        </w:rPr>
        <w:t>Buntan</w:t>
      </w:r>
      <w:proofErr w:type="spellEnd"/>
      <w:r w:rsidR="00B16255" w:rsidRPr="00A018D9">
        <w:rPr>
          <w:sz w:val="22"/>
          <w:szCs w:val="22"/>
        </w:rPr>
        <w:t xml:space="preserve">, </w:t>
      </w:r>
      <w:hyperlink r:id="rId8" w:history="1">
        <w:proofErr w:type="spellStart"/>
        <w:r w:rsidR="00B16255" w:rsidRPr="00A018D9">
          <w:rPr>
            <w:sz w:val="22"/>
            <w:szCs w:val="22"/>
          </w:rPr>
          <w:t>Imed</w:t>
        </w:r>
        <w:proofErr w:type="spellEnd"/>
      </w:hyperlink>
      <w:r w:rsidR="00B16255" w:rsidRPr="00A018D9">
        <w:rPr>
          <w:sz w:val="22"/>
          <w:szCs w:val="22"/>
        </w:rPr>
        <w:t xml:space="preserve"> </w:t>
      </w:r>
      <w:proofErr w:type="spellStart"/>
      <w:r w:rsidR="00B16255" w:rsidRPr="00A018D9">
        <w:rPr>
          <w:sz w:val="22"/>
          <w:szCs w:val="22"/>
        </w:rPr>
        <w:t>Eddine</w:t>
      </w:r>
      <w:proofErr w:type="spellEnd"/>
      <w:r w:rsidR="00B16255" w:rsidRPr="00A018D9">
        <w:rPr>
          <w:sz w:val="22"/>
          <w:szCs w:val="22"/>
        </w:rPr>
        <w:t xml:space="preserve"> </w:t>
      </w:r>
      <w:proofErr w:type="spellStart"/>
      <w:r w:rsidR="00B16255" w:rsidRPr="00A018D9">
        <w:rPr>
          <w:sz w:val="22"/>
          <w:szCs w:val="22"/>
        </w:rPr>
        <w:t>Chaker</w:t>
      </w:r>
      <w:proofErr w:type="spellEnd"/>
      <w:r w:rsidR="00B16255" w:rsidRPr="00A018D9">
        <w:rPr>
          <w:sz w:val="22"/>
          <w:szCs w:val="22"/>
        </w:rPr>
        <w:t xml:space="preserve">, Theresia </w:t>
      </w:r>
      <w:proofErr w:type="spellStart"/>
      <w:r w:rsidR="00B16255" w:rsidRPr="00A018D9">
        <w:rPr>
          <w:sz w:val="22"/>
          <w:szCs w:val="22"/>
        </w:rPr>
        <w:t>Degener</w:t>
      </w:r>
      <w:proofErr w:type="spellEnd"/>
      <w:r w:rsidR="00B16255" w:rsidRPr="00A018D9">
        <w:rPr>
          <w:sz w:val="22"/>
          <w:szCs w:val="22"/>
        </w:rPr>
        <w:t xml:space="preserve">, Jun Ishikawa, Samuel Njuguna </w:t>
      </w:r>
      <w:proofErr w:type="spellStart"/>
      <w:r w:rsidR="00B16255" w:rsidRPr="00A018D9">
        <w:rPr>
          <w:sz w:val="22"/>
          <w:szCs w:val="22"/>
        </w:rPr>
        <w:t>Kabue</w:t>
      </w:r>
      <w:proofErr w:type="spellEnd"/>
      <w:r w:rsidR="00B16255" w:rsidRPr="00A018D9">
        <w:rPr>
          <w:sz w:val="22"/>
          <w:szCs w:val="22"/>
        </w:rPr>
        <w:t xml:space="preserve">, Kim Hyung </w:t>
      </w:r>
      <w:proofErr w:type="spellStart"/>
      <w:r w:rsidR="00B16255" w:rsidRPr="00A018D9">
        <w:rPr>
          <w:sz w:val="22"/>
          <w:szCs w:val="22"/>
        </w:rPr>
        <w:t>Shik</w:t>
      </w:r>
      <w:proofErr w:type="spellEnd"/>
      <w:r w:rsidR="00B16255" w:rsidRPr="00A018D9">
        <w:rPr>
          <w:sz w:val="22"/>
          <w:szCs w:val="22"/>
        </w:rPr>
        <w:t xml:space="preserve">, Robert George Martin, Martin </w:t>
      </w:r>
      <w:proofErr w:type="spellStart"/>
      <w:r w:rsidR="00B16255" w:rsidRPr="00A018D9">
        <w:rPr>
          <w:sz w:val="22"/>
          <w:szCs w:val="22"/>
        </w:rPr>
        <w:t>Babu</w:t>
      </w:r>
      <w:proofErr w:type="spellEnd"/>
      <w:r w:rsidR="00B16255" w:rsidRPr="00A018D9">
        <w:rPr>
          <w:sz w:val="22"/>
          <w:szCs w:val="22"/>
        </w:rPr>
        <w:t xml:space="preserve"> </w:t>
      </w:r>
      <w:proofErr w:type="spellStart"/>
      <w:r w:rsidR="00B16255" w:rsidRPr="00A018D9">
        <w:rPr>
          <w:sz w:val="22"/>
          <w:szCs w:val="22"/>
        </w:rPr>
        <w:t>Mwesigwa</w:t>
      </w:r>
      <w:proofErr w:type="spellEnd"/>
      <w:r w:rsidR="00B16255" w:rsidRPr="00A018D9">
        <w:rPr>
          <w:sz w:val="22"/>
          <w:szCs w:val="22"/>
        </w:rPr>
        <w:t xml:space="preserve">, </w:t>
      </w:r>
      <w:proofErr w:type="spellStart"/>
      <w:r w:rsidR="00B16255" w:rsidRPr="00A018D9">
        <w:rPr>
          <w:sz w:val="22"/>
          <w:szCs w:val="22"/>
        </w:rPr>
        <w:t>Coomaravel</w:t>
      </w:r>
      <w:proofErr w:type="spellEnd"/>
      <w:r w:rsidR="00B16255" w:rsidRPr="00A018D9">
        <w:rPr>
          <w:sz w:val="22"/>
          <w:szCs w:val="22"/>
        </w:rPr>
        <w:t xml:space="preserve"> </w:t>
      </w:r>
      <w:proofErr w:type="spellStart"/>
      <w:r w:rsidR="00B16255" w:rsidRPr="00A018D9">
        <w:rPr>
          <w:sz w:val="22"/>
          <w:szCs w:val="22"/>
        </w:rPr>
        <w:t>Pyaneandee</w:t>
      </w:r>
      <w:proofErr w:type="spellEnd"/>
      <w:r w:rsidR="00B16255" w:rsidRPr="00A018D9">
        <w:rPr>
          <w:sz w:val="22"/>
          <w:szCs w:val="22"/>
        </w:rPr>
        <w:t xml:space="preserve">, Jonas </w:t>
      </w:r>
      <w:proofErr w:type="spellStart"/>
      <w:r w:rsidR="00B16255" w:rsidRPr="00A018D9">
        <w:rPr>
          <w:sz w:val="22"/>
          <w:szCs w:val="22"/>
        </w:rPr>
        <w:t>Ruskus</w:t>
      </w:r>
      <w:proofErr w:type="spellEnd"/>
      <w:r w:rsidR="00B16255" w:rsidRPr="00A018D9">
        <w:rPr>
          <w:sz w:val="22"/>
          <w:szCs w:val="22"/>
        </w:rPr>
        <w:t xml:space="preserve">, </w:t>
      </w:r>
      <w:hyperlink r:id="rId9" w:history="1">
        <w:proofErr w:type="spellStart"/>
        <w:r w:rsidR="00B16255" w:rsidRPr="00A018D9">
          <w:rPr>
            <w:sz w:val="22"/>
            <w:szCs w:val="22"/>
          </w:rPr>
          <w:t>Damjan</w:t>
        </w:r>
        <w:proofErr w:type="spellEnd"/>
        <w:r w:rsidR="00B16255" w:rsidRPr="00A018D9">
          <w:rPr>
            <w:sz w:val="22"/>
            <w:szCs w:val="22"/>
          </w:rPr>
          <w:t xml:space="preserve"> </w:t>
        </w:r>
        <w:proofErr w:type="spellStart"/>
        <w:r w:rsidR="00B16255" w:rsidRPr="00A018D9">
          <w:rPr>
            <w:sz w:val="22"/>
            <w:szCs w:val="22"/>
          </w:rPr>
          <w:t>Tati</w:t>
        </w:r>
      </w:hyperlink>
      <w:r w:rsidR="00B16255" w:rsidRPr="00A018D9">
        <w:rPr>
          <w:sz w:val="22"/>
          <w:szCs w:val="22"/>
        </w:rPr>
        <w:t>ć</w:t>
      </w:r>
      <w:proofErr w:type="spellEnd"/>
      <w:r w:rsidR="00B16255" w:rsidRPr="00A018D9">
        <w:rPr>
          <w:sz w:val="22"/>
          <w:szCs w:val="22"/>
        </w:rPr>
        <w:t xml:space="preserve"> and You Liang. Pursuant to rule 60 (1) (c) of the Committee’s rules of procedure, </w:t>
      </w:r>
      <w:proofErr w:type="spellStart"/>
      <w:r w:rsidR="00B16255" w:rsidRPr="00A018D9">
        <w:rPr>
          <w:sz w:val="22"/>
          <w:szCs w:val="22"/>
        </w:rPr>
        <w:t>Stig</w:t>
      </w:r>
      <w:proofErr w:type="spellEnd"/>
      <w:r w:rsidR="00B16255" w:rsidRPr="00A018D9">
        <w:rPr>
          <w:sz w:val="22"/>
          <w:szCs w:val="22"/>
        </w:rPr>
        <w:t xml:space="preserve"> </w:t>
      </w:r>
      <w:proofErr w:type="spellStart"/>
      <w:r w:rsidR="00B16255" w:rsidRPr="00A018D9">
        <w:rPr>
          <w:sz w:val="22"/>
          <w:szCs w:val="22"/>
        </w:rPr>
        <w:t>Langvad</w:t>
      </w:r>
      <w:proofErr w:type="spellEnd"/>
      <w:r w:rsidR="00B16255" w:rsidRPr="00A018D9">
        <w:rPr>
          <w:sz w:val="22"/>
          <w:szCs w:val="22"/>
        </w:rPr>
        <w:t xml:space="preserve"> did not participate in the examination of the present communication.</w:t>
      </w:r>
    </w:p>
    <w:p w14:paraId="04566580" w14:textId="2E4CAA11" w:rsidR="006909F2" w:rsidRPr="00A018D9" w:rsidRDefault="006909F2" w:rsidP="003317E5">
      <w:pPr>
        <w:spacing w:line="288" w:lineRule="auto"/>
        <w:rPr>
          <w:sz w:val="22"/>
          <w:szCs w:val="22"/>
        </w:rPr>
      </w:pPr>
      <w:r w:rsidRPr="00A018D9">
        <w:rPr>
          <w:sz w:val="22"/>
          <w:szCs w:val="22"/>
        </w:rPr>
        <w:t>3</w:t>
      </w:r>
      <w:r w:rsidR="00F73408" w:rsidRPr="00A018D9">
        <w:rPr>
          <w:sz w:val="22"/>
          <w:szCs w:val="22"/>
        </w:rPr>
        <w:t>.</w:t>
      </w:r>
      <w:r w:rsidRPr="00A018D9">
        <w:rPr>
          <w:sz w:val="22"/>
          <w:szCs w:val="22"/>
        </w:rPr>
        <w:t xml:space="preserve"> </w:t>
      </w:r>
      <w:r w:rsidR="007745C2" w:rsidRPr="00A018D9">
        <w:rPr>
          <w:sz w:val="22"/>
          <w:szCs w:val="22"/>
        </w:rPr>
        <w:t xml:space="preserve"> </w:t>
      </w:r>
      <w:r w:rsidR="00891AC8" w:rsidRPr="00A018D9">
        <w:rPr>
          <w:rFonts w:hint="eastAsia"/>
          <w:sz w:val="22"/>
          <w:szCs w:val="22"/>
        </w:rPr>
        <w:t>参加审查本来文的委员会委员有</w:t>
      </w:r>
      <w:r w:rsidR="002624EA">
        <w:fldChar w:fldCharType="begin"/>
      </w:r>
      <w:r w:rsidR="002624EA">
        <w:instrText xml:space="preserve"> HYPERLINK "https://www.ge.ch/extrait-du-cadastre-sites-pollues" </w:instrText>
      </w:r>
      <w:r w:rsidR="002624EA">
        <w:fldChar w:fldCharType="separate"/>
      </w:r>
      <w:r w:rsidR="002624EA">
        <w:fldChar w:fldCharType="end"/>
      </w:r>
      <w:r w:rsidR="00AC0FEC" w:rsidRPr="00A018D9">
        <w:rPr>
          <w:rFonts w:hint="eastAsia"/>
          <w:sz w:val="22"/>
          <w:szCs w:val="22"/>
        </w:rPr>
        <w:t>：艾哈迈德·赛义夫、蒙天·汶丹、伊迈德·</w:t>
      </w:r>
      <w:r w:rsidR="00C70C4B" w:rsidRPr="00A018D9">
        <w:rPr>
          <w:rFonts w:hint="eastAsia"/>
          <w:sz w:val="22"/>
          <w:szCs w:val="22"/>
        </w:rPr>
        <w:t>埃迪奈</w:t>
      </w:r>
      <w:r w:rsidR="00AC0FEC" w:rsidRPr="00A018D9">
        <w:rPr>
          <w:rFonts w:hint="eastAsia"/>
          <w:sz w:val="22"/>
          <w:szCs w:val="22"/>
        </w:rPr>
        <w:t>·</w:t>
      </w:r>
      <w:r w:rsidR="00C70C4B" w:rsidRPr="00A018D9">
        <w:rPr>
          <w:rFonts w:hint="eastAsia"/>
          <w:sz w:val="22"/>
          <w:szCs w:val="22"/>
        </w:rPr>
        <w:t>沙凯尔</w:t>
      </w:r>
      <w:r w:rsidR="00AC0FEC" w:rsidRPr="00A018D9">
        <w:rPr>
          <w:rFonts w:hint="eastAsia"/>
          <w:sz w:val="22"/>
          <w:szCs w:val="22"/>
        </w:rPr>
        <w:t>、特蕾西娅·德格纳、石川准、萨缪尔·恩朱古纳·卡布</w:t>
      </w:r>
      <w:r w:rsidR="00A97DC6" w:rsidRPr="00A018D9">
        <w:rPr>
          <w:rFonts w:hint="eastAsia"/>
          <w:sz w:val="22"/>
          <w:szCs w:val="22"/>
        </w:rPr>
        <w:t>埃</w:t>
      </w:r>
      <w:r w:rsidR="00AC0FEC" w:rsidRPr="00A018D9">
        <w:rPr>
          <w:rFonts w:hint="eastAsia"/>
          <w:sz w:val="22"/>
          <w:szCs w:val="22"/>
        </w:rPr>
        <w:t>、金亨植、罗伯特·乔治·马丁、马丁·巴布·</w:t>
      </w:r>
      <w:r w:rsidR="00072DDB" w:rsidRPr="00A018D9">
        <w:rPr>
          <w:rFonts w:hint="eastAsia"/>
          <w:sz w:val="22"/>
          <w:szCs w:val="22"/>
        </w:rPr>
        <w:t>姆韦西瓦</w:t>
      </w:r>
      <w:r w:rsidR="00AC0FEC" w:rsidRPr="00A018D9">
        <w:rPr>
          <w:rFonts w:hint="eastAsia"/>
          <w:sz w:val="22"/>
          <w:szCs w:val="22"/>
        </w:rPr>
        <w:t>、</w:t>
      </w:r>
      <w:bookmarkStart w:id="3" w:name="_Hlk24704976"/>
      <w:r w:rsidR="00AC0FEC" w:rsidRPr="00A018D9">
        <w:rPr>
          <w:rFonts w:hint="eastAsia"/>
          <w:sz w:val="22"/>
          <w:szCs w:val="22"/>
        </w:rPr>
        <w:t>卡马瑞尔·皮亚纳德</w:t>
      </w:r>
      <w:bookmarkEnd w:id="3"/>
      <w:r w:rsidR="00AC0FEC" w:rsidRPr="00A018D9">
        <w:rPr>
          <w:rFonts w:hint="eastAsia"/>
          <w:sz w:val="22"/>
          <w:szCs w:val="22"/>
        </w:rPr>
        <w:t>、乔纳斯·卢克斯、达米扬·塔蒂奇和尤亮。根据委员会议事规则第</w:t>
      </w:r>
      <w:r w:rsidR="00AC0FEC" w:rsidRPr="00A018D9">
        <w:rPr>
          <w:sz w:val="22"/>
          <w:szCs w:val="22"/>
        </w:rPr>
        <w:t>60</w:t>
      </w:r>
      <w:r w:rsidR="00AC0FEC" w:rsidRPr="00A018D9">
        <w:rPr>
          <w:rFonts w:hint="eastAsia"/>
          <w:sz w:val="22"/>
          <w:szCs w:val="22"/>
        </w:rPr>
        <w:t>条第</w:t>
      </w:r>
      <w:r w:rsidR="00AC0FEC" w:rsidRPr="00A018D9">
        <w:rPr>
          <w:sz w:val="22"/>
          <w:szCs w:val="22"/>
        </w:rPr>
        <w:t>1</w:t>
      </w:r>
      <w:r w:rsidR="00AC0FEC" w:rsidRPr="00A018D9">
        <w:rPr>
          <w:rFonts w:hint="eastAsia"/>
          <w:sz w:val="22"/>
          <w:szCs w:val="22"/>
        </w:rPr>
        <w:t>款</w:t>
      </w:r>
      <w:r w:rsidR="00AC0FEC" w:rsidRPr="00A018D9">
        <w:rPr>
          <w:sz w:val="22"/>
          <w:szCs w:val="22"/>
        </w:rPr>
        <w:t>(c)</w:t>
      </w:r>
      <w:r w:rsidR="00AC0FEC" w:rsidRPr="00A018D9">
        <w:rPr>
          <w:rFonts w:hint="eastAsia"/>
          <w:sz w:val="22"/>
          <w:szCs w:val="22"/>
        </w:rPr>
        <w:t>项，施蒂格·朗瓦德未参加本来文</w:t>
      </w:r>
      <w:r w:rsidR="0004490D" w:rsidRPr="00A018D9">
        <w:rPr>
          <w:rFonts w:hint="eastAsia"/>
          <w:sz w:val="22"/>
          <w:szCs w:val="22"/>
        </w:rPr>
        <w:t>的审查</w:t>
      </w:r>
      <w:r w:rsidR="00AC0FEC" w:rsidRPr="00A018D9">
        <w:rPr>
          <w:rFonts w:hint="eastAsia"/>
          <w:sz w:val="22"/>
          <w:szCs w:val="22"/>
        </w:rPr>
        <w:t>。</w:t>
      </w:r>
    </w:p>
    <w:p w14:paraId="09F1960E" w14:textId="77777777" w:rsidR="00256ABA" w:rsidRPr="00A018D9" w:rsidRDefault="00256ABA" w:rsidP="003317E5">
      <w:pPr>
        <w:spacing w:line="288" w:lineRule="auto"/>
        <w:ind w:left="1134"/>
        <w:rPr>
          <w:sz w:val="22"/>
          <w:szCs w:val="22"/>
        </w:rPr>
      </w:pPr>
    </w:p>
    <w:p w14:paraId="6FE86874" w14:textId="0BECF642" w:rsidR="005E3A81" w:rsidRPr="00A018D9" w:rsidRDefault="00557932" w:rsidP="003317E5">
      <w:pPr>
        <w:spacing w:line="288" w:lineRule="auto"/>
        <w:rPr>
          <w:sz w:val="22"/>
          <w:szCs w:val="22"/>
        </w:rPr>
      </w:pPr>
      <w:r w:rsidRPr="00A018D9">
        <w:rPr>
          <w:sz w:val="22"/>
          <w:szCs w:val="22"/>
        </w:rPr>
        <w:t>4</w:t>
      </w:r>
      <w:r w:rsidR="00F73408" w:rsidRPr="00A018D9">
        <w:rPr>
          <w:sz w:val="22"/>
          <w:szCs w:val="22"/>
        </w:rPr>
        <w:t>.</w:t>
      </w:r>
      <w:r w:rsidR="006909F2" w:rsidRPr="00A018D9">
        <w:rPr>
          <w:sz w:val="22"/>
          <w:szCs w:val="22"/>
        </w:rPr>
        <w:t xml:space="preserve">  </w:t>
      </w:r>
      <w:r w:rsidR="005E3A81" w:rsidRPr="00A018D9">
        <w:rPr>
          <w:sz w:val="22"/>
          <w:szCs w:val="22"/>
        </w:rPr>
        <w:t>It may be of interest to note that even prior to the establishment of the Commission, the General Assembly, at its first session, in resolution 95 (I) of 11 December 1946</w:t>
      </w:r>
      <w:r w:rsidR="005E3A81" w:rsidRPr="00A018D9">
        <w:rPr>
          <w:rFonts w:hint="eastAsia"/>
          <w:sz w:val="22"/>
          <w:szCs w:val="22"/>
        </w:rPr>
        <w:t>，</w:t>
      </w:r>
      <w:r w:rsidR="005E3A81" w:rsidRPr="00A018D9">
        <w:rPr>
          <w:sz w:val="22"/>
          <w:szCs w:val="22"/>
        </w:rPr>
        <w:t>affirmed the principles of international law recognized by the Charter of the N</w:t>
      </w:r>
      <w:r w:rsidR="005E3A81" w:rsidRPr="00A018D9">
        <w:rPr>
          <w:rFonts w:hint="eastAsia"/>
          <w:sz w:val="22"/>
          <w:szCs w:val="22"/>
        </w:rPr>
        <w:t>ü</w:t>
      </w:r>
      <w:proofErr w:type="spellStart"/>
      <w:r w:rsidR="005E3A81" w:rsidRPr="00A018D9">
        <w:rPr>
          <w:sz w:val="22"/>
          <w:szCs w:val="22"/>
        </w:rPr>
        <w:t>rnberg</w:t>
      </w:r>
      <w:proofErr w:type="spellEnd"/>
      <w:r w:rsidR="005E3A81" w:rsidRPr="00A018D9">
        <w:rPr>
          <w:sz w:val="22"/>
          <w:szCs w:val="22"/>
        </w:rPr>
        <w:t xml:space="preserve"> Tribunal and the Judgement of the Tribunal and directed the Committee on the codification of international law established by resolution 94 (I) of the same date "to treat as a matter of primary importance plans for the formulation, in the context of a general codification of offences against the peace and security of mankind, or of an International Criminal Code, of the principles recognized" in that Charter and Judgement. It was that Committee (sometimes referred to as the "Committee of Seventeen") which recommended to the General Assembly the establishment of an international law commission and set forth provisions designed to serve as the basis for its statute. </w:t>
      </w:r>
    </w:p>
    <w:p w14:paraId="7FC95C8B" w14:textId="6196F5FE" w:rsidR="005E3A81" w:rsidRPr="00A018D9" w:rsidRDefault="00557932" w:rsidP="003317E5">
      <w:pPr>
        <w:spacing w:line="288" w:lineRule="auto"/>
        <w:rPr>
          <w:sz w:val="22"/>
          <w:szCs w:val="22"/>
        </w:rPr>
      </w:pPr>
      <w:r w:rsidRPr="00A018D9">
        <w:rPr>
          <w:sz w:val="22"/>
          <w:szCs w:val="22"/>
        </w:rPr>
        <w:t>4</w:t>
      </w:r>
      <w:r w:rsidR="00F73408" w:rsidRPr="00A018D9">
        <w:rPr>
          <w:sz w:val="22"/>
          <w:szCs w:val="22"/>
        </w:rPr>
        <w:t>.</w:t>
      </w:r>
      <w:r w:rsidR="006909F2" w:rsidRPr="00A018D9">
        <w:rPr>
          <w:sz w:val="22"/>
          <w:szCs w:val="22"/>
        </w:rPr>
        <w:t xml:space="preserve">  </w:t>
      </w:r>
      <w:r w:rsidR="005E3A81" w:rsidRPr="00A018D9">
        <w:rPr>
          <w:rFonts w:hint="eastAsia"/>
          <w:sz w:val="22"/>
          <w:szCs w:val="22"/>
        </w:rPr>
        <w:t>不妨指出，在国际法委员会成立以前，大会</w:t>
      </w:r>
      <w:r w:rsidR="006E3008" w:rsidRPr="00A018D9">
        <w:rPr>
          <w:rFonts w:hint="eastAsia"/>
          <w:sz w:val="22"/>
          <w:szCs w:val="22"/>
        </w:rPr>
        <w:t>第一届会议在</w:t>
      </w:r>
      <w:r w:rsidR="005E3A81" w:rsidRPr="00A018D9">
        <w:rPr>
          <w:sz w:val="22"/>
          <w:szCs w:val="22"/>
        </w:rPr>
        <w:t>1946</w:t>
      </w:r>
      <w:r w:rsidR="005E3A81" w:rsidRPr="00A018D9">
        <w:rPr>
          <w:rFonts w:hint="eastAsia"/>
          <w:sz w:val="22"/>
          <w:szCs w:val="22"/>
        </w:rPr>
        <w:t>年</w:t>
      </w:r>
      <w:r w:rsidR="005E3A81" w:rsidRPr="00A018D9">
        <w:rPr>
          <w:sz w:val="22"/>
          <w:szCs w:val="22"/>
        </w:rPr>
        <w:t>12</w:t>
      </w:r>
      <w:r w:rsidR="005E3A81" w:rsidRPr="00A018D9">
        <w:rPr>
          <w:rFonts w:hint="eastAsia"/>
          <w:sz w:val="22"/>
          <w:szCs w:val="22"/>
        </w:rPr>
        <w:t>月</w:t>
      </w:r>
      <w:r w:rsidR="005E3A81" w:rsidRPr="00A018D9">
        <w:rPr>
          <w:sz w:val="22"/>
          <w:szCs w:val="22"/>
        </w:rPr>
        <w:t>11</w:t>
      </w:r>
      <w:r w:rsidR="005E3A81" w:rsidRPr="00A018D9">
        <w:rPr>
          <w:rFonts w:hint="eastAsia"/>
          <w:sz w:val="22"/>
          <w:szCs w:val="22"/>
        </w:rPr>
        <w:t>日第</w:t>
      </w:r>
      <w:r w:rsidR="002A49CD" w:rsidRPr="00A018D9">
        <w:rPr>
          <w:sz w:val="22"/>
          <w:szCs w:val="22"/>
        </w:rPr>
        <w:t>95</w:t>
      </w:r>
      <w:r w:rsidR="005E3A81" w:rsidRPr="00A018D9">
        <w:rPr>
          <w:sz w:val="22"/>
          <w:szCs w:val="22"/>
        </w:rPr>
        <w:t>(</w:t>
      </w:r>
      <w:r w:rsidR="00346FD6" w:rsidRPr="00A018D9">
        <w:rPr>
          <w:rFonts w:hint="eastAsia"/>
          <w:sz w:val="22"/>
          <w:szCs w:val="22"/>
        </w:rPr>
        <w:t>一</w:t>
      </w:r>
      <w:r w:rsidR="005E3A81" w:rsidRPr="00A018D9">
        <w:rPr>
          <w:sz w:val="22"/>
          <w:szCs w:val="22"/>
        </w:rPr>
        <w:t>)</w:t>
      </w:r>
      <w:r w:rsidR="005E3A81" w:rsidRPr="00A018D9">
        <w:rPr>
          <w:rFonts w:hint="eastAsia"/>
          <w:sz w:val="22"/>
          <w:szCs w:val="22"/>
        </w:rPr>
        <w:t>号决议</w:t>
      </w:r>
      <w:r w:rsidR="006E3008" w:rsidRPr="00A018D9">
        <w:rPr>
          <w:rFonts w:hint="eastAsia"/>
          <w:sz w:val="22"/>
          <w:szCs w:val="22"/>
        </w:rPr>
        <w:t>中</w:t>
      </w:r>
      <w:r w:rsidR="00DE3997" w:rsidRPr="00A018D9">
        <w:rPr>
          <w:rFonts w:hint="eastAsia"/>
          <w:sz w:val="22"/>
          <w:szCs w:val="22"/>
        </w:rPr>
        <w:t>确认</w:t>
      </w:r>
      <w:r w:rsidR="005E3A81" w:rsidRPr="00A018D9">
        <w:rPr>
          <w:rFonts w:hint="eastAsia"/>
          <w:sz w:val="22"/>
          <w:szCs w:val="22"/>
        </w:rPr>
        <w:t>了纽伦堡法庭组织法及</w:t>
      </w:r>
      <w:r w:rsidR="004D2726" w:rsidRPr="00A018D9">
        <w:rPr>
          <w:rFonts w:hint="eastAsia"/>
          <w:sz w:val="22"/>
          <w:szCs w:val="22"/>
        </w:rPr>
        <w:t>该</w:t>
      </w:r>
      <w:r w:rsidR="005E3A81" w:rsidRPr="00A018D9">
        <w:rPr>
          <w:rFonts w:hint="eastAsia"/>
          <w:sz w:val="22"/>
          <w:szCs w:val="22"/>
        </w:rPr>
        <w:t>法庭判决所认</w:t>
      </w:r>
      <w:r w:rsidR="0010696E" w:rsidRPr="00A018D9">
        <w:rPr>
          <w:rFonts w:hint="eastAsia"/>
          <w:sz w:val="22"/>
          <w:szCs w:val="22"/>
        </w:rPr>
        <w:t>定</w:t>
      </w:r>
      <w:r w:rsidR="005E3A81" w:rsidRPr="00A018D9">
        <w:rPr>
          <w:rFonts w:hint="eastAsia"/>
          <w:sz w:val="22"/>
          <w:szCs w:val="22"/>
        </w:rPr>
        <w:t>的国际法原则，并指示由大会同</w:t>
      </w:r>
      <w:r w:rsidR="00EA5910" w:rsidRPr="00A018D9">
        <w:rPr>
          <w:rFonts w:hint="eastAsia"/>
          <w:sz w:val="22"/>
          <w:szCs w:val="22"/>
        </w:rPr>
        <w:t>日</w:t>
      </w:r>
      <w:r w:rsidR="005E3A81" w:rsidRPr="00A018D9">
        <w:rPr>
          <w:rFonts w:hint="eastAsia"/>
          <w:sz w:val="22"/>
          <w:szCs w:val="22"/>
        </w:rPr>
        <w:t>第</w:t>
      </w:r>
      <w:r w:rsidR="005E3A81" w:rsidRPr="00A018D9">
        <w:rPr>
          <w:sz w:val="22"/>
          <w:szCs w:val="22"/>
        </w:rPr>
        <w:t>94(</w:t>
      </w:r>
      <w:r w:rsidR="00EA5910" w:rsidRPr="00A018D9">
        <w:rPr>
          <w:rFonts w:hint="eastAsia"/>
          <w:sz w:val="22"/>
          <w:szCs w:val="22"/>
        </w:rPr>
        <w:t>一</w:t>
      </w:r>
      <w:r w:rsidR="005E3A81" w:rsidRPr="00A018D9">
        <w:rPr>
          <w:sz w:val="22"/>
          <w:szCs w:val="22"/>
        </w:rPr>
        <w:t>)</w:t>
      </w:r>
      <w:proofErr w:type="gramStart"/>
      <w:r w:rsidR="005E3A81" w:rsidRPr="00A018D9">
        <w:rPr>
          <w:rFonts w:hint="eastAsia"/>
          <w:sz w:val="22"/>
          <w:szCs w:val="22"/>
        </w:rPr>
        <w:t>号决议设立的国际法编纂委员会“</w:t>
      </w:r>
      <w:proofErr w:type="gramEnd"/>
      <w:r w:rsidR="005E3A81" w:rsidRPr="00A018D9">
        <w:rPr>
          <w:rFonts w:hint="eastAsia"/>
          <w:sz w:val="22"/>
          <w:szCs w:val="22"/>
        </w:rPr>
        <w:t>特别注重在关于危</w:t>
      </w:r>
      <w:r w:rsidR="007D2E93" w:rsidRPr="00A018D9">
        <w:rPr>
          <w:rFonts w:hint="eastAsia"/>
          <w:sz w:val="22"/>
          <w:szCs w:val="22"/>
        </w:rPr>
        <w:t>害</w:t>
      </w:r>
      <w:r w:rsidR="005E3A81" w:rsidRPr="00A018D9">
        <w:rPr>
          <w:rFonts w:hint="eastAsia"/>
          <w:sz w:val="22"/>
          <w:szCs w:val="22"/>
        </w:rPr>
        <w:t>人类和平与安全罪行之一般法律编纂中，或在国际刑法中，</w:t>
      </w:r>
      <w:r w:rsidR="00BF4E03" w:rsidRPr="00A018D9">
        <w:rPr>
          <w:rFonts w:hint="eastAsia"/>
          <w:sz w:val="22"/>
          <w:szCs w:val="22"/>
        </w:rPr>
        <w:t>将</w:t>
      </w:r>
      <w:r w:rsidR="005E3A81" w:rsidRPr="00A018D9">
        <w:rPr>
          <w:rFonts w:hint="eastAsia"/>
          <w:sz w:val="22"/>
          <w:szCs w:val="22"/>
        </w:rPr>
        <w:t>纽伦堡法庭组织法及该法庭之判决所认</w:t>
      </w:r>
      <w:r w:rsidR="00BF4E03" w:rsidRPr="00A018D9">
        <w:rPr>
          <w:rFonts w:hint="eastAsia"/>
          <w:sz w:val="22"/>
          <w:szCs w:val="22"/>
        </w:rPr>
        <w:t>定</w:t>
      </w:r>
      <w:r w:rsidR="005E3A81" w:rsidRPr="00A018D9">
        <w:rPr>
          <w:rFonts w:hint="eastAsia"/>
          <w:sz w:val="22"/>
          <w:szCs w:val="22"/>
        </w:rPr>
        <w:t>的原则</w:t>
      </w:r>
      <w:r w:rsidR="00BF4E03" w:rsidRPr="00A018D9">
        <w:rPr>
          <w:rFonts w:hint="eastAsia"/>
          <w:sz w:val="22"/>
          <w:szCs w:val="22"/>
        </w:rPr>
        <w:t>予以制立</w:t>
      </w:r>
      <w:r w:rsidR="005E3A81" w:rsidRPr="00A018D9">
        <w:rPr>
          <w:rFonts w:hint="eastAsia"/>
          <w:sz w:val="22"/>
          <w:szCs w:val="22"/>
        </w:rPr>
        <w:t>”。该委员会</w:t>
      </w:r>
      <w:r w:rsidR="005E3A81" w:rsidRPr="00A018D9">
        <w:rPr>
          <w:sz w:val="22"/>
          <w:szCs w:val="22"/>
        </w:rPr>
        <w:t>(</w:t>
      </w:r>
      <w:r w:rsidR="0026052A" w:rsidRPr="00A018D9">
        <w:rPr>
          <w:rFonts w:hint="eastAsia"/>
          <w:sz w:val="22"/>
          <w:szCs w:val="22"/>
        </w:rPr>
        <w:t>有时</w:t>
      </w:r>
      <w:r w:rsidR="005E3A81" w:rsidRPr="00A018D9">
        <w:rPr>
          <w:rFonts w:hint="eastAsia"/>
          <w:sz w:val="22"/>
          <w:szCs w:val="22"/>
        </w:rPr>
        <w:t>称“十七</w:t>
      </w:r>
      <w:r w:rsidR="0099513C" w:rsidRPr="00A018D9">
        <w:rPr>
          <w:rFonts w:hint="eastAsia"/>
          <w:sz w:val="22"/>
          <w:szCs w:val="22"/>
        </w:rPr>
        <w:t>国</w:t>
      </w:r>
      <w:r w:rsidR="005E3A81" w:rsidRPr="00A018D9">
        <w:rPr>
          <w:rFonts w:hint="eastAsia"/>
          <w:sz w:val="22"/>
          <w:szCs w:val="22"/>
        </w:rPr>
        <w:t>委员会”</w:t>
      </w:r>
      <w:r w:rsidR="009F42F8" w:rsidRPr="00A018D9">
        <w:rPr>
          <w:sz w:val="22"/>
          <w:szCs w:val="22"/>
        </w:rPr>
        <w:t>)</w:t>
      </w:r>
      <w:r w:rsidR="005E3A81" w:rsidRPr="00A018D9">
        <w:rPr>
          <w:rFonts w:hint="eastAsia"/>
          <w:sz w:val="22"/>
          <w:szCs w:val="22"/>
        </w:rPr>
        <w:t>建议大会设立一个国际法委员会，并拟订了准备作为这个委员会章程基础的规定。</w:t>
      </w:r>
    </w:p>
    <w:p w14:paraId="1557B05C" w14:textId="77777777" w:rsidR="005C0BD6" w:rsidRPr="00A018D9" w:rsidRDefault="005C0BD6" w:rsidP="003317E5">
      <w:pPr>
        <w:spacing w:line="288" w:lineRule="auto"/>
        <w:rPr>
          <w:sz w:val="22"/>
          <w:szCs w:val="22"/>
        </w:rPr>
      </w:pPr>
    </w:p>
    <w:p w14:paraId="25B250E6" w14:textId="389109E0" w:rsidR="005C0BD6" w:rsidRPr="00A018D9" w:rsidRDefault="005C0BD6" w:rsidP="005C0BD6">
      <w:pPr>
        <w:spacing w:line="300" w:lineRule="auto"/>
        <w:ind w:firstLine="431"/>
        <w:rPr>
          <w:rFonts w:eastAsia="SimHei"/>
          <w:color w:val="0000FF"/>
          <w:sz w:val="22"/>
          <w:szCs w:val="22"/>
        </w:rPr>
      </w:pPr>
      <w:r w:rsidRPr="00A018D9">
        <w:rPr>
          <w:rFonts w:eastAsia="SimHei"/>
          <w:color w:val="0000FF"/>
          <w:sz w:val="22"/>
          <w:szCs w:val="22"/>
        </w:rPr>
        <w:t xml:space="preserve">2. </w:t>
      </w:r>
      <w:r w:rsidR="00531288" w:rsidRPr="00A018D9">
        <w:rPr>
          <w:rFonts w:eastAsia="SimHei" w:hint="eastAsia"/>
          <w:color w:val="0000FF"/>
          <w:sz w:val="22"/>
          <w:szCs w:val="22"/>
        </w:rPr>
        <w:t>联合国重要文件和出版物名称和出处信息全译</w:t>
      </w:r>
      <w:r w:rsidRPr="00A018D9">
        <w:rPr>
          <w:rFonts w:eastAsia="SimHei" w:hint="eastAsia"/>
          <w:color w:val="0000FF"/>
          <w:sz w:val="22"/>
          <w:szCs w:val="22"/>
        </w:rPr>
        <w:t>。这里</w:t>
      </w:r>
      <w:r w:rsidR="006E6462" w:rsidRPr="00A018D9">
        <w:rPr>
          <w:rFonts w:eastAsia="SimHei" w:hint="eastAsia"/>
          <w:color w:val="0000FF"/>
          <w:sz w:val="22"/>
          <w:szCs w:val="22"/>
        </w:rPr>
        <w:t>包括</w:t>
      </w:r>
      <w:r w:rsidRPr="00A018D9">
        <w:rPr>
          <w:rFonts w:eastAsia="SimHei" w:hint="eastAsia"/>
          <w:color w:val="0000FF"/>
          <w:sz w:val="22"/>
          <w:szCs w:val="22"/>
        </w:rPr>
        <w:t>《联合国宪章》、重要国际公约（包括专门机构重要公约）</w:t>
      </w:r>
      <w:r w:rsidR="006E6462" w:rsidRPr="00A018D9">
        <w:rPr>
          <w:rFonts w:eastAsia="SimHei" w:hint="eastAsia"/>
          <w:color w:val="0000FF"/>
          <w:sz w:val="22"/>
          <w:szCs w:val="22"/>
        </w:rPr>
        <w:t>、</w:t>
      </w:r>
      <w:r w:rsidRPr="00A018D9">
        <w:rPr>
          <w:rFonts w:eastAsia="SimHei" w:hint="eastAsia"/>
          <w:color w:val="0000FF"/>
          <w:sz w:val="22"/>
          <w:szCs w:val="22"/>
        </w:rPr>
        <w:t>联合国各组成机构重要文件、报告和出版物</w:t>
      </w:r>
      <w:r w:rsidR="006E6462" w:rsidRPr="00A018D9">
        <w:rPr>
          <w:rFonts w:eastAsia="SimHei" w:hint="eastAsia"/>
          <w:color w:val="0000FF"/>
          <w:sz w:val="22"/>
          <w:szCs w:val="22"/>
        </w:rPr>
        <w:t>、</w:t>
      </w:r>
      <w:r w:rsidRPr="00A018D9">
        <w:rPr>
          <w:rFonts w:eastAsia="SimHei" w:hint="eastAsia"/>
          <w:color w:val="0000FF"/>
          <w:sz w:val="22"/>
          <w:szCs w:val="22"/>
        </w:rPr>
        <w:t>人权条约机构的意见和决定等。</w:t>
      </w:r>
      <w:r w:rsidR="00995624" w:rsidRPr="00A018D9">
        <w:rPr>
          <w:rFonts w:eastAsia="SimHei" w:hint="eastAsia"/>
          <w:color w:val="0000FF"/>
          <w:sz w:val="22"/>
          <w:szCs w:val="22"/>
        </w:rPr>
        <w:t>无正式中文本的一般联合国文件</w:t>
      </w:r>
      <w:r w:rsidR="00173380" w:rsidRPr="00A018D9">
        <w:rPr>
          <w:rFonts w:eastAsia="SimHei" w:hint="eastAsia"/>
          <w:color w:val="0000FF"/>
          <w:sz w:val="22"/>
          <w:szCs w:val="22"/>
        </w:rPr>
        <w:t>可酌情处理。</w:t>
      </w:r>
    </w:p>
    <w:p w14:paraId="6A55635B" w14:textId="77777777" w:rsidR="00D9262F" w:rsidRPr="00A018D9" w:rsidRDefault="00D9262F" w:rsidP="003317E5">
      <w:pPr>
        <w:spacing w:line="288" w:lineRule="auto"/>
        <w:ind w:firstLine="431"/>
        <w:rPr>
          <w:sz w:val="22"/>
          <w:szCs w:val="22"/>
        </w:rPr>
      </w:pPr>
    </w:p>
    <w:p w14:paraId="730B75B6" w14:textId="5C40B31E" w:rsidR="00C74977" w:rsidRPr="00A018D9" w:rsidRDefault="00C74977" w:rsidP="003317E5">
      <w:pPr>
        <w:spacing w:after="240" w:line="288" w:lineRule="auto"/>
        <w:rPr>
          <w:sz w:val="22"/>
          <w:szCs w:val="22"/>
        </w:rPr>
      </w:pPr>
      <w:r w:rsidRPr="00A018D9">
        <w:rPr>
          <w:sz w:val="22"/>
          <w:szCs w:val="22"/>
        </w:rPr>
        <w:tab/>
      </w:r>
      <w:r w:rsidR="0054537B" w:rsidRPr="00A018D9">
        <w:rPr>
          <w:rFonts w:hint="eastAsia"/>
          <w:sz w:val="22"/>
          <w:szCs w:val="22"/>
        </w:rPr>
        <w:t>例如：</w:t>
      </w:r>
    </w:p>
    <w:p w14:paraId="479897DF" w14:textId="6803DC3E" w:rsidR="00A90794" w:rsidRPr="00A018D9" w:rsidRDefault="00F73408" w:rsidP="003317E5">
      <w:pPr>
        <w:spacing w:line="288" w:lineRule="auto"/>
        <w:rPr>
          <w:sz w:val="22"/>
          <w:szCs w:val="22"/>
        </w:rPr>
      </w:pPr>
      <w:r w:rsidRPr="00A018D9">
        <w:rPr>
          <w:sz w:val="22"/>
          <w:szCs w:val="22"/>
        </w:rPr>
        <w:t>1</w:t>
      </w:r>
      <w:r w:rsidR="00A90794" w:rsidRPr="00A018D9">
        <w:rPr>
          <w:sz w:val="22"/>
          <w:szCs w:val="22"/>
        </w:rPr>
        <w:t xml:space="preserve">.  </w:t>
      </w:r>
      <w:r w:rsidR="00A90794" w:rsidRPr="00A018D9">
        <w:rPr>
          <w:i/>
          <w:iCs/>
          <w:sz w:val="22"/>
          <w:szCs w:val="22"/>
        </w:rPr>
        <w:t>Official Records of the General Assembly, Sixty-ninth Session, Supplement No. 10</w:t>
      </w:r>
      <w:r w:rsidR="00A90794" w:rsidRPr="00A018D9">
        <w:rPr>
          <w:sz w:val="22"/>
          <w:szCs w:val="22"/>
        </w:rPr>
        <w:t xml:space="preserve"> (</w:t>
      </w:r>
      <w:hyperlink r:id="rId10" w:history="1">
        <w:r w:rsidR="00A90794" w:rsidRPr="00A018D9">
          <w:rPr>
            <w:sz w:val="22"/>
            <w:szCs w:val="22"/>
          </w:rPr>
          <w:t>A/69/10</w:t>
        </w:r>
      </w:hyperlink>
      <w:r w:rsidR="00A90794" w:rsidRPr="00A018D9">
        <w:rPr>
          <w:sz w:val="22"/>
          <w:szCs w:val="22"/>
        </w:rPr>
        <w:t>), para. 34.</w:t>
      </w:r>
    </w:p>
    <w:p w14:paraId="44070F24" w14:textId="649E09B2" w:rsidR="00A90794" w:rsidRPr="00A018D9" w:rsidRDefault="00F73408" w:rsidP="003317E5">
      <w:pPr>
        <w:spacing w:line="288" w:lineRule="auto"/>
        <w:rPr>
          <w:sz w:val="22"/>
          <w:szCs w:val="22"/>
        </w:rPr>
      </w:pPr>
      <w:r w:rsidRPr="00A018D9">
        <w:rPr>
          <w:sz w:val="22"/>
          <w:szCs w:val="22"/>
        </w:rPr>
        <w:t>1</w:t>
      </w:r>
      <w:r w:rsidR="00A90794" w:rsidRPr="00A018D9">
        <w:rPr>
          <w:sz w:val="22"/>
          <w:szCs w:val="22"/>
        </w:rPr>
        <w:t xml:space="preserve">.  </w:t>
      </w:r>
      <w:r w:rsidR="00A90794" w:rsidRPr="00A018D9">
        <w:rPr>
          <w:rFonts w:hint="eastAsia"/>
          <w:sz w:val="22"/>
          <w:szCs w:val="22"/>
        </w:rPr>
        <w:t>《大会正式记录，第六十九届会议，补编第</w:t>
      </w:r>
      <w:r w:rsidR="00A90794" w:rsidRPr="00A018D9">
        <w:rPr>
          <w:sz w:val="22"/>
          <w:szCs w:val="22"/>
        </w:rPr>
        <w:t>10</w:t>
      </w:r>
      <w:r w:rsidR="00A90794" w:rsidRPr="00A018D9">
        <w:rPr>
          <w:rFonts w:hint="eastAsia"/>
          <w:sz w:val="22"/>
          <w:szCs w:val="22"/>
        </w:rPr>
        <w:t>号》</w:t>
      </w:r>
      <w:r w:rsidR="00A90794" w:rsidRPr="00A018D9">
        <w:rPr>
          <w:sz w:val="22"/>
          <w:szCs w:val="22"/>
        </w:rPr>
        <w:t>(</w:t>
      </w:r>
      <w:hyperlink r:id="rId11" w:history="1">
        <w:r w:rsidR="00A90794" w:rsidRPr="00A018D9">
          <w:rPr>
            <w:sz w:val="22"/>
            <w:szCs w:val="22"/>
          </w:rPr>
          <w:t>A/69/10</w:t>
        </w:r>
      </w:hyperlink>
      <w:r w:rsidR="00A90794" w:rsidRPr="00A018D9">
        <w:rPr>
          <w:sz w:val="22"/>
          <w:szCs w:val="22"/>
        </w:rPr>
        <w:t>)</w:t>
      </w:r>
      <w:r w:rsidR="00A90794" w:rsidRPr="00A018D9">
        <w:rPr>
          <w:rFonts w:hint="eastAsia"/>
          <w:sz w:val="22"/>
          <w:szCs w:val="22"/>
        </w:rPr>
        <w:t>，第</w:t>
      </w:r>
      <w:r w:rsidR="00A90794" w:rsidRPr="00A018D9">
        <w:rPr>
          <w:sz w:val="22"/>
          <w:szCs w:val="22"/>
        </w:rPr>
        <w:t>34</w:t>
      </w:r>
      <w:r w:rsidR="00A90794" w:rsidRPr="00A018D9">
        <w:rPr>
          <w:rFonts w:hint="eastAsia"/>
          <w:sz w:val="22"/>
          <w:szCs w:val="22"/>
        </w:rPr>
        <w:t>段。</w:t>
      </w:r>
    </w:p>
    <w:p w14:paraId="5DDCBCB5" w14:textId="77777777" w:rsidR="00A90794" w:rsidRPr="00A018D9" w:rsidRDefault="00A90794" w:rsidP="003317E5">
      <w:pPr>
        <w:pStyle w:val="Notedebasdepage"/>
        <w:spacing w:line="288" w:lineRule="auto"/>
        <w:rPr>
          <w:sz w:val="22"/>
          <w:szCs w:val="22"/>
        </w:rPr>
      </w:pPr>
    </w:p>
    <w:p w14:paraId="7840436B" w14:textId="1D76B5E6" w:rsidR="00A90794" w:rsidRPr="00A018D9" w:rsidRDefault="00F73408" w:rsidP="003317E5">
      <w:pPr>
        <w:spacing w:line="288" w:lineRule="auto"/>
        <w:rPr>
          <w:i/>
          <w:iCs/>
          <w:sz w:val="22"/>
          <w:szCs w:val="22"/>
        </w:rPr>
      </w:pPr>
      <w:r w:rsidRPr="00A018D9">
        <w:rPr>
          <w:sz w:val="22"/>
          <w:szCs w:val="22"/>
        </w:rPr>
        <w:t>2</w:t>
      </w:r>
      <w:r w:rsidR="00A90794" w:rsidRPr="00A018D9">
        <w:rPr>
          <w:sz w:val="22"/>
          <w:szCs w:val="22"/>
        </w:rPr>
        <w:t xml:space="preserve">.  </w:t>
      </w:r>
      <w:r w:rsidR="00A90794" w:rsidRPr="00A018D9">
        <w:rPr>
          <w:i/>
          <w:iCs/>
          <w:sz w:val="22"/>
          <w:szCs w:val="22"/>
        </w:rPr>
        <w:t>Ibid., Seventieth Session, Supplement No. 10</w:t>
      </w:r>
      <w:r w:rsidR="00A90794" w:rsidRPr="00A018D9">
        <w:rPr>
          <w:sz w:val="22"/>
          <w:szCs w:val="22"/>
        </w:rPr>
        <w:t xml:space="preserve"> (</w:t>
      </w:r>
      <w:hyperlink r:id="rId12" w:history="1">
        <w:r w:rsidR="00A90794" w:rsidRPr="00A018D9">
          <w:rPr>
            <w:sz w:val="22"/>
            <w:szCs w:val="22"/>
          </w:rPr>
          <w:t>A/70/10</w:t>
        </w:r>
      </w:hyperlink>
      <w:r w:rsidR="00A90794" w:rsidRPr="00A018D9">
        <w:rPr>
          <w:sz w:val="22"/>
          <w:szCs w:val="22"/>
        </w:rPr>
        <w:t>), para. 30.</w:t>
      </w:r>
    </w:p>
    <w:p w14:paraId="39247B3D" w14:textId="27EF9030" w:rsidR="00A90794" w:rsidRPr="00A018D9" w:rsidRDefault="00F73408" w:rsidP="003317E5">
      <w:pPr>
        <w:spacing w:line="288" w:lineRule="auto"/>
        <w:rPr>
          <w:sz w:val="22"/>
          <w:szCs w:val="22"/>
        </w:rPr>
      </w:pPr>
      <w:r w:rsidRPr="00A018D9">
        <w:rPr>
          <w:sz w:val="22"/>
          <w:szCs w:val="22"/>
        </w:rPr>
        <w:t>2</w:t>
      </w:r>
      <w:r w:rsidR="00A90794" w:rsidRPr="00A018D9">
        <w:rPr>
          <w:sz w:val="22"/>
          <w:szCs w:val="22"/>
        </w:rPr>
        <w:t xml:space="preserve">.  </w:t>
      </w:r>
      <w:r w:rsidR="00A90794" w:rsidRPr="00A018D9">
        <w:rPr>
          <w:rFonts w:hint="eastAsia"/>
          <w:sz w:val="22"/>
          <w:szCs w:val="22"/>
        </w:rPr>
        <w:t>同上，《第七十届会议，补编第</w:t>
      </w:r>
      <w:r w:rsidR="00A90794" w:rsidRPr="00A018D9">
        <w:rPr>
          <w:sz w:val="22"/>
          <w:szCs w:val="22"/>
        </w:rPr>
        <w:t>10</w:t>
      </w:r>
      <w:r w:rsidR="00A90794" w:rsidRPr="00A018D9">
        <w:rPr>
          <w:rFonts w:hint="eastAsia"/>
          <w:sz w:val="22"/>
          <w:szCs w:val="22"/>
        </w:rPr>
        <w:t>号》</w:t>
      </w:r>
      <w:r w:rsidR="00A90794" w:rsidRPr="00A018D9">
        <w:rPr>
          <w:sz w:val="22"/>
          <w:szCs w:val="22"/>
        </w:rPr>
        <w:t>(</w:t>
      </w:r>
      <w:hyperlink r:id="rId13" w:history="1">
        <w:r w:rsidR="00A90794" w:rsidRPr="00A018D9">
          <w:rPr>
            <w:sz w:val="22"/>
            <w:szCs w:val="22"/>
          </w:rPr>
          <w:t>A/70/10</w:t>
        </w:r>
      </w:hyperlink>
      <w:r w:rsidR="00A90794" w:rsidRPr="00A018D9">
        <w:rPr>
          <w:sz w:val="22"/>
          <w:szCs w:val="22"/>
        </w:rPr>
        <w:t>)</w:t>
      </w:r>
      <w:r w:rsidR="00A90794" w:rsidRPr="00A018D9">
        <w:rPr>
          <w:rFonts w:hint="eastAsia"/>
          <w:sz w:val="22"/>
          <w:szCs w:val="22"/>
        </w:rPr>
        <w:t>，第</w:t>
      </w:r>
      <w:r w:rsidR="00A90794" w:rsidRPr="00A018D9">
        <w:rPr>
          <w:sz w:val="22"/>
          <w:szCs w:val="22"/>
        </w:rPr>
        <w:t>30</w:t>
      </w:r>
      <w:r w:rsidR="00A90794" w:rsidRPr="00A018D9">
        <w:rPr>
          <w:rFonts w:hint="eastAsia"/>
          <w:sz w:val="22"/>
          <w:szCs w:val="22"/>
        </w:rPr>
        <w:t>段。</w:t>
      </w:r>
    </w:p>
    <w:p w14:paraId="61C0FFA4" w14:textId="441C23F7" w:rsidR="00E002DA" w:rsidRPr="00A018D9" w:rsidRDefault="00E002DA" w:rsidP="003317E5">
      <w:pPr>
        <w:spacing w:line="288" w:lineRule="auto"/>
        <w:rPr>
          <w:sz w:val="22"/>
          <w:szCs w:val="22"/>
        </w:rPr>
      </w:pPr>
    </w:p>
    <w:p w14:paraId="3ED18429" w14:textId="23C0ED51" w:rsidR="00E002DA" w:rsidRPr="00A018D9" w:rsidRDefault="00F73408" w:rsidP="003317E5">
      <w:pPr>
        <w:tabs>
          <w:tab w:val="clear" w:pos="431"/>
        </w:tabs>
        <w:adjustRightInd/>
        <w:snapToGrid/>
        <w:spacing w:line="288" w:lineRule="auto"/>
        <w:jc w:val="left"/>
        <w:rPr>
          <w:rFonts w:asciiTheme="majorBidi" w:hAnsiTheme="majorBidi" w:cstheme="majorBidi"/>
          <w:sz w:val="22"/>
          <w:szCs w:val="22"/>
        </w:rPr>
      </w:pPr>
      <w:r w:rsidRPr="00A018D9">
        <w:rPr>
          <w:rFonts w:asciiTheme="majorBidi" w:hAnsiTheme="majorBidi" w:cstheme="majorBidi"/>
          <w:sz w:val="22"/>
          <w:szCs w:val="22"/>
        </w:rPr>
        <w:t>3</w:t>
      </w:r>
      <w:r w:rsidR="00E002DA" w:rsidRPr="00A018D9">
        <w:rPr>
          <w:rFonts w:asciiTheme="majorBidi" w:hAnsiTheme="majorBidi" w:cstheme="majorBidi"/>
          <w:sz w:val="22"/>
          <w:szCs w:val="22"/>
        </w:rPr>
        <w:t>.  </w:t>
      </w:r>
      <w:r w:rsidR="00E002DA" w:rsidRPr="00A018D9">
        <w:rPr>
          <w:rFonts w:asciiTheme="majorBidi" w:hAnsiTheme="majorBidi" w:cstheme="majorBidi"/>
          <w:i/>
          <w:iCs/>
          <w:sz w:val="22"/>
          <w:szCs w:val="22"/>
        </w:rPr>
        <w:t>Supra</w:t>
      </w:r>
      <w:r w:rsidR="00E002DA" w:rsidRPr="00A018D9">
        <w:rPr>
          <w:rFonts w:asciiTheme="majorBidi" w:hAnsiTheme="majorBidi" w:cstheme="majorBidi"/>
          <w:sz w:val="22"/>
          <w:szCs w:val="22"/>
        </w:rPr>
        <w:t>, note 6, p. 48, para. 52.</w:t>
      </w:r>
      <w:r w:rsidR="00E002DA" w:rsidRPr="00A018D9">
        <w:rPr>
          <w:rFonts w:asciiTheme="majorBidi" w:hAnsiTheme="majorBidi" w:cstheme="majorBidi"/>
          <w:sz w:val="22"/>
          <w:szCs w:val="22"/>
        </w:rPr>
        <w:br/>
      </w:r>
      <w:r w:rsidRPr="00A018D9">
        <w:rPr>
          <w:rFonts w:asciiTheme="majorBidi" w:hAnsiTheme="majorBidi" w:cstheme="majorBidi"/>
          <w:sz w:val="22"/>
          <w:szCs w:val="22"/>
        </w:rPr>
        <w:t>3</w:t>
      </w:r>
      <w:r w:rsidR="00E002DA" w:rsidRPr="00A018D9">
        <w:rPr>
          <w:rFonts w:asciiTheme="majorBidi" w:hAnsiTheme="majorBidi" w:cstheme="majorBidi"/>
          <w:sz w:val="22"/>
          <w:szCs w:val="22"/>
        </w:rPr>
        <w:t xml:space="preserve">.  </w:t>
      </w:r>
      <w:r w:rsidR="00E002DA" w:rsidRPr="00A018D9">
        <w:rPr>
          <w:rFonts w:asciiTheme="majorBidi" w:hAnsiTheme="majorBidi" w:cstheme="majorBidi" w:hint="eastAsia"/>
          <w:sz w:val="22"/>
          <w:szCs w:val="22"/>
        </w:rPr>
        <w:t>前注</w:t>
      </w:r>
      <w:r w:rsidR="00E002DA" w:rsidRPr="00A018D9">
        <w:rPr>
          <w:rFonts w:asciiTheme="majorBidi" w:hAnsiTheme="majorBidi" w:cstheme="majorBidi"/>
          <w:sz w:val="22"/>
          <w:szCs w:val="22"/>
        </w:rPr>
        <w:t>6</w:t>
      </w:r>
      <w:r w:rsidR="00E002DA" w:rsidRPr="00A018D9">
        <w:rPr>
          <w:rFonts w:asciiTheme="majorBidi" w:hAnsiTheme="majorBidi" w:cstheme="majorBidi" w:hint="eastAsia"/>
          <w:sz w:val="22"/>
          <w:szCs w:val="22"/>
        </w:rPr>
        <w:t>，第</w:t>
      </w:r>
      <w:r w:rsidR="00E002DA" w:rsidRPr="00A018D9">
        <w:rPr>
          <w:rFonts w:asciiTheme="majorBidi" w:hAnsiTheme="majorBidi" w:cstheme="majorBidi"/>
          <w:sz w:val="22"/>
          <w:szCs w:val="22"/>
        </w:rPr>
        <w:t>48</w:t>
      </w:r>
      <w:r w:rsidR="00E002DA" w:rsidRPr="00A018D9">
        <w:rPr>
          <w:rFonts w:asciiTheme="majorBidi" w:hAnsiTheme="majorBidi" w:cstheme="majorBidi" w:hint="eastAsia"/>
          <w:sz w:val="22"/>
          <w:szCs w:val="22"/>
        </w:rPr>
        <w:t>页，第</w:t>
      </w:r>
      <w:r w:rsidR="00E002DA" w:rsidRPr="00A018D9">
        <w:rPr>
          <w:rFonts w:asciiTheme="majorBidi" w:hAnsiTheme="majorBidi" w:cstheme="majorBidi"/>
          <w:sz w:val="22"/>
          <w:szCs w:val="22"/>
        </w:rPr>
        <w:t>52</w:t>
      </w:r>
      <w:r w:rsidR="00E002DA" w:rsidRPr="00A018D9">
        <w:rPr>
          <w:rFonts w:asciiTheme="majorBidi" w:hAnsiTheme="majorBidi" w:cstheme="majorBidi" w:hint="eastAsia"/>
          <w:sz w:val="22"/>
          <w:szCs w:val="22"/>
        </w:rPr>
        <w:t>段。</w:t>
      </w:r>
    </w:p>
    <w:p w14:paraId="744453F1" w14:textId="77777777" w:rsidR="009071FB" w:rsidRPr="00A018D9" w:rsidRDefault="009071FB" w:rsidP="003317E5">
      <w:pPr>
        <w:spacing w:line="288" w:lineRule="auto"/>
        <w:rPr>
          <w:sz w:val="22"/>
          <w:szCs w:val="22"/>
        </w:rPr>
      </w:pPr>
    </w:p>
    <w:p w14:paraId="56F99DB7" w14:textId="0D28FC75" w:rsidR="0054537B" w:rsidRPr="00A018D9" w:rsidRDefault="00F73408" w:rsidP="003317E5">
      <w:pPr>
        <w:tabs>
          <w:tab w:val="clear" w:pos="431"/>
        </w:tabs>
        <w:adjustRightInd/>
        <w:snapToGrid/>
        <w:spacing w:line="288" w:lineRule="auto"/>
        <w:jc w:val="left"/>
        <w:rPr>
          <w:rFonts w:asciiTheme="majorBidi" w:hAnsiTheme="majorBidi" w:cstheme="majorBidi"/>
          <w:sz w:val="22"/>
          <w:szCs w:val="22"/>
        </w:rPr>
      </w:pPr>
      <w:r w:rsidRPr="00A018D9">
        <w:rPr>
          <w:rFonts w:asciiTheme="majorBidi" w:hAnsiTheme="majorBidi" w:cstheme="majorBidi"/>
          <w:sz w:val="22"/>
          <w:szCs w:val="22"/>
        </w:rPr>
        <w:t>4</w:t>
      </w:r>
      <w:r w:rsidR="0054537B" w:rsidRPr="00A018D9">
        <w:rPr>
          <w:rFonts w:asciiTheme="majorBidi" w:hAnsiTheme="majorBidi" w:cstheme="majorBidi"/>
          <w:sz w:val="22"/>
          <w:szCs w:val="22"/>
        </w:rPr>
        <w:t>.  United Nations, </w:t>
      </w:r>
      <w:r w:rsidR="0054537B" w:rsidRPr="00A018D9">
        <w:rPr>
          <w:rFonts w:asciiTheme="majorBidi" w:hAnsiTheme="majorBidi" w:cstheme="majorBidi"/>
          <w:i/>
          <w:iCs/>
          <w:sz w:val="22"/>
          <w:szCs w:val="22"/>
        </w:rPr>
        <w:t>Treaty Series</w:t>
      </w:r>
      <w:r w:rsidR="0054537B" w:rsidRPr="00A018D9">
        <w:rPr>
          <w:rFonts w:asciiTheme="majorBidi" w:hAnsiTheme="majorBidi" w:cstheme="majorBidi"/>
          <w:sz w:val="22"/>
          <w:szCs w:val="22"/>
        </w:rPr>
        <w:t>, vol. 575, p.159.</w:t>
      </w:r>
      <w:r w:rsidR="0054537B" w:rsidRPr="00A018D9">
        <w:rPr>
          <w:rFonts w:asciiTheme="majorBidi" w:hAnsiTheme="majorBidi" w:cstheme="majorBidi"/>
          <w:sz w:val="22"/>
          <w:szCs w:val="22"/>
        </w:rPr>
        <w:br/>
      </w:r>
      <w:r w:rsidRPr="00A018D9">
        <w:rPr>
          <w:rFonts w:asciiTheme="majorBidi" w:hAnsiTheme="majorBidi" w:cstheme="majorBidi"/>
          <w:sz w:val="22"/>
          <w:szCs w:val="22"/>
        </w:rPr>
        <w:t>4</w:t>
      </w:r>
      <w:r w:rsidR="0054537B" w:rsidRPr="00A018D9">
        <w:rPr>
          <w:rFonts w:asciiTheme="majorBidi" w:hAnsiTheme="majorBidi" w:cstheme="majorBidi"/>
          <w:sz w:val="22"/>
          <w:szCs w:val="22"/>
        </w:rPr>
        <w:t xml:space="preserve">.  </w:t>
      </w:r>
      <w:r w:rsidR="0054537B" w:rsidRPr="00A018D9">
        <w:rPr>
          <w:rFonts w:asciiTheme="majorBidi" w:hAnsiTheme="majorBidi" w:cstheme="majorBidi" w:hint="eastAsia"/>
          <w:sz w:val="22"/>
          <w:szCs w:val="22"/>
        </w:rPr>
        <w:t>联合国，《条约汇编》，第</w:t>
      </w:r>
      <w:r w:rsidR="0054537B" w:rsidRPr="00A018D9">
        <w:rPr>
          <w:rFonts w:asciiTheme="majorBidi" w:hAnsiTheme="majorBidi" w:cstheme="majorBidi"/>
          <w:sz w:val="22"/>
          <w:szCs w:val="22"/>
        </w:rPr>
        <w:t>575</w:t>
      </w:r>
      <w:r w:rsidR="0054537B" w:rsidRPr="00A018D9">
        <w:rPr>
          <w:rFonts w:asciiTheme="majorBidi" w:hAnsiTheme="majorBidi" w:cstheme="majorBidi" w:hint="eastAsia"/>
          <w:sz w:val="22"/>
          <w:szCs w:val="22"/>
        </w:rPr>
        <w:t>卷，第</w:t>
      </w:r>
      <w:r w:rsidR="0054537B" w:rsidRPr="00A018D9">
        <w:rPr>
          <w:rFonts w:asciiTheme="majorBidi" w:hAnsiTheme="majorBidi" w:cstheme="majorBidi"/>
          <w:sz w:val="22"/>
          <w:szCs w:val="22"/>
        </w:rPr>
        <w:t>159</w:t>
      </w:r>
      <w:r w:rsidR="0054537B" w:rsidRPr="00A018D9">
        <w:rPr>
          <w:rFonts w:asciiTheme="majorBidi" w:hAnsiTheme="majorBidi" w:cstheme="majorBidi" w:hint="eastAsia"/>
          <w:sz w:val="22"/>
          <w:szCs w:val="22"/>
        </w:rPr>
        <w:t>页。</w:t>
      </w:r>
    </w:p>
    <w:p w14:paraId="58497941" w14:textId="77777777" w:rsidR="005F4722" w:rsidRPr="00A018D9" w:rsidRDefault="005F4722" w:rsidP="003317E5">
      <w:pPr>
        <w:spacing w:line="288" w:lineRule="auto"/>
        <w:ind w:left="1134"/>
        <w:rPr>
          <w:sz w:val="22"/>
          <w:szCs w:val="22"/>
        </w:rPr>
      </w:pPr>
    </w:p>
    <w:p w14:paraId="6638B1F5" w14:textId="313E3CCD" w:rsidR="009D72E8" w:rsidRPr="00A018D9" w:rsidRDefault="00F56841" w:rsidP="003317E5">
      <w:pPr>
        <w:spacing w:line="288" w:lineRule="auto"/>
        <w:rPr>
          <w:sz w:val="22"/>
          <w:szCs w:val="22"/>
        </w:rPr>
      </w:pPr>
      <w:r w:rsidRPr="00A018D9">
        <w:rPr>
          <w:sz w:val="22"/>
          <w:szCs w:val="22"/>
        </w:rPr>
        <w:t>5</w:t>
      </w:r>
      <w:r w:rsidR="00FD5F83" w:rsidRPr="00A018D9">
        <w:rPr>
          <w:sz w:val="22"/>
          <w:szCs w:val="22"/>
        </w:rPr>
        <w:t xml:space="preserve">.  </w:t>
      </w:r>
      <w:r w:rsidR="009D72E8" w:rsidRPr="00A018D9">
        <w:rPr>
          <w:sz w:val="22"/>
          <w:szCs w:val="22"/>
        </w:rPr>
        <w:t>Agreement for the Prosecution and Punishment of the Major War Criminals of The European Axis, United Nations, Treaty Series, vol. 82, p. 284.</w:t>
      </w:r>
    </w:p>
    <w:p w14:paraId="6403473E" w14:textId="53208B0E" w:rsidR="00676275" w:rsidRPr="00A018D9" w:rsidRDefault="00F56841" w:rsidP="003317E5">
      <w:pPr>
        <w:spacing w:line="288" w:lineRule="auto"/>
        <w:rPr>
          <w:sz w:val="22"/>
          <w:szCs w:val="22"/>
        </w:rPr>
      </w:pPr>
      <w:r w:rsidRPr="00A018D9">
        <w:rPr>
          <w:sz w:val="22"/>
          <w:szCs w:val="22"/>
        </w:rPr>
        <w:t>5</w:t>
      </w:r>
      <w:r w:rsidR="00FD5F83" w:rsidRPr="00A018D9">
        <w:rPr>
          <w:sz w:val="22"/>
          <w:szCs w:val="22"/>
        </w:rPr>
        <w:t xml:space="preserve">. </w:t>
      </w:r>
      <w:r w:rsidR="009D72E8" w:rsidRPr="00A018D9">
        <w:rPr>
          <w:rFonts w:hint="eastAsia"/>
          <w:sz w:val="22"/>
          <w:szCs w:val="22"/>
        </w:rPr>
        <w:t>《</w:t>
      </w:r>
      <w:r w:rsidR="00216D80" w:rsidRPr="00A018D9">
        <w:rPr>
          <w:rFonts w:hint="eastAsia"/>
          <w:sz w:val="22"/>
          <w:szCs w:val="22"/>
        </w:rPr>
        <w:t>关于</w:t>
      </w:r>
      <w:r w:rsidR="009D72E8" w:rsidRPr="00A018D9">
        <w:rPr>
          <w:rFonts w:hint="eastAsia"/>
          <w:sz w:val="22"/>
          <w:szCs w:val="22"/>
        </w:rPr>
        <w:t>控诉和惩处欧洲轴心国主要战犯的协定》，联合国，《条约汇编》，第</w:t>
      </w:r>
      <w:r w:rsidR="009D72E8" w:rsidRPr="00A018D9">
        <w:rPr>
          <w:sz w:val="22"/>
          <w:szCs w:val="22"/>
        </w:rPr>
        <w:t>82</w:t>
      </w:r>
      <w:r w:rsidR="009D72E8" w:rsidRPr="00A018D9">
        <w:rPr>
          <w:rFonts w:hint="eastAsia"/>
          <w:sz w:val="22"/>
          <w:szCs w:val="22"/>
        </w:rPr>
        <w:t>卷，第</w:t>
      </w:r>
      <w:r w:rsidR="009D72E8" w:rsidRPr="00A018D9">
        <w:rPr>
          <w:sz w:val="22"/>
          <w:szCs w:val="22"/>
        </w:rPr>
        <w:t>284</w:t>
      </w:r>
      <w:r w:rsidR="009D72E8" w:rsidRPr="00A018D9">
        <w:rPr>
          <w:rFonts w:hint="eastAsia"/>
          <w:sz w:val="22"/>
          <w:szCs w:val="22"/>
        </w:rPr>
        <w:t>页。</w:t>
      </w:r>
    </w:p>
    <w:p w14:paraId="2283674A" w14:textId="77777777" w:rsidR="002A7BAB" w:rsidRPr="00A018D9" w:rsidRDefault="002A7BAB" w:rsidP="003317E5">
      <w:pPr>
        <w:spacing w:line="288" w:lineRule="auto"/>
        <w:rPr>
          <w:sz w:val="22"/>
          <w:szCs w:val="22"/>
        </w:rPr>
      </w:pPr>
    </w:p>
    <w:p w14:paraId="2C50E871" w14:textId="1585B34C" w:rsidR="0054537B" w:rsidRPr="00A018D9" w:rsidRDefault="00F56841" w:rsidP="003317E5">
      <w:pPr>
        <w:pStyle w:val="Titre1"/>
        <w:shd w:val="clear" w:color="auto" w:fill="FFFFFF"/>
        <w:spacing w:before="0" w:line="288" w:lineRule="auto"/>
        <w:rPr>
          <w:rFonts w:eastAsia="SimSun"/>
          <w:b w:val="0"/>
          <w:bCs w:val="0"/>
          <w:color w:val="auto"/>
          <w:sz w:val="22"/>
          <w:szCs w:val="22"/>
        </w:rPr>
      </w:pPr>
      <w:r w:rsidRPr="00A018D9">
        <w:rPr>
          <w:rFonts w:asciiTheme="majorBidi" w:eastAsia="SimSun" w:hAnsiTheme="majorBidi" w:cstheme="majorBidi"/>
          <w:b w:val="0"/>
          <w:bCs w:val="0"/>
          <w:color w:val="auto"/>
          <w:sz w:val="22"/>
          <w:szCs w:val="22"/>
        </w:rPr>
        <w:t>6</w:t>
      </w:r>
      <w:r w:rsidR="0054537B" w:rsidRPr="00A018D9">
        <w:rPr>
          <w:rFonts w:asciiTheme="majorBidi" w:eastAsia="SimSun" w:hAnsiTheme="majorBidi" w:cstheme="majorBidi"/>
          <w:b w:val="0"/>
          <w:bCs w:val="0"/>
          <w:color w:val="auto"/>
          <w:sz w:val="22"/>
          <w:szCs w:val="22"/>
        </w:rPr>
        <w:t>.</w:t>
      </w:r>
      <w:r w:rsidR="009F74C5" w:rsidRPr="00A018D9">
        <w:rPr>
          <w:rFonts w:asciiTheme="majorBidi" w:eastAsia="SimSun" w:hAnsiTheme="majorBidi" w:cstheme="majorBidi"/>
          <w:b w:val="0"/>
          <w:bCs w:val="0"/>
          <w:color w:val="auto"/>
          <w:sz w:val="22"/>
          <w:szCs w:val="22"/>
        </w:rPr>
        <w:t xml:space="preserve">  </w:t>
      </w:r>
      <w:r w:rsidR="0054537B" w:rsidRPr="00A018D9">
        <w:rPr>
          <w:rFonts w:asciiTheme="majorBidi" w:eastAsia="SimSun" w:hAnsiTheme="majorBidi" w:cstheme="majorBidi"/>
          <w:b w:val="0"/>
          <w:bCs w:val="0"/>
          <w:i/>
          <w:iCs/>
          <w:color w:val="auto"/>
          <w:sz w:val="22"/>
          <w:szCs w:val="22"/>
        </w:rPr>
        <w:t>Yearbook …</w:t>
      </w:r>
      <w:r w:rsidR="0054537B" w:rsidRPr="00A018D9">
        <w:rPr>
          <w:rFonts w:asciiTheme="majorBidi" w:eastAsia="SimSun" w:hAnsiTheme="majorBidi" w:cstheme="majorBidi"/>
          <w:b w:val="0"/>
          <w:bCs w:val="0"/>
          <w:color w:val="auto"/>
          <w:sz w:val="22"/>
          <w:szCs w:val="22"/>
        </w:rPr>
        <w:t> </w:t>
      </w:r>
      <w:r w:rsidR="0054537B" w:rsidRPr="00A018D9">
        <w:rPr>
          <w:rFonts w:asciiTheme="majorBidi" w:eastAsia="SimSun" w:hAnsiTheme="majorBidi" w:cstheme="majorBidi"/>
          <w:b w:val="0"/>
          <w:bCs w:val="0"/>
          <w:i/>
          <w:iCs/>
          <w:color w:val="auto"/>
          <w:sz w:val="22"/>
          <w:szCs w:val="22"/>
        </w:rPr>
        <w:t>1977</w:t>
      </w:r>
      <w:r w:rsidR="0054537B" w:rsidRPr="00A018D9">
        <w:rPr>
          <w:rFonts w:asciiTheme="majorBidi" w:eastAsia="SimSun" w:hAnsiTheme="majorBidi" w:cstheme="majorBidi"/>
          <w:b w:val="0"/>
          <w:bCs w:val="0"/>
          <w:color w:val="auto"/>
          <w:sz w:val="22"/>
          <w:szCs w:val="22"/>
        </w:rPr>
        <w:t>, vol. II (Part Two), pp. 30-50.</w:t>
      </w:r>
      <w:r w:rsidR="0054537B" w:rsidRPr="00A018D9">
        <w:rPr>
          <w:rFonts w:asciiTheme="majorBidi" w:eastAsia="SimSun" w:hAnsiTheme="majorBidi" w:cstheme="majorBidi"/>
          <w:b w:val="0"/>
          <w:bCs w:val="0"/>
          <w:color w:val="auto"/>
          <w:sz w:val="22"/>
          <w:szCs w:val="22"/>
        </w:rPr>
        <w:br/>
      </w:r>
      <w:r w:rsidRPr="00A018D9">
        <w:rPr>
          <w:rFonts w:eastAsia="SimSun"/>
          <w:b w:val="0"/>
          <w:bCs w:val="0"/>
          <w:color w:val="auto"/>
          <w:sz w:val="22"/>
          <w:szCs w:val="22"/>
        </w:rPr>
        <w:t>6</w:t>
      </w:r>
      <w:r w:rsidR="0054537B" w:rsidRPr="00A018D9">
        <w:rPr>
          <w:rFonts w:eastAsia="SimSun"/>
          <w:b w:val="0"/>
          <w:bCs w:val="0"/>
          <w:color w:val="auto"/>
          <w:sz w:val="22"/>
          <w:szCs w:val="22"/>
        </w:rPr>
        <w:t>.</w:t>
      </w:r>
      <w:r w:rsidR="009F74C5" w:rsidRPr="00A018D9">
        <w:rPr>
          <w:rFonts w:eastAsia="SimSun"/>
          <w:b w:val="0"/>
          <w:bCs w:val="0"/>
          <w:color w:val="auto"/>
          <w:sz w:val="22"/>
          <w:szCs w:val="22"/>
        </w:rPr>
        <w:t xml:space="preserve"> </w:t>
      </w:r>
      <w:r w:rsidR="0054537B" w:rsidRPr="00A018D9">
        <w:rPr>
          <w:rFonts w:eastAsia="SimSun" w:hint="eastAsia"/>
          <w:b w:val="0"/>
          <w:bCs w:val="0"/>
          <w:color w:val="auto"/>
          <w:sz w:val="22"/>
          <w:szCs w:val="22"/>
        </w:rPr>
        <w:t>《</w:t>
      </w:r>
      <w:r w:rsidR="0054537B" w:rsidRPr="00A018D9">
        <w:rPr>
          <w:rFonts w:eastAsia="SimSun"/>
          <w:b w:val="0"/>
          <w:bCs w:val="0"/>
          <w:color w:val="auto"/>
          <w:sz w:val="22"/>
          <w:szCs w:val="22"/>
        </w:rPr>
        <w:t>1977</w:t>
      </w:r>
      <w:r w:rsidR="0054537B" w:rsidRPr="00A018D9">
        <w:rPr>
          <w:rFonts w:eastAsia="SimSun" w:hint="eastAsia"/>
          <w:b w:val="0"/>
          <w:bCs w:val="0"/>
          <w:color w:val="auto"/>
          <w:sz w:val="22"/>
          <w:szCs w:val="22"/>
        </w:rPr>
        <w:t>年</w:t>
      </w:r>
      <w:r w:rsidR="00701C48" w:rsidRPr="00A018D9">
        <w:rPr>
          <w:rFonts w:eastAsia="SimSun" w:hint="eastAsia"/>
          <w:b w:val="0"/>
          <w:bCs w:val="0"/>
          <w:color w:val="auto"/>
          <w:sz w:val="22"/>
          <w:szCs w:val="22"/>
        </w:rPr>
        <w:t>……</w:t>
      </w:r>
      <w:r w:rsidR="0054537B" w:rsidRPr="00A018D9">
        <w:rPr>
          <w:rFonts w:eastAsia="SimSun" w:hint="eastAsia"/>
          <w:b w:val="0"/>
          <w:bCs w:val="0"/>
          <w:color w:val="auto"/>
          <w:sz w:val="22"/>
          <w:szCs w:val="22"/>
        </w:rPr>
        <w:t>年鉴》</w:t>
      </w:r>
      <w:r w:rsidR="0054537B" w:rsidRPr="00A018D9">
        <w:rPr>
          <w:rFonts w:eastAsia="SimSun"/>
          <w:b w:val="0"/>
          <w:bCs w:val="0"/>
          <w:color w:val="auto"/>
          <w:sz w:val="22"/>
          <w:szCs w:val="22"/>
        </w:rPr>
        <w:t xml:space="preserve">, </w:t>
      </w:r>
      <w:r w:rsidR="0054537B" w:rsidRPr="00A018D9">
        <w:rPr>
          <w:rFonts w:eastAsia="SimSun" w:hint="eastAsia"/>
          <w:b w:val="0"/>
          <w:bCs w:val="0"/>
          <w:color w:val="auto"/>
          <w:sz w:val="22"/>
          <w:szCs w:val="22"/>
        </w:rPr>
        <w:t>第二卷</w:t>
      </w:r>
      <w:r w:rsidR="002F1783" w:rsidRPr="00A018D9">
        <w:rPr>
          <w:rFonts w:eastAsia="SimSun"/>
          <w:b w:val="0"/>
          <w:bCs w:val="0"/>
          <w:color w:val="auto"/>
          <w:sz w:val="22"/>
          <w:szCs w:val="22"/>
        </w:rPr>
        <w:t>(</w:t>
      </w:r>
      <w:r w:rsidR="0054537B" w:rsidRPr="00A018D9">
        <w:rPr>
          <w:rFonts w:eastAsia="SimSun" w:hint="eastAsia"/>
          <w:b w:val="0"/>
          <w:bCs w:val="0"/>
          <w:color w:val="auto"/>
          <w:sz w:val="22"/>
          <w:szCs w:val="22"/>
        </w:rPr>
        <w:t>第二部分</w:t>
      </w:r>
      <w:r w:rsidR="002F1783" w:rsidRPr="00A018D9">
        <w:rPr>
          <w:rFonts w:eastAsia="SimSun"/>
          <w:b w:val="0"/>
          <w:bCs w:val="0"/>
          <w:color w:val="auto"/>
          <w:sz w:val="22"/>
          <w:szCs w:val="22"/>
        </w:rPr>
        <w:t>)</w:t>
      </w:r>
      <w:r w:rsidR="0054537B" w:rsidRPr="00A018D9">
        <w:rPr>
          <w:rFonts w:eastAsia="SimSun" w:hint="eastAsia"/>
          <w:b w:val="0"/>
          <w:bCs w:val="0"/>
          <w:color w:val="auto"/>
          <w:sz w:val="22"/>
          <w:szCs w:val="22"/>
        </w:rPr>
        <w:t>，第</w:t>
      </w:r>
      <w:r w:rsidR="0054537B" w:rsidRPr="00A018D9">
        <w:rPr>
          <w:rFonts w:eastAsia="SimSun"/>
          <w:b w:val="0"/>
          <w:bCs w:val="0"/>
          <w:color w:val="auto"/>
          <w:sz w:val="22"/>
          <w:szCs w:val="22"/>
        </w:rPr>
        <w:t>30-50</w:t>
      </w:r>
      <w:r w:rsidR="0054537B" w:rsidRPr="00A018D9">
        <w:rPr>
          <w:rFonts w:eastAsia="SimSun" w:hint="eastAsia"/>
          <w:b w:val="0"/>
          <w:bCs w:val="0"/>
          <w:color w:val="auto"/>
          <w:sz w:val="22"/>
          <w:szCs w:val="22"/>
        </w:rPr>
        <w:t>页。</w:t>
      </w:r>
    </w:p>
    <w:p w14:paraId="6FE93C7B" w14:textId="77777777" w:rsidR="002A7BAB" w:rsidRPr="00A018D9" w:rsidRDefault="002A7BAB" w:rsidP="003317E5">
      <w:pPr>
        <w:spacing w:line="288" w:lineRule="auto"/>
        <w:rPr>
          <w:sz w:val="22"/>
          <w:szCs w:val="22"/>
        </w:rPr>
      </w:pPr>
    </w:p>
    <w:p w14:paraId="48A44D1B" w14:textId="4656A625" w:rsidR="00BE778D" w:rsidRPr="00A018D9" w:rsidRDefault="00F56841" w:rsidP="003317E5">
      <w:pPr>
        <w:tabs>
          <w:tab w:val="clear" w:pos="431"/>
        </w:tabs>
        <w:adjustRightInd/>
        <w:snapToGrid/>
        <w:spacing w:line="288" w:lineRule="auto"/>
        <w:rPr>
          <w:rFonts w:asciiTheme="majorBidi" w:hAnsiTheme="majorBidi" w:cstheme="majorBidi"/>
          <w:sz w:val="22"/>
          <w:szCs w:val="22"/>
        </w:rPr>
      </w:pPr>
      <w:r w:rsidRPr="00A018D9">
        <w:rPr>
          <w:rFonts w:asciiTheme="majorBidi" w:hAnsiTheme="majorBidi" w:cstheme="majorBidi"/>
          <w:sz w:val="22"/>
          <w:szCs w:val="22"/>
        </w:rPr>
        <w:t>7</w:t>
      </w:r>
      <w:r w:rsidR="0054537B" w:rsidRPr="00A018D9">
        <w:rPr>
          <w:rFonts w:asciiTheme="majorBidi" w:hAnsiTheme="majorBidi" w:cstheme="majorBidi"/>
          <w:sz w:val="22"/>
          <w:szCs w:val="22"/>
        </w:rPr>
        <w:t xml:space="preserve">.  See </w:t>
      </w:r>
      <w:proofErr w:type="spellStart"/>
      <w:r w:rsidR="0054537B" w:rsidRPr="00A018D9">
        <w:rPr>
          <w:rFonts w:asciiTheme="majorBidi" w:hAnsiTheme="majorBidi" w:cstheme="majorBidi"/>
          <w:sz w:val="22"/>
          <w:szCs w:val="22"/>
        </w:rPr>
        <w:t>Ago’s</w:t>
      </w:r>
      <w:proofErr w:type="spellEnd"/>
      <w:r w:rsidR="0054537B" w:rsidRPr="00A018D9">
        <w:rPr>
          <w:rFonts w:asciiTheme="majorBidi" w:hAnsiTheme="majorBidi" w:cstheme="majorBidi"/>
          <w:sz w:val="22"/>
          <w:szCs w:val="22"/>
        </w:rPr>
        <w:t xml:space="preserve"> First Report on State Responsibility, </w:t>
      </w:r>
      <w:r w:rsidR="0054537B" w:rsidRPr="00A018D9">
        <w:rPr>
          <w:rFonts w:asciiTheme="majorBidi" w:hAnsiTheme="majorBidi" w:cstheme="majorBidi"/>
          <w:i/>
          <w:iCs/>
          <w:sz w:val="22"/>
          <w:szCs w:val="22"/>
        </w:rPr>
        <w:t>Yearbook …</w:t>
      </w:r>
      <w:r w:rsidR="0054537B" w:rsidRPr="00A018D9">
        <w:rPr>
          <w:rFonts w:asciiTheme="majorBidi" w:hAnsiTheme="majorBidi" w:cstheme="majorBidi"/>
          <w:sz w:val="22"/>
          <w:szCs w:val="22"/>
        </w:rPr>
        <w:t> 1969, vol. II, pp. 125-141, document A/CN.4/217 and Add.1; and Second Report on State</w:t>
      </w:r>
      <w:r w:rsidR="007B0783" w:rsidRPr="00A018D9">
        <w:rPr>
          <w:rFonts w:asciiTheme="majorBidi" w:hAnsiTheme="majorBidi" w:cstheme="majorBidi"/>
          <w:sz w:val="22"/>
          <w:szCs w:val="22"/>
        </w:rPr>
        <w:t xml:space="preserve"> </w:t>
      </w:r>
      <w:proofErr w:type="gramStart"/>
      <w:r w:rsidR="007B0783" w:rsidRPr="00A018D9">
        <w:rPr>
          <w:rFonts w:asciiTheme="majorBidi" w:hAnsiTheme="majorBidi" w:cstheme="majorBidi"/>
          <w:sz w:val="22"/>
          <w:szCs w:val="22"/>
        </w:rPr>
        <w:t xml:space="preserve">responsibility, </w:t>
      </w:r>
      <w:r w:rsidR="0054537B" w:rsidRPr="00A018D9">
        <w:rPr>
          <w:rFonts w:asciiTheme="majorBidi" w:hAnsiTheme="majorBidi" w:cstheme="majorBidi"/>
          <w:sz w:val="22"/>
          <w:szCs w:val="22"/>
        </w:rPr>
        <w:t xml:space="preserve"> </w:t>
      </w:r>
      <w:r w:rsidR="0054537B" w:rsidRPr="00A018D9">
        <w:rPr>
          <w:rFonts w:asciiTheme="majorBidi" w:hAnsiTheme="majorBidi" w:cstheme="majorBidi"/>
          <w:i/>
          <w:iCs/>
          <w:sz w:val="22"/>
          <w:szCs w:val="22"/>
        </w:rPr>
        <w:t>Yearbook</w:t>
      </w:r>
      <w:proofErr w:type="gramEnd"/>
      <w:r w:rsidR="0054537B" w:rsidRPr="00A018D9">
        <w:rPr>
          <w:rFonts w:asciiTheme="majorBidi" w:hAnsiTheme="majorBidi" w:cstheme="majorBidi"/>
          <w:i/>
          <w:iCs/>
          <w:sz w:val="22"/>
          <w:szCs w:val="22"/>
        </w:rPr>
        <w:t xml:space="preserve"> …</w:t>
      </w:r>
      <w:r w:rsidR="0054537B" w:rsidRPr="00A018D9">
        <w:rPr>
          <w:rFonts w:asciiTheme="majorBidi" w:hAnsiTheme="majorBidi" w:cstheme="majorBidi"/>
          <w:sz w:val="22"/>
          <w:szCs w:val="22"/>
        </w:rPr>
        <w:t> 1970, vol. II, pp. 177-197, document A/CN.4/233.</w:t>
      </w:r>
    </w:p>
    <w:p w14:paraId="36F1FA1D" w14:textId="47A14523" w:rsidR="0054537B" w:rsidRPr="00A018D9" w:rsidRDefault="00F56841" w:rsidP="003317E5">
      <w:pPr>
        <w:tabs>
          <w:tab w:val="clear" w:pos="431"/>
        </w:tabs>
        <w:adjustRightInd/>
        <w:snapToGrid/>
        <w:spacing w:line="288" w:lineRule="auto"/>
        <w:rPr>
          <w:rFonts w:asciiTheme="majorBidi" w:hAnsiTheme="majorBidi" w:cstheme="majorBidi"/>
          <w:sz w:val="22"/>
          <w:szCs w:val="22"/>
        </w:rPr>
      </w:pPr>
      <w:r w:rsidRPr="00A018D9">
        <w:rPr>
          <w:rFonts w:asciiTheme="majorBidi" w:hAnsiTheme="majorBidi" w:cstheme="majorBidi"/>
          <w:sz w:val="22"/>
          <w:szCs w:val="22"/>
        </w:rPr>
        <w:t>7</w:t>
      </w:r>
      <w:r w:rsidR="0054537B" w:rsidRPr="00A018D9">
        <w:rPr>
          <w:rFonts w:asciiTheme="majorBidi" w:hAnsiTheme="majorBidi" w:cstheme="majorBidi"/>
          <w:sz w:val="22"/>
          <w:szCs w:val="22"/>
        </w:rPr>
        <w:t xml:space="preserve">.  </w:t>
      </w:r>
      <w:r w:rsidR="0054537B" w:rsidRPr="00A018D9">
        <w:rPr>
          <w:rFonts w:asciiTheme="majorBidi" w:hAnsiTheme="majorBidi" w:cstheme="majorBidi" w:hint="eastAsia"/>
          <w:sz w:val="22"/>
          <w:szCs w:val="22"/>
        </w:rPr>
        <w:t>见阿戈关于国家责任的第一次报告，《</w:t>
      </w:r>
      <w:r w:rsidR="0054537B" w:rsidRPr="00A018D9">
        <w:rPr>
          <w:rFonts w:asciiTheme="majorBidi" w:hAnsiTheme="majorBidi" w:cstheme="majorBidi"/>
          <w:sz w:val="22"/>
          <w:szCs w:val="22"/>
        </w:rPr>
        <w:t>1969</w:t>
      </w:r>
      <w:r w:rsidR="0054537B" w:rsidRPr="00A018D9">
        <w:rPr>
          <w:rFonts w:asciiTheme="majorBidi" w:hAnsiTheme="majorBidi" w:cstheme="majorBidi" w:hint="eastAsia"/>
          <w:sz w:val="22"/>
          <w:szCs w:val="22"/>
        </w:rPr>
        <w:t>年</w:t>
      </w:r>
      <w:r w:rsidR="00B35A44" w:rsidRPr="00A018D9">
        <w:rPr>
          <w:rFonts w:asciiTheme="majorBidi" w:hAnsiTheme="majorBidi" w:cstheme="majorBidi" w:hint="eastAsia"/>
          <w:sz w:val="22"/>
          <w:szCs w:val="22"/>
        </w:rPr>
        <w:t>……</w:t>
      </w:r>
      <w:r w:rsidR="0054537B" w:rsidRPr="00A018D9">
        <w:rPr>
          <w:rFonts w:asciiTheme="majorBidi" w:hAnsiTheme="majorBidi" w:cstheme="majorBidi" w:hint="eastAsia"/>
          <w:sz w:val="22"/>
          <w:szCs w:val="22"/>
        </w:rPr>
        <w:t>年鉴》，第二卷，第</w:t>
      </w:r>
      <w:r w:rsidR="0054537B" w:rsidRPr="00A018D9">
        <w:rPr>
          <w:rFonts w:asciiTheme="majorBidi" w:hAnsiTheme="majorBidi" w:cstheme="majorBidi"/>
          <w:sz w:val="22"/>
          <w:szCs w:val="22"/>
        </w:rPr>
        <w:t>125</w:t>
      </w:r>
      <w:r w:rsidR="00B35A44" w:rsidRPr="00A018D9">
        <w:rPr>
          <w:rFonts w:asciiTheme="majorBidi" w:hAnsiTheme="majorBidi" w:cstheme="majorBidi"/>
          <w:sz w:val="22"/>
          <w:szCs w:val="22"/>
        </w:rPr>
        <w:t>-</w:t>
      </w:r>
      <w:r w:rsidR="0054537B" w:rsidRPr="00A018D9">
        <w:rPr>
          <w:rFonts w:asciiTheme="majorBidi" w:hAnsiTheme="majorBidi" w:cstheme="majorBidi"/>
          <w:sz w:val="22"/>
          <w:szCs w:val="22"/>
        </w:rPr>
        <w:t>141</w:t>
      </w:r>
      <w:r w:rsidR="0054537B" w:rsidRPr="00A018D9">
        <w:rPr>
          <w:rFonts w:asciiTheme="majorBidi" w:hAnsiTheme="majorBidi" w:cstheme="majorBidi" w:hint="eastAsia"/>
          <w:sz w:val="22"/>
          <w:szCs w:val="22"/>
        </w:rPr>
        <w:t>页，</w:t>
      </w:r>
      <w:r w:rsidR="0054537B" w:rsidRPr="00A018D9">
        <w:rPr>
          <w:rFonts w:asciiTheme="majorBidi" w:hAnsiTheme="majorBidi" w:cstheme="majorBidi"/>
          <w:sz w:val="22"/>
          <w:szCs w:val="22"/>
        </w:rPr>
        <w:t>A/CN.4/217</w:t>
      </w:r>
      <w:r w:rsidR="0054537B" w:rsidRPr="00A018D9">
        <w:rPr>
          <w:rFonts w:asciiTheme="majorBidi" w:hAnsiTheme="majorBidi" w:cstheme="majorBidi" w:hint="eastAsia"/>
          <w:sz w:val="22"/>
          <w:szCs w:val="22"/>
        </w:rPr>
        <w:t>和</w:t>
      </w:r>
      <w:r w:rsidR="0054537B" w:rsidRPr="00A018D9">
        <w:rPr>
          <w:rFonts w:asciiTheme="majorBidi" w:hAnsiTheme="majorBidi" w:cstheme="majorBidi"/>
          <w:sz w:val="22"/>
          <w:szCs w:val="22"/>
        </w:rPr>
        <w:t>Add.1</w:t>
      </w:r>
      <w:r w:rsidR="0054537B" w:rsidRPr="00A018D9">
        <w:rPr>
          <w:rFonts w:asciiTheme="majorBidi" w:hAnsiTheme="majorBidi" w:cstheme="majorBidi" w:hint="eastAsia"/>
          <w:sz w:val="22"/>
          <w:szCs w:val="22"/>
        </w:rPr>
        <w:t>号文件；及关于国家责任的第二次报告，《</w:t>
      </w:r>
      <w:r w:rsidR="0054537B" w:rsidRPr="00A018D9">
        <w:rPr>
          <w:rFonts w:asciiTheme="majorBidi" w:hAnsiTheme="majorBidi" w:cstheme="majorBidi"/>
          <w:sz w:val="22"/>
          <w:szCs w:val="22"/>
        </w:rPr>
        <w:t>1970</w:t>
      </w:r>
      <w:r w:rsidR="0054537B" w:rsidRPr="00A018D9">
        <w:rPr>
          <w:rFonts w:asciiTheme="majorBidi" w:hAnsiTheme="majorBidi" w:cstheme="majorBidi" w:hint="eastAsia"/>
          <w:sz w:val="22"/>
          <w:szCs w:val="22"/>
        </w:rPr>
        <w:t>年</w:t>
      </w:r>
      <w:r w:rsidR="00B35A44" w:rsidRPr="00A018D9">
        <w:rPr>
          <w:rFonts w:asciiTheme="majorBidi" w:hAnsiTheme="majorBidi" w:cstheme="majorBidi" w:hint="eastAsia"/>
          <w:sz w:val="22"/>
          <w:szCs w:val="22"/>
        </w:rPr>
        <w:t>……</w:t>
      </w:r>
      <w:r w:rsidR="0054537B" w:rsidRPr="00A018D9">
        <w:rPr>
          <w:rFonts w:asciiTheme="majorBidi" w:hAnsiTheme="majorBidi" w:cstheme="majorBidi" w:hint="eastAsia"/>
          <w:sz w:val="22"/>
          <w:szCs w:val="22"/>
        </w:rPr>
        <w:t>年鉴》，第二卷，第</w:t>
      </w:r>
      <w:r w:rsidR="0054537B" w:rsidRPr="00A018D9">
        <w:rPr>
          <w:rFonts w:asciiTheme="majorBidi" w:hAnsiTheme="majorBidi" w:cstheme="majorBidi"/>
          <w:sz w:val="22"/>
          <w:szCs w:val="22"/>
        </w:rPr>
        <w:t>177-197</w:t>
      </w:r>
      <w:r w:rsidR="0054537B" w:rsidRPr="00A018D9">
        <w:rPr>
          <w:rFonts w:asciiTheme="majorBidi" w:hAnsiTheme="majorBidi" w:cstheme="majorBidi" w:hint="eastAsia"/>
          <w:sz w:val="22"/>
          <w:szCs w:val="22"/>
        </w:rPr>
        <w:t>页，</w:t>
      </w:r>
      <w:r w:rsidR="0054537B" w:rsidRPr="00A018D9">
        <w:rPr>
          <w:rFonts w:asciiTheme="majorBidi" w:hAnsiTheme="majorBidi" w:cstheme="majorBidi"/>
          <w:sz w:val="22"/>
          <w:szCs w:val="22"/>
        </w:rPr>
        <w:t>A/CN.4/233</w:t>
      </w:r>
      <w:r w:rsidR="0054537B" w:rsidRPr="00A018D9">
        <w:rPr>
          <w:rFonts w:asciiTheme="majorBidi" w:hAnsiTheme="majorBidi" w:cstheme="majorBidi" w:hint="eastAsia"/>
          <w:sz w:val="22"/>
          <w:szCs w:val="22"/>
        </w:rPr>
        <w:t>号文件。</w:t>
      </w:r>
      <w:r w:rsidR="0054537B" w:rsidRPr="00A018D9">
        <w:rPr>
          <w:rFonts w:asciiTheme="majorBidi" w:hAnsiTheme="majorBidi" w:cstheme="majorBidi"/>
          <w:sz w:val="22"/>
          <w:szCs w:val="22"/>
        </w:rPr>
        <w:t xml:space="preserve"> </w:t>
      </w:r>
    </w:p>
    <w:p w14:paraId="3D6F75C3" w14:textId="38310CEC" w:rsidR="009D72E8" w:rsidRPr="00A018D9" w:rsidRDefault="009D72E8" w:rsidP="003317E5">
      <w:pPr>
        <w:tabs>
          <w:tab w:val="clear" w:pos="431"/>
        </w:tabs>
        <w:adjustRightInd/>
        <w:snapToGrid/>
        <w:spacing w:line="288" w:lineRule="auto"/>
        <w:rPr>
          <w:rFonts w:asciiTheme="majorBidi" w:hAnsiTheme="majorBidi" w:cstheme="majorBidi"/>
          <w:sz w:val="22"/>
          <w:szCs w:val="22"/>
        </w:rPr>
      </w:pPr>
    </w:p>
    <w:p w14:paraId="4CC995BF" w14:textId="22CB558D" w:rsidR="005D45FC" w:rsidRPr="00A018D9" w:rsidRDefault="005D45FC" w:rsidP="003317E5">
      <w:pPr>
        <w:tabs>
          <w:tab w:val="clear" w:pos="431"/>
        </w:tabs>
        <w:adjustRightInd/>
        <w:snapToGrid/>
        <w:spacing w:line="288" w:lineRule="auto"/>
        <w:rPr>
          <w:rFonts w:asciiTheme="majorBidi" w:hAnsiTheme="majorBidi" w:cstheme="majorBidi"/>
          <w:sz w:val="22"/>
          <w:szCs w:val="22"/>
        </w:rPr>
      </w:pPr>
      <w:r w:rsidRPr="00A018D9">
        <w:rPr>
          <w:sz w:val="22"/>
          <w:szCs w:val="22"/>
        </w:rPr>
        <w:t xml:space="preserve">8.  See Human Rights Committee, general comment No. 31, para. 15 (report of the Human Rights Committee, </w:t>
      </w:r>
      <w:r w:rsidRPr="00A018D9">
        <w:rPr>
          <w:i/>
          <w:sz w:val="22"/>
          <w:szCs w:val="22"/>
        </w:rPr>
        <w:t>Official records of the General Assembly, Fifty-ninth Session, Supplement No. 40</w:t>
      </w:r>
      <w:r w:rsidRPr="00A018D9">
        <w:rPr>
          <w:sz w:val="22"/>
          <w:szCs w:val="22"/>
        </w:rPr>
        <w:t xml:space="preserve"> (</w:t>
      </w:r>
      <w:hyperlink r:id="rId14" w:history="1">
        <w:r w:rsidRPr="00A018D9">
          <w:rPr>
            <w:rStyle w:val="Lienhypertexte"/>
            <w:sz w:val="22"/>
            <w:szCs w:val="22"/>
          </w:rPr>
          <w:t>A/59/40</w:t>
        </w:r>
      </w:hyperlink>
      <w:r w:rsidRPr="00A018D9">
        <w:rPr>
          <w:sz w:val="22"/>
          <w:szCs w:val="22"/>
        </w:rPr>
        <w:t xml:space="preserve">), vol. I, annex III); see also </w:t>
      </w:r>
      <w:proofErr w:type="spellStart"/>
      <w:r w:rsidRPr="00A018D9">
        <w:rPr>
          <w:i/>
          <w:iCs/>
          <w:sz w:val="22"/>
          <w:szCs w:val="22"/>
        </w:rPr>
        <w:t>Nazriev</w:t>
      </w:r>
      <w:proofErr w:type="spellEnd"/>
      <w:r w:rsidRPr="00A018D9">
        <w:rPr>
          <w:i/>
          <w:iCs/>
          <w:sz w:val="22"/>
          <w:szCs w:val="22"/>
        </w:rPr>
        <w:t xml:space="preserve"> v. Tajikistan</w:t>
      </w:r>
      <w:r w:rsidRPr="00A018D9">
        <w:rPr>
          <w:sz w:val="22"/>
          <w:szCs w:val="22"/>
        </w:rPr>
        <w:t>, Communication No. 1044/2002, views adopted on 17 March 2006, para. 8.2 (</w:t>
      </w:r>
      <w:r w:rsidRPr="00A018D9">
        <w:rPr>
          <w:i/>
          <w:iCs/>
          <w:sz w:val="22"/>
          <w:szCs w:val="22"/>
        </w:rPr>
        <w:t>ibid</w:t>
      </w:r>
      <w:r w:rsidRPr="00A018D9">
        <w:rPr>
          <w:iCs/>
          <w:sz w:val="22"/>
          <w:szCs w:val="22"/>
        </w:rPr>
        <w:t xml:space="preserve">., </w:t>
      </w:r>
      <w:r w:rsidRPr="00A018D9">
        <w:rPr>
          <w:i/>
          <w:sz w:val="22"/>
          <w:szCs w:val="22"/>
        </w:rPr>
        <w:t>Sixty-first Session, Supplement No. 40</w:t>
      </w:r>
      <w:r w:rsidRPr="00A018D9">
        <w:rPr>
          <w:sz w:val="22"/>
          <w:szCs w:val="22"/>
        </w:rPr>
        <w:t xml:space="preserve"> (</w:t>
      </w:r>
      <w:hyperlink r:id="rId15" w:history="1">
        <w:r w:rsidRPr="00A018D9">
          <w:rPr>
            <w:rStyle w:val="Lienhypertexte"/>
            <w:sz w:val="22"/>
            <w:szCs w:val="22"/>
          </w:rPr>
          <w:t>A/61/40</w:t>
        </w:r>
      </w:hyperlink>
      <w:r w:rsidRPr="00A018D9">
        <w:rPr>
          <w:sz w:val="22"/>
          <w:szCs w:val="22"/>
        </w:rPr>
        <w:t xml:space="preserve">), </w:t>
      </w:r>
      <w:hyperlink r:id="rId16" w:history="1">
        <w:r w:rsidRPr="00A018D9">
          <w:rPr>
            <w:sz w:val="22"/>
            <w:szCs w:val="22"/>
          </w:rPr>
          <w:t>vol. II</w:t>
        </w:r>
      </w:hyperlink>
      <w:r w:rsidRPr="00A018D9">
        <w:rPr>
          <w:sz w:val="22"/>
          <w:szCs w:val="22"/>
        </w:rPr>
        <w:t>, annex V, sect. P).</w:t>
      </w:r>
    </w:p>
    <w:p w14:paraId="178A9C7F" w14:textId="30CA7A2E" w:rsidR="00346340" w:rsidRPr="00A018D9" w:rsidRDefault="005D45FC" w:rsidP="003317E5">
      <w:pPr>
        <w:tabs>
          <w:tab w:val="clear" w:pos="431"/>
        </w:tabs>
        <w:adjustRightInd/>
        <w:snapToGrid/>
        <w:spacing w:line="288" w:lineRule="auto"/>
        <w:rPr>
          <w:rFonts w:asciiTheme="majorBidi" w:hAnsiTheme="majorBidi" w:cstheme="majorBidi"/>
          <w:sz w:val="22"/>
          <w:szCs w:val="22"/>
        </w:rPr>
      </w:pPr>
      <w:r w:rsidRPr="00A018D9">
        <w:rPr>
          <w:rFonts w:asciiTheme="majorBidi" w:hAnsiTheme="majorBidi" w:cstheme="majorBidi"/>
          <w:sz w:val="22"/>
          <w:szCs w:val="22"/>
        </w:rPr>
        <w:lastRenderedPageBreak/>
        <w:t xml:space="preserve">8.  </w:t>
      </w:r>
      <w:r w:rsidR="00346340" w:rsidRPr="00A018D9">
        <w:rPr>
          <w:rFonts w:asciiTheme="majorBidi" w:hAnsiTheme="majorBidi" w:cstheme="majorBidi" w:hint="eastAsia"/>
          <w:sz w:val="22"/>
          <w:szCs w:val="22"/>
        </w:rPr>
        <w:t>见人权事务委员会第</w:t>
      </w:r>
      <w:r w:rsidR="00346340" w:rsidRPr="00A018D9">
        <w:rPr>
          <w:rFonts w:asciiTheme="majorBidi" w:hAnsiTheme="majorBidi" w:cstheme="majorBidi"/>
          <w:sz w:val="22"/>
          <w:szCs w:val="22"/>
        </w:rPr>
        <w:t>31</w:t>
      </w:r>
      <w:r w:rsidR="00346340" w:rsidRPr="00A018D9">
        <w:rPr>
          <w:rFonts w:asciiTheme="majorBidi" w:hAnsiTheme="majorBidi" w:cstheme="majorBidi" w:hint="eastAsia"/>
          <w:sz w:val="22"/>
          <w:szCs w:val="22"/>
        </w:rPr>
        <w:t>号一般性</w:t>
      </w:r>
      <w:r w:rsidR="006E5F10" w:rsidRPr="00A018D9">
        <w:rPr>
          <w:rFonts w:asciiTheme="majorBidi" w:hAnsiTheme="majorBidi" w:cstheme="majorBidi" w:hint="eastAsia"/>
          <w:sz w:val="22"/>
          <w:szCs w:val="22"/>
        </w:rPr>
        <w:t>意见</w:t>
      </w:r>
      <w:r w:rsidR="00346340" w:rsidRPr="00A018D9">
        <w:rPr>
          <w:rFonts w:asciiTheme="majorBidi" w:hAnsiTheme="majorBidi" w:cstheme="majorBidi" w:hint="eastAsia"/>
          <w:sz w:val="22"/>
          <w:szCs w:val="22"/>
        </w:rPr>
        <w:t>，第</w:t>
      </w:r>
      <w:r w:rsidR="00346340" w:rsidRPr="00A018D9">
        <w:rPr>
          <w:rFonts w:asciiTheme="majorBidi" w:hAnsiTheme="majorBidi" w:cstheme="majorBidi"/>
          <w:sz w:val="22"/>
          <w:szCs w:val="22"/>
        </w:rPr>
        <w:t>15</w:t>
      </w:r>
      <w:r w:rsidR="00346340" w:rsidRPr="00A018D9">
        <w:rPr>
          <w:rFonts w:asciiTheme="majorBidi" w:hAnsiTheme="majorBidi" w:cstheme="majorBidi" w:hint="eastAsia"/>
          <w:sz w:val="22"/>
          <w:szCs w:val="22"/>
        </w:rPr>
        <w:t>段</w:t>
      </w:r>
      <w:r w:rsidR="00346340" w:rsidRPr="00A018D9">
        <w:rPr>
          <w:rFonts w:asciiTheme="majorBidi" w:hAnsiTheme="majorBidi" w:cstheme="majorBidi"/>
          <w:sz w:val="22"/>
          <w:szCs w:val="22"/>
        </w:rPr>
        <w:t>(</w:t>
      </w:r>
      <w:r w:rsidR="00346340" w:rsidRPr="00A018D9">
        <w:rPr>
          <w:rFonts w:asciiTheme="majorBidi" w:hAnsiTheme="majorBidi" w:cstheme="majorBidi" w:hint="eastAsia"/>
          <w:sz w:val="22"/>
          <w:szCs w:val="22"/>
        </w:rPr>
        <w:t>人权事务委员会的报告，《大会正式记录，第五十九届会议，补编第</w:t>
      </w:r>
      <w:r w:rsidR="00346340" w:rsidRPr="00A018D9">
        <w:rPr>
          <w:rFonts w:asciiTheme="majorBidi" w:hAnsiTheme="majorBidi" w:cstheme="majorBidi"/>
          <w:sz w:val="22"/>
          <w:szCs w:val="22"/>
        </w:rPr>
        <w:t>40</w:t>
      </w:r>
      <w:r w:rsidR="00346340" w:rsidRPr="00A018D9">
        <w:rPr>
          <w:rFonts w:asciiTheme="majorBidi" w:hAnsiTheme="majorBidi" w:cstheme="majorBidi" w:hint="eastAsia"/>
          <w:sz w:val="22"/>
          <w:szCs w:val="22"/>
        </w:rPr>
        <w:t>号》</w:t>
      </w:r>
      <w:r w:rsidR="00346340" w:rsidRPr="00A018D9">
        <w:rPr>
          <w:rFonts w:asciiTheme="majorBidi" w:hAnsiTheme="majorBidi" w:cstheme="majorBidi"/>
          <w:sz w:val="22"/>
          <w:szCs w:val="22"/>
        </w:rPr>
        <w:t>(</w:t>
      </w:r>
      <w:hyperlink r:id="rId17" w:history="1">
        <w:r w:rsidR="00346340" w:rsidRPr="00A018D9">
          <w:rPr>
            <w:rFonts w:asciiTheme="majorBidi" w:hAnsiTheme="majorBidi" w:cstheme="majorBidi"/>
            <w:sz w:val="22"/>
            <w:szCs w:val="22"/>
          </w:rPr>
          <w:t>A/59/40</w:t>
        </w:r>
      </w:hyperlink>
      <w:r w:rsidR="00346340" w:rsidRPr="00A018D9">
        <w:rPr>
          <w:rFonts w:asciiTheme="majorBidi" w:hAnsiTheme="majorBidi" w:cstheme="majorBidi"/>
          <w:sz w:val="22"/>
          <w:szCs w:val="22"/>
        </w:rPr>
        <w:t>)</w:t>
      </w:r>
      <w:r w:rsidR="00346340" w:rsidRPr="00A018D9">
        <w:rPr>
          <w:rFonts w:asciiTheme="majorBidi" w:hAnsiTheme="majorBidi" w:cstheme="majorBidi" w:hint="eastAsia"/>
          <w:sz w:val="22"/>
          <w:szCs w:val="22"/>
        </w:rPr>
        <w:t>，第一卷，附件三</w:t>
      </w:r>
      <w:r w:rsidR="00346340" w:rsidRPr="00A018D9">
        <w:rPr>
          <w:rFonts w:asciiTheme="majorBidi" w:hAnsiTheme="majorBidi" w:cstheme="majorBidi"/>
          <w:sz w:val="22"/>
          <w:szCs w:val="22"/>
        </w:rPr>
        <w:t>)</w:t>
      </w:r>
      <w:r w:rsidR="00346340" w:rsidRPr="00A018D9">
        <w:rPr>
          <w:rFonts w:asciiTheme="majorBidi" w:hAnsiTheme="majorBidi" w:cstheme="majorBidi" w:hint="eastAsia"/>
          <w:sz w:val="22"/>
          <w:szCs w:val="22"/>
        </w:rPr>
        <w:t>；另见</w:t>
      </w:r>
      <w:proofErr w:type="spellStart"/>
      <w:r w:rsidR="00346340" w:rsidRPr="00A018D9">
        <w:rPr>
          <w:rFonts w:asciiTheme="majorBidi" w:hAnsiTheme="majorBidi" w:cstheme="majorBidi"/>
          <w:sz w:val="22"/>
          <w:szCs w:val="22"/>
        </w:rPr>
        <w:t>Nazriev</w:t>
      </w:r>
      <w:proofErr w:type="spellEnd"/>
      <w:r w:rsidR="00346340" w:rsidRPr="00A018D9">
        <w:rPr>
          <w:rFonts w:asciiTheme="majorBidi" w:hAnsiTheme="majorBidi" w:cstheme="majorBidi"/>
          <w:sz w:val="22"/>
          <w:szCs w:val="22"/>
        </w:rPr>
        <w:t xml:space="preserve"> </w:t>
      </w:r>
      <w:r w:rsidR="00346340" w:rsidRPr="00A018D9">
        <w:rPr>
          <w:rFonts w:asciiTheme="majorBidi" w:hAnsiTheme="majorBidi" w:cstheme="majorBidi" w:hint="eastAsia"/>
          <w:sz w:val="22"/>
          <w:szCs w:val="22"/>
        </w:rPr>
        <w:t>诉塔吉克斯坦，第</w:t>
      </w:r>
      <w:r w:rsidR="00346340" w:rsidRPr="00A018D9">
        <w:rPr>
          <w:rFonts w:asciiTheme="majorBidi" w:hAnsiTheme="majorBidi" w:cstheme="majorBidi"/>
          <w:sz w:val="22"/>
          <w:szCs w:val="22"/>
        </w:rPr>
        <w:t>1044/2002</w:t>
      </w:r>
      <w:r w:rsidR="00346340" w:rsidRPr="00A018D9">
        <w:rPr>
          <w:rFonts w:asciiTheme="majorBidi" w:hAnsiTheme="majorBidi" w:cstheme="majorBidi" w:hint="eastAsia"/>
          <w:sz w:val="22"/>
          <w:szCs w:val="22"/>
        </w:rPr>
        <w:t>号来文，</w:t>
      </w:r>
      <w:r w:rsidR="00346340" w:rsidRPr="00A018D9">
        <w:rPr>
          <w:rFonts w:asciiTheme="majorBidi" w:hAnsiTheme="majorBidi" w:cstheme="majorBidi"/>
          <w:sz w:val="22"/>
          <w:szCs w:val="22"/>
        </w:rPr>
        <w:t>2006</w:t>
      </w:r>
      <w:r w:rsidR="00346340" w:rsidRPr="00A018D9">
        <w:rPr>
          <w:rFonts w:asciiTheme="majorBidi" w:hAnsiTheme="majorBidi" w:cstheme="majorBidi" w:hint="eastAsia"/>
          <w:sz w:val="22"/>
          <w:szCs w:val="22"/>
        </w:rPr>
        <w:t>年</w:t>
      </w:r>
      <w:r w:rsidR="00346340" w:rsidRPr="00A018D9">
        <w:rPr>
          <w:rFonts w:asciiTheme="majorBidi" w:hAnsiTheme="majorBidi" w:cstheme="majorBidi"/>
          <w:sz w:val="22"/>
          <w:szCs w:val="22"/>
        </w:rPr>
        <w:t>3</w:t>
      </w:r>
      <w:r w:rsidR="00346340" w:rsidRPr="00A018D9">
        <w:rPr>
          <w:rFonts w:asciiTheme="majorBidi" w:hAnsiTheme="majorBidi" w:cstheme="majorBidi" w:hint="eastAsia"/>
          <w:sz w:val="22"/>
          <w:szCs w:val="22"/>
        </w:rPr>
        <w:t>月</w:t>
      </w:r>
      <w:r w:rsidR="00346340" w:rsidRPr="00A018D9">
        <w:rPr>
          <w:rFonts w:asciiTheme="majorBidi" w:hAnsiTheme="majorBidi" w:cstheme="majorBidi"/>
          <w:sz w:val="22"/>
          <w:szCs w:val="22"/>
        </w:rPr>
        <w:t>17</w:t>
      </w:r>
      <w:r w:rsidR="00346340" w:rsidRPr="00A018D9">
        <w:rPr>
          <w:rFonts w:asciiTheme="majorBidi" w:hAnsiTheme="majorBidi" w:cstheme="majorBidi" w:hint="eastAsia"/>
          <w:sz w:val="22"/>
          <w:szCs w:val="22"/>
        </w:rPr>
        <w:t>日通过的意见，第</w:t>
      </w:r>
      <w:r w:rsidR="00346340" w:rsidRPr="00A018D9">
        <w:rPr>
          <w:rFonts w:asciiTheme="majorBidi" w:hAnsiTheme="majorBidi" w:cstheme="majorBidi"/>
          <w:sz w:val="22"/>
          <w:szCs w:val="22"/>
        </w:rPr>
        <w:t>8.2</w:t>
      </w:r>
      <w:r w:rsidR="00346340" w:rsidRPr="00A018D9">
        <w:rPr>
          <w:rFonts w:asciiTheme="majorBidi" w:hAnsiTheme="majorBidi" w:cstheme="majorBidi" w:hint="eastAsia"/>
          <w:sz w:val="22"/>
          <w:szCs w:val="22"/>
        </w:rPr>
        <w:t>段</w:t>
      </w:r>
      <w:r w:rsidR="00346340" w:rsidRPr="00A018D9">
        <w:rPr>
          <w:rFonts w:asciiTheme="majorBidi" w:hAnsiTheme="majorBidi" w:cstheme="majorBidi"/>
          <w:sz w:val="22"/>
          <w:szCs w:val="22"/>
        </w:rPr>
        <w:t>(</w:t>
      </w:r>
      <w:r w:rsidR="00346340" w:rsidRPr="00A018D9">
        <w:rPr>
          <w:rFonts w:asciiTheme="majorBidi" w:hAnsiTheme="majorBidi" w:cstheme="majorBidi" w:hint="eastAsia"/>
          <w:sz w:val="22"/>
          <w:szCs w:val="22"/>
        </w:rPr>
        <w:t>同上，《第六十一届会议，补编第</w:t>
      </w:r>
      <w:r w:rsidR="00346340" w:rsidRPr="00A018D9">
        <w:rPr>
          <w:rFonts w:asciiTheme="majorBidi" w:hAnsiTheme="majorBidi" w:cstheme="majorBidi"/>
          <w:sz w:val="22"/>
          <w:szCs w:val="22"/>
        </w:rPr>
        <w:t>40</w:t>
      </w:r>
      <w:r w:rsidR="00346340" w:rsidRPr="00A018D9">
        <w:rPr>
          <w:rFonts w:asciiTheme="majorBidi" w:hAnsiTheme="majorBidi" w:cstheme="majorBidi" w:hint="eastAsia"/>
          <w:sz w:val="22"/>
          <w:szCs w:val="22"/>
        </w:rPr>
        <w:t>号》</w:t>
      </w:r>
      <w:r w:rsidR="00346340" w:rsidRPr="00A018D9">
        <w:rPr>
          <w:rFonts w:asciiTheme="majorBidi" w:hAnsiTheme="majorBidi" w:cstheme="majorBidi"/>
          <w:sz w:val="22"/>
          <w:szCs w:val="22"/>
        </w:rPr>
        <w:t>(</w:t>
      </w:r>
      <w:hyperlink r:id="rId18" w:history="1">
        <w:r w:rsidR="00346340" w:rsidRPr="00A018D9">
          <w:rPr>
            <w:rFonts w:asciiTheme="majorBidi" w:hAnsiTheme="majorBidi" w:cstheme="majorBidi"/>
            <w:sz w:val="22"/>
            <w:szCs w:val="22"/>
          </w:rPr>
          <w:t>A/61/40)</w:t>
        </w:r>
        <w:r w:rsidR="00346340" w:rsidRPr="00A018D9">
          <w:rPr>
            <w:rFonts w:asciiTheme="majorBidi" w:hAnsiTheme="majorBidi" w:cstheme="majorBidi" w:hint="eastAsia"/>
            <w:sz w:val="22"/>
            <w:szCs w:val="22"/>
          </w:rPr>
          <w:t>，第二卷</w:t>
        </w:r>
      </w:hyperlink>
      <w:r w:rsidR="00346340" w:rsidRPr="00A018D9">
        <w:rPr>
          <w:rFonts w:asciiTheme="majorBidi" w:hAnsiTheme="majorBidi" w:cstheme="majorBidi" w:hint="eastAsia"/>
          <w:sz w:val="22"/>
          <w:szCs w:val="22"/>
        </w:rPr>
        <w:t>，附件五，</w:t>
      </w:r>
      <w:r w:rsidR="00346340" w:rsidRPr="00A018D9">
        <w:rPr>
          <w:rFonts w:asciiTheme="majorBidi" w:hAnsiTheme="majorBidi" w:cstheme="majorBidi"/>
          <w:sz w:val="22"/>
          <w:szCs w:val="22"/>
        </w:rPr>
        <w:t>P</w:t>
      </w:r>
      <w:r w:rsidR="00346340" w:rsidRPr="00A018D9">
        <w:rPr>
          <w:rFonts w:asciiTheme="majorBidi" w:hAnsiTheme="majorBidi" w:cstheme="majorBidi" w:hint="eastAsia"/>
          <w:sz w:val="22"/>
          <w:szCs w:val="22"/>
        </w:rPr>
        <w:t>节</w:t>
      </w:r>
      <w:r w:rsidR="00346340" w:rsidRPr="00A018D9">
        <w:rPr>
          <w:rFonts w:asciiTheme="majorBidi" w:hAnsiTheme="majorBidi" w:cstheme="majorBidi"/>
          <w:sz w:val="22"/>
          <w:szCs w:val="22"/>
        </w:rPr>
        <w:t>)</w:t>
      </w:r>
      <w:r w:rsidR="0024524D" w:rsidRPr="00A018D9">
        <w:rPr>
          <w:rFonts w:asciiTheme="majorBidi" w:hAnsiTheme="majorBidi" w:cstheme="majorBidi" w:hint="eastAsia"/>
          <w:sz w:val="22"/>
          <w:szCs w:val="22"/>
        </w:rPr>
        <w:t>。</w:t>
      </w:r>
    </w:p>
    <w:p w14:paraId="5F990D47" w14:textId="77777777" w:rsidR="00346340" w:rsidRPr="00A018D9" w:rsidRDefault="00346340" w:rsidP="003317E5">
      <w:pPr>
        <w:tabs>
          <w:tab w:val="clear" w:pos="431"/>
        </w:tabs>
        <w:adjustRightInd/>
        <w:snapToGrid/>
        <w:spacing w:line="288" w:lineRule="auto"/>
        <w:rPr>
          <w:rFonts w:asciiTheme="majorBidi" w:hAnsiTheme="majorBidi" w:cstheme="majorBidi"/>
          <w:sz w:val="22"/>
          <w:szCs w:val="22"/>
        </w:rPr>
      </w:pPr>
    </w:p>
    <w:p w14:paraId="2544584D" w14:textId="7026FC31" w:rsidR="009D72E8" w:rsidRPr="00A018D9" w:rsidRDefault="00811594" w:rsidP="003317E5">
      <w:pPr>
        <w:tabs>
          <w:tab w:val="clear" w:pos="431"/>
        </w:tabs>
        <w:adjustRightInd/>
        <w:snapToGrid/>
        <w:spacing w:line="288" w:lineRule="auto"/>
        <w:rPr>
          <w:rFonts w:asciiTheme="majorBidi" w:hAnsiTheme="majorBidi" w:cstheme="majorBidi"/>
          <w:sz w:val="22"/>
          <w:szCs w:val="22"/>
        </w:rPr>
      </w:pPr>
      <w:r w:rsidRPr="00A018D9">
        <w:rPr>
          <w:rFonts w:asciiTheme="majorBidi" w:hAnsiTheme="majorBidi" w:cstheme="majorBidi"/>
          <w:sz w:val="22"/>
          <w:szCs w:val="22"/>
        </w:rPr>
        <w:t>9</w:t>
      </w:r>
      <w:r w:rsidR="00D447BE" w:rsidRPr="00A018D9">
        <w:rPr>
          <w:rFonts w:asciiTheme="majorBidi" w:hAnsiTheme="majorBidi" w:cstheme="majorBidi"/>
          <w:sz w:val="22"/>
          <w:szCs w:val="22"/>
        </w:rPr>
        <w:t xml:space="preserve">.  </w:t>
      </w:r>
      <w:r w:rsidR="009D72E8" w:rsidRPr="00A018D9">
        <w:rPr>
          <w:rFonts w:asciiTheme="majorBidi" w:hAnsiTheme="majorBidi" w:cstheme="majorBidi"/>
          <w:sz w:val="22"/>
          <w:szCs w:val="22"/>
        </w:rPr>
        <w:t>"Co-operative exchange of skills among developing countries. Policies for collective self-reliance", study by the UNCTAD secretariat (TD/B/C.6/AC.4/8/</w:t>
      </w:r>
      <w:proofErr w:type="spellStart"/>
      <w:r w:rsidR="00300BA1" w:rsidRPr="00A018D9">
        <w:rPr>
          <w:rFonts w:asciiTheme="majorBidi" w:hAnsiTheme="majorBidi" w:cstheme="majorBidi"/>
          <w:sz w:val="22"/>
          <w:szCs w:val="22"/>
        </w:rPr>
        <w:t>R</w:t>
      </w:r>
      <w:r w:rsidR="009D72E8" w:rsidRPr="00A018D9">
        <w:rPr>
          <w:rFonts w:asciiTheme="majorBidi" w:hAnsiTheme="majorBidi" w:cstheme="majorBidi"/>
          <w:sz w:val="22"/>
          <w:szCs w:val="22"/>
        </w:rPr>
        <w:t>ev.l</w:t>
      </w:r>
      <w:proofErr w:type="spellEnd"/>
      <w:r w:rsidR="009D72E8" w:rsidRPr="00A018D9">
        <w:rPr>
          <w:rFonts w:asciiTheme="majorBidi" w:hAnsiTheme="majorBidi" w:cstheme="majorBidi"/>
          <w:sz w:val="22"/>
          <w:szCs w:val="22"/>
        </w:rPr>
        <w:t>), United Nations publication, Sales No. E.79.II.D.I.</w:t>
      </w:r>
    </w:p>
    <w:p w14:paraId="109B3492" w14:textId="0FBCFA9D" w:rsidR="00867D16" w:rsidRPr="00A018D9" w:rsidRDefault="00811594" w:rsidP="003317E5">
      <w:pPr>
        <w:tabs>
          <w:tab w:val="clear" w:pos="431"/>
        </w:tabs>
        <w:adjustRightInd/>
        <w:snapToGrid/>
        <w:spacing w:line="288" w:lineRule="auto"/>
        <w:rPr>
          <w:rFonts w:asciiTheme="majorBidi" w:hAnsiTheme="majorBidi" w:cstheme="majorBidi"/>
          <w:sz w:val="22"/>
          <w:szCs w:val="22"/>
        </w:rPr>
      </w:pPr>
      <w:r w:rsidRPr="00A018D9">
        <w:rPr>
          <w:rFonts w:asciiTheme="majorBidi" w:hAnsiTheme="majorBidi" w:cstheme="majorBidi"/>
          <w:sz w:val="22"/>
          <w:szCs w:val="22"/>
        </w:rPr>
        <w:t>9</w:t>
      </w:r>
      <w:r w:rsidR="00D447BE" w:rsidRPr="00A018D9">
        <w:rPr>
          <w:rFonts w:asciiTheme="majorBidi" w:hAnsiTheme="majorBidi" w:cstheme="majorBidi"/>
          <w:sz w:val="22"/>
          <w:szCs w:val="22"/>
        </w:rPr>
        <w:t xml:space="preserve">. </w:t>
      </w:r>
      <w:r w:rsidR="009D72E8" w:rsidRPr="00A018D9">
        <w:rPr>
          <w:rFonts w:asciiTheme="majorBidi" w:hAnsiTheme="majorBidi" w:cstheme="majorBidi" w:hint="eastAsia"/>
          <w:sz w:val="22"/>
          <w:szCs w:val="22"/>
        </w:rPr>
        <w:t>“发展中国家间的技术人</w:t>
      </w:r>
      <w:r w:rsidR="00D86D81">
        <w:rPr>
          <w:rFonts w:asciiTheme="majorBidi" w:hAnsiTheme="majorBidi" w:cstheme="majorBidi" w:hint="eastAsia"/>
          <w:sz w:val="22"/>
          <w:szCs w:val="22"/>
        </w:rPr>
        <w:t>才</w:t>
      </w:r>
      <w:r w:rsidR="009D72E8" w:rsidRPr="00A018D9">
        <w:rPr>
          <w:rFonts w:asciiTheme="majorBidi" w:hAnsiTheme="majorBidi" w:cstheme="majorBidi" w:hint="eastAsia"/>
          <w:sz w:val="22"/>
          <w:szCs w:val="22"/>
        </w:rPr>
        <w:t>合作交流：</w:t>
      </w:r>
      <w:proofErr w:type="gramStart"/>
      <w:r w:rsidR="009D72E8" w:rsidRPr="00A018D9">
        <w:rPr>
          <w:rFonts w:asciiTheme="majorBidi" w:hAnsiTheme="majorBidi" w:cstheme="majorBidi" w:hint="eastAsia"/>
          <w:sz w:val="22"/>
          <w:szCs w:val="22"/>
        </w:rPr>
        <w:t>集体自力更生的政策”，</w:t>
      </w:r>
      <w:proofErr w:type="gramEnd"/>
      <w:r w:rsidR="009D72E8" w:rsidRPr="00A018D9">
        <w:rPr>
          <w:rFonts w:asciiTheme="majorBidi" w:hAnsiTheme="majorBidi" w:cstheme="majorBidi" w:hint="eastAsia"/>
          <w:sz w:val="22"/>
          <w:szCs w:val="22"/>
        </w:rPr>
        <w:t>贸发会议秘书处的研究</w:t>
      </w:r>
      <w:r w:rsidR="00D447BE" w:rsidRPr="00A018D9">
        <w:rPr>
          <w:rFonts w:asciiTheme="majorBidi" w:hAnsiTheme="majorBidi" w:cstheme="majorBidi" w:hint="eastAsia"/>
          <w:sz w:val="22"/>
          <w:szCs w:val="22"/>
        </w:rPr>
        <w:t>报</w:t>
      </w:r>
      <w:r w:rsidR="009D72E8" w:rsidRPr="00A018D9">
        <w:rPr>
          <w:rFonts w:asciiTheme="majorBidi" w:hAnsiTheme="majorBidi" w:cstheme="majorBidi" w:hint="eastAsia"/>
          <w:sz w:val="22"/>
          <w:szCs w:val="22"/>
        </w:rPr>
        <w:t>告（</w:t>
      </w:r>
      <w:r w:rsidR="009D72E8" w:rsidRPr="00A018D9">
        <w:rPr>
          <w:rFonts w:asciiTheme="majorBidi" w:hAnsiTheme="majorBidi" w:cstheme="majorBidi"/>
          <w:sz w:val="22"/>
          <w:szCs w:val="22"/>
        </w:rPr>
        <w:t>TD/B/C.6/AC.4/8/Rev.1)</w:t>
      </w:r>
      <w:r w:rsidR="009D72E8" w:rsidRPr="00A018D9">
        <w:rPr>
          <w:rFonts w:asciiTheme="majorBidi" w:hAnsiTheme="majorBidi" w:cstheme="majorBidi" w:hint="eastAsia"/>
          <w:sz w:val="22"/>
          <w:szCs w:val="22"/>
        </w:rPr>
        <w:t>，联合国出版物</w:t>
      </w:r>
      <w:r w:rsidR="001E0C7B" w:rsidRPr="00A018D9">
        <w:rPr>
          <w:rFonts w:asciiTheme="majorBidi" w:hAnsiTheme="majorBidi" w:cstheme="majorBidi" w:hint="eastAsia"/>
          <w:sz w:val="22"/>
          <w:szCs w:val="22"/>
        </w:rPr>
        <w:t>，</w:t>
      </w:r>
      <w:r w:rsidR="00FF2FF9" w:rsidRPr="00A018D9">
        <w:rPr>
          <w:rFonts w:asciiTheme="majorBidi" w:hAnsiTheme="majorBidi" w:cstheme="majorBidi" w:hint="eastAsia"/>
          <w:sz w:val="22"/>
          <w:szCs w:val="22"/>
        </w:rPr>
        <w:t>出</w:t>
      </w:r>
      <w:r w:rsidR="009D72E8" w:rsidRPr="00A018D9">
        <w:rPr>
          <w:rFonts w:asciiTheme="majorBidi" w:hAnsiTheme="majorBidi" w:cstheme="majorBidi" w:hint="eastAsia"/>
          <w:sz w:val="22"/>
          <w:szCs w:val="22"/>
        </w:rPr>
        <w:t>售品编号</w:t>
      </w:r>
      <w:r w:rsidR="00300BA1" w:rsidRPr="00A018D9">
        <w:rPr>
          <w:rFonts w:asciiTheme="majorBidi" w:hAnsiTheme="majorBidi" w:cstheme="majorBidi"/>
          <w:sz w:val="22"/>
          <w:szCs w:val="22"/>
        </w:rPr>
        <w:t>E.79.II.D.I</w:t>
      </w:r>
      <w:r w:rsidR="009D72E8" w:rsidRPr="00A018D9">
        <w:rPr>
          <w:rFonts w:asciiTheme="majorBidi" w:hAnsiTheme="majorBidi" w:cstheme="majorBidi" w:hint="eastAsia"/>
          <w:sz w:val="22"/>
          <w:szCs w:val="22"/>
        </w:rPr>
        <w:t>。</w:t>
      </w:r>
    </w:p>
    <w:p w14:paraId="53358A97" w14:textId="1FA4600E" w:rsidR="005320BB" w:rsidRPr="00A018D9" w:rsidRDefault="005320BB" w:rsidP="003317E5">
      <w:pPr>
        <w:spacing w:line="288" w:lineRule="auto"/>
        <w:rPr>
          <w:sz w:val="22"/>
          <w:szCs w:val="22"/>
        </w:rPr>
      </w:pPr>
      <w:r w:rsidRPr="00A018D9">
        <w:rPr>
          <w:sz w:val="22"/>
          <w:szCs w:val="22"/>
        </w:rPr>
        <w:t>[</w:t>
      </w:r>
      <w:r w:rsidRPr="00A018D9">
        <w:rPr>
          <w:rFonts w:hint="eastAsia"/>
          <w:sz w:val="22"/>
          <w:szCs w:val="22"/>
        </w:rPr>
        <w:t>联合国机构</w:t>
      </w:r>
      <w:r w:rsidR="00811594" w:rsidRPr="00A018D9">
        <w:rPr>
          <w:rFonts w:hint="eastAsia"/>
          <w:sz w:val="22"/>
          <w:szCs w:val="22"/>
        </w:rPr>
        <w:t>贸发会议</w:t>
      </w:r>
      <w:r w:rsidRPr="00A018D9">
        <w:rPr>
          <w:rFonts w:hint="eastAsia"/>
          <w:sz w:val="22"/>
          <w:szCs w:val="22"/>
        </w:rPr>
        <w:t>发表的报告</w:t>
      </w:r>
      <w:r w:rsidRPr="00A018D9">
        <w:rPr>
          <w:sz w:val="22"/>
          <w:szCs w:val="22"/>
        </w:rPr>
        <w:t>]</w:t>
      </w:r>
    </w:p>
    <w:p w14:paraId="573FB366" w14:textId="18089B83" w:rsidR="006C4043" w:rsidRPr="00A018D9" w:rsidRDefault="006C4043" w:rsidP="003317E5">
      <w:pPr>
        <w:spacing w:line="288" w:lineRule="auto"/>
        <w:rPr>
          <w:sz w:val="22"/>
          <w:szCs w:val="22"/>
        </w:rPr>
      </w:pPr>
    </w:p>
    <w:p w14:paraId="1D42B59A" w14:textId="77777777" w:rsidR="006C4043" w:rsidRPr="00A018D9" w:rsidRDefault="006C4043" w:rsidP="003317E5">
      <w:pPr>
        <w:spacing w:line="288" w:lineRule="auto"/>
        <w:rPr>
          <w:sz w:val="22"/>
          <w:szCs w:val="22"/>
        </w:rPr>
      </w:pPr>
    </w:p>
    <w:p w14:paraId="30F60416" w14:textId="7A2E3DC2" w:rsidR="005C0BD6" w:rsidRPr="00A018D9" w:rsidRDefault="005C0BD6" w:rsidP="005C0BD6">
      <w:pPr>
        <w:spacing w:line="288" w:lineRule="auto"/>
        <w:ind w:firstLine="431"/>
        <w:rPr>
          <w:rFonts w:eastAsia="SimHei"/>
          <w:color w:val="0000FF"/>
          <w:sz w:val="22"/>
          <w:szCs w:val="22"/>
        </w:rPr>
      </w:pPr>
      <w:r w:rsidRPr="00A018D9">
        <w:rPr>
          <w:rFonts w:eastAsia="SimHei"/>
          <w:color w:val="0000FF"/>
          <w:sz w:val="22"/>
          <w:szCs w:val="22"/>
        </w:rPr>
        <w:t xml:space="preserve">3. </w:t>
      </w:r>
      <w:r w:rsidR="003F574F" w:rsidRPr="00A018D9">
        <w:rPr>
          <w:rFonts w:eastAsia="SimHei" w:hint="eastAsia"/>
          <w:color w:val="0000FF"/>
          <w:sz w:val="22"/>
          <w:szCs w:val="22"/>
        </w:rPr>
        <w:t>国际法院案例等重要国际法案例名称和出处信息全译。这里包括</w:t>
      </w:r>
      <w:r w:rsidRPr="00A018D9">
        <w:rPr>
          <w:rFonts w:eastAsia="SimHei" w:hint="eastAsia"/>
          <w:color w:val="0000FF"/>
          <w:sz w:val="22"/>
          <w:szCs w:val="22"/>
        </w:rPr>
        <w:t>常设国际法院案例</w:t>
      </w:r>
      <w:r w:rsidR="003F574F" w:rsidRPr="00A018D9">
        <w:rPr>
          <w:rFonts w:eastAsia="SimHei" w:hint="eastAsia"/>
          <w:color w:val="0000FF"/>
          <w:sz w:val="22"/>
          <w:szCs w:val="22"/>
        </w:rPr>
        <w:t>和</w:t>
      </w:r>
      <w:r w:rsidRPr="00A018D9">
        <w:rPr>
          <w:rFonts w:eastAsia="SimHei" w:hint="eastAsia"/>
          <w:color w:val="0000FF"/>
          <w:sz w:val="22"/>
          <w:szCs w:val="22"/>
        </w:rPr>
        <w:t>国际仲裁裁决</w:t>
      </w:r>
      <w:r w:rsidR="00556BAF" w:rsidRPr="00A018D9">
        <w:rPr>
          <w:rFonts w:eastAsia="SimHei" w:hint="eastAsia"/>
          <w:color w:val="0000FF"/>
          <w:sz w:val="22"/>
          <w:szCs w:val="22"/>
        </w:rPr>
        <w:t>，</w:t>
      </w:r>
      <w:r w:rsidR="001228CB" w:rsidRPr="00A018D9">
        <w:rPr>
          <w:rFonts w:eastAsia="SimHei" w:hint="eastAsia"/>
          <w:color w:val="0000FF"/>
          <w:sz w:val="22"/>
          <w:szCs w:val="22"/>
        </w:rPr>
        <w:t>但</w:t>
      </w:r>
      <w:r w:rsidR="006E6462" w:rsidRPr="00A018D9">
        <w:rPr>
          <w:rFonts w:eastAsia="SimHei" w:hint="eastAsia"/>
          <w:color w:val="0000FF"/>
          <w:sz w:val="22"/>
          <w:szCs w:val="22"/>
        </w:rPr>
        <w:t>不包括</w:t>
      </w:r>
      <w:r w:rsidR="001A42DB" w:rsidRPr="00A018D9">
        <w:rPr>
          <w:rFonts w:eastAsia="SimHei" w:hint="eastAsia"/>
          <w:color w:val="0000FF"/>
          <w:sz w:val="22"/>
          <w:szCs w:val="22"/>
        </w:rPr>
        <w:t>国际刑事法院、</w:t>
      </w:r>
      <w:r w:rsidR="00F05281" w:rsidRPr="00A018D9">
        <w:rPr>
          <w:rFonts w:eastAsia="SimHei" w:hint="eastAsia"/>
          <w:color w:val="0000FF"/>
          <w:sz w:val="22"/>
          <w:szCs w:val="22"/>
        </w:rPr>
        <w:t>欧洲人权法院</w:t>
      </w:r>
      <w:r w:rsidR="006E6462" w:rsidRPr="00A018D9">
        <w:rPr>
          <w:rFonts w:eastAsia="SimHei" w:hint="eastAsia"/>
          <w:color w:val="0000FF"/>
          <w:sz w:val="22"/>
          <w:szCs w:val="22"/>
        </w:rPr>
        <w:t>及其他区域国际性法院的</w:t>
      </w:r>
      <w:r w:rsidR="00E31114" w:rsidRPr="00A018D9">
        <w:rPr>
          <w:rFonts w:eastAsia="SimHei" w:hint="eastAsia"/>
          <w:color w:val="0000FF"/>
          <w:sz w:val="22"/>
          <w:szCs w:val="22"/>
        </w:rPr>
        <w:t>案例</w:t>
      </w:r>
      <w:r w:rsidRPr="00A018D9">
        <w:rPr>
          <w:rFonts w:eastAsia="SimHei" w:hint="eastAsia"/>
          <w:color w:val="0000FF"/>
          <w:sz w:val="22"/>
          <w:szCs w:val="22"/>
        </w:rPr>
        <w:t>。</w:t>
      </w:r>
    </w:p>
    <w:p w14:paraId="1CE5A046" w14:textId="77777777" w:rsidR="001B27AF" w:rsidRPr="00A018D9" w:rsidRDefault="001B27AF" w:rsidP="003317E5">
      <w:pPr>
        <w:spacing w:line="288" w:lineRule="auto"/>
        <w:rPr>
          <w:rFonts w:eastAsia="SimHei"/>
          <w:color w:val="0000FF"/>
          <w:sz w:val="22"/>
          <w:szCs w:val="22"/>
        </w:rPr>
      </w:pPr>
    </w:p>
    <w:p w14:paraId="10817D26" w14:textId="77777777" w:rsidR="006268A6" w:rsidRPr="00A018D9" w:rsidRDefault="006268A6" w:rsidP="003317E5">
      <w:pPr>
        <w:spacing w:after="240" w:line="288" w:lineRule="auto"/>
        <w:rPr>
          <w:sz w:val="22"/>
          <w:szCs w:val="22"/>
        </w:rPr>
      </w:pPr>
      <w:r w:rsidRPr="00A018D9">
        <w:rPr>
          <w:sz w:val="22"/>
          <w:szCs w:val="22"/>
        </w:rPr>
        <w:tab/>
      </w:r>
      <w:r w:rsidRPr="00A018D9">
        <w:rPr>
          <w:rFonts w:hint="eastAsia"/>
          <w:sz w:val="22"/>
          <w:szCs w:val="22"/>
        </w:rPr>
        <w:t>例如：</w:t>
      </w:r>
    </w:p>
    <w:p w14:paraId="53ABFE6A" w14:textId="085B36B3" w:rsidR="0054537B" w:rsidRPr="00A018D9" w:rsidRDefault="00B5065F" w:rsidP="003317E5">
      <w:pPr>
        <w:tabs>
          <w:tab w:val="clear" w:pos="431"/>
        </w:tabs>
        <w:adjustRightInd/>
        <w:snapToGrid/>
        <w:spacing w:line="288" w:lineRule="auto"/>
        <w:jc w:val="left"/>
        <w:rPr>
          <w:sz w:val="22"/>
          <w:szCs w:val="22"/>
        </w:rPr>
      </w:pPr>
      <w:r w:rsidRPr="00A018D9">
        <w:rPr>
          <w:sz w:val="22"/>
          <w:szCs w:val="22"/>
        </w:rPr>
        <w:t>1</w:t>
      </w:r>
      <w:r w:rsidR="0054537B" w:rsidRPr="00A018D9">
        <w:rPr>
          <w:sz w:val="22"/>
          <w:szCs w:val="22"/>
        </w:rPr>
        <w:t>.  1959 </w:t>
      </w:r>
      <w:r w:rsidR="0054537B" w:rsidRPr="00A018D9">
        <w:rPr>
          <w:i/>
          <w:iCs/>
          <w:sz w:val="22"/>
          <w:szCs w:val="22"/>
        </w:rPr>
        <w:t>I.C.J. Reports</w:t>
      </w:r>
      <w:r w:rsidR="0054537B" w:rsidRPr="00A018D9">
        <w:rPr>
          <w:sz w:val="22"/>
          <w:szCs w:val="22"/>
        </w:rPr>
        <w:t> 27.</w:t>
      </w:r>
      <w:r w:rsidR="0054537B" w:rsidRPr="00A018D9">
        <w:rPr>
          <w:sz w:val="22"/>
          <w:szCs w:val="22"/>
        </w:rPr>
        <w:br/>
      </w:r>
      <w:r w:rsidRPr="00A018D9">
        <w:rPr>
          <w:sz w:val="22"/>
          <w:szCs w:val="22"/>
        </w:rPr>
        <w:t>1</w:t>
      </w:r>
      <w:r w:rsidR="0054537B" w:rsidRPr="00A018D9">
        <w:rPr>
          <w:sz w:val="22"/>
          <w:szCs w:val="22"/>
        </w:rPr>
        <w:t xml:space="preserve">.  </w:t>
      </w:r>
      <w:r w:rsidR="0054537B" w:rsidRPr="00A018D9">
        <w:rPr>
          <w:rFonts w:hint="eastAsia"/>
          <w:sz w:val="22"/>
          <w:szCs w:val="22"/>
        </w:rPr>
        <w:t>《</w:t>
      </w:r>
      <w:r w:rsidR="0054537B" w:rsidRPr="00A018D9">
        <w:rPr>
          <w:sz w:val="22"/>
          <w:szCs w:val="22"/>
        </w:rPr>
        <w:t>1959</w:t>
      </w:r>
      <w:r w:rsidR="0054537B" w:rsidRPr="00A018D9">
        <w:rPr>
          <w:rFonts w:hint="eastAsia"/>
          <w:sz w:val="22"/>
          <w:szCs w:val="22"/>
        </w:rPr>
        <w:t>年国际法院案例汇编》，第</w:t>
      </w:r>
      <w:r w:rsidR="0054537B" w:rsidRPr="00A018D9">
        <w:rPr>
          <w:sz w:val="22"/>
          <w:szCs w:val="22"/>
        </w:rPr>
        <w:t>27</w:t>
      </w:r>
      <w:r w:rsidR="0054537B" w:rsidRPr="00A018D9">
        <w:rPr>
          <w:rFonts w:hint="eastAsia"/>
          <w:sz w:val="22"/>
          <w:szCs w:val="22"/>
        </w:rPr>
        <w:t>页。</w:t>
      </w:r>
    </w:p>
    <w:p w14:paraId="6350E192" w14:textId="77777777" w:rsidR="004C30ED" w:rsidRPr="00A018D9" w:rsidRDefault="004C30ED" w:rsidP="003317E5">
      <w:pPr>
        <w:tabs>
          <w:tab w:val="clear" w:pos="431"/>
        </w:tabs>
        <w:adjustRightInd/>
        <w:snapToGrid/>
        <w:spacing w:line="288" w:lineRule="auto"/>
        <w:jc w:val="left"/>
        <w:rPr>
          <w:sz w:val="22"/>
          <w:szCs w:val="22"/>
        </w:rPr>
      </w:pPr>
    </w:p>
    <w:p w14:paraId="57611F30" w14:textId="515DC7ED" w:rsidR="004C30ED" w:rsidRPr="00A018D9" w:rsidRDefault="00B5065F" w:rsidP="003317E5">
      <w:pPr>
        <w:tabs>
          <w:tab w:val="clear" w:pos="431"/>
        </w:tabs>
        <w:adjustRightInd/>
        <w:snapToGrid/>
        <w:spacing w:line="288" w:lineRule="auto"/>
        <w:jc w:val="left"/>
        <w:rPr>
          <w:sz w:val="22"/>
          <w:szCs w:val="22"/>
        </w:rPr>
      </w:pPr>
      <w:r w:rsidRPr="00A018D9">
        <w:rPr>
          <w:sz w:val="22"/>
          <w:szCs w:val="22"/>
        </w:rPr>
        <w:t>2</w:t>
      </w:r>
      <w:r w:rsidR="004C30ED" w:rsidRPr="00A018D9">
        <w:rPr>
          <w:sz w:val="22"/>
          <w:szCs w:val="22"/>
        </w:rPr>
        <w:t>.  1989 </w:t>
      </w:r>
      <w:r w:rsidR="004C30ED" w:rsidRPr="00A018D9">
        <w:rPr>
          <w:i/>
          <w:iCs/>
          <w:sz w:val="22"/>
          <w:szCs w:val="22"/>
        </w:rPr>
        <w:t>I.C.J. Reports</w:t>
      </w:r>
      <w:r w:rsidR="004C30ED" w:rsidRPr="00A018D9">
        <w:rPr>
          <w:sz w:val="22"/>
          <w:szCs w:val="22"/>
        </w:rPr>
        <w:t> 42, para. 50.</w:t>
      </w:r>
      <w:r w:rsidR="004C30ED" w:rsidRPr="00A018D9">
        <w:rPr>
          <w:sz w:val="22"/>
          <w:szCs w:val="22"/>
        </w:rPr>
        <w:br/>
      </w:r>
      <w:r w:rsidRPr="00A018D9">
        <w:rPr>
          <w:sz w:val="22"/>
          <w:szCs w:val="22"/>
        </w:rPr>
        <w:t>2</w:t>
      </w:r>
      <w:r w:rsidR="004C30ED" w:rsidRPr="00A018D9">
        <w:rPr>
          <w:sz w:val="22"/>
          <w:szCs w:val="22"/>
        </w:rPr>
        <w:t xml:space="preserve">.  </w:t>
      </w:r>
      <w:r w:rsidR="004C30ED" w:rsidRPr="00A018D9">
        <w:rPr>
          <w:rFonts w:hint="eastAsia"/>
          <w:sz w:val="22"/>
          <w:szCs w:val="22"/>
        </w:rPr>
        <w:t>《</w:t>
      </w:r>
      <w:r w:rsidR="004C30ED" w:rsidRPr="00A018D9">
        <w:rPr>
          <w:sz w:val="22"/>
          <w:szCs w:val="22"/>
        </w:rPr>
        <w:t>1989</w:t>
      </w:r>
      <w:r w:rsidR="004C30ED" w:rsidRPr="00A018D9">
        <w:rPr>
          <w:rFonts w:hint="eastAsia"/>
          <w:sz w:val="22"/>
          <w:szCs w:val="22"/>
        </w:rPr>
        <w:t>年国际法院案例汇编》，第</w:t>
      </w:r>
      <w:r w:rsidR="004C30ED" w:rsidRPr="00A018D9">
        <w:rPr>
          <w:sz w:val="22"/>
          <w:szCs w:val="22"/>
        </w:rPr>
        <w:t>42</w:t>
      </w:r>
      <w:r w:rsidR="004C30ED" w:rsidRPr="00A018D9">
        <w:rPr>
          <w:rFonts w:hint="eastAsia"/>
          <w:sz w:val="22"/>
          <w:szCs w:val="22"/>
        </w:rPr>
        <w:t>页，第</w:t>
      </w:r>
      <w:r w:rsidR="004C30ED" w:rsidRPr="00A018D9">
        <w:rPr>
          <w:sz w:val="22"/>
          <w:szCs w:val="22"/>
        </w:rPr>
        <w:t>50</w:t>
      </w:r>
      <w:r w:rsidR="004C30ED" w:rsidRPr="00A018D9">
        <w:rPr>
          <w:rFonts w:hint="eastAsia"/>
          <w:sz w:val="22"/>
          <w:szCs w:val="22"/>
        </w:rPr>
        <w:t>段。</w:t>
      </w:r>
    </w:p>
    <w:p w14:paraId="43F66B80" w14:textId="77777777" w:rsidR="004C30ED" w:rsidRPr="00A018D9" w:rsidRDefault="004C30ED" w:rsidP="003317E5">
      <w:pPr>
        <w:tabs>
          <w:tab w:val="clear" w:pos="431"/>
        </w:tabs>
        <w:adjustRightInd/>
        <w:snapToGrid/>
        <w:spacing w:line="288" w:lineRule="auto"/>
        <w:jc w:val="left"/>
        <w:rPr>
          <w:sz w:val="22"/>
          <w:szCs w:val="22"/>
        </w:rPr>
      </w:pPr>
    </w:p>
    <w:p w14:paraId="30EA7E53" w14:textId="63F629D2" w:rsidR="004C30ED" w:rsidRPr="00A018D9" w:rsidRDefault="00B5065F" w:rsidP="003317E5">
      <w:pPr>
        <w:tabs>
          <w:tab w:val="clear" w:pos="431"/>
        </w:tabs>
        <w:adjustRightInd/>
        <w:snapToGrid/>
        <w:spacing w:line="288" w:lineRule="auto"/>
        <w:jc w:val="left"/>
        <w:rPr>
          <w:sz w:val="22"/>
          <w:szCs w:val="22"/>
        </w:rPr>
      </w:pPr>
      <w:r w:rsidRPr="00A018D9">
        <w:rPr>
          <w:sz w:val="22"/>
          <w:szCs w:val="22"/>
        </w:rPr>
        <w:t>3</w:t>
      </w:r>
      <w:r w:rsidR="004C30ED" w:rsidRPr="00A018D9">
        <w:rPr>
          <w:sz w:val="22"/>
          <w:szCs w:val="22"/>
        </w:rPr>
        <w:t>.  </w:t>
      </w:r>
      <w:r w:rsidRPr="00A018D9">
        <w:rPr>
          <w:sz w:val="22"/>
          <w:szCs w:val="22"/>
        </w:rPr>
        <w:t xml:space="preserve"> </w:t>
      </w:r>
      <w:r w:rsidR="004C30ED" w:rsidRPr="00A018D9">
        <w:rPr>
          <w:i/>
          <w:iCs/>
          <w:sz w:val="22"/>
          <w:szCs w:val="22"/>
        </w:rPr>
        <w:t>I.C.J. Reports</w:t>
      </w:r>
      <w:r w:rsidR="004C30ED" w:rsidRPr="00A018D9">
        <w:rPr>
          <w:sz w:val="22"/>
          <w:szCs w:val="22"/>
        </w:rPr>
        <w:t>, 1996, p.66 at p.78, para.25.</w:t>
      </w:r>
      <w:r w:rsidR="004C30ED" w:rsidRPr="00A018D9">
        <w:rPr>
          <w:sz w:val="22"/>
          <w:szCs w:val="22"/>
        </w:rPr>
        <w:br/>
      </w:r>
      <w:r w:rsidRPr="00A018D9">
        <w:rPr>
          <w:sz w:val="22"/>
          <w:szCs w:val="22"/>
        </w:rPr>
        <w:t>3</w:t>
      </w:r>
      <w:r w:rsidR="004C30ED" w:rsidRPr="00A018D9">
        <w:rPr>
          <w:sz w:val="22"/>
          <w:szCs w:val="22"/>
        </w:rPr>
        <w:t xml:space="preserve">.  </w:t>
      </w:r>
      <w:r w:rsidR="004C30ED" w:rsidRPr="00A018D9">
        <w:rPr>
          <w:rFonts w:hint="eastAsia"/>
          <w:sz w:val="22"/>
          <w:szCs w:val="22"/>
        </w:rPr>
        <w:t>《</w:t>
      </w:r>
      <w:r w:rsidR="004C30ED" w:rsidRPr="00A018D9">
        <w:rPr>
          <w:sz w:val="22"/>
          <w:szCs w:val="22"/>
        </w:rPr>
        <w:t>1996</w:t>
      </w:r>
      <w:r w:rsidR="004C30ED" w:rsidRPr="00A018D9">
        <w:rPr>
          <w:rFonts w:hint="eastAsia"/>
          <w:sz w:val="22"/>
          <w:szCs w:val="22"/>
        </w:rPr>
        <w:t>年国际法院案例汇编》，第</w:t>
      </w:r>
      <w:r w:rsidR="004C30ED" w:rsidRPr="00A018D9">
        <w:rPr>
          <w:sz w:val="22"/>
          <w:szCs w:val="22"/>
        </w:rPr>
        <w:t>66</w:t>
      </w:r>
      <w:r w:rsidR="004C30ED" w:rsidRPr="00A018D9">
        <w:rPr>
          <w:rFonts w:hint="eastAsia"/>
          <w:sz w:val="22"/>
          <w:szCs w:val="22"/>
        </w:rPr>
        <w:t>页</w:t>
      </w:r>
      <w:r w:rsidR="00972C5C" w:rsidRPr="00A018D9">
        <w:rPr>
          <w:rFonts w:hint="eastAsia"/>
          <w:sz w:val="22"/>
          <w:szCs w:val="22"/>
        </w:rPr>
        <w:t>起</w:t>
      </w:r>
      <w:r w:rsidR="004C30ED" w:rsidRPr="00A018D9">
        <w:rPr>
          <w:rFonts w:hint="eastAsia"/>
          <w:sz w:val="22"/>
          <w:szCs w:val="22"/>
        </w:rPr>
        <w:t>，见第</w:t>
      </w:r>
      <w:r w:rsidR="004C30ED" w:rsidRPr="00A018D9">
        <w:rPr>
          <w:sz w:val="22"/>
          <w:szCs w:val="22"/>
        </w:rPr>
        <w:t>78</w:t>
      </w:r>
      <w:r w:rsidR="004C30ED" w:rsidRPr="00A018D9">
        <w:rPr>
          <w:rFonts w:hint="eastAsia"/>
          <w:sz w:val="22"/>
          <w:szCs w:val="22"/>
        </w:rPr>
        <w:t>页，第</w:t>
      </w:r>
      <w:r w:rsidR="004C30ED" w:rsidRPr="00A018D9">
        <w:rPr>
          <w:sz w:val="22"/>
          <w:szCs w:val="22"/>
        </w:rPr>
        <w:t>25</w:t>
      </w:r>
      <w:r w:rsidR="004C30ED" w:rsidRPr="00A018D9">
        <w:rPr>
          <w:rFonts w:hint="eastAsia"/>
          <w:sz w:val="22"/>
          <w:szCs w:val="22"/>
        </w:rPr>
        <w:t>段。</w:t>
      </w:r>
    </w:p>
    <w:p w14:paraId="6F34746B" w14:textId="26CF4DF3" w:rsidR="004C30ED" w:rsidRPr="00A018D9" w:rsidRDefault="004C30ED" w:rsidP="003317E5">
      <w:pPr>
        <w:tabs>
          <w:tab w:val="clear" w:pos="431"/>
        </w:tabs>
        <w:adjustRightInd/>
        <w:snapToGrid/>
        <w:spacing w:line="288" w:lineRule="auto"/>
        <w:jc w:val="left"/>
        <w:rPr>
          <w:sz w:val="22"/>
          <w:szCs w:val="22"/>
        </w:rPr>
      </w:pPr>
    </w:p>
    <w:p w14:paraId="3F0B2EDA" w14:textId="2D07D2ED" w:rsidR="001D0D1E" w:rsidRPr="00A018D9" w:rsidRDefault="00E72BFA" w:rsidP="003317E5">
      <w:pPr>
        <w:tabs>
          <w:tab w:val="clear" w:pos="431"/>
        </w:tabs>
        <w:adjustRightInd/>
        <w:snapToGrid/>
        <w:spacing w:line="288" w:lineRule="auto"/>
        <w:jc w:val="left"/>
        <w:rPr>
          <w:sz w:val="22"/>
          <w:szCs w:val="22"/>
        </w:rPr>
      </w:pPr>
      <w:r w:rsidRPr="00A018D9">
        <w:rPr>
          <w:sz w:val="22"/>
          <w:szCs w:val="22"/>
        </w:rPr>
        <w:t>4</w:t>
      </w:r>
      <w:r w:rsidR="001D0D1E" w:rsidRPr="00A018D9">
        <w:rPr>
          <w:sz w:val="22"/>
          <w:szCs w:val="22"/>
        </w:rPr>
        <w:t>.  </w:t>
      </w:r>
      <w:r w:rsidR="001D0D1E" w:rsidRPr="00A018D9">
        <w:rPr>
          <w:i/>
          <w:iCs/>
          <w:sz w:val="22"/>
          <w:szCs w:val="22"/>
        </w:rPr>
        <w:t>Territorial Dispute (Libyan Arab Jamahiriya v. Chad), Judgment of 3 February 1994, I.C.J. Reports 1994</w:t>
      </w:r>
      <w:r w:rsidR="001D0D1E" w:rsidRPr="00A018D9">
        <w:rPr>
          <w:sz w:val="22"/>
          <w:szCs w:val="22"/>
        </w:rPr>
        <w:t>, para. 42.</w:t>
      </w:r>
      <w:r w:rsidR="001D0D1E" w:rsidRPr="00A018D9">
        <w:rPr>
          <w:sz w:val="22"/>
          <w:szCs w:val="22"/>
        </w:rPr>
        <w:br/>
      </w:r>
      <w:r w:rsidRPr="00A018D9">
        <w:rPr>
          <w:sz w:val="22"/>
          <w:szCs w:val="22"/>
        </w:rPr>
        <w:t>4</w:t>
      </w:r>
      <w:r w:rsidR="001D0D1E" w:rsidRPr="00A018D9">
        <w:rPr>
          <w:sz w:val="22"/>
          <w:szCs w:val="22"/>
        </w:rPr>
        <w:t xml:space="preserve">.  </w:t>
      </w:r>
      <w:r w:rsidR="001D0D1E" w:rsidRPr="00A018D9">
        <w:rPr>
          <w:rFonts w:hint="eastAsia"/>
          <w:sz w:val="22"/>
          <w:szCs w:val="22"/>
        </w:rPr>
        <w:t>领土</w:t>
      </w:r>
      <w:proofErr w:type="gramStart"/>
      <w:r w:rsidR="001D0D1E" w:rsidRPr="00A018D9">
        <w:rPr>
          <w:rFonts w:hint="eastAsia"/>
          <w:sz w:val="22"/>
          <w:szCs w:val="22"/>
        </w:rPr>
        <w:t>争端案</w:t>
      </w:r>
      <w:proofErr w:type="gramEnd"/>
      <w:r w:rsidR="008F1AF6" w:rsidRPr="00A018D9">
        <w:rPr>
          <w:sz w:val="22"/>
          <w:szCs w:val="22"/>
        </w:rPr>
        <w:t>(</w:t>
      </w:r>
      <w:r w:rsidR="001D0D1E" w:rsidRPr="00A018D9">
        <w:rPr>
          <w:rFonts w:hint="eastAsia"/>
          <w:sz w:val="22"/>
          <w:szCs w:val="22"/>
        </w:rPr>
        <w:t>阿拉伯利比亚</w:t>
      </w:r>
      <w:proofErr w:type="gramStart"/>
      <w:r w:rsidR="001D0D1E" w:rsidRPr="00A018D9">
        <w:rPr>
          <w:rFonts w:hint="eastAsia"/>
          <w:sz w:val="22"/>
          <w:szCs w:val="22"/>
        </w:rPr>
        <w:t>民众国诉乍</w:t>
      </w:r>
      <w:proofErr w:type="gramEnd"/>
      <w:r w:rsidR="001D0D1E" w:rsidRPr="00A018D9">
        <w:rPr>
          <w:rFonts w:hint="eastAsia"/>
          <w:sz w:val="22"/>
          <w:szCs w:val="22"/>
        </w:rPr>
        <w:t>得</w:t>
      </w:r>
      <w:r w:rsidR="008F1AF6" w:rsidRPr="00A018D9">
        <w:rPr>
          <w:sz w:val="22"/>
          <w:szCs w:val="22"/>
        </w:rPr>
        <w:t>)</w:t>
      </w:r>
      <w:r w:rsidR="001D0D1E" w:rsidRPr="00A018D9">
        <w:rPr>
          <w:rFonts w:hint="eastAsia"/>
          <w:sz w:val="22"/>
          <w:szCs w:val="22"/>
        </w:rPr>
        <w:t>，</w:t>
      </w:r>
      <w:r w:rsidR="001D0D1E" w:rsidRPr="00A018D9">
        <w:rPr>
          <w:sz w:val="22"/>
          <w:szCs w:val="22"/>
        </w:rPr>
        <w:t>1994</w:t>
      </w:r>
      <w:r w:rsidR="001D0D1E" w:rsidRPr="00A018D9">
        <w:rPr>
          <w:rFonts w:hint="eastAsia"/>
          <w:sz w:val="22"/>
          <w:szCs w:val="22"/>
        </w:rPr>
        <w:t>年</w:t>
      </w:r>
      <w:r w:rsidR="001D0D1E" w:rsidRPr="00A018D9">
        <w:rPr>
          <w:sz w:val="22"/>
          <w:szCs w:val="22"/>
        </w:rPr>
        <w:t>2</w:t>
      </w:r>
      <w:r w:rsidR="001D0D1E" w:rsidRPr="00A018D9">
        <w:rPr>
          <w:rFonts w:hint="eastAsia"/>
          <w:sz w:val="22"/>
          <w:szCs w:val="22"/>
        </w:rPr>
        <w:t>月</w:t>
      </w:r>
      <w:r w:rsidR="001D0D1E" w:rsidRPr="00A018D9">
        <w:rPr>
          <w:sz w:val="22"/>
          <w:szCs w:val="22"/>
        </w:rPr>
        <w:t>3</w:t>
      </w:r>
      <w:r w:rsidR="001D0D1E" w:rsidRPr="00A018D9">
        <w:rPr>
          <w:rFonts w:hint="eastAsia"/>
          <w:sz w:val="22"/>
          <w:szCs w:val="22"/>
        </w:rPr>
        <w:t>日判决，《</w:t>
      </w:r>
      <w:r w:rsidR="001D0D1E" w:rsidRPr="00A018D9">
        <w:rPr>
          <w:sz w:val="22"/>
          <w:szCs w:val="22"/>
        </w:rPr>
        <w:t>1994</w:t>
      </w:r>
      <w:r w:rsidR="001D0D1E" w:rsidRPr="00A018D9">
        <w:rPr>
          <w:rFonts w:hint="eastAsia"/>
          <w:sz w:val="22"/>
          <w:szCs w:val="22"/>
        </w:rPr>
        <w:t>年国际法院案例汇编》，第</w:t>
      </w:r>
      <w:r w:rsidR="001D0D1E" w:rsidRPr="00A018D9">
        <w:rPr>
          <w:sz w:val="22"/>
          <w:szCs w:val="22"/>
        </w:rPr>
        <w:t>42</w:t>
      </w:r>
      <w:r w:rsidR="001D0D1E" w:rsidRPr="00A018D9">
        <w:rPr>
          <w:rFonts w:hint="eastAsia"/>
          <w:sz w:val="22"/>
          <w:szCs w:val="22"/>
        </w:rPr>
        <w:t>段。</w:t>
      </w:r>
    </w:p>
    <w:p w14:paraId="2B1144A0" w14:textId="77777777" w:rsidR="001D0D1E" w:rsidRPr="00A018D9" w:rsidRDefault="001D0D1E" w:rsidP="003317E5">
      <w:pPr>
        <w:tabs>
          <w:tab w:val="clear" w:pos="431"/>
        </w:tabs>
        <w:adjustRightInd/>
        <w:snapToGrid/>
        <w:spacing w:line="288" w:lineRule="auto"/>
        <w:rPr>
          <w:sz w:val="22"/>
          <w:szCs w:val="22"/>
        </w:rPr>
      </w:pPr>
    </w:p>
    <w:p w14:paraId="50828963" w14:textId="601E694C" w:rsidR="001D0D1E" w:rsidRPr="00A018D9" w:rsidRDefault="00E72BFA" w:rsidP="003317E5">
      <w:pPr>
        <w:tabs>
          <w:tab w:val="clear" w:pos="431"/>
        </w:tabs>
        <w:adjustRightInd/>
        <w:snapToGrid/>
        <w:spacing w:line="288" w:lineRule="auto"/>
        <w:rPr>
          <w:sz w:val="22"/>
          <w:szCs w:val="22"/>
        </w:rPr>
      </w:pPr>
      <w:r w:rsidRPr="00A018D9">
        <w:rPr>
          <w:sz w:val="22"/>
          <w:szCs w:val="22"/>
        </w:rPr>
        <w:t>5</w:t>
      </w:r>
      <w:r w:rsidR="001D0D1E" w:rsidRPr="00A018D9">
        <w:rPr>
          <w:sz w:val="22"/>
          <w:szCs w:val="22"/>
        </w:rPr>
        <w:t>.  </w:t>
      </w:r>
      <w:r w:rsidR="001D0D1E" w:rsidRPr="00A018D9">
        <w:rPr>
          <w:i/>
          <w:iCs/>
          <w:sz w:val="22"/>
          <w:szCs w:val="22"/>
        </w:rPr>
        <w:t>Nuclear Tests (Australia v. France), Judgment of 20 December 1974, I.C.J. Reports 1974</w:t>
      </w:r>
      <w:r w:rsidR="001D0D1E" w:rsidRPr="00A018D9">
        <w:rPr>
          <w:sz w:val="22"/>
          <w:szCs w:val="22"/>
        </w:rPr>
        <w:t>, p. 267, para. 44.</w:t>
      </w:r>
    </w:p>
    <w:p w14:paraId="501D0FDE" w14:textId="76D00A1A" w:rsidR="00F21090" w:rsidRPr="00A018D9" w:rsidRDefault="00E72BFA" w:rsidP="003317E5">
      <w:pPr>
        <w:tabs>
          <w:tab w:val="clear" w:pos="431"/>
        </w:tabs>
        <w:adjustRightInd/>
        <w:snapToGrid/>
        <w:spacing w:line="288" w:lineRule="auto"/>
        <w:rPr>
          <w:sz w:val="22"/>
          <w:szCs w:val="22"/>
        </w:rPr>
      </w:pPr>
      <w:r w:rsidRPr="00A018D9">
        <w:rPr>
          <w:sz w:val="22"/>
          <w:szCs w:val="22"/>
        </w:rPr>
        <w:t>5</w:t>
      </w:r>
      <w:r w:rsidR="001D0D1E" w:rsidRPr="00A018D9">
        <w:rPr>
          <w:sz w:val="22"/>
          <w:szCs w:val="22"/>
        </w:rPr>
        <w:t xml:space="preserve">.  </w:t>
      </w:r>
      <w:r w:rsidR="001D0D1E" w:rsidRPr="00A018D9">
        <w:rPr>
          <w:rFonts w:hint="eastAsia"/>
          <w:sz w:val="22"/>
          <w:szCs w:val="22"/>
        </w:rPr>
        <w:t>核试验案</w:t>
      </w:r>
      <w:r w:rsidR="008F1AF6" w:rsidRPr="00A018D9">
        <w:rPr>
          <w:sz w:val="22"/>
          <w:szCs w:val="22"/>
        </w:rPr>
        <w:t>(</w:t>
      </w:r>
      <w:r w:rsidR="001D0D1E" w:rsidRPr="00A018D9">
        <w:rPr>
          <w:rFonts w:hint="eastAsia"/>
          <w:sz w:val="22"/>
          <w:szCs w:val="22"/>
        </w:rPr>
        <w:t>澳大利亚诉法国</w:t>
      </w:r>
      <w:r w:rsidR="008F1AF6" w:rsidRPr="00A018D9">
        <w:rPr>
          <w:sz w:val="22"/>
          <w:szCs w:val="22"/>
        </w:rPr>
        <w:t>)</w:t>
      </w:r>
      <w:r w:rsidR="001D0D1E" w:rsidRPr="00A018D9">
        <w:rPr>
          <w:rFonts w:hint="eastAsia"/>
          <w:sz w:val="22"/>
          <w:szCs w:val="22"/>
        </w:rPr>
        <w:t>，</w:t>
      </w:r>
      <w:r w:rsidR="001D0D1E" w:rsidRPr="00A018D9">
        <w:rPr>
          <w:sz w:val="22"/>
          <w:szCs w:val="22"/>
        </w:rPr>
        <w:t>1974</w:t>
      </w:r>
      <w:r w:rsidR="001D0D1E" w:rsidRPr="00A018D9">
        <w:rPr>
          <w:rFonts w:hint="eastAsia"/>
          <w:sz w:val="22"/>
          <w:szCs w:val="22"/>
        </w:rPr>
        <w:t>年</w:t>
      </w:r>
      <w:r w:rsidR="001D0D1E" w:rsidRPr="00A018D9">
        <w:rPr>
          <w:sz w:val="22"/>
          <w:szCs w:val="22"/>
        </w:rPr>
        <w:t>12</w:t>
      </w:r>
      <w:r w:rsidR="001D0D1E" w:rsidRPr="00A018D9">
        <w:rPr>
          <w:rFonts w:hint="eastAsia"/>
          <w:sz w:val="22"/>
          <w:szCs w:val="22"/>
        </w:rPr>
        <w:t>月</w:t>
      </w:r>
      <w:r w:rsidR="001D0D1E" w:rsidRPr="00A018D9">
        <w:rPr>
          <w:sz w:val="22"/>
          <w:szCs w:val="22"/>
        </w:rPr>
        <w:t>20</w:t>
      </w:r>
      <w:r w:rsidR="001D0D1E" w:rsidRPr="00A018D9">
        <w:rPr>
          <w:rFonts w:hint="eastAsia"/>
          <w:sz w:val="22"/>
          <w:szCs w:val="22"/>
        </w:rPr>
        <w:t>日判决，《</w:t>
      </w:r>
      <w:r w:rsidR="001D0D1E" w:rsidRPr="00A018D9">
        <w:rPr>
          <w:sz w:val="22"/>
          <w:szCs w:val="22"/>
        </w:rPr>
        <w:t>1974</w:t>
      </w:r>
      <w:r w:rsidR="001D0D1E" w:rsidRPr="00A018D9">
        <w:rPr>
          <w:rFonts w:hint="eastAsia"/>
          <w:sz w:val="22"/>
          <w:szCs w:val="22"/>
        </w:rPr>
        <w:t>年国际法院案例汇编》，第</w:t>
      </w:r>
      <w:r w:rsidR="001D0D1E" w:rsidRPr="00A018D9">
        <w:rPr>
          <w:sz w:val="22"/>
          <w:szCs w:val="22"/>
        </w:rPr>
        <w:t>267</w:t>
      </w:r>
      <w:r w:rsidR="001D0D1E" w:rsidRPr="00A018D9">
        <w:rPr>
          <w:rFonts w:hint="eastAsia"/>
          <w:sz w:val="22"/>
          <w:szCs w:val="22"/>
        </w:rPr>
        <w:t>页，第</w:t>
      </w:r>
      <w:r w:rsidR="001D0D1E" w:rsidRPr="00A018D9">
        <w:rPr>
          <w:sz w:val="22"/>
          <w:szCs w:val="22"/>
        </w:rPr>
        <w:t>44</w:t>
      </w:r>
      <w:r w:rsidR="001D0D1E" w:rsidRPr="00A018D9">
        <w:rPr>
          <w:rFonts w:hint="eastAsia"/>
          <w:sz w:val="22"/>
          <w:szCs w:val="22"/>
        </w:rPr>
        <w:t>段。</w:t>
      </w:r>
    </w:p>
    <w:p w14:paraId="5F2F9A78" w14:textId="77777777" w:rsidR="00F21090" w:rsidRPr="00A018D9" w:rsidRDefault="00F21090" w:rsidP="003317E5">
      <w:pPr>
        <w:tabs>
          <w:tab w:val="clear" w:pos="431"/>
        </w:tabs>
        <w:adjustRightInd/>
        <w:snapToGrid/>
        <w:spacing w:line="288" w:lineRule="auto"/>
        <w:jc w:val="left"/>
        <w:rPr>
          <w:sz w:val="22"/>
          <w:szCs w:val="22"/>
        </w:rPr>
      </w:pPr>
    </w:p>
    <w:p w14:paraId="7E278E12" w14:textId="1A657529" w:rsidR="0054537B" w:rsidRPr="00A018D9" w:rsidRDefault="00E72BFA" w:rsidP="003317E5">
      <w:pPr>
        <w:tabs>
          <w:tab w:val="clear" w:pos="431"/>
        </w:tabs>
        <w:adjustRightInd/>
        <w:snapToGrid/>
        <w:spacing w:line="288" w:lineRule="auto"/>
        <w:jc w:val="left"/>
        <w:rPr>
          <w:sz w:val="22"/>
          <w:szCs w:val="22"/>
        </w:rPr>
      </w:pPr>
      <w:r w:rsidRPr="00A018D9">
        <w:rPr>
          <w:sz w:val="22"/>
          <w:szCs w:val="22"/>
        </w:rPr>
        <w:lastRenderedPageBreak/>
        <w:t>6</w:t>
      </w:r>
      <w:r w:rsidR="0054537B" w:rsidRPr="00A018D9">
        <w:rPr>
          <w:sz w:val="22"/>
          <w:szCs w:val="22"/>
        </w:rPr>
        <w:t>.  1939 </w:t>
      </w:r>
      <w:r w:rsidR="0054537B" w:rsidRPr="00A018D9">
        <w:rPr>
          <w:i/>
          <w:iCs/>
          <w:sz w:val="22"/>
          <w:szCs w:val="22"/>
        </w:rPr>
        <w:t>P.C.I.J.</w:t>
      </w:r>
      <w:r w:rsidR="0054537B" w:rsidRPr="00A018D9">
        <w:rPr>
          <w:sz w:val="22"/>
          <w:szCs w:val="22"/>
        </w:rPr>
        <w:t> </w:t>
      </w:r>
      <w:r w:rsidR="0054537B" w:rsidRPr="00A018D9">
        <w:rPr>
          <w:i/>
          <w:iCs/>
          <w:sz w:val="22"/>
          <w:szCs w:val="22"/>
        </w:rPr>
        <w:t>Reports</w:t>
      </w:r>
      <w:r w:rsidR="0054537B" w:rsidRPr="00A018D9">
        <w:rPr>
          <w:sz w:val="22"/>
          <w:szCs w:val="22"/>
        </w:rPr>
        <w:t>, Series A/B, No. 77.</w:t>
      </w:r>
      <w:r w:rsidR="0054537B" w:rsidRPr="00A018D9">
        <w:rPr>
          <w:sz w:val="22"/>
          <w:szCs w:val="22"/>
        </w:rPr>
        <w:br/>
      </w:r>
      <w:r w:rsidRPr="00A018D9">
        <w:rPr>
          <w:sz w:val="22"/>
          <w:szCs w:val="22"/>
        </w:rPr>
        <w:t>6</w:t>
      </w:r>
      <w:r w:rsidR="0054537B" w:rsidRPr="00A018D9">
        <w:rPr>
          <w:sz w:val="22"/>
          <w:szCs w:val="22"/>
        </w:rPr>
        <w:t xml:space="preserve">.  </w:t>
      </w:r>
      <w:r w:rsidR="0054537B" w:rsidRPr="00A018D9">
        <w:rPr>
          <w:rFonts w:hint="eastAsia"/>
          <w:sz w:val="22"/>
          <w:szCs w:val="22"/>
        </w:rPr>
        <w:t>《</w:t>
      </w:r>
      <w:r w:rsidR="0054537B" w:rsidRPr="00A018D9">
        <w:rPr>
          <w:sz w:val="22"/>
          <w:szCs w:val="22"/>
        </w:rPr>
        <w:t>1939</w:t>
      </w:r>
      <w:r w:rsidR="0054537B" w:rsidRPr="00A018D9">
        <w:rPr>
          <w:rFonts w:hint="eastAsia"/>
          <w:sz w:val="22"/>
          <w:szCs w:val="22"/>
        </w:rPr>
        <w:t>年常设国际法院案例汇编》，</w:t>
      </w:r>
      <w:r w:rsidR="0054537B" w:rsidRPr="00A018D9">
        <w:rPr>
          <w:sz w:val="22"/>
          <w:szCs w:val="22"/>
        </w:rPr>
        <w:t>A/B</w:t>
      </w:r>
      <w:r w:rsidR="0054537B" w:rsidRPr="00A018D9">
        <w:rPr>
          <w:rFonts w:hint="eastAsia"/>
          <w:sz w:val="22"/>
          <w:szCs w:val="22"/>
        </w:rPr>
        <w:t>辑，第</w:t>
      </w:r>
      <w:r w:rsidR="0054537B" w:rsidRPr="00A018D9">
        <w:rPr>
          <w:sz w:val="22"/>
          <w:szCs w:val="22"/>
        </w:rPr>
        <w:t>77</w:t>
      </w:r>
      <w:r w:rsidR="0054537B" w:rsidRPr="00A018D9">
        <w:rPr>
          <w:rFonts w:hint="eastAsia"/>
          <w:sz w:val="22"/>
          <w:szCs w:val="22"/>
        </w:rPr>
        <w:t>号。</w:t>
      </w:r>
    </w:p>
    <w:p w14:paraId="51C9CA6F" w14:textId="77777777" w:rsidR="00F21090" w:rsidRPr="00A018D9" w:rsidRDefault="00F21090" w:rsidP="003317E5">
      <w:pPr>
        <w:tabs>
          <w:tab w:val="clear" w:pos="431"/>
        </w:tabs>
        <w:adjustRightInd/>
        <w:snapToGrid/>
        <w:spacing w:line="288" w:lineRule="auto"/>
        <w:jc w:val="left"/>
        <w:rPr>
          <w:sz w:val="22"/>
          <w:szCs w:val="22"/>
        </w:rPr>
      </w:pPr>
    </w:p>
    <w:p w14:paraId="4631CF47" w14:textId="0E6B948B" w:rsidR="001D0D1E" w:rsidRPr="00A018D9" w:rsidRDefault="00E72BFA" w:rsidP="003317E5">
      <w:pPr>
        <w:tabs>
          <w:tab w:val="clear" w:pos="431"/>
        </w:tabs>
        <w:adjustRightInd/>
        <w:snapToGrid/>
        <w:spacing w:line="288" w:lineRule="auto"/>
        <w:jc w:val="left"/>
        <w:rPr>
          <w:sz w:val="22"/>
          <w:szCs w:val="22"/>
        </w:rPr>
      </w:pPr>
      <w:r w:rsidRPr="00A018D9">
        <w:rPr>
          <w:sz w:val="22"/>
          <w:szCs w:val="22"/>
        </w:rPr>
        <w:t>7</w:t>
      </w:r>
      <w:r w:rsidR="001D0D1E" w:rsidRPr="00A018D9">
        <w:rPr>
          <w:sz w:val="22"/>
          <w:szCs w:val="22"/>
        </w:rPr>
        <w:t>.  P.C.I.J., 1933, </w:t>
      </w:r>
      <w:r w:rsidR="001D0D1E" w:rsidRPr="00A018D9">
        <w:rPr>
          <w:i/>
          <w:iCs/>
          <w:sz w:val="22"/>
          <w:szCs w:val="22"/>
        </w:rPr>
        <w:t>Series A/B</w:t>
      </w:r>
      <w:r w:rsidR="001D0D1E" w:rsidRPr="00A018D9">
        <w:rPr>
          <w:sz w:val="22"/>
          <w:szCs w:val="22"/>
        </w:rPr>
        <w:t>, No. 53, p. 75.</w:t>
      </w:r>
      <w:r w:rsidR="001D0D1E" w:rsidRPr="00A018D9">
        <w:rPr>
          <w:sz w:val="22"/>
          <w:szCs w:val="22"/>
        </w:rPr>
        <w:br/>
      </w:r>
      <w:r w:rsidRPr="00A018D9">
        <w:rPr>
          <w:sz w:val="22"/>
          <w:szCs w:val="22"/>
        </w:rPr>
        <w:t>7</w:t>
      </w:r>
      <w:r w:rsidR="001D0D1E" w:rsidRPr="00A018D9">
        <w:rPr>
          <w:sz w:val="22"/>
          <w:szCs w:val="22"/>
        </w:rPr>
        <w:t xml:space="preserve">.  </w:t>
      </w:r>
      <w:r w:rsidR="001D0D1E" w:rsidRPr="00A018D9">
        <w:rPr>
          <w:rFonts w:hint="eastAsia"/>
          <w:sz w:val="22"/>
          <w:szCs w:val="22"/>
        </w:rPr>
        <w:t>《</w:t>
      </w:r>
      <w:r w:rsidR="001D0D1E" w:rsidRPr="00A018D9">
        <w:rPr>
          <w:sz w:val="22"/>
          <w:szCs w:val="22"/>
        </w:rPr>
        <w:t>1933</w:t>
      </w:r>
      <w:r w:rsidR="001D0D1E" w:rsidRPr="00A018D9">
        <w:rPr>
          <w:rFonts w:hint="eastAsia"/>
          <w:sz w:val="22"/>
          <w:szCs w:val="22"/>
        </w:rPr>
        <w:t>年常设国际法院案例汇编》，</w:t>
      </w:r>
      <w:r w:rsidR="001D0D1E" w:rsidRPr="00A018D9">
        <w:rPr>
          <w:sz w:val="22"/>
          <w:szCs w:val="22"/>
        </w:rPr>
        <w:t>A/B</w:t>
      </w:r>
      <w:r w:rsidR="001D0D1E" w:rsidRPr="00A018D9">
        <w:rPr>
          <w:rFonts w:hint="eastAsia"/>
          <w:sz w:val="22"/>
          <w:szCs w:val="22"/>
        </w:rPr>
        <w:t>辑，第</w:t>
      </w:r>
      <w:r w:rsidR="001D0D1E" w:rsidRPr="00A018D9">
        <w:rPr>
          <w:sz w:val="22"/>
          <w:szCs w:val="22"/>
        </w:rPr>
        <w:t>53</w:t>
      </w:r>
      <w:r w:rsidR="001D0D1E" w:rsidRPr="00A018D9">
        <w:rPr>
          <w:rFonts w:hint="eastAsia"/>
          <w:sz w:val="22"/>
          <w:szCs w:val="22"/>
        </w:rPr>
        <w:t>号，第</w:t>
      </w:r>
      <w:r w:rsidR="001D0D1E" w:rsidRPr="00A018D9">
        <w:rPr>
          <w:sz w:val="22"/>
          <w:szCs w:val="22"/>
        </w:rPr>
        <w:t>75</w:t>
      </w:r>
      <w:r w:rsidR="001D0D1E" w:rsidRPr="00A018D9">
        <w:rPr>
          <w:rFonts w:hint="eastAsia"/>
          <w:sz w:val="22"/>
          <w:szCs w:val="22"/>
        </w:rPr>
        <w:t>页。</w:t>
      </w:r>
    </w:p>
    <w:p w14:paraId="3AFFD418" w14:textId="77777777" w:rsidR="00B5065F" w:rsidRPr="00A018D9" w:rsidRDefault="00B5065F" w:rsidP="003317E5">
      <w:pPr>
        <w:tabs>
          <w:tab w:val="clear" w:pos="431"/>
        </w:tabs>
        <w:adjustRightInd/>
        <w:snapToGrid/>
        <w:spacing w:line="288" w:lineRule="auto"/>
        <w:jc w:val="left"/>
        <w:rPr>
          <w:sz w:val="22"/>
          <w:szCs w:val="22"/>
        </w:rPr>
      </w:pPr>
    </w:p>
    <w:p w14:paraId="03787939" w14:textId="27F0A318" w:rsidR="00B5065F" w:rsidRPr="00A018D9" w:rsidRDefault="00E72BFA" w:rsidP="003317E5">
      <w:pPr>
        <w:tabs>
          <w:tab w:val="clear" w:pos="431"/>
        </w:tabs>
        <w:adjustRightInd/>
        <w:snapToGrid/>
        <w:spacing w:line="288" w:lineRule="auto"/>
        <w:jc w:val="left"/>
        <w:rPr>
          <w:sz w:val="22"/>
          <w:szCs w:val="22"/>
        </w:rPr>
      </w:pPr>
      <w:proofErr w:type="gramStart"/>
      <w:r w:rsidRPr="00A018D9">
        <w:rPr>
          <w:sz w:val="22"/>
          <w:szCs w:val="22"/>
        </w:rPr>
        <w:t>8</w:t>
      </w:r>
      <w:r w:rsidR="00B5065F" w:rsidRPr="00A018D9">
        <w:rPr>
          <w:sz w:val="22"/>
          <w:szCs w:val="22"/>
        </w:rPr>
        <w:t>.  (</w:t>
      </w:r>
      <w:proofErr w:type="gramEnd"/>
      <w:r w:rsidR="00B5065F" w:rsidRPr="00A018D9">
        <w:rPr>
          <w:sz w:val="22"/>
          <w:szCs w:val="22"/>
        </w:rPr>
        <w:t>1933) 3 </w:t>
      </w:r>
      <w:r w:rsidR="00B5065F" w:rsidRPr="00A018D9">
        <w:rPr>
          <w:i/>
          <w:iCs/>
          <w:sz w:val="22"/>
          <w:szCs w:val="22"/>
        </w:rPr>
        <w:t>U.N.R.I.A.A.</w:t>
      </w:r>
      <w:r w:rsidR="00B5065F" w:rsidRPr="00A018D9">
        <w:rPr>
          <w:sz w:val="22"/>
          <w:szCs w:val="22"/>
        </w:rPr>
        <w:t> 1420.</w:t>
      </w:r>
      <w:r w:rsidR="00B5065F" w:rsidRPr="00A018D9">
        <w:rPr>
          <w:sz w:val="22"/>
          <w:szCs w:val="22"/>
        </w:rPr>
        <w:br/>
      </w:r>
      <w:r w:rsidRPr="00A018D9">
        <w:rPr>
          <w:sz w:val="22"/>
          <w:szCs w:val="22"/>
        </w:rPr>
        <w:t>8</w:t>
      </w:r>
      <w:r w:rsidR="00B5065F" w:rsidRPr="00A018D9">
        <w:rPr>
          <w:sz w:val="22"/>
          <w:szCs w:val="22"/>
        </w:rPr>
        <w:t xml:space="preserve">.  </w:t>
      </w:r>
      <w:r w:rsidR="00535DDE" w:rsidRPr="00A018D9">
        <w:rPr>
          <w:sz w:val="22"/>
          <w:szCs w:val="22"/>
        </w:rPr>
        <w:t>(</w:t>
      </w:r>
      <w:r w:rsidR="00B5065F" w:rsidRPr="00A018D9">
        <w:rPr>
          <w:sz w:val="22"/>
          <w:szCs w:val="22"/>
        </w:rPr>
        <w:t>1933</w:t>
      </w:r>
      <w:proofErr w:type="gramStart"/>
      <w:r w:rsidR="00B5065F" w:rsidRPr="00A018D9">
        <w:rPr>
          <w:rFonts w:hint="eastAsia"/>
          <w:sz w:val="22"/>
          <w:szCs w:val="22"/>
        </w:rPr>
        <w:t>年</w:t>
      </w:r>
      <w:r w:rsidR="00535DDE" w:rsidRPr="00A018D9">
        <w:rPr>
          <w:sz w:val="22"/>
          <w:szCs w:val="22"/>
        </w:rPr>
        <w:t>)</w:t>
      </w:r>
      <w:r w:rsidR="00B5065F" w:rsidRPr="00A018D9">
        <w:rPr>
          <w:rFonts w:hint="eastAsia"/>
          <w:sz w:val="22"/>
          <w:szCs w:val="22"/>
        </w:rPr>
        <w:t>《</w:t>
      </w:r>
      <w:proofErr w:type="gramEnd"/>
      <w:r w:rsidR="00B5065F" w:rsidRPr="00A018D9">
        <w:rPr>
          <w:rFonts w:hint="eastAsia"/>
          <w:sz w:val="22"/>
          <w:szCs w:val="22"/>
        </w:rPr>
        <w:t>国际仲裁裁决汇编》，第</w:t>
      </w:r>
      <w:r w:rsidR="00B5065F" w:rsidRPr="00A018D9">
        <w:rPr>
          <w:sz w:val="22"/>
          <w:szCs w:val="22"/>
        </w:rPr>
        <w:t>3</w:t>
      </w:r>
      <w:r w:rsidR="00B5065F" w:rsidRPr="00A018D9">
        <w:rPr>
          <w:rFonts w:hint="eastAsia"/>
          <w:sz w:val="22"/>
          <w:szCs w:val="22"/>
        </w:rPr>
        <w:t>卷，第</w:t>
      </w:r>
      <w:r w:rsidR="00B5065F" w:rsidRPr="00A018D9">
        <w:rPr>
          <w:sz w:val="22"/>
          <w:szCs w:val="22"/>
        </w:rPr>
        <w:t>1420</w:t>
      </w:r>
      <w:r w:rsidR="00B5065F" w:rsidRPr="00A018D9">
        <w:rPr>
          <w:rFonts w:hint="eastAsia"/>
          <w:sz w:val="22"/>
          <w:szCs w:val="22"/>
        </w:rPr>
        <w:t>页。</w:t>
      </w:r>
    </w:p>
    <w:p w14:paraId="1F3B24CF" w14:textId="76CEDC8E" w:rsidR="00B5065F" w:rsidRDefault="00B5065F" w:rsidP="003317E5">
      <w:pPr>
        <w:tabs>
          <w:tab w:val="clear" w:pos="431"/>
        </w:tabs>
        <w:adjustRightInd/>
        <w:snapToGrid/>
        <w:spacing w:line="288" w:lineRule="auto"/>
        <w:rPr>
          <w:sz w:val="22"/>
          <w:szCs w:val="22"/>
        </w:rPr>
      </w:pPr>
    </w:p>
    <w:p w14:paraId="78F02F4A" w14:textId="70920676" w:rsidR="00AA41EE" w:rsidRPr="000E5FAB" w:rsidRDefault="00965E17" w:rsidP="003317E5">
      <w:pPr>
        <w:tabs>
          <w:tab w:val="clear" w:pos="431"/>
        </w:tabs>
        <w:adjustRightInd/>
        <w:snapToGrid/>
        <w:spacing w:line="288" w:lineRule="auto"/>
        <w:rPr>
          <w:sz w:val="22"/>
          <w:szCs w:val="22"/>
        </w:rPr>
      </w:pPr>
      <w:r w:rsidRPr="000E5FAB">
        <w:rPr>
          <w:sz w:val="22"/>
          <w:szCs w:val="22"/>
        </w:rPr>
        <w:tab/>
      </w:r>
      <w:r w:rsidR="00C306F8" w:rsidRPr="000E5FAB">
        <w:rPr>
          <w:rFonts w:hint="eastAsia"/>
          <w:sz w:val="22"/>
          <w:szCs w:val="22"/>
        </w:rPr>
        <w:t>但是</w:t>
      </w:r>
      <w:r w:rsidR="007A551F" w:rsidRPr="000E5FAB">
        <w:rPr>
          <w:rFonts w:hint="eastAsia"/>
          <w:sz w:val="22"/>
          <w:szCs w:val="22"/>
        </w:rPr>
        <w:t>下列案例名称和出处信息不译：</w:t>
      </w:r>
    </w:p>
    <w:p w14:paraId="2D0EC5FE" w14:textId="77777777" w:rsidR="00965E17" w:rsidRPr="000E5FAB" w:rsidRDefault="00965E17" w:rsidP="003317E5">
      <w:pPr>
        <w:tabs>
          <w:tab w:val="clear" w:pos="431"/>
        </w:tabs>
        <w:adjustRightInd/>
        <w:snapToGrid/>
        <w:spacing w:line="288" w:lineRule="auto"/>
        <w:rPr>
          <w:sz w:val="22"/>
          <w:szCs w:val="22"/>
        </w:rPr>
      </w:pPr>
    </w:p>
    <w:p w14:paraId="61672580" w14:textId="3663DEDC" w:rsidR="00C306F8" w:rsidRPr="008F5141" w:rsidRDefault="00C306F8" w:rsidP="003317E5">
      <w:pPr>
        <w:tabs>
          <w:tab w:val="clear" w:pos="431"/>
        </w:tabs>
        <w:adjustRightInd/>
        <w:snapToGrid/>
        <w:spacing w:line="288" w:lineRule="auto"/>
        <w:rPr>
          <w:spacing w:val="4"/>
          <w:w w:val="104"/>
          <w:sz w:val="22"/>
          <w:szCs w:val="22"/>
        </w:rPr>
      </w:pPr>
      <w:r w:rsidRPr="008F5141">
        <w:rPr>
          <w:rFonts w:hint="eastAsia"/>
          <w:spacing w:val="4"/>
          <w:w w:val="104"/>
          <w:sz w:val="22"/>
          <w:szCs w:val="22"/>
        </w:rPr>
        <w:t>1</w:t>
      </w:r>
      <w:r w:rsidRPr="008F5141">
        <w:rPr>
          <w:spacing w:val="4"/>
          <w:w w:val="104"/>
          <w:sz w:val="22"/>
          <w:szCs w:val="22"/>
        </w:rPr>
        <w:t xml:space="preserve">.  The </w:t>
      </w:r>
      <w:hyperlink r:id="rId19" w:history="1">
        <w:r w:rsidRPr="008F5141">
          <w:rPr>
            <w:spacing w:val="4"/>
            <w:w w:val="104"/>
            <w:sz w:val="22"/>
            <w:szCs w:val="22"/>
          </w:rPr>
          <w:t xml:space="preserve">Inter-American Court of Human Rights, </w:t>
        </w:r>
        <w:r w:rsidRPr="008F5141">
          <w:rPr>
            <w:i/>
            <w:spacing w:val="4"/>
            <w:w w:val="104"/>
            <w:sz w:val="22"/>
            <w:szCs w:val="22"/>
          </w:rPr>
          <w:t>Case of the Constitutional Tribunal (</w:t>
        </w:r>
        <w:proofErr w:type="spellStart"/>
        <w:r w:rsidRPr="008F5141">
          <w:rPr>
            <w:i/>
            <w:spacing w:val="4"/>
            <w:w w:val="104"/>
            <w:sz w:val="22"/>
            <w:szCs w:val="22"/>
          </w:rPr>
          <w:t>Camba</w:t>
        </w:r>
        <w:proofErr w:type="spellEnd"/>
        <w:r w:rsidRPr="008F5141">
          <w:rPr>
            <w:i/>
            <w:spacing w:val="4"/>
            <w:w w:val="104"/>
            <w:sz w:val="22"/>
            <w:szCs w:val="22"/>
          </w:rPr>
          <w:t xml:space="preserve"> Campos and Others) v. Ecuador</w:t>
        </w:r>
        <w:r w:rsidRPr="008F5141">
          <w:rPr>
            <w:spacing w:val="4"/>
            <w:w w:val="104"/>
            <w:sz w:val="22"/>
            <w:szCs w:val="22"/>
          </w:rPr>
          <w:t>, Preliminary Objections, Merits, Reparations and Costs, Judgment of 28 August 2013, Series C No. 268, paras. 189 and 191</w:t>
        </w:r>
      </w:hyperlink>
      <w:r w:rsidRPr="008F5141">
        <w:rPr>
          <w:spacing w:val="4"/>
          <w:w w:val="104"/>
          <w:sz w:val="22"/>
          <w:szCs w:val="22"/>
        </w:rPr>
        <w:t>.</w:t>
      </w:r>
    </w:p>
    <w:p w14:paraId="64AC2C57" w14:textId="2A3D7B52" w:rsidR="00C306F8" w:rsidRPr="008F5141" w:rsidRDefault="004B6AAF" w:rsidP="00C306F8">
      <w:pPr>
        <w:tabs>
          <w:tab w:val="clear" w:pos="431"/>
        </w:tabs>
        <w:adjustRightInd/>
        <w:snapToGrid/>
        <w:spacing w:line="288" w:lineRule="auto"/>
        <w:rPr>
          <w:spacing w:val="4"/>
          <w:w w:val="104"/>
          <w:sz w:val="22"/>
          <w:szCs w:val="22"/>
        </w:rPr>
      </w:pPr>
      <w:r w:rsidRPr="008F5141">
        <w:rPr>
          <w:rFonts w:hint="eastAsia"/>
          <w:spacing w:val="4"/>
          <w:w w:val="104"/>
          <w:sz w:val="22"/>
          <w:szCs w:val="22"/>
        </w:rPr>
        <w:t>1</w:t>
      </w:r>
      <w:r w:rsidRPr="008F5141">
        <w:rPr>
          <w:spacing w:val="4"/>
          <w:w w:val="104"/>
          <w:sz w:val="22"/>
          <w:szCs w:val="22"/>
        </w:rPr>
        <w:t xml:space="preserve">.  The </w:t>
      </w:r>
      <w:hyperlink r:id="rId20" w:history="1">
        <w:r w:rsidRPr="008F5141">
          <w:rPr>
            <w:spacing w:val="4"/>
            <w:w w:val="104"/>
            <w:sz w:val="22"/>
            <w:szCs w:val="22"/>
          </w:rPr>
          <w:t xml:space="preserve">Inter-American Court of Human Rights, </w:t>
        </w:r>
        <w:r w:rsidRPr="008F5141">
          <w:rPr>
            <w:i/>
            <w:spacing w:val="4"/>
            <w:w w:val="104"/>
            <w:sz w:val="22"/>
            <w:szCs w:val="22"/>
          </w:rPr>
          <w:t>Case of the Constitutional Tribunal (</w:t>
        </w:r>
        <w:proofErr w:type="spellStart"/>
        <w:r w:rsidRPr="008F5141">
          <w:rPr>
            <w:i/>
            <w:spacing w:val="4"/>
            <w:w w:val="104"/>
            <w:sz w:val="22"/>
            <w:szCs w:val="22"/>
          </w:rPr>
          <w:t>Camba</w:t>
        </w:r>
        <w:proofErr w:type="spellEnd"/>
        <w:r w:rsidRPr="008F5141">
          <w:rPr>
            <w:i/>
            <w:spacing w:val="4"/>
            <w:w w:val="104"/>
            <w:sz w:val="22"/>
            <w:szCs w:val="22"/>
          </w:rPr>
          <w:t xml:space="preserve"> Campos and Others) v. Ecuador</w:t>
        </w:r>
        <w:r w:rsidRPr="008F5141">
          <w:rPr>
            <w:spacing w:val="4"/>
            <w:w w:val="104"/>
            <w:sz w:val="22"/>
            <w:szCs w:val="22"/>
          </w:rPr>
          <w:t>, Preliminary Objections, Merits, Reparations and Costs, Judgment of 28 August 2013, Series C No. 268, paras. 189 and 191</w:t>
        </w:r>
      </w:hyperlink>
      <w:r w:rsidR="00E3195F">
        <w:rPr>
          <w:spacing w:val="4"/>
          <w:w w:val="104"/>
          <w:sz w:val="22"/>
          <w:szCs w:val="22"/>
        </w:rPr>
        <w:t>.</w:t>
      </w:r>
    </w:p>
    <w:p w14:paraId="7F95B38F" w14:textId="77777777" w:rsidR="007A551F" w:rsidRPr="008F5141" w:rsidRDefault="007A551F" w:rsidP="00C306F8">
      <w:pPr>
        <w:tabs>
          <w:tab w:val="clear" w:pos="431"/>
        </w:tabs>
        <w:adjustRightInd/>
        <w:snapToGrid/>
        <w:spacing w:line="288" w:lineRule="auto"/>
        <w:rPr>
          <w:spacing w:val="4"/>
          <w:w w:val="104"/>
          <w:sz w:val="22"/>
          <w:szCs w:val="22"/>
        </w:rPr>
      </w:pPr>
    </w:p>
    <w:p w14:paraId="30695E49" w14:textId="38FDDF3B" w:rsidR="00C306F8" w:rsidRPr="008F5141" w:rsidRDefault="00965E17" w:rsidP="003317E5">
      <w:pPr>
        <w:tabs>
          <w:tab w:val="clear" w:pos="431"/>
        </w:tabs>
        <w:adjustRightInd/>
        <w:snapToGrid/>
        <w:spacing w:line="288" w:lineRule="auto"/>
        <w:rPr>
          <w:spacing w:val="4"/>
          <w:w w:val="104"/>
          <w:sz w:val="22"/>
          <w:szCs w:val="22"/>
        </w:rPr>
      </w:pPr>
      <w:r w:rsidRPr="008F5141">
        <w:rPr>
          <w:rFonts w:asciiTheme="majorBidi" w:hAnsiTheme="majorBidi" w:cstheme="majorBidi" w:hint="eastAsia"/>
          <w:sz w:val="22"/>
          <w:szCs w:val="22"/>
        </w:rPr>
        <w:t>2</w:t>
      </w:r>
      <w:r w:rsidRPr="008F5141">
        <w:rPr>
          <w:rFonts w:asciiTheme="majorBidi" w:hAnsiTheme="majorBidi" w:cstheme="majorBidi"/>
          <w:sz w:val="22"/>
          <w:szCs w:val="22"/>
        </w:rPr>
        <w:t xml:space="preserve">.  </w:t>
      </w:r>
      <w:r w:rsidR="00A8516D" w:rsidRPr="008F5141">
        <w:rPr>
          <w:rFonts w:asciiTheme="majorBidi" w:hAnsiTheme="majorBidi" w:cstheme="majorBidi"/>
          <w:sz w:val="22"/>
          <w:szCs w:val="22"/>
        </w:rPr>
        <w:t xml:space="preserve">See, for example, </w:t>
      </w:r>
      <w:r w:rsidR="00A8516D" w:rsidRPr="008F5141">
        <w:rPr>
          <w:rFonts w:asciiTheme="majorBidi" w:hAnsiTheme="majorBidi" w:cstheme="majorBidi"/>
          <w:i/>
          <w:iCs/>
          <w:sz w:val="22"/>
          <w:szCs w:val="22"/>
        </w:rPr>
        <w:t xml:space="preserve">Prosecutor v. </w:t>
      </w:r>
      <w:proofErr w:type="spellStart"/>
      <w:r w:rsidR="00A8516D" w:rsidRPr="008F5141">
        <w:rPr>
          <w:rFonts w:asciiTheme="majorBidi" w:hAnsiTheme="majorBidi" w:cstheme="majorBidi"/>
          <w:i/>
          <w:iCs/>
          <w:sz w:val="22"/>
          <w:szCs w:val="22"/>
        </w:rPr>
        <w:t>Furundžija</w:t>
      </w:r>
      <w:proofErr w:type="spellEnd"/>
      <w:r w:rsidR="00A8516D" w:rsidRPr="008F5141">
        <w:rPr>
          <w:rFonts w:asciiTheme="majorBidi" w:hAnsiTheme="majorBidi" w:cstheme="majorBidi"/>
          <w:sz w:val="22"/>
          <w:szCs w:val="22"/>
        </w:rPr>
        <w:t xml:space="preserve">, Case No. IT-95-17/1-T, Trial Chamber II, </w:t>
      </w:r>
      <w:r w:rsidR="00A8516D" w:rsidRPr="008F5141">
        <w:rPr>
          <w:rFonts w:asciiTheme="majorBidi" w:hAnsiTheme="majorBidi" w:cstheme="majorBidi"/>
          <w:iCs/>
          <w:sz w:val="22"/>
          <w:szCs w:val="22"/>
        </w:rPr>
        <w:t>judgment</w:t>
      </w:r>
      <w:r w:rsidR="00A8516D" w:rsidRPr="008F5141">
        <w:rPr>
          <w:rFonts w:asciiTheme="majorBidi" w:hAnsiTheme="majorBidi" w:cstheme="majorBidi"/>
          <w:sz w:val="22"/>
          <w:szCs w:val="22"/>
        </w:rPr>
        <w:t xml:space="preserve"> of 10 December 1998, International Criminal Tribunal for the former Yugoslavia, </w:t>
      </w:r>
      <w:r w:rsidR="00A8516D" w:rsidRPr="008F5141">
        <w:rPr>
          <w:rFonts w:asciiTheme="majorBidi" w:hAnsiTheme="majorBidi" w:cstheme="majorBidi"/>
          <w:i/>
          <w:sz w:val="22"/>
          <w:szCs w:val="22"/>
        </w:rPr>
        <w:t>Judicial Reports 1998</w:t>
      </w:r>
      <w:r w:rsidR="00A8516D" w:rsidRPr="008F5141">
        <w:rPr>
          <w:rFonts w:asciiTheme="majorBidi" w:hAnsiTheme="majorBidi" w:cstheme="majorBidi"/>
          <w:sz w:val="22"/>
          <w:szCs w:val="22"/>
        </w:rPr>
        <w:t>, para. 246</w:t>
      </w:r>
      <w:r w:rsidRPr="008F5141">
        <w:rPr>
          <w:rFonts w:asciiTheme="majorBidi" w:hAnsiTheme="majorBidi" w:cstheme="majorBidi"/>
          <w:sz w:val="22"/>
          <w:szCs w:val="22"/>
        </w:rPr>
        <w:t>.</w:t>
      </w:r>
    </w:p>
    <w:p w14:paraId="3DB08C29" w14:textId="04E0F57F" w:rsidR="00965E17" w:rsidRPr="008F5141" w:rsidRDefault="00965E17" w:rsidP="00965E17">
      <w:pPr>
        <w:tabs>
          <w:tab w:val="clear" w:pos="431"/>
        </w:tabs>
        <w:adjustRightInd/>
        <w:snapToGrid/>
        <w:spacing w:line="288" w:lineRule="auto"/>
        <w:rPr>
          <w:spacing w:val="4"/>
          <w:w w:val="104"/>
          <w:sz w:val="22"/>
          <w:szCs w:val="22"/>
        </w:rPr>
      </w:pPr>
      <w:r w:rsidRPr="008F5141">
        <w:rPr>
          <w:rFonts w:asciiTheme="majorBidi" w:hAnsiTheme="majorBidi" w:cstheme="majorBidi" w:hint="eastAsia"/>
          <w:sz w:val="22"/>
          <w:szCs w:val="22"/>
        </w:rPr>
        <w:t>2</w:t>
      </w:r>
      <w:r w:rsidRPr="008F5141">
        <w:rPr>
          <w:rFonts w:asciiTheme="majorBidi" w:hAnsiTheme="majorBidi" w:cstheme="majorBidi"/>
          <w:sz w:val="22"/>
          <w:szCs w:val="22"/>
        </w:rPr>
        <w:t xml:space="preserve">.  </w:t>
      </w:r>
      <w:r w:rsidR="003A654D" w:rsidRPr="008F5141">
        <w:rPr>
          <w:rFonts w:asciiTheme="majorBidi" w:hAnsiTheme="majorBidi" w:cstheme="majorBidi" w:hint="eastAsia"/>
          <w:sz w:val="22"/>
          <w:szCs w:val="22"/>
        </w:rPr>
        <w:t>例如见</w:t>
      </w:r>
      <w:r w:rsidRPr="008F5141">
        <w:rPr>
          <w:rFonts w:asciiTheme="majorBidi" w:hAnsiTheme="majorBidi" w:cstheme="majorBidi"/>
          <w:i/>
          <w:iCs/>
          <w:sz w:val="22"/>
          <w:szCs w:val="22"/>
        </w:rPr>
        <w:t xml:space="preserve">Prosecutor v. </w:t>
      </w:r>
      <w:proofErr w:type="spellStart"/>
      <w:r w:rsidRPr="008F5141">
        <w:rPr>
          <w:rFonts w:asciiTheme="majorBidi" w:hAnsiTheme="majorBidi" w:cstheme="majorBidi"/>
          <w:i/>
          <w:iCs/>
          <w:sz w:val="22"/>
          <w:szCs w:val="22"/>
        </w:rPr>
        <w:t>Furundžija</w:t>
      </w:r>
      <w:proofErr w:type="spellEnd"/>
      <w:r w:rsidRPr="008F5141">
        <w:rPr>
          <w:rFonts w:asciiTheme="majorBidi" w:hAnsiTheme="majorBidi" w:cstheme="majorBidi"/>
          <w:sz w:val="22"/>
          <w:szCs w:val="22"/>
        </w:rPr>
        <w:t xml:space="preserve">, Case No. IT-95-17/1-T, Trial Chamber II, </w:t>
      </w:r>
      <w:r w:rsidRPr="008F5141">
        <w:rPr>
          <w:rFonts w:asciiTheme="majorBidi" w:hAnsiTheme="majorBidi" w:cstheme="majorBidi"/>
          <w:iCs/>
          <w:sz w:val="22"/>
          <w:szCs w:val="22"/>
        </w:rPr>
        <w:t>judgment</w:t>
      </w:r>
      <w:r w:rsidRPr="008F5141">
        <w:rPr>
          <w:rFonts w:asciiTheme="majorBidi" w:hAnsiTheme="majorBidi" w:cstheme="majorBidi"/>
          <w:sz w:val="22"/>
          <w:szCs w:val="22"/>
        </w:rPr>
        <w:t xml:space="preserve"> of 10 December 1998, International Criminal Tribunal for the former Yugoslavia, </w:t>
      </w:r>
      <w:r w:rsidRPr="008F5141">
        <w:rPr>
          <w:rFonts w:asciiTheme="majorBidi" w:hAnsiTheme="majorBidi" w:cstheme="majorBidi"/>
          <w:i/>
          <w:sz w:val="22"/>
          <w:szCs w:val="22"/>
        </w:rPr>
        <w:t>Judicial Reports 1998</w:t>
      </w:r>
      <w:r w:rsidRPr="008F5141">
        <w:rPr>
          <w:rFonts w:asciiTheme="majorBidi" w:hAnsiTheme="majorBidi" w:cstheme="majorBidi"/>
          <w:sz w:val="22"/>
          <w:szCs w:val="22"/>
        </w:rPr>
        <w:t>, para. 246</w:t>
      </w:r>
      <w:r w:rsidR="003A654D" w:rsidRPr="008F5141">
        <w:rPr>
          <w:rFonts w:asciiTheme="majorBidi" w:hAnsiTheme="majorBidi" w:cstheme="majorBidi" w:hint="eastAsia"/>
          <w:sz w:val="22"/>
          <w:szCs w:val="22"/>
        </w:rPr>
        <w:t>。</w:t>
      </w:r>
    </w:p>
    <w:p w14:paraId="6A06E927" w14:textId="77777777" w:rsidR="00C306F8" w:rsidRDefault="00C306F8" w:rsidP="003317E5">
      <w:pPr>
        <w:tabs>
          <w:tab w:val="clear" w:pos="431"/>
        </w:tabs>
        <w:adjustRightInd/>
        <w:snapToGrid/>
        <w:spacing w:line="288" w:lineRule="auto"/>
        <w:rPr>
          <w:spacing w:val="4"/>
          <w:w w:val="104"/>
        </w:rPr>
      </w:pPr>
    </w:p>
    <w:p w14:paraId="517CE90A" w14:textId="77777777" w:rsidR="001228CB" w:rsidRPr="00A018D9" w:rsidRDefault="001228CB" w:rsidP="001228CB">
      <w:pPr>
        <w:spacing w:line="288" w:lineRule="auto"/>
        <w:jc w:val="left"/>
        <w:rPr>
          <w:rFonts w:eastAsia="SimHei"/>
          <w:color w:val="0000FF"/>
          <w:sz w:val="22"/>
          <w:szCs w:val="22"/>
        </w:rPr>
      </w:pPr>
    </w:p>
    <w:p w14:paraId="75395A07" w14:textId="71C94585" w:rsidR="00375BCD" w:rsidRPr="00A018D9" w:rsidRDefault="00375BCD" w:rsidP="001228CB">
      <w:pPr>
        <w:spacing w:line="288" w:lineRule="auto"/>
        <w:jc w:val="left"/>
        <w:rPr>
          <w:rFonts w:eastAsia="SimHei"/>
          <w:color w:val="0000FF"/>
          <w:sz w:val="22"/>
          <w:szCs w:val="22"/>
          <w:u w:val="single"/>
        </w:rPr>
      </w:pPr>
      <w:r w:rsidRPr="00A018D9">
        <w:rPr>
          <w:rFonts w:eastAsia="SimHei" w:hint="eastAsia"/>
          <w:color w:val="0000FF"/>
          <w:sz w:val="22"/>
          <w:szCs w:val="22"/>
          <w:u w:val="single"/>
        </w:rPr>
        <w:t>不译的脚注</w:t>
      </w:r>
    </w:p>
    <w:p w14:paraId="343FC1AB" w14:textId="77777777" w:rsidR="00375BCD" w:rsidRPr="00A018D9" w:rsidRDefault="00375BCD" w:rsidP="00375BCD">
      <w:pPr>
        <w:spacing w:line="288" w:lineRule="auto"/>
        <w:ind w:firstLine="431"/>
        <w:rPr>
          <w:rFonts w:eastAsia="SimHei"/>
          <w:color w:val="0000FF"/>
          <w:sz w:val="22"/>
          <w:szCs w:val="22"/>
        </w:rPr>
      </w:pPr>
    </w:p>
    <w:p w14:paraId="7C9AF4F7" w14:textId="5C1F5AC8" w:rsidR="00766C90" w:rsidRPr="00A018D9" w:rsidRDefault="00766C90" w:rsidP="00766C90">
      <w:pPr>
        <w:spacing w:line="288" w:lineRule="auto"/>
        <w:ind w:firstLine="431"/>
        <w:rPr>
          <w:rFonts w:eastAsia="SimHei"/>
          <w:color w:val="0000FF"/>
          <w:sz w:val="22"/>
          <w:szCs w:val="22"/>
        </w:rPr>
      </w:pPr>
      <w:r w:rsidRPr="00A018D9">
        <w:rPr>
          <w:rFonts w:eastAsia="SimHei"/>
          <w:color w:val="0000FF"/>
          <w:sz w:val="22"/>
          <w:szCs w:val="22"/>
        </w:rPr>
        <w:t xml:space="preserve">1. </w:t>
      </w:r>
      <w:r w:rsidR="001228CB" w:rsidRPr="00A018D9">
        <w:rPr>
          <w:rFonts w:eastAsia="SimHei" w:hint="eastAsia"/>
          <w:color w:val="0000FF"/>
          <w:sz w:val="22"/>
          <w:szCs w:val="22"/>
        </w:rPr>
        <w:t>私人著作名称和出处信息不译</w:t>
      </w:r>
      <w:r w:rsidRPr="00A018D9">
        <w:rPr>
          <w:rFonts w:eastAsia="SimHei" w:hint="eastAsia"/>
          <w:color w:val="0000FF"/>
          <w:sz w:val="22"/>
          <w:szCs w:val="22"/>
        </w:rPr>
        <w:t>。</w:t>
      </w:r>
    </w:p>
    <w:p w14:paraId="1CC369BB" w14:textId="77777777" w:rsidR="00D0698A" w:rsidRPr="00A018D9" w:rsidRDefault="00D0698A" w:rsidP="003317E5">
      <w:pPr>
        <w:spacing w:line="288" w:lineRule="auto"/>
        <w:ind w:firstLine="431"/>
        <w:rPr>
          <w:rFonts w:eastAsia="SimHei"/>
          <w:color w:val="0000FF"/>
          <w:sz w:val="22"/>
          <w:szCs w:val="22"/>
        </w:rPr>
      </w:pPr>
    </w:p>
    <w:p w14:paraId="0FBBE8C1" w14:textId="77777777" w:rsidR="00D0698A" w:rsidRPr="00A018D9" w:rsidRDefault="00D0698A" w:rsidP="006902E1">
      <w:pPr>
        <w:spacing w:line="288" w:lineRule="auto"/>
        <w:rPr>
          <w:sz w:val="22"/>
          <w:szCs w:val="22"/>
        </w:rPr>
      </w:pPr>
      <w:r w:rsidRPr="00A018D9">
        <w:rPr>
          <w:sz w:val="22"/>
          <w:szCs w:val="22"/>
        </w:rPr>
        <w:tab/>
      </w:r>
      <w:r w:rsidRPr="00A018D9">
        <w:rPr>
          <w:rFonts w:hint="eastAsia"/>
          <w:sz w:val="22"/>
          <w:szCs w:val="22"/>
        </w:rPr>
        <w:t>例如：</w:t>
      </w:r>
    </w:p>
    <w:p w14:paraId="72CCDD90" w14:textId="77777777" w:rsidR="00782A2F" w:rsidRPr="00A018D9" w:rsidRDefault="00782A2F" w:rsidP="003317E5">
      <w:pPr>
        <w:spacing w:line="288" w:lineRule="auto"/>
        <w:rPr>
          <w:sz w:val="22"/>
          <w:szCs w:val="22"/>
        </w:rPr>
      </w:pPr>
      <w:r w:rsidRPr="00A018D9">
        <w:rPr>
          <w:sz w:val="22"/>
          <w:szCs w:val="22"/>
        </w:rPr>
        <w:t>1.  Aaron Karp, “Estimating global civilian-held firearms numbers”, Small Arms Survey briefing paper, June 2018, p. 3.</w:t>
      </w:r>
    </w:p>
    <w:p w14:paraId="385CD1FA" w14:textId="77777777" w:rsidR="00782A2F" w:rsidRPr="00A018D9" w:rsidRDefault="00782A2F" w:rsidP="003317E5">
      <w:pPr>
        <w:spacing w:line="288" w:lineRule="auto"/>
        <w:rPr>
          <w:sz w:val="22"/>
          <w:szCs w:val="22"/>
        </w:rPr>
      </w:pPr>
      <w:r w:rsidRPr="00A018D9">
        <w:rPr>
          <w:sz w:val="22"/>
          <w:szCs w:val="22"/>
        </w:rPr>
        <w:t>1.  Aaron Karp, “Estimating global civilian-held firearms numbers”, Small Arms Survey briefing paper, June 2018, p. 3.</w:t>
      </w:r>
    </w:p>
    <w:p w14:paraId="5BF0369D" w14:textId="77777777" w:rsidR="00782A2F" w:rsidRPr="00A018D9" w:rsidRDefault="00782A2F" w:rsidP="003317E5">
      <w:pPr>
        <w:spacing w:line="288" w:lineRule="auto"/>
        <w:ind w:firstLine="431"/>
        <w:rPr>
          <w:sz w:val="22"/>
          <w:szCs w:val="22"/>
        </w:rPr>
      </w:pPr>
    </w:p>
    <w:p w14:paraId="296C1A3A" w14:textId="77777777" w:rsidR="00782A2F" w:rsidRPr="00A018D9" w:rsidRDefault="00782A2F" w:rsidP="003317E5">
      <w:pPr>
        <w:spacing w:line="288" w:lineRule="auto"/>
        <w:rPr>
          <w:sz w:val="22"/>
          <w:szCs w:val="22"/>
        </w:rPr>
      </w:pPr>
      <w:r w:rsidRPr="00A018D9">
        <w:rPr>
          <w:sz w:val="22"/>
          <w:szCs w:val="22"/>
        </w:rPr>
        <w:t xml:space="preserve">2.  Nina </w:t>
      </w:r>
      <w:proofErr w:type="spellStart"/>
      <w:r w:rsidRPr="00A018D9">
        <w:rPr>
          <w:sz w:val="22"/>
          <w:szCs w:val="22"/>
        </w:rPr>
        <w:t>Thoeni</w:t>
      </w:r>
      <w:proofErr w:type="spellEnd"/>
      <w:r w:rsidRPr="00A018D9">
        <w:rPr>
          <w:sz w:val="22"/>
          <w:szCs w:val="22"/>
        </w:rPr>
        <w:t xml:space="preserve"> et al., “Suicide by firearm in Switzerland: who uses the army weapon? Results from the national survey between 2000 and 2010”, </w:t>
      </w:r>
      <w:r w:rsidRPr="00A018D9">
        <w:rPr>
          <w:i/>
          <w:iCs/>
          <w:sz w:val="22"/>
          <w:szCs w:val="22"/>
        </w:rPr>
        <w:t>Swiss Medical Weekly</w:t>
      </w:r>
      <w:r w:rsidRPr="00A018D9">
        <w:rPr>
          <w:sz w:val="22"/>
          <w:szCs w:val="22"/>
        </w:rPr>
        <w:t xml:space="preserve"> (23 September 2018). </w:t>
      </w:r>
    </w:p>
    <w:p w14:paraId="3336D9D8" w14:textId="4A2D1ED1" w:rsidR="00782A2F" w:rsidRPr="00A018D9" w:rsidRDefault="00782A2F" w:rsidP="003317E5">
      <w:pPr>
        <w:spacing w:line="288" w:lineRule="auto"/>
        <w:rPr>
          <w:sz w:val="22"/>
          <w:szCs w:val="22"/>
        </w:rPr>
      </w:pPr>
      <w:r w:rsidRPr="00A018D9">
        <w:rPr>
          <w:sz w:val="22"/>
          <w:szCs w:val="22"/>
        </w:rPr>
        <w:t xml:space="preserve">2.  Nina </w:t>
      </w:r>
      <w:proofErr w:type="spellStart"/>
      <w:r w:rsidRPr="00A018D9">
        <w:rPr>
          <w:sz w:val="22"/>
          <w:szCs w:val="22"/>
        </w:rPr>
        <w:t>Thoeni</w:t>
      </w:r>
      <w:proofErr w:type="spellEnd"/>
      <w:r w:rsidRPr="00A018D9">
        <w:rPr>
          <w:sz w:val="22"/>
          <w:szCs w:val="22"/>
        </w:rPr>
        <w:t xml:space="preserve"> et al., “Suicide by firearm in Switzerland: who uses the army weapon? Results from the national survey between 2000 and 2010”, </w:t>
      </w:r>
      <w:r w:rsidRPr="00A018D9">
        <w:rPr>
          <w:i/>
          <w:iCs/>
          <w:sz w:val="22"/>
          <w:szCs w:val="22"/>
        </w:rPr>
        <w:t>Swiss Medical Weekly</w:t>
      </w:r>
      <w:r w:rsidRPr="00A018D9">
        <w:rPr>
          <w:sz w:val="22"/>
          <w:szCs w:val="22"/>
        </w:rPr>
        <w:t xml:space="preserve"> (23 September 2018). </w:t>
      </w:r>
    </w:p>
    <w:p w14:paraId="400424B9" w14:textId="77777777" w:rsidR="00F6532A" w:rsidRPr="00A018D9" w:rsidRDefault="00F6532A" w:rsidP="003317E5">
      <w:pPr>
        <w:spacing w:line="288" w:lineRule="auto"/>
        <w:rPr>
          <w:sz w:val="22"/>
          <w:szCs w:val="22"/>
        </w:rPr>
      </w:pPr>
    </w:p>
    <w:p w14:paraId="320CB50E" w14:textId="5F3F62A9" w:rsidR="00F6532A" w:rsidRPr="00A018D9" w:rsidRDefault="00E72BFA" w:rsidP="003317E5">
      <w:pPr>
        <w:tabs>
          <w:tab w:val="clear" w:pos="431"/>
        </w:tabs>
        <w:adjustRightInd/>
        <w:snapToGrid/>
        <w:spacing w:line="288" w:lineRule="auto"/>
        <w:jc w:val="left"/>
        <w:rPr>
          <w:rFonts w:asciiTheme="majorBidi" w:hAnsiTheme="majorBidi" w:cstheme="majorBidi"/>
          <w:sz w:val="22"/>
          <w:szCs w:val="22"/>
        </w:rPr>
      </w:pPr>
      <w:r w:rsidRPr="00A018D9">
        <w:rPr>
          <w:rFonts w:asciiTheme="majorBidi" w:hAnsiTheme="majorBidi" w:cstheme="majorBidi"/>
          <w:sz w:val="22"/>
          <w:szCs w:val="22"/>
        </w:rPr>
        <w:t>3</w:t>
      </w:r>
      <w:r w:rsidR="00F6532A" w:rsidRPr="00A018D9">
        <w:rPr>
          <w:rFonts w:asciiTheme="majorBidi" w:hAnsiTheme="majorBidi" w:cstheme="majorBidi"/>
          <w:sz w:val="22"/>
          <w:szCs w:val="22"/>
        </w:rPr>
        <w:t>.  M. Adler, “The Exhaustion of the Local Remedies Rule after the International Court of Justice’s Decision in </w:t>
      </w:r>
      <w:r w:rsidR="00F6532A" w:rsidRPr="00A018D9">
        <w:rPr>
          <w:rFonts w:asciiTheme="majorBidi" w:hAnsiTheme="majorBidi" w:cstheme="majorBidi"/>
          <w:i/>
          <w:iCs/>
          <w:sz w:val="22"/>
          <w:szCs w:val="22"/>
        </w:rPr>
        <w:t>ELSI</w:t>
      </w:r>
      <w:r w:rsidR="00F6532A" w:rsidRPr="00A018D9">
        <w:rPr>
          <w:rFonts w:asciiTheme="majorBidi" w:hAnsiTheme="majorBidi" w:cstheme="majorBidi"/>
          <w:sz w:val="22"/>
          <w:szCs w:val="22"/>
        </w:rPr>
        <w:t>” (1990), 39</w:t>
      </w:r>
      <w:r w:rsidR="00F6532A" w:rsidRPr="00A018D9">
        <w:rPr>
          <w:rFonts w:asciiTheme="majorBidi" w:hAnsiTheme="majorBidi" w:cstheme="majorBidi"/>
          <w:i/>
          <w:iCs/>
          <w:sz w:val="22"/>
          <w:szCs w:val="22"/>
        </w:rPr>
        <w:t> I.C.L.Q.</w:t>
      </w:r>
      <w:r w:rsidR="00F6532A" w:rsidRPr="00A018D9">
        <w:rPr>
          <w:rFonts w:asciiTheme="majorBidi" w:hAnsiTheme="majorBidi" w:cstheme="majorBidi"/>
          <w:sz w:val="22"/>
          <w:szCs w:val="22"/>
        </w:rPr>
        <w:t> 641.</w:t>
      </w:r>
      <w:r w:rsidR="00F6532A" w:rsidRPr="00A018D9">
        <w:rPr>
          <w:rFonts w:asciiTheme="majorBidi" w:hAnsiTheme="majorBidi" w:cstheme="majorBidi"/>
          <w:sz w:val="22"/>
          <w:szCs w:val="22"/>
        </w:rPr>
        <w:br/>
      </w:r>
      <w:r w:rsidRPr="00A018D9">
        <w:rPr>
          <w:rFonts w:asciiTheme="majorBidi" w:hAnsiTheme="majorBidi" w:cstheme="majorBidi"/>
          <w:sz w:val="22"/>
          <w:szCs w:val="22"/>
        </w:rPr>
        <w:t>3</w:t>
      </w:r>
      <w:r w:rsidR="00F6532A" w:rsidRPr="00A018D9">
        <w:rPr>
          <w:rFonts w:asciiTheme="majorBidi" w:hAnsiTheme="majorBidi" w:cstheme="majorBidi"/>
          <w:sz w:val="22"/>
          <w:szCs w:val="22"/>
        </w:rPr>
        <w:t>.  M. Adler, “The Exhaustion of the Local Remedies Rule after the International Court of Justice’s Decision in </w:t>
      </w:r>
      <w:r w:rsidR="00F6532A" w:rsidRPr="00A018D9">
        <w:rPr>
          <w:rFonts w:asciiTheme="majorBidi" w:hAnsiTheme="majorBidi" w:cstheme="majorBidi"/>
          <w:i/>
          <w:iCs/>
          <w:sz w:val="22"/>
          <w:szCs w:val="22"/>
        </w:rPr>
        <w:t>ELSI</w:t>
      </w:r>
      <w:r w:rsidR="00F6532A" w:rsidRPr="00A018D9">
        <w:rPr>
          <w:rFonts w:asciiTheme="majorBidi" w:hAnsiTheme="majorBidi" w:cstheme="majorBidi"/>
          <w:sz w:val="22"/>
          <w:szCs w:val="22"/>
        </w:rPr>
        <w:t>” (1990), 39</w:t>
      </w:r>
      <w:r w:rsidR="00F6532A" w:rsidRPr="00A018D9">
        <w:rPr>
          <w:rFonts w:asciiTheme="majorBidi" w:hAnsiTheme="majorBidi" w:cstheme="majorBidi"/>
          <w:i/>
          <w:iCs/>
          <w:sz w:val="22"/>
          <w:szCs w:val="22"/>
        </w:rPr>
        <w:t> I.C.L.Q.</w:t>
      </w:r>
      <w:r w:rsidR="00F6532A" w:rsidRPr="00A018D9">
        <w:rPr>
          <w:rFonts w:asciiTheme="majorBidi" w:hAnsiTheme="majorBidi" w:cstheme="majorBidi"/>
          <w:sz w:val="22"/>
          <w:szCs w:val="22"/>
        </w:rPr>
        <w:t> 641.</w:t>
      </w:r>
    </w:p>
    <w:p w14:paraId="2C8A9B5A" w14:textId="77777777" w:rsidR="00F6532A" w:rsidRPr="00A018D9" w:rsidRDefault="00F6532A" w:rsidP="003317E5">
      <w:pPr>
        <w:tabs>
          <w:tab w:val="clear" w:pos="431"/>
        </w:tabs>
        <w:adjustRightInd/>
        <w:snapToGrid/>
        <w:spacing w:line="288" w:lineRule="auto"/>
        <w:jc w:val="left"/>
        <w:rPr>
          <w:rFonts w:asciiTheme="majorBidi" w:hAnsiTheme="majorBidi" w:cstheme="majorBidi"/>
          <w:sz w:val="22"/>
          <w:szCs w:val="22"/>
        </w:rPr>
      </w:pPr>
    </w:p>
    <w:p w14:paraId="00CF7D10" w14:textId="77777777" w:rsidR="00CC0122" w:rsidRPr="00A018D9" w:rsidRDefault="00E72BFA" w:rsidP="003317E5">
      <w:pPr>
        <w:tabs>
          <w:tab w:val="clear" w:pos="431"/>
        </w:tabs>
        <w:adjustRightInd/>
        <w:snapToGrid/>
        <w:spacing w:line="288" w:lineRule="auto"/>
        <w:rPr>
          <w:rFonts w:asciiTheme="majorBidi" w:hAnsiTheme="majorBidi" w:cstheme="majorBidi"/>
          <w:sz w:val="22"/>
          <w:szCs w:val="22"/>
          <w:lang w:val="es-ES"/>
        </w:rPr>
      </w:pPr>
      <w:r w:rsidRPr="00A018D9">
        <w:rPr>
          <w:rFonts w:asciiTheme="majorBidi" w:hAnsiTheme="majorBidi" w:cstheme="majorBidi"/>
          <w:sz w:val="22"/>
          <w:szCs w:val="22"/>
          <w:lang w:val="es-ES"/>
        </w:rPr>
        <w:t>4</w:t>
      </w:r>
      <w:r w:rsidR="00F6532A" w:rsidRPr="00A018D9">
        <w:rPr>
          <w:rFonts w:asciiTheme="majorBidi" w:hAnsiTheme="majorBidi" w:cstheme="majorBidi"/>
          <w:sz w:val="22"/>
          <w:szCs w:val="22"/>
          <w:lang w:val="es-ES"/>
        </w:rPr>
        <w:t xml:space="preserve">.  Julio </w:t>
      </w:r>
      <w:proofErr w:type="spellStart"/>
      <w:r w:rsidR="00F6532A" w:rsidRPr="00A018D9">
        <w:rPr>
          <w:rFonts w:asciiTheme="majorBidi" w:hAnsiTheme="majorBidi" w:cstheme="majorBidi"/>
          <w:sz w:val="22"/>
          <w:szCs w:val="22"/>
          <w:lang w:val="es-ES"/>
        </w:rPr>
        <w:t>Barberis</w:t>
      </w:r>
      <w:proofErr w:type="spellEnd"/>
      <w:r w:rsidR="00F6532A" w:rsidRPr="00A018D9">
        <w:rPr>
          <w:rFonts w:asciiTheme="majorBidi" w:hAnsiTheme="majorBidi" w:cstheme="majorBidi"/>
          <w:sz w:val="22"/>
          <w:szCs w:val="22"/>
          <w:lang w:val="es-ES"/>
        </w:rPr>
        <w:t xml:space="preserve">, “Los actos jurídicos </w:t>
      </w:r>
      <w:proofErr w:type="spellStart"/>
      <w:r w:rsidR="00F6532A" w:rsidRPr="00A018D9">
        <w:rPr>
          <w:rFonts w:asciiTheme="majorBidi" w:hAnsiTheme="majorBidi" w:cstheme="majorBidi"/>
          <w:sz w:val="22"/>
          <w:szCs w:val="22"/>
          <w:lang w:val="es-ES"/>
        </w:rPr>
        <w:t>unlaterales</w:t>
      </w:r>
      <w:proofErr w:type="spellEnd"/>
      <w:r w:rsidR="00F6532A" w:rsidRPr="00A018D9">
        <w:rPr>
          <w:rFonts w:asciiTheme="majorBidi" w:hAnsiTheme="majorBidi" w:cstheme="majorBidi"/>
          <w:sz w:val="22"/>
          <w:szCs w:val="22"/>
          <w:lang w:val="es-ES"/>
        </w:rPr>
        <w:t xml:space="preserve"> como fuente de derecho internacional público”, in </w:t>
      </w:r>
      <w:r w:rsidR="00F6532A" w:rsidRPr="00A018D9">
        <w:rPr>
          <w:rFonts w:asciiTheme="majorBidi" w:hAnsiTheme="majorBidi" w:cstheme="majorBidi"/>
          <w:i/>
          <w:iCs/>
          <w:sz w:val="22"/>
          <w:szCs w:val="22"/>
          <w:lang w:val="es-ES"/>
        </w:rPr>
        <w:t>Obra Homenaje a M. Diez de Velasco</w:t>
      </w:r>
      <w:r w:rsidR="00B67CB4" w:rsidRPr="00A018D9">
        <w:rPr>
          <w:rFonts w:asciiTheme="majorBidi" w:hAnsiTheme="majorBidi" w:cstheme="majorBidi"/>
          <w:i/>
          <w:iCs/>
          <w:sz w:val="22"/>
          <w:szCs w:val="22"/>
          <w:lang w:val="es-ES"/>
        </w:rPr>
        <w:t xml:space="preserve"> </w:t>
      </w:r>
      <w:r w:rsidR="00F6532A" w:rsidRPr="00A018D9">
        <w:rPr>
          <w:rFonts w:asciiTheme="majorBidi" w:hAnsiTheme="majorBidi" w:cstheme="majorBidi"/>
          <w:sz w:val="22"/>
          <w:szCs w:val="22"/>
          <w:lang w:val="es-ES"/>
        </w:rPr>
        <w:t>(Madrid, 1993), p. 113.</w:t>
      </w:r>
    </w:p>
    <w:p w14:paraId="5C768730" w14:textId="32FD7E95" w:rsidR="00F6532A" w:rsidRPr="00A018D9" w:rsidRDefault="00E72BFA" w:rsidP="003317E5">
      <w:pPr>
        <w:tabs>
          <w:tab w:val="clear" w:pos="431"/>
        </w:tabs>
        <w:adjustRightInd/>
        <w:snapToGrid/>
        <w:spacing w:line="288" w:lineRule="auto"/>
        <w:rPr>
          <w:rFonts w:asciiTheme="majorBidi" w:hAnsiTheme="majorBidi" w:cstheme="majorBidi"/>
          <w:sz w:val="22"/>
          <w:szCs w:val="22"/>
          <w:lang w:val="es-ES"/>
        </w:rPr>
      </w:pPr>
      <w:r w:rsidRPr="00A018D9">
        <w:rPr>
          <w:rFonts w:asciiTheme="majorBidi" w:hAnsiTheme="majorBidi" w:cstheme="majorBidi"/>
          <w:sz w:val="22"/>
          <w:szCs w:val="22"/>
          <w:lang w:val="es-ES"/>
        </w:rPr>
        <w:t>4</w:t>
      </w:r>
      <w:r w:rsidR="00F6532A" w:rsidRPr="00A018D9">
        <w:rPr>
          <w:rFonts w:asciiTheme="majorBidi" w:hAnsiTheme="majorBidi" w:cstheme="majorBidi"/>
          <w:sz w:val="22"/>
          <w:szCs w:val="22"/>
          <w:lang w:val="es-ES"/>
        </w:rPr>
        <w:t xml:space="preserve">.  Julio </w:t>
      </w:r>
      <w:proofErr w:type="spellStart"/>
      <w:r w:rsidR="00F6532A" w:rsidRPr="00A018D9">
        <w:rPr>
          <w:rFonts w:asciiTheme="majorBidi" w:hAnsiTheme="majorBidi" w:cstheme="majorBidi"/>
          <w:sz w:val="22"/>
          <w:szCs w:val="22"/>
          <w:lang w:val="es-ES"/>
        </w:rPr>
        <w:t>Barberis</w:t>
      </w:r>
      <w:proofErr w:type="spellEnd"/>
      <w:r w:rsidR="00F6532A" w:rsidRPr="00A018D9">
        <w:rPr>
          <w:rFonts w:asciiTheme="majorBidi" w:hAnsiTheme="majorBidi" w:cstheme="majorBidi"/>
          <w:sz w:val="22"/>
          <w:szCs w:val="22"/>
          <w:lang w:val="es-ES"/>
        </w:rPr>
        <w:t xml:space="preserve">, “Los actos jurídicos </w:t>
      </w:r>
      <w:proofErr w:type="spellStart"/>
      <w:r w:rsidR="00F6532A" w:rsidRPr="00A018D9">
        <w:rPr>
          <w:rFonts w:asciiTheme="majorBidi" w:hAnsiTheme="majorBidi" w:cstheme="majorBidi"/>
          <w:sz w:val="22"/>
          <w:szCs w:val="22"/>
          <w:lang w:val="es-ES"/>
        </w:rPr>
        <w:t>unlaterales</w:t>
      </w:r>
      <w:proofErr w:type="spellEnd"/>
      <w:r w:rsidR="00F6532A" w:rsidRPr="00A018D9">
        <w:rPr>
          <w:rFonts w:asciiTheme="majorBidi" w:hAnsiTheme="majorBidi" w:cstheme="majorBidi"/>
          <w:sz w:val="22"/>
          <w:szCs w:val="22"/>
          <w:lang w:val="es-ES"/>
        </w:rPr>
        <w:t xml:space="preserve"> como fuente de derecho internacional público”, in </w:t>
      </w:r>
      <w:r w:rsidR="00F6532A" w:rsidRPr="00A018D9">
        <w:rPr>
          <w:rFonts w:asciiTheme="majorBidi" w:hAnsiTheme="majorBidi" w:cstheme="majorBidi"/>
          <w:i/>
          <w:iCs/>
          <w:sz w:val="22"/>
          <w:szCs w:val="22"/>
          <w:lang w:val="es-ES"/>
        </w:rPr>
        <w:t>Obra Homenaje a M. Diez de Velasco</w:t>
      </w:r>
      <w:r w:rsidR="0007582F" w:rsidRPr="00A018D9">
        <w:rPr>
          <w:rFonts w:asciiTheme="majorBidi" w:hAnsiTheme="majorBidi" w:cstheme="majorBidi"/>
          <w:i/>
          <w:iCs/>
          <w:sz w:val="22"/>
          <w:szCs w:val="22"/>
          <w:lang w:val="es-ES"/>
        </w:rPr>
        <w:t xml:space="preserve"> </w:t>
      </w:r>
      <w:r w:rsidR="00F6532A" w:rsidRPr="00A018D9">
        <w:rPr>
          <w:rFonts w:asciiTheme="majorBidi" w:hAnsiTheme="majorBidi" w:cstheme="majorBidi"/>
          <w:sz w:val="22"/>
          <w:szCs w:val="22"/>
          <w:lang w:val="es-ES"/>
        </w:rPr>
        <w:t>(Madrid, 1993), p. 113.</w:t>
      </w:r>
    </w:p>
    <w:p w14:paraId="26A57D87" w14:textId="77777777" w:rsidR="009D5785" w:rsidRPr="00A018D9" w:rsidRDefault="009D5785" w:rsidP="003317E5">
      <w:pPr>
        <w:spacing w:line="288" w:lineRule="auto"/>
        <w:rPr>
          <w:sz w:val="22"/>
          <w:szCs w:val="22"/>
          <w:lang w:val="es-ES"/>
        </w:rPr>
      </w:pPr>
    </w:p>
    <w:p w14:paraId="75DEE916" w14:textId="147322DC" w:rsidR="009D5785" w:rsidRPr="00A018D9" w:rsidRDefault="00E72BFA" w:rsidP="003317E5">
      <w:pPr>
        <w:spacing w:line="288" w:lineRule="auto"/>
        <w:rPr>
          <w:sz w:val="22"/>
          <w:szCs w:val="22"/>
        </w:rPr>
      </w:pPr>
      <w:r w:rsidRPr="00A018D9">
        <w:rPr>
          <w:sz w:val="22"/>
          <w:szCs w:val="22"/>
        </w:rPr>
        <w:t>5</w:t>
      </w:r>
      <w:r w:rsidR="009D5785" w:rsidRPr="00A018D9">
        <w:rPr>
          <w:sz w:val="22"/>
          <w:szCs w:val="22"/>
        </w:rPr>
        <w:t xml:space="preserve">.  </w:t>
      </w:r>
      <w:proofErr w:type="spellStart"/>
      <w:r w:rsidR="009D5785" w:rsidRPr="00A018D9">
        <w:rPr>
          <w:sz w:val="22"/>
          <w:szCs w:val="22"/>
        </w:rPr>
        <w:t>Macrothesaurus</w:t>
      </w:r>
      <w:proofErr w:type="spellEnd"/>
      <w:r w:rsidR="009D5785" w:rsidRPr="00A018D9">
        <w:rPr>
          <w:sz w:val="22"/>
          <w:szCs w:val="22"/>
        </w:rPr>
        <w:t xml:space="preserve"> for Information Processing in the Field of Economic and Social Development — Third edition, prepared by Jean Viet (Cloth edition), United Nations publication, Sales </w:t>
      </w:r>
      <w:proofErr w:type="gramStart"/>
      <w:r w:rsidR="009D5785" w:rsidRPr="00A018D9">
        <w:rPr>
          <w:sz w:val="22"/>
          <w:szCs w:val="22"/>
        </w:rPr>
        <w:t>No..</w:t>
      </w:r>
      <w:proofErr w:type="gramEnd"/>
      <w:r w:rsidR="009D5785" w:rsidRPr="00A018D9">
        <w:rPr>
          <w:sz w:val="22"/>
          <w:szCs w:val="22"/>
        </w:rPr>
        <w:t xml:space="preserve"> E. 85.1.15</w:t>
      </w:r>
    </w:p>
    <w:p w14:paraId="03A0F3AC" w14:textId="47286479" w:rsidR="009D5785" w:rsidRPr="00A018D9" w:rsidRDefault="00E33779" w:rsidP="003317E5">
      <w:pPr>
        <w:spacing w:line="288" w:lineRule="auto"/>
        <w:rPr>
          <w:sz w:val="22"/>
          <w:szCs w:val="22"/>
        </w:rPr>
      </w:pPr>
      <w:r w:rsidRPr="00A018D9">
        <w:rPr>
          <w:sz w:val="22"/>
          <w:szCs w:val="22"/>
        </w:rPr>
        <w:t>5</w:t>
      </w:r>
      <w:r w:rsidR="009D5785" w:rsidRPr="00A018D9">
        <w:rPr>
          <w:sz w:val="22"/>
          <w:szCs w:val="22"/>
        </w:rPr>
        <w:t xml:space="preserve">.  </w:t>
      </w:r>
      <w:proofErr w:type="spellStart"/>
      <w:r w:rsidR="009D5785" w:rsidRPr="00A018D9">
        <w:rPr>
          <w:sz w:val="22"/>
          <w:szCs w:val="22"/>
        </w:rPr>
        <w:t>Macrothesaurus</w:t>
      </w:r>
      <w:proofErr w:type="spellEnd"/>
      <w:r w:rsidR="009D5785" w:rsidRPr="00A018D9">
        <w:rPr>
          <w:sz w:val="22"/>
          <w:szCs w:val="22"/>
        </w:rPr>
        <w:t xml:space="preserve"> for Information Processing in the Field of Economic and Social Development — Third edition, prepared by Jean Viet (Cloth edition), United Nations publication, Sales </w:t>
      </w:r>
      <w:proofErr w:type="gramStart"/>
      <w:r w:rsidR="009D5785" w:rsidRPr="00A018D9">
        <w:rPr>
          <w:sz w:val="22"/>
          <w:szCs w:val="22"/>
        </w:rPr>
        <w:t>No..</w:t>
      </w:r>
      <w:proofErr w:type="gramEnd"/>
      <w:r w:rsidR="009D5785" w:rsidRPr="00A018D9">
        <w:rPr>
          <w:sz w:val="22"/>
          <w:szCs w:val="22"/>
        </w:rPr>
        <w:t xml:space="preserve"> E. 85.1.15</w:t>
      </w:r>
    </w:p>
    <w:p w14:paraId="7FF7DEAF" w14:textId="51D2EE88" w:rsidR="00F521D3" w:rsidRPr="00A018D9" w:rsidRDefault="00F521D3" w:rsidP="003317E5">
      <w:pPr>
        <w:spacing w:line="288" w:lineRule="auto"/>
        <w:ind w:firstLine="431"/>
        <w:rPr>
          <w:rFonts w:eastAsia="SimHei"/>
          <w:color w:val="0000FF"/>
          <w:sz w:val="22"/>
          <w:szCs w:val="22"/>
        </w:rPr>
      </w:pPr>
    </w:p>
    <w:p w14:paraId="2415C900" w14:textId="77777777" w:rsidR="00782A2F" w:rsidRPr="00A018D9" w:rsidRDefault="00782A2F" w:rsidP="003317E5">
      <w:pPr>
        <w:spacing w:line="288" w:lineRule="auto"/>
        <w:ind w:firstLine="431"/>
        <w:rPr>
          <w:rFonts w:eastAsia="SimHei"/>
          <w:color w:val="0000FF"/>
          <w:sz w:val="22"/>
          <w:szCs w:val="22"/>
        </w:rPr>
      </w:pPr>
    </w:p>
    <w:p w14:paraId="5ECE09D9" w14:textId="0CC37C7B" w:rsidR="00766C90" w:rsidRPr="00A018D9" w:rsidRDefault="00766C90" w:rsidP="001208BF">
      <w:pPr>
        <w:spacing w:line="288" w:lineRule="auto"/>
        <w:ind w:firstLine="431"/>
        <w:rPr>
          <w:rFonts w:eastAsia="SimHei"/>
          <w:color w:val="0000FF"/>
          <w:sz w:val="22"/>
          <w:szCs w:val="22"/>
        </w:rPr>
      </w:pPr>
      <w:r w:rsidRPr="00A018D9">
        <w:rPr>
          <w:rFonts w:eastAsia="SimHei"/>
          <w:color w:val="0000FF"/>
          <w:sz w:val="22"/>
          <w:szCs w:val="22"/>
        </w:rPr>
        <w:t xml:space="preserve">2. </w:t>
      </w:r>
      <w:r w:rsidR="001228CB" w:rsidRPr="00A018D9">
        <w:rPr>
          <w:rFonts w:eastAsia="SimHei" w:hint="eastAsia"/>
          <w:color w:val="0000FF"/>
          <w:sz w:val="22"/>
          <w:szCs w:val="22"/>
        </w:rPr>
        <w:t>非政府组织</w:t>
      </w:r>
      <w:r w:rsidR="000A55EF" w:rsidRPr="00A018D9">
        <w:rPr>
          <w:rFonts w:eastAsia="SimHei" w:hint="eastAsia"/>
          <w:color w:val="0000FF"/>
          <w:sz w:val="22"/>
          <w:szCs w:val="22"/>
        </w:rPr>
        <w:t>（包括研究机构）</w:t>
      </w:r>
      <w:r w:rsidR="001208BF" w:rsidRPr="00A018D9">
        <w:rPr>
          <w:rFonts w:eastAsia="SimHei" w:hint="eastAsia"/>
          <w:color w:val="0000FF"/>
          <w:sz w:val="22"/>
          <w:szCs w:val="22"/>
        </w:rPr>
        <w:t>的</w:t>
      </w:r>
      <w:r w:rsidR="001228CB" w:rsidRPr="00A018D9">
        <w:rPr>
          <w:rFonts w:eastAsia="SimHei" w:hint="eastAsia"/>
          <w:color w:val="0000FF"/>
          <w:sz w:val="22"/>
          <w:szCs w:val="22"/>
        </w:rPr>
        <w:t>文件名称和出处信息不译。</w:t>
      </w:r>
    </w:p>
    <w:p w14:paraId="708BBD8C" w14:textId="77777777" w:rsidR="007001A6" w:rsidRPr="00A018D9" w:rsidRDefault="007001A6" w:rsidP="003317E5">
      <w:pPr>
        <w:spacing w:line="288" w:lineRule="auto"/>
        <w:rPr>
          <w:sz w:val="22"/>
          <w:szCs w:val="22"/>
          <w:vertAlign w:val="superscript"/>
        </w:rPr>
      </w:pPr>
    </w:p>
    <w:p w14:paraId="69583934" w14:textId="057508BF" w:rsidR="007001A6" w:rsidRPr="00A018D9" w:rsidRDefault="00D0698A" w:rsidP="006902E1">
      <w:pPr>
        <w:spacing w:line="288" w:lineRule="auto"/>
        <w:rPr>
          <w:sz w:val="22"/>
          <w:szCs w:val="22"/>
        </w:rPr>
      </w:pPr>
      <w:r w:rsidRPr="00A018D9">
        <w:rPr>
          <w:sz w:val="22"/>
          <w:szCs w:val="22"/>
        </w:rPr>
        <w:tab/>
      </w:r>
      <w:r w:rsidRPr="00A018D9">
        <w:rPr>
          <w:rFonts w:hint="eastAsia"/>
          <w:sz w:val="22"/>
          <w:szCs w:val="22"/>
        </w:rPr>
        <w:t>例如：</w:t>
      </w:r>
    </w:p>
    <w:p w14:paraId="75DD27C1" w14:textId="77777777" w:rsidR="00660580" w:rsidRPr="00A018D9" w:rsidRDefault="00660580" w:rsidP="006902E1">
      <w:pPr>
        <w:spacing w:line="288" w:lineRule="auto"/>
        <w:rPr>
          <w:sz w:val="22"/>
          <w:szCs w:val="22"/>
        </w:rPr>
      </w:pPr>
    </w:p>
    <w:p w14:paraId="45577A96" w14:textId="5435CC09" w:rsidR="00720910" w:rsidRPr="008F5141" w:rsidRDefault="00720910" w:rsidP="00B75F10">
      <w:pPr>
        <w:spacing w:line="288" w:lineRule="auto"/>
        <w:rPr>
          <w:sz w:val="22"/>
          <w:szCs w:val="22"/>
        </w:rPr>
      </w:pPr>
      <w:r w:rsidRPr="008F5141">
        <w:rPr>
          <w:snapToGrid w:val="0"/>
          <w:sz w:val="22"/>
          <w:szCs w:val="22"/>
        </w:rPr>
        <w:footnoteRef/>
      </w:r>
      <w:r w:rsidR="00B75F10" w:rsidRPr="008F5141">
        <w:rPr>
          <w:sz w:val="22"/>
          <w:szCs w:val="22"/>
        </w:rPr>
        <w:t xml:space="preserve">.  </w:t>
      </w:r>
      <w:r w:rsidRPr="008F5141">
        <w:rPr>
          <w:i/>
          <w:iCs/>
          <w:sz w:val="22"/>
          <w:szCs w:val="22"/>
        </w:rPr>
        <w:t>International Review of the Red Cross</w:t>
      </w:r>
      <w:r w:rsidRPr="008F5141">
        <w:rPr>
          <w:sz w:val="22"/>
          <w:szCs w:val="22"/>
        </w:rPr>
        <w:t>, vol. 36 (1996), No. 310, annex VI.</w:t>
      </w:r>
    </w:p>
    <w:p w14:paraId="6FD7DB1D" w14:textId="4DEF537F" w:rsidR="00B75F10" w:rsidRPr="008F5141" w:rsidRDefault="00B75F10" w:rsidP="00B75F10">
      <w:pPr>
        <w:spacing w:line="288" w:lineRule="auto"/>
        <w:rPr>
          <w:sz w:val="22"/>
          <w:szCs w:val="22"/>
        </w:rPr>
      </w:pPr>
      <w:r w:rsidRPr="008F5141">
        <w:rPr>
          <w:snapToGrid w:val="0"/>
          <w:sz w:val="22"/>
          <w:szCs w:val="22"/>
        </w:rPr>
        <w:footnoteRef/>
      </w:r>
      <w:r w:rsidRPr="008F5141">
        <w:rPr>
          <w:sz w:val="22"/>
          <w:szCs w:val="22"/>
        </w:rPr>
        <w:t xml:space="preserve">.  </w:t>
      </w:r>
      <w:r w:rsidRPr="008F5141">
        <w:rPr>
          <w:i/>
          <w:iCs/>
          <w:sz w:val="22"/>
          <w:szCs w:val="22"/>
        </w:rPr>
        <w:t>International Review of the Red Cross</w:t>
      </w:r>
      <w:r w:rsidRPr="008F5141">
        <w:rPr>
          <w:sz w:val="22"/>
          <w:szCs w:val="22"/>
        </w:rPr>
        <w:t>, vol. 36 (1996), No. 310, annex VI.</w:t>
      </w:r>
    </w:p>
    <w:p w14:paraId="71631D81" w14:textId="026FCD10" w:rsidR="00B75F10" w:rsidRPr="008F5141" w:rsidRDefault="00B75F10" w:rsidP="00B75F10">
      <w:pPr>
        <w:spacing w:line="288" w:lineRule="auto"/>
        <w:rPr>
          <w:sz w:val="22"/>
          <w:szCs w:val="22"/>
        </w:rPr>
      </w:pPr>
    </w:p>
    <w:p w14:paraId="11DB900C" w14:textId="5DA7A595" w:rsidR="00B75F10" w:rsidRPr="008F5141" w:rsidRDefault="00B75F10" w:rsidP="00B75F10">
      <w:pPr>
        <w:spacing w:line="288" w:lineRule="auto"/>
        <w:rPr>
          <w:sz w:val="22"/>
          <w:szCs w:val="22"/>
        </w:rPr>
      </w:pPr>
      <w:r w:rsidRPr="008F5141">
        <w:rPr>
          <w:snapToGrid w:val="0"/>
          <w:sz w:val="22"/>
          <w:szCs w:val="22"/>
        </w:rPr>
        <w:t xml:space="preserve">2.  </w:t>
      </w:r>
      <w:r w:rsidRPr="008F5141">
        <w:rPr>
          <w:sz w:val="22"/>
          <w:szCs w:val="22"/>
        </w:rPr>
        <w:t xml:space="preserve">International Federation of Red Cross and Red Crescent Societies, </w:t>
      </w:r>
      <w:r w:rsidRPr="008F5141">
        <w:rPr>
          <w:i/>
          <w:iCs/>
          <w:sz w:val="22"/>
          <w:szCs w:val="22"/>
        </w:rPr>
        <w:t>Guidelines for the Domestic Facilitation and Regulation of International Disaster Relief and Initial Recovery Assistance</w:t>
      </w:r>
      <w:r w:rsidRPr="008F5141">
        <w:rPr>
          <w:sz w:val="22"/>
          <w:szCs w:val="22"/>
        </w:rPr>
        <w:t xml:space="preserve"> (Geneva, 2007).</w:t>
      </w:r>
    </w:p>
    <w:p w14:paraId="1C87F082" w14:textId="08A57FB3" w:rsidR="00FA055F" w:rsidRPr="008F5141" w:rsidRDefault="00480020" w:rsidP="00A3537C">
      <w:pPr>
        <w:spacing w:line="288" w:lineRule="auto"/>
        <w:rPr>
          <w:sz w:val="22"/>
          <w:szCs w:val="22"/>
        </w:rPr>
      </w:pPr>
      <w:r w:rsidRPr="008F5141">
        <w:rPr>
          <w:snapToGrid w:val="0"/>
          <w:sz w:val="22"/>
          <w:szCs w:val="22"/>
        </w:rPr>
        <w:t xml:space="preserve">2.  </w:t>
      </w:r>
      <w:r w:rsidRPr="008F5141">
        <w:rPr>
          <w:sz w:val="22"/>
          <w:szCs w:val="22"/>
        </w:rPr>
        <w:t xml:space="preserve">International Federation of Red Cross and Red Crescent Societies, </w:t>
      </w:r>
      <w:r w:rsidRPr="008F5141">
        <w:rPr>
          <w:i/>
          <w:iCs/>
          <w:sz w:val="22"/>
          <w:szCs w:val="22"/>
        </w:rPr>
        <w:t>Guidelines for the Domestic Facilitation and Regulation of International Disaster Relief and Initial Recovery Assistance</w:t>
      </w:r>
      <w:r w:rsidRPr="008F5141">
        <w:rPr>
          <w:sz w:val="22"/>
          <w:szCs w:val="22"/>
        </w:rPr>
        <w:t xml:space="preserve"> (Geneva, 2007).</w:t>
      </w:r>
    </w:p>
    <w:p w14:paraId="0F31A0F5" w14:textId="57DCF94C" w:rsidR="00480020" w:rsidRPr="008F5141" w:rsidRDefault="00480020" w:rsidP="00480020">
      <w:pPr>
        <w:spacing w:line="288" w:lineRule="auto"/>
        <w:rPr>
          <w:sz w:val="22"/>
          <w:szCs w:val="22"/>
        </w:rPr>
      </w:pPr>
    </w:p>
    <w:p w14:paraId="5354B9A4" w14:textId="4F4D906E" w:rsidR="00DB0F64" w:rsidRPr="008F5141" w:rsidRDefault="0029404A" w:rsidP="00480020">
      <w:pPr>
        <w:spacing w:line="288" w:lineRule="auto"/>
        <w:rPr>
          <w:rFonts w:asciiTheme="majorBidi" w:hAnsiTheme="majorBidi" w:cstheme="majorBidi"/>
        </w:rPr>
      </w:pPr>
      <w:r w:rsidRPr="008F5141">
        <w:rPr>
          <w:rFonts w:asciiTheme="majorBidi" w:hAnsiTheme="majorBidi" w:cstheme="majorBidi"/>
        </w:rPr>
        <w:t>3.</w:t>
      </w:r>
      <w:r w:rsidRPr="008F5141">
        <w:rPr>
          <w:rFonts w:asciiTheme="majorBidi" w:hAnsiTheme="majorBidi" w:cstheme="majorBidi"/>
          <w:i/>
          <w:iCs/>
        </w:rPr>
        <w:t xml:space="preserve">  </w:t>
      </w:r>
      <w:r w:rsidR="00DB0F64" w:rsidRPr="008F5141">
        <w:rPr>
          <w:rFonts w:asciiTheme="majorBidi" w:hAnsiTheme="majorBidi" w:cstheme="majorBidi"/>
          <w:i/>
          <w:iCs/>
        </w:rPr>
        <w:t>Max Planck Yearbook of United Nations Law</w:t>
      </w:r>
      <w:r w:rsidR="00DB0F64" w:rsidRPr="008F5141">
        <w:rPr>
          <w:rFonts w:asciiTheme="majorBidi" w:hAnsiTheme="majorBidi" w:cstheme="majorBidi"/>
        </w:rPr>
        <w:t xml:space="preserve">, vol. 2 (1998), p. 73, at p. 85; Gardiner, </w:t>
      </w:r>
      <w:r w:rsidR="00DB0F64" w:rsidRPr="008F5141">
        <w:rPr>
          <w:rFonts w:asciiTheme="majorBidi" w:hAnsiTheme="majorBidi" w:cstheme="majorBidi"/>
          <w:i/>
          <w:iCs/>
        </w:rPr>
        <w:t>Treaty Interpretation</w:t>
      </w:r>
      <w:r w:rsidR="00DB0F64" w:rsidRPr="008F5141">
        <w:rPr>
          <w:rFonts w:asciiTheme="majorBidi" w:hAnsiTheme="majorBidi" w:cstheme="majorBidi"/>
        </w:rPr>
        <w:t xml:space="preserve"> (see footnote</w:t>
      </w:r>
      <w:r w:rsidR="00587793" w:rsidRPr="008F5141">
        <w:rPr>
          <w:rFonts w:asciiTheme="majorBidi" w:hAnsiTheme="majorBidi" w:cstheme="majorBidi"/>
        </w:rPr>
        <w:t xml:space="preserve"> 392 above</w:t>
      </w:r>
      <w:r w:rsidR="00DB0F64" w:rsidRPr="008F5141">
        <w:rPr>
          <w:rFonts w:asciiTheme="majorBidi" w:hAnsiTheme="majorBidi" w:cstheme="majorBidi"/>
        </w:rPr>
        <w:t>), p. 128.</w:t>
      </w:r>
    </w:p>
    <w:p w14:paraId="5127B59D" w14:textId="77777777" w:rsidR="00587793" w:rsidRPr="008F5141" w:rsidRDefault="00587793" w:rsidP="00587793">
      <w:pPr>
        <w:spacing w:line="288" w:lineRule="auto"/>
        <w:rPr>
          <w:rFonts w:asciiTheme="majorBidi" w:hAnsiTheme="majorBidi" w:cstheme="majorBidi"/>
        </w:rPr>
      </w:pPr>
      <w:r w:rsidRPr="008F5141">
        <w:rPr>
          <w:rFonts w:asciiTheme="majorBidi" w:hAnsiTheme="majorBidi" w:cstheme="majorBidi"/>
        </w:rPr>
        <w:t>3.</w:t>
      </w:r>
      <w:r w:rsidRPr="008F5141">
        <w:rPr>
          <w:rFonts w:asciiTheme="majorBidi" w:hAnsiTheme="majorBidi" w:cstheme="majorBidi"/>
          <w:i/>
          <w:iCs/>
        </w:rPr>
        <w:t xml:space="preserve">  Max Planck Yearbook of United Nations Law</w:t>
      </w:r>
      <w:r w:rsidRPr="008F5141">
        <w:rPr>
          <w:rFonts w:asciiTheme="majorBidi" w:hAnsiTheme="majorBidi" w:cstheme="majorBidi"/>
        </w:rPr>
        <w:t xml:space="preserve">, vol. 2 (1998), p. 73, at p. 85; Gardiner, </w:t>
      </w:r>
      <w:r w:rsidRPr="008F5141">
        <w:rPr>
          <w:rFonts w:asciiTheme="majorBidi" w:hAnsiTheme="majorBidi" w:cstheme="majorBidi"/>
          <w:i/>
          <w:iCs/>
        </w:rPr>
        <w:t>Treaty Interpretation</w:t>
      </w:r>
      <w:r w:rsidRPr="008F5141">
        <w:rPr>
          <w:rFonts w:asciiTheme="majorBidi" w:hAnsiTheme="majorBidi" w:cstheme="majorBidi"/>
        </w:rPr>
        <w:t xml:space="preserve"> (see footnote 392 above), p. 128.</w:t>
      </w:r>
    </w:p>
    <w:p w14:paraId="19D5D070" w14:textId="77777777" w:rsidR="006902E1" w:rsidRPr="00587793" w:rsidRDefault="006902E1" w:rsidP="003317E5">
      <w:pPr>
        <w:spacing w:line="288" w:lineRule="auto"/>
        <w:ind w:firstLine="431"/>
        <w:rPr>
          <w:rFonts w:eastAsia="SimHei"/>
          <w:color w:val="0000FF"/>
          <w:sz w:val="22"/>
          <w:szCs w:val="22"/>
        </w:rPr>
      </w:pPr>
    </w:p>
    <w:p w14:paraId="295C10C5" w14:textId="4CA89DEA" w:rsidR="00660580" w:rsidRPr="00A018D9" w:rsidRDefault="00660580" w:rsidP="00660580">
      <w:pPr>
        <w:spacing w:line="288" w:lineRule="auto"/>
        <w:ind w:firstLine="431"/>
        <w:rPr>
          <w:rFonts w:eastAsia="SimHei"/>
          <w:color w:val="0000FF"/>
          <w:sz w:val="22"/>
          <w:szCs w:val="22"/>
        </w:rPr>
      </w:pPr>
      <w:r w:rsidRPr="00A018D9">
        <w:rPr>
          <w:rFonts w:eastAsia="SimHei" w:hint="eastAsia"/>
          <w:color w:val="0000FF"/>
          <w:sz w:val="22"/>
          <w:szCs w:val="22"/>
        </w:rPr>
        <w:t>3</w:t>
      </w:r>
      <w:r w:rsidRPr="00A018D9">
        <w:rPr>
          <w:rFonts w:eastAsia="SimHei"/>
          <w:color w:val="0000FF"/>
          <w:sz w:val="22"/>
          <w:szCs w:val="22"/>
        </w:rPr>
        <w:t xml:space="preserve">. </w:t>
      </w:r>
      <w:r w:rsidR="001208BF" w:rsidRPr="00A018D9">
        <w:rPr>
          <w:rFonts w:eastAsia="SimHei" w:hint="eastAsia"/>
          <w:color w:val="0000FF"/>
          <w:sz w:val="22"/>
          <w:szCs w:val="22"/>
        </w:rPr>
        <w:t>各国政府和</w:t>
      </w:r>
      <w:r w:rsidR="00C4290F" w:rsidRPr="00A018D9">
        <w:rPr>
          <w:rFonts w:eastAsia="SimHei" w:hint="eastAsia"/>
          <w:color w:val="0000FF"/>
          <w:sz w:val="22"/>
          <w:szCs w:val="22"/>
        </w:rPr>
        <w:t>联合国以外</w:t>
      </w:r>
      <w:r w:rsidR="001208BF" w:rsidRPr="00A018D9">
        <w:rPr>
          <w:rFonts w:eastAsia="SimHei" w:hint="eastAsia"/>
          <w:color w:val="0000FF"/>
          <w:sz w:val="22"/>
          <w:szCs w:val="22"/>
        </w:rPr>
        <w:t>其他国际组织的一般文件名称和出处信息不译</w:t>
      </w:r>
      <w:r w:rsidR="00C4290F" w:rsidRPr="00A018D9">
        <w:rPr>
          <w:rFonts w:eastAsia="SimHei" w:hint="eastAsia"/>
          <w:color w:val="0000FF"/>
          <w:sz w:val="22"/>
          <w:szCs w:val="22"/>
        </w:rPr>
        <w:t>。</w:t>
      </w:r>
      <w:r w:rsidR="00E31114" w:rsidRPr="00A018D9">
        <w:rPr>
          <w:rFonts w:eastAsia="SimHei" w:hint="eastAsia"/>
          <w:color w:val="0000FF"/>
          <w:sz w:val="22"/>
          <w:szCs w:val="22"/>
        </w:rPr>
        <w:t>这里包括欧盟、世贸组织的一般文件和案例。</w:t>
      </w:r>
    </w:p>
    <w:p w14:paraId="51C88E5C" w14:textId="77777777" w:rsidR="00E31114" w:rsidRPr="00A018D9" w:rsidRDefault="00E31114" w:rsidP="00660580">
      <w:pPr>
        <w:spacing w:line="288" w:lineRule="auto"/>
        <w:ind w:firstLine="431"/>
        <w:rPr>
          <w:rFonts w:eastAsia="SimHei"/>
          <w:color w:val="0000FF"/>
          <w:sz w:val="22"/>
          <w:szCs w:val="22"/>
        </w:rPr>
      </w:pPr>
    </w:p>
    <w:p w14:paraId="363CC014" w14:textId="4661AF66" w:rsidR="00660580" w:rsidRDefault="00660580" w:rsidP="00660580">
      <w:pPr>
        <w:spacing w:line="288" w:lineRule="auto"/>
        <w:rPr>
          <w:sz w:val="22"/>
          <w:szCs w:val="22"/>
        </w:rPr>
      </w:pPr>
      <w:r w:rsidRPr="00A018D9">
        <w:rPr>
          <w:sz w:val="22"/>
          <w:szCs w:val="22"/>
        </w:rPr>
        <w:tab/>
      </w:r>
      <w:r w:rsidRPr="00A018D9">
        <w:rPr>
          <w:rFonts w:hint="eastAsia"/>
          <w:sz w:val="22"/>
          <w:szCs w:val="22"/>
        </w:rPr>
        <w:t>例如：</w:t>
      </w:r>
    </w:p>
    <w:p w14:paraId="2C92BDC3" w14:textId="1486B649" w:rsidR="007D12DC" w:rsidRDefault="007D12DC" w:rsidP="00660580">
      <w:pPr>
        <w:spacing w:line="288" w:lineRule="auto"/>
        <w:rPr>
          <w:sz w:val="22"/>
          <w:szCs w:val="22"/>
        </w:rPr>
      </w:pPr>
    </w:p>
    <w:p w14:paraId="0F0BDD33" w14:textId="3B472FB9" w:rsidR="007D12DC" w:rsidRPr="004F3862" w:rsidRDefault="000D1576" w:rsidP="00660580">
      <w:pPr>
        <w:spacing w:line="288" w:lineRule="auto"/>
        <w:rPr>
          <w:rFonts w:asciiTheme="majorBidi" w:hAnsiTheme="majorBidi" w:cstheme="majorBidi"/>
        </w:rPr>
      </w:pPr>
      <w:r w:rsidRPr="004F3862">
        <w:rPr>
          <w:rFonts w:asciiTheme="majorBidi" w:hAnsiTheme="majorBidi" w:cstheme="majorBidi"/>
        </w:rPr>
        <w:lastRenderedPageBreak/>
        <w:t xml:space="preserve">1.  </w:t>
      </w:r>
      <w:r w:rsidR="007D12DC" w:rsidRPr="004F3862">
        <w:rPr>
          <w:rFonts w:asciiTheme="majorBidi" w:hAnsiTheme="majorBidi" w:cstheme="majorBidi"/>
        </w:rPr>
        <w:t>Philippine Disaster Risk Management Act 2006.</w:t>
      </w:r>
    </w:p>
    <w:p w14:paraId="3108B11E" w14:textId="596CD775" w:rsidR="007D12DC" w:rsidRPr="004F3862" w:rsidRDefault="000D1576" w:rsidP="00660580">
      <w:pPr>
        <w:spacing w:line="288" w:lineRule="auto"/>
        <w:rPr>
          <w:rFonts w:asciiTheme="majorBidi" w:hAnsiTheme="majorBidi" w:cstheme="majorBidi"/>
        </w:rPr>
      </w:pPr>
      <w:r w:rsidRPr="004F3862">
        <w:rPr>
          <w:rFonts w:asciiTheme="majorBidi" w:hAnsiTheme="majorBidi" w:cstheme="majorBidi"/>
        </w:rPr>
        <w:t>1.  Philippine Disaster Risk Management Act 2006.</w:t>
      </w:r>
    </w:p>
    <w:p w14:paraId="237F5E13" w14:textId="77777777" w:rsidR="000D1576" w:rsidRPr="004F3862" w:rsidRDefault="000D1576" w:rsidP="00660580">
      <w:pPr>
        <w:spacing w:line="288" w:lineRule="auto"/>
        <w:rPr>
          <w:sz w:val="22"/>
          <w:szCs w:val="22"/>
        </w:rPr>
      </w:pPr>
    </w:p>
    <w:p w14:paraId="4F53354C" w14:textId="3C8300A9" w:rsidR="00660580" w:rsidRPr="004F3862" w:rsidRDefault="000D1576" w:rsidP="00660580">
      <w:pPr>
        <w:tabs>
          <w:tab w:val="clear" w:pos="431"/>
        </w:tabs>
        <w:adjustRightInd/>
        <w:snapToGrid/>
        <w:spacing w:line="288" w:lineRule="auto"/>
        <w:jc w:val="left"/>
        <w:rPr>
          <w:rFonts w:asciiTheme="majorBidi" w:hAnsiTheme="majorBidi" w:cstheme="majorBidi"/>
          <w:sz w:val="22"/>
          <w:szCs w:val="22"/>
        </w:rPr>
      </w:pPr>
      <w:r w:rsidRPr="004F3862">
        <w:rPr>
          <w:rFonts w:asciiTheme="majorBidi" w:hAnsiTheme="majorBidi" w:cstheme="majorBidi"/>
          <w:sz w:val="22"/>
          <w:szCs w:val="22"/>
        </w:rPr>
        <w:t>2</w:t>
      </w:r>
      <w:r w:rsidR="00660580" w:rsidRPr="004F3862">
        <w:rPr>
          <w:rFonts w:asciiTheme="majorBidi" w:hAnsiTheme="majorBidi" w:cstheme="majorBidi"/>
          <w:sz w:val="22"/>
          <w:szCs w:val="22"/>
        </w:rPr>
        <w:t>.  Application No. 343/57, </w:t>
      </w:r>
      <w:r w:rsidR="00660580" w:rsidRPr="004F3862">
        <w:rPr>
          <w:rFonts w:asciiTheme="majorBidi" w:hAnsiTheme="majorBidi" w:cstheme="majorBidi"/>
          <w:i/>
          <w:iCs/>
          <w:sz w:val="22"/>
          <w:szCs w:val="22"/>
        </w:rPr>
        <w:t>Report of the Commission, Council of Europe</w:t>
      </w:r>
      <w:r w:rsidR="00660580" w:rsidRPr="004F3862">
        <w:rPr>
          <w:rFonts w:asciiTheme="majorBidi" w:hAnsiTheme="majorBidi" w:cstheme="majorBidi"/>
          <w:sz w:val="22"/>
          <w:szCs w:val="22"/>
        </w:rPr>
        <w:t> (1961), p. 37.</w:t>
      </w:r>
      <w:r w:rsidR="00660580" w:rsidRPr="004F3862">
        <w:rPr>
          <w:rFonts w:asciiTheme="majorBidi" w:hAnsiTheme="majorBidi" w:cstheme="majorBidi"/>
          <w:sz w:val="22"/>
          <w:szCs w:val="22"/>
        </w:rPr>
        <w:br/>
      </w:r>
      <w:r w:rsidRPr="004F3862">
        <w:rPr>
          <w:rFonts w:asciiTheme="majorBidi" w:hAnsiTheme="majorBidi" w:cstheme="majorBidi"/>
          <w:sz w:val="22"/>
          <w:szCs w:val="22"/>
        </w:rPr>
        <w:t>2</w:t>
      </w:r>
      <w:r w:rsidR="00660580" w:rsidRPr="004F3862">
        <w:rPr>
          <w:rFonts w:asciiTheme="majorBidi" w:hAnsiTheme="majorBidi" w:cstheme="majorBidi"/>
          <w:sz w:val="22"/>
          <w:szCs w:val="22"/>
        </w:rPr>
        <w:t>.  Application No. 343/57, </w:t>
      </w:r>
      <w:r w:rsidR="00660580" w:rsidRPr="004F3862">
        <w:rPr>
          <w:rFonts w:asciiTheme="majorBidi" w:hAnsiTheme="majorBidi" w:cstheme="majorBidi"/>
          <w:i/>
          <w:iCs/>
          <w:sz w:val="22"/>
          <w:szCs w:val="22"/>
        </w:rPr>
        <w:t>Report of the Commission, Council of Europe</w:t>
      </w:r>
      <w:r w:rsidR="00660580" w:rsidRPr="004F3862">
        <w:rPr>
          <w:rFonts w:asciiTheme="majorBidi" w:hAnsiTheme="majorBidi" w:cstheme="majorBidi"/>
          <w:sz w:val="22"/>
          <w:szCs w:val="22"/>
        </w:rPr>
        <w:t> (1961), p. 37.</w:t>
      </w:r>
    </w:p>
    <w:p w14:paraId="08BD2824" w14:textId="5BB9B143" w:rsidR="00786ED1" w:rsidRPr="004F3862" w:rsidRDefault="00786ED1" w:rsidP="00660580">
      <w:pPr>
        <w:tabs>
          <w:tab w:val="clear" w:pos="431"/>
        </w:tabs>
        <w:adjustRightInd/>
        <w:snapToGrid/>
        <w:spacing w:line="288" w:lineRule="auto"/>
        <w:jc w:val="left"/>
        <w:rPr>
          <w:rFonts w:asciiTheme="majorBidi" w:hAnsiTheme="majorBidi" w:cstheme="majorBidi"/>
          <w:sz w:val="22"/>
          <w:szCs w:val="22"/>
        </w:rPr>
      </w:pPr>
    </w:p>
    <w:p w14:paraId="0564AFFD" w14:textId="177C9BDD" w:rsidR="00786ED1" w:rsidRPr="004F3862" w:rsidRDefault="00056F96" w:rsidP="00056F96">
      <w:pPr>
        <w:tabs>
          <w:tab w:val="clear" w:pos="431"/>
        </w:tabs>
        <w:adjustRightInd/>
        <w:snapToGrid/>
        <w:spacing w:line="288" w:lineRule="auto"/>
        <w:jc w:val="left"/>
        <w:rPr>
          <w:rFonts w:asciiTheme="majorBidi" w:hAnsiTheme="majorBidi" w:cstheme="majorBidi"/>
          <w:sz w:val="22"/>
          <w:szCs w:val="22"/>
        </w:rPr>
      </w:pPr>
      <w:r w:rsidRPr="004F3862">
        <w:rPr>
          <w:rFonts w:asciiTheme="majorBidi" w:hAnsiTheme="majorBidi" w:cstheme="majorBidi"/>
          <w:sz w:val="22"/>
          <w:szCs w:val="22"/>
        </w:rPr>
        <w:t xml:space="preserve">3.  </w:t>
      </w:r>
      <w:r w:rsidR="00786ED1" w:rsidRPr="004F3862">
        <w:rPr>
          <w:rFonts w:asciiTheme="majorBidi" w:hAnsiTheme="majorBidi" w:cstheme="majorBidi"/>
          <w:i/>
          <w:iCs/>
          <w:sz w:val="22"/>
          <w:szCs w:val="22"/>
        </w:rPr>
        <w:t>Japan — Taxes on Alcoholic Beverages</w:t>
      </w:r>
      <w:r w:rsidR="00786ED1" w:rsidRPr="004F3862">
        <w:rPr>
          <w:rFonts w:asciiTheme="majorBidi" w:hAnsiTheme="majorBidi" w:cstheme="majorBidi"/>
          <w:sz w:val="22"/>
          <w:szCs w:val="22"/>
        </w:rPr>
        <w:t>, WTO Appellate Body Report, WT/DS8/AB/R, WT/DS10/AB/R and WT/DS11/AB/R, adopted on 1 November 1996, sect. D.</w:t>
      </w:r>
    </w:p>
    <w:p w14:paraId="5EC00BFD" w14:textId="77777777" w:rsidR="00056F96" w:rsidRPr="004F3862" w:rsidRDefault="00056F96" w:rsidP="00056F96">
      <w:pPr>
        <w:tabs>
          <w:tab w:val="clear" w:pos="431"/>
        </w:tabs>
        <w:adjustRightInd/>
        <w:snapToGrid/>
        <w:spacing w:line="288" w:lineRule="auto"/>
        <w:jc w:val="left"/>
        <w:rPr>
          <w:rFonts w:asciiTheme="majorBidi" w:hAnsiTheme="majorBidi" w:cstheme="majorBidi"/>
          <w:sz w:val="22"/>
          <w:szCs w:val="22"/>
        </w:rPr>
      </w:pPr>
      <w:r w:rsidRPr="004F3862">
        <w:rPr>
          <w:rFonts w:asciiTheme="majorBidi" w:hAnsiTheme="majorBidi" w:cstheme="majorBidi"/>
          <w:sz w:val="22"/>
          <w:szCs w:val="22"/>
        </w:rPr>
        <w:t xml:space="preserve">3.  </w:t>
      </w:r>
      <w:r w:rsidRPr="004F3862">
        <w:rPr>
          <w:rFonts w:asciiTheme="majorBidi" w:hAnsiTheme="majorBidi" w:cstheme="majorBidi"/>
          <w:i/>
          <w:iCs/>
          <w:sz w:val="22"/>
          <w:szCs w:val="22"/>
        </w:rPr>
        <w:t>Japan — Taxes on Alcoholic Beverages</w:t>
      </w:r>
      <w:r w:rsidRPr="004F3862">
        <w:rPr>
          <w:rFonts w:asciiTheme="majorBidi" w:hAnsiTheme="majorBidi" w:cstheme="majorBidi"/>
          <w:sz w:val="22"/>
          <w:szCs w:val="22"/>
        </w:rPr>
        <w:t>, WTO Appellate Body Report, WT/DS8/AB/R, WT/DS10/AB/R and WT/DS11/AB/R, adopted on 1 November 1996, sect. D.</w:t>
      </w:r>
    </w:p>
    <w:p w14:paraId="4630821F" w14:textId="77777777" w:rsidR="00660580" w:rsidRPr="00A018D9" w:rsidRDefault="00660580" w:rsidP="00660580">
      <w:pPr>
        <w:spacing w:line="288" w:lineRule="auto"/>
        <w:rPr>
          <w:rFonts w:cs="Segoe UI"/>
          <w:sz w:val="22"/>
          <w:szCs w:val="22"/>
        </w:rPr>
      </w:pPr>
    </w:p>
    <w:p w14:paraId="4DFCAD1D" w14:textId="6B1D2742" w:rsidR="00660580" w:rsidRPr="00A018D9" w:rsidRDefault="00056F96" w:rsidP="00660580">
      <w:pPr>
        <w:spacing w:line="288" w:lineRule="auto"/>
        <w:rPr>
          <w:sz w:val="22"/>
          <w:szCs w:val="22"/>
        </w:rPr>
      </w:pPr>
      <w:r>
        <w:rPr>
          <w:sz w:val="22"/>
          <w:szCs w:val="22"/>
        </w:rPr>
        <w:t>4</w:t>
      </w:r>
      <w:r w:rsidR="00660580" w:rsidRPr="00A018D9">
        <w:rPr>
          <w:sz w:val="22"/>
          <w:szCs w:val="22"/>
        </w:rPr>
        <w:t>.  Estimated World Requirements of Narcotic Drugs in 1986, United Nations publication, Sales No. E/F/S.85.XI.2.</w:t>
      </w:r>
    </w:p>
    <w:p w14:paraId="718A00CE" w14:textId="10BD2B88" w:rsidR="00660580" w:rsidRPr="00A018D9" w:rsidRDefault="00056F96" w:rsidP="00660580">
      <w:pPr>
        <w:spacing w:line="288" w:lineRule="auto"/>
        <w:rPr>
          <w:sz w:val="22"/>
          <w:szCs w:val="22"/>
        </w:rPr>
      </w:pPr>
      <w:r>
        <w:rPr>
          <w:sz w:val="22"/>
          <w:szCs w:val="22"/>
        </w:rPr>
        <w:t>4</w:t>
      </w:r>
      <w:r w:rsidR="00660580" w:rsidRPr="00A018D9">
        <w:rPr>
          <w:sz w:val="22"/>
          <w:szCs w:val="22"/>
        </w:rPr>
        <w:t>.  Estimated World Requirements of Narcotic Drugs in 1986, United Nations publication, Sales No. E/F/S.85.XI.2.</w:t>
      </w:r>
    </w:p>
    <w:p w14:paraId="564DE5C8" w14:textId="77777777" w:rsidR="00660580" w:rsidRPr="00A018D9" w:rsidRDefault="00660580" w:rsidP="00660580">
      <w:pPr>
        <w:spacing w:line="288" w:lineRule="auto"/>
        <w:rPr>
          <w:sz w:val="22"/>
          <w:szCs w:val="22"/>
        </w:rPr>
      </w:pPr>
      <w:r w:rsidRPr="00A018D9">
        <w:rPr>
          <w:sz w:val="22"/>
          <w:szCs w:val="22"/>
        </w:rPr>
        <w:t xml:space="preserve"> [</w:t>
      </w:r>
      <w:r w:rsidRPr="00A018D9">
        <w:rPr>
          <w:rFonts w:hint="eastAsia"/>
          <w:sz w:val="22"/>
          <w:szCs w:val="22"/>
        </w:rPr>
        <w:t>国际麻醉品管制局的报告</w:t>
      </w:r>
      <w:r w:rsidRPr="00A018D9">
        <w:rPr>
          <w:sz w:val="22"/>
          <w:szCs w:val="22"/>
        </w:rPr>
        <w:t>]</w:t>
      </w:r>
    </w:p>
    <w:p w14:paraId="38006F44" w14:textId="2F9E3F45" w:rsidR="005E5D3C" w:rsidRPr="00A018D9" w:rsidRDefault="005E5D3C" w:rsidP="003317E5">
      <w:pPr>
        <w:spacing w:line="288" w:lineRule="auto"/>
        <w:ind w:firstLine="431"/>
        <w:rPr>
          <w:rFonts w:eastAsia="SimHei"/>
          <w:color w:val="0000FF"/>
          <w:sz w:val="22"/>
          <w:szCs w:val="22"/>
        </w:rPr>
      </w:pPr>
    </w:p>
    <w:p w14:paraId="1B818856" w14:textId="77777777" w:rsidR="00AC787B" w:rsidRPr="00A018D9" w:rsidRDefault="00AC787B" w:rsidP="00AC787B">
      <w:pPr>
        <w:spacing w:line="288" w:lineRule="auto"/>
        <w:ind w:firstLine="431"/>
        <w:rPr>
          <w:rFonts w:eastAsia="SimHei"/>
          <w:color w:val="0000FF"/>
          <w:sz w:val="22"/>
          <w:szCs w:val="22"/>
        </w:rPr>
      </w:pPr>
    </w:p>
    <w:p w14:paraId="53580FA7" w14:textId="6708243A" w:rsidR="00AC787B" w:rsidRPr="00A018D9" w:rsidRDefault="00AC787B" w:rsidP="00C4290F">
      <w:pPr>
        <w:spacing w:line="288" w:lineRule="auto"/>
        <w:jc w:val="left"/>
        <w:rPr>
          <w:rFonts w:eastAsia="SimHei"/>
          <w:color w:val="0000FF"/>
          <w:sz w:val="22"/>
          <w:szCs w:val="22"/>
          <w:u w:val="single"/>
        </w:rPr>
      </w:pPr>
      <w:r w:rsidRPr="00A018D9">
        <w:rPr>
          <w:rFonts w:eastAsia="SimHei" w:hint="eastAsia"/>
          <w:color w:val="0000FF"/>
          <w:sz w:val="22"/>
          <w:szCs w:val="22"/>
          <w:u w:val="single"/>
        </w:rPr>
        <w:t>部分译的脚注</w:t>
      </w:r>
    </w:p>
    <w:p w14:paraId="745D4D49" w14:textId="77777777" w:rsidR="00AC787B" w:rsidRPr="00A018D9" w:rsidRDefault="00AC787B" w:rsidP="00AC787B">
      <w:pPr>
        <w:spacing w:line="288" w:lineRule="auto"/>
        <w:ind w:firstLine="431"/>
        <w:jc w:val="center"/>
        <w:rPr>
          <w:rFonts w:eastAsia="SimHei"/>
          <w:color w:val="0000FF"/>
          <w:sz w:val="22"/>
          <w:szCs w:val="22"/>
        </w:rPr>
      </w:pPr>
    </w:p>
    <w:p w14:paraId="3A6ADEA2" w14:textId="76099272" w:rsidR="00AC787B" w:rsidRPr="00A018D9" w:rsidRDefault="00AC787B" w:rsidP="00AC787B">
      <w:pPr>
        <w:spacing w:line="300" w:lineRule="auto"/>
        <w:ind w:firstLine="431"/>
        <w:rPr>
          <w:rFonts w:eastAsia="SimHei"/>
          <w:color w:val="0000FF"/>
          <w:sz w:val="22"/>
          <w:szCs w:val="22"/>
        </w:rPr>
      </w:pPr>
      <w:r w:rsidRPr="00A018D9">
        <w:rPr>
          <w:rFonts w:eastAsia="SimHei" w:hint="eastAsia"/>
          <w:color w:val="0000FF"/>
          <w:sz w:val="22"/>
          <w:szCs w:val="22"/>
        </w:rPr>
        <w:t>1</w:t>
      </w:r>
      <w:r w:rsidRPr="00A018D9">
        <w:rPr>
          <w:rFonts w:eastAsia="SimHei"/>
          <w:color w:val="0000FF"/>
          <w:sz w:val="22"/>
          <w:szCs w:val="22"/>
        </w:rPr>
        <w:t xml:space="preserve">. </w:t>
      </w:r>
      <w:proofErr w:type="gramStart"/>
      <w:r w:rsidR="004503E6" w:rsidRPr="00A018D9">
        <w:rPr>
          <w:rFonts w:eastAsia="SimHei" w:hint="eastAsia"/>
          <w:color w:val="0000FF"/>
          <w:sz w:val="22"/>
          <w:szCs w:val="22"/>
        </w:rPr>
        <w:t>仅译出“</w:t>
      </w:r>
      <w:proofErr w:type="gramEnd"/>
      <w:r w:rsidR="004503E6" w:rsidRPr="00A018D9">
        <w:rPr>
          <w:rFonts w:eastAsia="SimHei" w:hint="eastAsia"/>
          <w:color w:val="0000FF"/>
          <w:sz w:val="22"/>
          <w:szCs w:val="22"/>
        </w:rPr>
        <w:t>全译的脚注”</w:t>
      </w:r>
      <w:r w:rsidR="001959AF" w:rsidRPr="00A018D9">
        <w:rPr>
          <w:rFonts w:eastAsia="SimHei" w:hint="eastAsia"/>
          <w:color w:val="0000FF"/>
          <w:sz w:val="22"/>
          <w:szCs w:val="22"/>
        </w:rPr>
        <w:t>（</w:t>
      </w:r>
      <w:r w:rsidR="00F209D0">
        <w:rPr>
          <w:rFonts w:eastAsia="SimHei" w:hint="eastAsia"/>
          <w:color w:val="0000FF"/>
          <w:sz w:val="22"/>
          <w:szCs w:val="22"/>
        </w:rPr>
        <w:t>头</w:t>
      </w:r>
      <w:r w:rsidR="001959AF" w:rsidRPr="00A018D9">
        <w:rPr>
          <w:rFonts w:eastAsia="SimHei" w:hint="eastAsia"/>
          <w:color w:val="0000FF"/>
          <w:sz w:val="22"/>
          <w:szCs w:val="22"/>
        </w:rPr>
        <w:t>三条指南）</w:t>
      </w:r>
      <w:r w:rsidR="004503E6" w:rsidRPr="00A018D9">
        <w:rPr>
          <w:rFonts w:eastAsia="SimHei" w:hint="eastAsia"/>
          <w:color w:val="0000FF"/>
          <w:sz w:val="22"/>
          <w:szCs w:val="22"/>
        </w:rPr>
        <w:t>所指内容</w:t>
      </w:r>
      <w:r w:rsidR="00D748BC" w:rsidRPr="00A018D9">
        <w:rPr>
          <w:rFonts w:eastAsia="SimHei" w:hint="eastAsia"/>
          <w:color w:val="0000FF"/>
          <w:sz w:val="22"/>
          <w:szCs w:val="22"/>
        </w:rPr>
        <w:t>，其余不译。</w:t>
      </w:r>
    </w:p>
    <w:p w14:paraId="0137B815" w14:textId="77777777" w:rsidR="00D02CA9" w:rsidRPr="00A018D9" w:rsidRDefault="00D02CA9" w:rsidP="00AC787B">
      <w:pPr>
        <w:spacing w:line="300" w:lineRule="auto"/>
        <w:ind w:firstLine="431"/>
        <w:rPr>
          <w:rFonts w:eastAsia="SimHei"/>
          <w:color w:val="0000FF"/>
          <w:sz w:val="22"/>
          <w:szCs w:val="22"/>
        </w:rPr>
      </w:pPr>
    </w:p>
    <w:p w14:paraId="2B4D73C4" w14:textId="6F2AAA55" w:rsidR="00D02CA9" w:rsidRPr="00A018D9" w:rsidRDefault="00D02CA9" w:rsidP="00D02CA9">
      <w:pPr>
        <w:spacing w:line="288" w:lineRule="auto"/>
        <w:rPr>
          <w:sz w:val="22"/>
          <w:szCs w:val="22"/>
        </w:rPr>
      </w:pPr>
      <w:r w:rsidRPr="00A018D9">
        <w:rPr>
          <w:sz w:val="22"/>
          <w:szCs w:val="22"/>
        </w:rPr>
        <w:tab/>
      </w:r>
      <w:r w:rsidRPr="00A018D9">
        <w:rPr>
          <w:rFonts w:hint="eastAsia"/>
          <w:sz w:val="22"/>
          <w:szCs w:val="22"/>
        </w:rPr>
        <w:t>例如：</w:t>
      </w:r>
    </w:p>
    <w:p w14:paraId="6196301A" w14:textId="77777777" w:rsidR="00ED326D" w:rsidRPr="00A018D9" w:rsidRDefault="00ED326D" w:rsidP="00ED326D">
      <w:pPr>
        <w:tabs>
          <w:tab w:val="clear" w:pos="431"/>
        </w:tabs>
        <w:adjustRightInd/>
        <w:snapToGrid/>
        <w:spacing w:line="288" w:lineRule="auto"/>
        <w:jc w:val="left"/>
        <w:rPr>
          <w:rFonts w:asciiTheme="majorBidi" w:hAnsiTheme="majorBidi" w:cstheme="majorBidi"/>
          <w:sz w:val="22"/>
          <w:szCs w:val="22"/>
        </w:rPr>
      </w:pPr>
      <w:r w:rsidRPr="00A018D9">
        <w:rPr>
          <w:rFonts w:asciiTheme="majorBidi" w:hAnsiTheme="majorBidi" w:cstheme="majorBidi"/>
          <w:sz w:val="22"/>
          <w:szCs w:val="22"/>
        </w:rPr>
        <w:t>1.  For an examination of this matter, see L. F. E. Goldie, “State Responsibility and the Expropriation of Property” (1978), 12 </w:t>
      </w:r>
      <w:r w:rsidRPr="00A018D9">
        <w:rPr>
          <w:rFonts w:asciiTheme="majorBidi" w:hAnsiTheme="majorBidi" w:cstheme="majorBidi"/>
          <w:i/>
          <w:iCs/>
          <w:sz w:val="22"/>
          <w:szCs w:val="22"/>
        </w:rPr>
        <w:t>International Lawyer</w:t>
      </w:r>
      <w:r w:rsidRPr="00A018D9">
        <w:rPr>
          <w:rFonts w:asciiTheme="majorBidi" w:hAnsiTheme="majorBidi" w:cstheme="majorBidi"/>
          <w:sz w:val="22"/>
          <w:szCs w:val="22"/>
        </w:rPr>
        <w:t> 63.</w:t>
      </w:r>
      <w:r w:rsidRPr="00A018D9">
        <w:rPr>
          <w:rFonts w:asciiTheme="majorBidi" w:hAnsiTheme="majorBidi" w:cstheme="majorBidi"/>
          <w:sz w:val="22"/>
          <w:szCs w:val="22"/>
        </w:rPr>
        <w:br/>
        <w:t xml:space="preserve">1.  </w:t>
      </w:r>
      <w:r w:rsidRPr="00A018D9">
        <w:rPr>
          <w:rFonts w:asciiTheme="majorBidi" w:hAnsiTheme="majorBidi" w:cstheme="majorBidi" w:hint="eastAsia"/>
          <w:sz w:val="22"/>
          <w:szCs w:val="22"/>
        </w:rPr>
        <w:t>关于这一事项的讨论，见</w:t>
      </w:r>
      <w:r w:rsidRPr="00A018D9">
        <w:rPr>
          <w:rFonts w:asciiTheme="majorBidi" w:hAnsiTheme="majorBidi" w:cstheme="majorBidi"/>
          <w:sz w:val="22"/>
          <w:szCs w:val="22"/>
        </w:rPr>
        <w:t>L.F.E. Goldie</w:t>
      </w:r>
      <w:proofErr w:type="gramStart"/>
      <w:r w:rsidRPr="00A018D9">
        <w:rPr>
          <w:rFonts w:asciiTheme="majorBidi" w:hAnsiTheme="majorBidi" w:cstheme="majorBidi" w:hint="eastAsia"/>
          <w:sz w:val="22"/>
          <w:szCs w:val="22"/>
        </w:rPr>
        <w:t>，</w:t>
      </w:r>
      <w:r w:rsidRPr="00A018D9">
        <w:rPr>
          <w:rFonts w:asciiTheme="majorBidi" w:hAnsiTheme="majorBidi" w:cstheme="majorBidi"/>
          <w:sz w:val="22"/>
          <w:szCs w:val="22"/>
        </w:rPr>
        <w:t>“</w:t>
      </w:r>
      <w:proofErr w:type="gramEnd"/>
      <w:r w:rsidRPr="00A018D9">
        <w:rPr>
          <w:rFonts w:asciiTheme="majorBidi" w:hAnsiTheme="majorBidi" w:cstheme="majorBidi"/>
          <w:sz w:val="22"/>
          <w:szCs w:val="22"/>
        </w:rPr>
        <w:t>State Responsibility and the Expropriation of Property”(1978)</w:t>
      </w:r>
      <w:r w:rsidRPr="00A018D9">
        <w:rPr>
          <w:rFonts w:asciiTheme="majorBidi" w:hAnsiTheme="majorBidi" w:cstheme="majorBidi" w:hint="eastAsia"/>
          <w:sz w:val="22"/>
          <w:szCs w:val="22"/>
        </w:rPr>
        <w:t>，</w:t>
      </w:r>
      <w:r w:rsidRPr="00A018D9">
        <w:rPr>
          <w:rFonts w:asciiTheme="majorBidi" w:hAnsiTheme="majorBidi" w:cstheme="majorBidi"/>
          <w:sz w:val="22"/>
          <w:szCs w:val="22"/>
        </w:rPr>
        <w:t>12 </w:t>
      </w:r>
      <w:r w:rsidRPr="00A018D9">
        <w:rPr>
          <w:rFonts w:asciiTheme="majorBidi" w:hAnsiTheme="majorBidi" w:cstheme="majorBidi"/>
          <w:i/>
          <w:iCs/>
          <w:sz w:val="22"/>
          <w:szCs w:val="22"/>
        </w:rPr>
        <w:t>International Lawyer</w:t>
      </w:r>
      <w:r w:rsidRPr="00A018D9">
        <w:rPr>
          <w:rFonts w:asciiTheme="majorBidi" w:hAnsiTheme="majorBidi" w:cstheme="majorBidi"/>
          <w:sz w:val="22"/>
          <w:szCs w:val="22"/>
        </w:rPr>
        <w:t> 63</w:t>
      </w:r>
      <w:r w:rsidRPr="00A018D9">
        <w:rPr>
          <w:rFonts w:asciiTheme="majorBidi" w:hAnsiTheme="majorBidi" w:cstheme="majorBidi" w:hint="eastAsia"/>
          <w:sz w:val="22"/>
          <w:szCs w:val="22"/>
        </w:rPr>
        <w:t>。</w:t>
      </w:r>
    </w:p>
    <w:p w14:paraId="59C0379A" w14:textId="77777777" w:rsidR="00ED326D" w:rsidRPr="00A018D9" w:rsidRDefault="00ED326D" w:rsidP="00ED326D">
      <w:pPr>
        <w:tabs>
          <w:tab w:val="clear" w:pos="431"/>
        </w:tabs>
        <w:adjustRightInd/>
        <w:snapToGrid/>
        <w:spacing w:line="288" w:lineRule="auto"/>
        <w:jc w:val="left"/>
        <w:rPr>
          <w:rFonts w:asciiTheme="majorBidi" w:hAnsiTheme="majorBidi" w:cstheme="majorBidi"/>
          <w:sz w:val="22"/>
          <w:szCs w:val="22"/>
        </w:rPr>
      </w:pPr>
    </w:p>
    <w:p w14:paraId="3E21E6D6" w14:textId="77777777" w:rsidR="00ED326D" w:rsidRPr="00A018D9" w:rsidRDefault="00ED326D" w:rsidP="00ED326D">
      <w:pPr>
        <w:tabs>
          <w:tab w:val="clear" w:pos="431"/>
        </w:tabs>
        <w:adjustRightInd/>
        <w:snapToGrid/>
        <w:spacing w:line="288" w:lineRule="auto"/>
        <w:rPr>
          <w:rFonts w:asciiTheme="majorBidi" w:hAnsiTheme="majorBidi" w:cstheme="majorBidi"/>
          <w:sz w:val="22"/>
          <w:szCs w:val="22"/>
        </w:rPr>
      </w:pPr>
      <w:r w:rsidRPr="00A018D9">
        <w:rPr>
          <w:rFonts w:asciiTheme="majorBidi" w:hAnsiTheme="majorBidi" w:cstheme="majorBidi"/>
          <w:sz w:val="22"/>
          <w:szCs w:val="22"/>
        </w:rPr>
        <w:t>2.  </w:t>
      </w:r>
      <w:r w:rsidRPr="00A018D9">
        <w:rPr>
          <w:rFonts w:asciiTheme="majorBidi" w:hAnsiTheme="majorBidi" w:cstheme="majorBidi"/>
          <w:i/>
          <w:iCs/>
          <w:sz w:val="22"/>
          <w:szCs w:val="22"/>
        </w:rPr>
        <w:t>Supra,</w:t>
      </w:r>
      <w:r w:rsidRPr="00A018D9">
        <w:rPr>
          <w:rFonts w:asciiTheme="majorBidi" w:hAnsiTheme="majorBidi" w:cstheme="majorBidi"/>
          <w:sz w:val="22"/>
          <w:szCs w:val="22"/>
        </w:rPr>
        <w:t xml:space="preserve"> note 6, p. 49, para. 55. See also C. F. </w:t>
      </w:r>
      <w:proofErr w:type="spellStart"/>
      <w:r w:rsidRPr="00A018D9">
        <w:rPr>
          <w:rFonts w:asciiTheme="majorBidi" w:hAnsiTheme="majorBidi" w:cstheme="majorBidi"/>
          <w:sz w:val="22"/>
          <w:szCs w:val="22"/>
        </w:rPr>
        <w:t>Amerasinghe</w:t>
      </w:r>
      <w:proofErr w:type="spellEnd"/>
      <w:r w:rsidRPr="00A018D9">
        <w:rPr>
          <w:rFonts w:asciiTheme="majorBidi" w:hAnsiTheme="majorBidi" w:cstheme="majorBidi"/>
          <w:sz w:val="22"/>
          <w:szCs w:val="22"/>
        </w:rPr>
        <w:t>, “Whither the Local Remedies Rule?” (1990), 5 </w:t>
      </w:r>
      <w:r w:rsidRPr="00A018D9">
        <w:rPr>
          <w:rFonts w:asciiTheme="majorBidi" w:hAnsiTheme="majorBidi" w:cstheme="majorBidi"/>
          <w:i/>
          <w:iCs/>
          <w:sz w:val="22"/>
          <w:szCs w:val="22"/>
        </w:rPr>
        <w:t>ICSID Review</w:t>
      </w:r>
      <w:r w:rsidRPr="00A018D9">
        <w:rPr>
          <w:rFonts w:asciiTheme="majorBidi" w:hAnsiTheme="majorBidi" w:cstheme="majorBidi"/>
          <w:sz w:val="22"/>
          <w:szCs w:val="22"/>
        </w:rPr>
        <w:t> 292 (hereinafter “Whither the Rule?”).</w:t>
      </w:r>
    </w:p>
    <w:p w14:paraId="35A17C0E" w14:textId="77777777" w:rsidR="00ED326D" w:rsidRPr="00A018D9" w:rsidRDefault="00ED326D" w:rsidP="00ED326D">
      <w:pPr>
        <w:tabs>
          <w:tab w:val="clear" w:pos="431"/>
        </w:tabs>
        <w:adjustRightInd/>
        <w:snapToGrid/>
        <w:spacing w:line="288" w:lineRule="auto"/>
        <w:rPr>
          <w:rFonts w:asciiTheme="majorBidi" w:hAnsiTheme="majorBidi" w:cstheme="majorBidi"/>
          <w:sz w:val="22"/>
          <w:szCs w:val="22"/>
        </w:rPr>
      </w:pPr>
      <w:r w:rsidRPr="00A018D9">
        <w:rPr>
          <w:rFonts w:asciiTheme="majorBidi" w:hAnsiTheme="majorBidi" w:cstheme="majorBidi"/>
          <w:sz w:val="22"/>
          <w:szCs w:val="22"/>
        </w:rPr>
        <w:t xml:space="preserve">2.  </w:t>
      </w:r>
      <w:r w:rsidRPr="00A018D9">
        <w:rPr>
          <w:rFonts w:asciiTheme="majorBidi" w:hAnsiTheme="majorBidi" w:cstheme="majorBidi" w:hint="eastAsia"/>
          <w:sz w:val="22"/>
          <w:szCs w:val="22"/>
        </w:rPr>
        <w:t>前注</w:t>
      </w:r>
      <w:r w:rsidRPr="00A018D9">
        <w:rPr>
          <w:rFonts w:asciiTheme="majorBidi" w:hAnsiTheme="majorBidi" w:cstheme="majorBidi"/>
          <w:sz w:val="22"/>
          <w:szCs w:val="22"/>
        </w:rPr>
        <w:t>6</w:t>
      </w:r>
      <w:r w:rsidRPr="00A018D9">
        <w:rPr>
          <w:rFonts w:asciiTheme="majorBidi" w:hAnsiTheme="majorBidi" w:cstheme="majorBidi" w:hint="eastAsia"/>
          <w:sz w:val="22"/>
          <w:szCs w:val="22"/>
        </w:rPr>
        <w:t>，第</w:t>
      </w:r>
      <w:r w:rsidRPr="00A018D9">
        <w:rPr>
          <w:rFonts w:asciiTheme="majorBidi" w:hAnsiTheme="majorBidi" w:cstheme="majorBidi"/>
          <w:sz w:val="22"/>
          <w:szCs w:val="22"/>
        </w:rPr>
        <w:t>49</w:t>
      </w:r>
      <w:r w:rsidRPr="00A018D9">
        <w:rPr>
          <w:rFonts w:asciiTheme="majorBidi" w:hAnsiTheme="majorBidi" w:cstheme="majorBidi" w:hint="eastAsia"/>
          <w:sz w:val="22"/>
          <w:szCs w:val="22"/>
        </w:rPr>
        <w:t>页，第</w:t>
      </w:r>
      <w:r w:rsidRPr="00A018D9">
        <w:rPr>
          <w:rFonts w:asciiTheme="majorBidi" w:hAnsiTheme="majorBidi" w:cstheme="majorBidi"/>
          <w:sz w:val="22"/>
          <w:szCs w:val="22"/>
        </w:rPr>
        <w:t>55</w:t>
      </w:r>
      <w:r w:rsidRPr="00A018D9">
        <w:rPr>
          <w:rFonts w:asciiTheme="majorBidi" w:hAnsiTheme="majorBidi" w:cstheme="majorBidi" w:hint="eastAsia"/>
          <w:sz w:val="22"/>
          <w:szCs w:val="22"/>
        </w:rPr>
        <w:t>段。另见</w:t>
      </w:r>
      <w:r w:rsidRPr="00A018D9">
        <w:rPr>
          <w:rFonts w:asciiTheme="majorBidi" w:hAnsiTheme="majorBidi" w:cstheme="majorBidi"/>
          <w:sz w:val="22"/>
          <w:szCs w:val="22"/>
        </w:rPr>
        <w:t xml:space="preserve">C.F. </w:t>
      </w:r>
      <w:proofErr w:type="spellStart"/>
      <w:r w:rsidRPr="00A018D9">
        <w:rPr>
          <w:rFonts w:asciiTheme="majorBidi" w:hAnsiTheme="majorBidi" w:cstheme="majorBidi"/>
          <w:sz w:val="22"/>
          <w:szCs w:val="22"/>
        </w:rPr>
        <w:t>Amerasinghe</w:t>
      </w:r>
      <w:proofErr w:type="spellEnd"/>
      <w:r w:rsidRPr="00A018D9">
        <w:rPr>
          <w:rFonts w:asciiTheme="majorBidi" w:hAnsiTheme="majorBidi" w:cstheme="majorBidi"/>
          <w:sz w:val="22"/>
          <w:szCs w:val="22"/>
        </w:rPr>
        <w:t>, “Whither the Local Remedies Rule?” (1990), 5 </w:t>
      </w:r>
      <w:r w:rsidRPr="00A018D9">
        <w:rPr>
          <w:rFonts w:asciiTheme="majorBidi" w:hAnsiTheme="majorBidi" w:cstheme="majorBidi"/>
          <w:i/>
          <w:iCs/>
          <w:sz w:val="22"/>
          <w:szCs w:val="22"/>
        </w:rPr>
        <w:t>ICSID Review </w:t>
      </w:r>
      <w:r w:rsidRPr="00A018D9">
        <w:rPr>
          <w:rFonts w:asciiTheme="majorBidi" w:hAnsiTheme="majorBidi" w:cstheme="majorBidi"/>
          <w:sz w:val="22"/>
          <w:szCs w:val="22"/>
        </w:rPr>
        <w:t>292 (</w:t>
      </w:r>
      <w:proofErr w:type="gramStart"/>
      <w:r w:rsidRPr="00A018D9">
        <w:rPr>
          <w:rFonts w:asciiTheme="majorBidi" w:hAnsiTheme="majorBidi" w:cstheme="majorBidi" w:hint="eastAsia"/>
          <w:sz w:val="22"/>
          <w:szCs w:val="22"/>
        </w:rPr>
        <w:t>以下称</w:t>
      </w:r>
      <w:r w:rsidRPr="00A018D9">
        <w:rPr>
          <w:rFonts w:asciiTheme="majorBidi" w:hAnsiTheme="majorBidi" w:cstheme="majorBidi"/>
          <w:sz w:val="22"/>
          <w:szCs w:val="22"/>
        </w:rPr>
        <w:t>“</w:t>
      </w:r>
      <w:proofErr w:type="gramEnd"/>
      <w:r w:rsidRPr="00A018D9">
        <w:rPr>
          <w:rFonts w:asciiTheme="majorBidi" w:hAnsiTheme="majorBidi" w:cstheme="majorBidi"/>
          <w:sz w:val="22"/>
          <w:szCs w:val="22"/>
        </w:rPr>
        <w:t>Whither the Rule”)</w:t>
      </w:r>
      <w:r w:rsidRPr="00A018D9">
        <w:rPr>
          <w:rFonts w:asciiTheme="majorBidi" w:hAnsiTheme="majorBidi" w:cstheme="majorBidi" w:hint="eastAsia"/>
          <w:sz w:val="22"/>
          <w:szCs w:val="22"/>
        </w:rPr>
        <w:t>。</w:t>
      </w:r>
    </w:p>
    <w:p w14:paraId="0F20F689" w14:textId="77777777" w:rsidR="00ED326D" w:rsidRPr="00A018D9" w:rsidRDefault="00ED326D" w:rsidP="00ED326D">
      <w:pPr>
        <w:tabs>
          <w:tab w:val="clear" w:pos="431"/>
        </w:tabs>
        <w:adjustRightInd/>
        <w:snapToGrid/>
        <w:spacing w:line="288" w:lineRule="auto"/>
        <w:jc w:val="left"/>
        <w:rPr>
          <w:rFonts w:asciiTheme="majorBidi" w:hAnsiTheme="majorBidi" w:cstheme="majorBidi"/>
          <w:sz w:val="22"/>
          <w:szCs w:val="22"/>
        </w:rPr>
      </w:pPr>
    </w:p>
    <w:p w14:paraId="7E9EAA40" w14:textId="77777777" w:rsidR="00ED326D" w:rsidRPr="00A018D9" w:rsidRDefault="00ED326D" w:rsidP="00ED326D">
      <w:pPr>
        <w:tabs>
          <w:tab w:val="clear" w:pos="431"/>
        </w:tabs>
        <w:adjustRightInd/>
        <w:snapToGrid/>
        <w:spacing w:line="288" w:lineRule="auto"/>
        <w:rPr>
          <w:rFonts w:asciiTheme="majorBidi" w:hAnsiTheme="majorBidi" w:cstheme="majorBidi"/>
          <w:sz w:val="22"/>
          <w:szCs w:val="22"/>
        </w:rPr>
      </w:pPr>
      <w:r w:rsidRPr="00A018D9">
        <w:rPr>
          <w:rFonts w:asciiTheme="majorBidi" w:hAnsiTheme="majorBidi" w:cstheme="majorBidi"/>
          <w:sz w:val="22"/>
          <w:szCs w:val="22"/>
        </w:rPr>
        <w:t>3.  </w:t>
      </w:r>
      <w:r w:rsidRPr="00A018D9">
        <w:rPr>
          <w:rFonts w:asciiTheme="majorBidi" w:hAnsiTheme="majorBidi" w:cstheme="majorBidi"/>
          <w:i/>
          <w:iCs/>
          <w:sz w:val="22"/>
          <w:szCs w:val="22"/>
        </w:rPr>
        <w:t>The Diplomatic Protection of Citizens Abroad</w:t>
      </w:r>
      <w:r w:rsidRPr="00A018D9">
        <w:rPr>
          <w:rFonts w:asciiTheme="majorBidi" w:hAnsiTheme="majorBidi" w:cstheme="majorBidi"/>
          <w:sz w:val="22"/>
          <w:szCs w:val="22"/>
        </w:rPr>
        <w:t xml:space="preserve"> (1915), pp. 817-818. For further reasons, see K. </w:t>
      </w:r>
      <w:proofErr w:type="spellStart"/>
      <w:r w:rsidRPr="00A018D9">
        <w:rPr>
          <w:rFonts w:asciiTheme="majorBidi" w:hAnsiTheme="majorBidi" w:cstheme="majorBidi"/>
          <w:sz w:val="22"/>
          <w:szCs w:val="22"/>
        </w:rPr>
        <w:t>Doehring</w:t>
      </w:r>
      <w:proofErr w:type="spellEnd"/>
      <w:r w:rsidRPr="00A018D9">
        <w:rPr>
          <w:rFonts w:asciiTheme="majorBidi" w:hAnsiTheme="majorBidi" w:cstheme="majorBidi"/>
          <w:sz w:val="22"/>
          <w:szCs w:val="22"/>
        </w:rPr>
        <w:t xml:space="preserve">, “Local Remedies, Exhaustion of”, in </w:t>
      </w:r>
      <w:r w:rsidRPr="00A018D9">
        <w:rPr>
          <w:rFonts w:asciiTheme="majorBidi" w:hAnsiTheme="majorBidi" w:cstheme="majorBidi"/>
          <w:i/>
          <w:iCs/>
          <w:sz w:val="22"/>
          <w:szCs w:val="22"/>
        </w:rPr>
        <w:t>Encyclopedia of Public International Law</w:t>
      </w:r>
      <w:r w:rsidRPr="00A018D9">
        <w:rPr>
          <w:rFonts w:asciiTheme="majorBidi" w:hAnsiTheme="majorBidi" w:cstheme="majorBidi"/>
          <w:sz w:val="22"/>
          <w:szCs w:val="22"/>
        </w:rPr>
        <w:t xml:space="preserve"> (1997), vol. 3, p. 238; Bernardo </w:t>
      </w:r>
      <w:proofErr w:type="spellStart"/>
      <w:r w:rsidRPr="00A018D9">
        <w:rPr>
          <w:rFonts w:asciiTheme="majorBidi" w:hAnsiTheme="majorBidi" w:cstheme="majorBidi"/>
          <w:sz w:val="22"/>
          <w:szCs w:val="22"/>
        </w:rPr>
        <w:t>Sepúlveda</w:t>
      </w:r>
      <w:proofErr w:type="spellEnd"/>
      <w:r w:rsidRPr="00A018D9">
        <w:rPr>
          <w:rFonts w:asciiTheme="majorBidi" w:hAnsiTheme="majorBidi" w:cstheme="majorBidi"/>
          <w:sz w:val="22"/>
          <w:szCs w:val="22"/>
        </w:rPr>
        <w:t xml:space="preserve"> Amor, “International Law and National Sovereignty: NAFTA and the Claims of Mexican Jurisdiction” (1996), 19 </w:t>
      </w:r>
      <w:r w:rsidRPr="00A018D9">
        <w:rPr>
          <w:rFonts w:asciiTheme="majorBidi" w:hAnsiTheme="majorBidi" w:cstheme="majorBidi"/>
          <w:i/>
          <w:iCs/>
          <w:sz w:val="22"/>
          <w:szCs w:val="22"/>
        </w:rPr>
        <w:t>Houston Journal of International Law</w:t>
      </w:r>
      <w:r w:rsidRPr="00A018D9">
        <w:rPr>
          <w:rFonts w:asciiTheme="majorBidi" w:hAnsiTheme="majorBidi" w:cstheme="majorBidi"/>
          <w:sz w:val="22"/>
          <w:szCs w:val="22"/>
        </w:rPr>
        <w:t> 586.</w:t>
      </w:r>
    </w:p>
    <w:p w14:paraId="27F65A34" w14:textId="77777777" w:rsidR="00ED326D" w:rsidRPr="00A018D9" w:rsidRDefault="00ED326D" w:rsidP="00ED326D">
      <w:pPr>
        <w:tabs>
          <w:tab w:val="clear" w:pos="431"/>
        </w:tabs>
        <w:adjustRightInd/>
        <w:snapToGrid/>
        <w:spacing w:line="288" w:lineRule="auto"/>
        <w:rPr>
          <w:rFonts w:asciiTheme="majorBidi" w:hAnsiTheme="majorBidi" w:cstheme="majorBidi"/>
          <w:sz w:val="22"/>
          <w:szCs w:val="22"/>
        </w:rPr>
      </w:pPr>
      <w:r w:rsidRPr="00A018D9">
        <w:rPr>
          <w:rFonts w:asciiTheme="majorBidi" w:hAnsiTheme="majorBidi" w:cstheme="majorBidi"/>
          <w:sz w:val="22"/>
          <w:szCs w:val="22"/>
        </w:rPr>
        <w:t>3.</w:t>
      </w:r>
      <w:r w:rsidRPr="00A018D9">
        <w:rPr>
          <w:rFonts w:asciiTheme="majorBidi" w:hAnsiTheme="majorBidi" w:cstheme="majorBidi"/>
          <w:i/>
          <w:iCs/>
          <w:sz w:val="22"/>
          <w:szCs w:val="22"/>
        </w:rPr>
        <w:t>  The Diplomatic Protection of Citizens Abroad</w:t>
      </w:r>
      <w:r w:rsidRPr="00A018D9">
        <w:rPr>
          <w:rFonts w:asciiTheme="majorBidi" w:hAnsiTheme="majorBidi" w:cstheme="majorBidi"/>
          <w:sz w:val="22"/>
          <w:szCs w:val="22"/>
        </w:rPr>
        <w:t xml:space="preserve"> (1915), pp. 817-818. </w:t>
      </w:r>
      <w:r w:rsidRPr="00A018D9">
        <w:rPr>
          <w:rFonts w:asciiTheme="majorBidi" w:hAnsiTheme="majorBidi" w:cstheme="majorBidi" w:hint="eastAsia"/>
          <w:sz w:val="22"/>
          <w:szCs w:val="22"/>
        </w:rPr>
        <w:t>其他理由见</w:t>
      </w:r>
      <w:r w:rsidRPr="00A018D9">
        <w:rPr>
          <w:rFonts w:asciiTheme="majorBidi" w:hAnsiTheme="majorBidi" w:cstheme="majorBidi"/>
          <w:sz w:val="22"/>
          <w:szCs w:val="22"/>
        </w:rPr>
        <w:t xml:space="preserve"> K. </w:t>
      </w:r>
      <w:proofErr w:type="spellStart"/>
      <w:r w:rsidRPr="00A018D9">
        <w:rPr>
          <w:rFonts w:asciiTheme="majorBidi" w:hAnsiTheme="majorBidi" w:cstheme="majorBidi"/>
          <w:sz w:val="22"/>
          <w:szCs w:val="22"/>
        </w:rPr>
        <w:t>Doehring</w:t>
      </w:r>
      <w:proofErr w:type="spellEnd"/>
      <w:r w:rsidRPr="00A018D9">
        <w:rPr>
          <w:rFonts w:asciiTheme="majorBidi" w:hAnsiTheme="majorBidi" w:cstheme="majorBidi"/>
          <w:sz w:val="22"/>
          <w:szCs w:val="22"/>
        </w:rPr>
        <w:t>, “Local Remedies, Exhaustion of”, in </w:t>
      </w:r>
      <w:r w:rsidRPr="00A018D9">
        <w:rPr>
          <w:rFonts w:asciiTheme="majorBidi" w:hAnsiTheme="majorBidi" w:cstheme="majorBidi"/>
          <w:i/>
          <w:iCs/>
          <w:sz w:val="22"/>
          <w:szCs w:val="22"/>
        </w:rPr>
        <w:t xml:space="preserve">Encyclopedia of Public International </w:t>
      </w:r>
      <w:r w:rsidRPr="00A018D9">
        <w:rPr>
          <w:rFonts w:asciiTheme="majorBidi" w:hAnsiTheme="majorBidi" w:cstheme="majorBidi"/>
          <w:i/>
          <w:iCs/>
          <w:sz w:val="22"/>
          <w:szCs w:val="22"/>
        </w:rPr>
        <w:lastRenderedPageBreak/>
        <w:t>Law</w:t>
      </w:r>
      <w:r w:rsidRPr="00A018D9">
        <w:rPr>
          <w:rFonts w:asciiTheme="majorBidi" w:hAnsiTheme="majorBidi" w:cstheme="majorBidi"/>
          <w:sz w:val="22"/>
          <w:szCs w:val="22"/>
        </w:rPr>
        <w:t xml:space="preserve"> (1997), vol. 3, p. 238; Bernardo </w:t>
      </w:r>
      <w:proofErr w:type="spellStart"/>
      <w:r w:rsidRPr="00A018D9">
        <w:rPr>
          <w:rFonts w:asciiTheme="majorBidi" w:hAnsiTheme="majorBidi" w:cstheme="majorBidi"/>
          <w:sz w:val="22"/>
          <w:szCs w:val="22"/>
        </w:rPr>
        <w:t>Sepúlveda</w:t>
      </w:r>
      <w:proofErr w:type="spellEnd"/>
      <w:r w:rsidRPr="00A018D9">
        <w:rPr>
          <w:rFonts w:asciiTheme="majorBidi" w:hAnsiTheme="majorBidi" w:cstheme="majorBidi"/>
          <w:sz w:val="22"/>
          <w:szCs w:val="22"/>
        </w:rPr>
        <w:t xml:space="preserve"> Amor, “International Law and National Sovereignty: NAFTA and the Claims of Mexican Jurisdiction” (1996), 19 </w:t>
      </w:r>
      <w:r w:rsidRPr="00A018D9">
        <w:rPr>
          <w:rFonts w:asciiTheme="majorBidi" w:hAnsiTheme="majorBidi" w:cstheme="majorBidi"/>
          <w:i/>
          <w:iCs/>
          <w:sz w:val="22"/>
          <w:szCs w:val="22"/>
        </w:rPr>
        <w:t>Houston Journal of International Law</w:t>
      </w:r>
      <w:r w:rsidRPr="00A018D9">
        <w:rPr>
          <w:rFonts w:asciiTheme="majorBidi" w:hAnsiTheme="majorBidi" w:cstheme="majorBidi"/>
          <w:sz w:val="22"/>
          <w:szCs w:val="22"/>
        </w:rPr>
        <w:t> 586</w:t>
      </w:r>
      <w:r w:rsidRPr="00A018D9">
        <w:rPr>
          <w:rFonts w:asciiTheme="majorBidi" w:hAnsiTheme="majorBidi" w:cstheme="majorBidi" w:hint="eastAsia"/>
          <w:sz w:val="22"/>
          <w:szCs w:val="22"/>
        </w:rPr>
        <w:t>。</w:t>
      </w:r>
    </w:p>
    <w:p w14:paraId="30EF4798" w14:textId="77777777" w:rsidR="00ED326D" w:rsidRPr="00A018D9" w:rsidRDefault="00ED326D" w:rsidP="00ED326D">
      <w:pPr>
        <w:spacing w:line="288" w:lineRule="auto"/>
        <w:ind w:left="294"/>
        <w:rPr>
          <w:sz w:val="22"/>
          <w:szCs w:val="22"/>
        </w:rPr>
      </w:pPr>
    </w:p>
    <w:p w14:paraId="669A6FBA" w14:textId="77777777" w:rsidR="00ED326D" w:rsidRPr="00A018D9" w:rsidRDefault="00ED326D" w:rsidP="00ED326D">
      <w:pPr>
        <w:spacing w:line="288" w:lineRule="auto"/>
        <w:rPr>
          <w:sz w:val="22"/>
          <w:szCs w:val="22"/>
        </w:rPr>
      </w:pPr>
      <w:r w:rsidRPr="00A018D9">
        <w:rPr>
          <w:sz w:val="22"/>
          <w:szCs w:val="22"/>
        </w:rPr>
        <w:t xml:space="preserve">4.  On the factors affecting the political commitment lo structural adjustment measures, and the response of key interest groups to those measures, sec Nelson, J.M. (1984), </w:t>
      </w:r>
      <w:r w:rsidRPr="00A018D9">
        <w:rPr>
          <w:rFonts w:asciiTheme="majorBidi" w:hAnsiTheme="majorBidi" w:cstheme="majorBidi"/>
          <w:sz w:val="22"/>
          <w:szCs w:val="22"/>
        </w:rPr>
        <w:t>“</w:t>
      </w:r>
      <w:r w:rsidRPr="00A018D9">
        <w:rPr>
          <w:sz w:val="22"/>
          <w:szCs w:val="22"/>
        </w:rPr>
        <w:t>The political economy of stabilization: commitment, capacity and public response</w:t>
      </w:r>
      <w:r w:rsidRPr="00A018D9">
        <w:rPr>
          <w:rFonts w:asciiTheme="majorBidi" w:hAnsiTheme="majorBidi" w:cstheme="majorBidi"/>
          <w:sz w:val="22"/>
          <w:szCs w:val="22"/>
        </w:rPr>
        <w:t>”</w:t>
      </w:r>
      <w:r w:rsidRPr="00A018D9">
        <w:rPr>
          <w:sz w:val="22"/>
          <w:szCs w:val="22"/>
        </w:rPr>
        <w:t xml:space="preserve">. </w:t>
      </w:r>
      <w:r w:rsidRPr="00A018D9">
        <w:rPr>
          <w:i/>
          <w:iCs/>
          <w:sz w:val="22"/>
          <w:szCs w:val="22"/>
        </w:rPr>
        <w:t>World Development</w:t>
      </w:r>
      <w:r w:rsidRPr="00A018D9">
        <w:rPr>
          <w:sz w:val="22"/>
          <w:szCs w:val="22"/>
        </w:rPr>
        <w:t xml:space="preserve">, vol.12, No.10. Sec also Krueger, A. (1974), </w:t>
      </w:r>
      <w:r w:rsidRPr="00A018D9">
        <w:rPr>
          <w:rFonts w:asciiTheme="majorBidi" w:hAnsiTheme="majorBidi" w:cstheme="majorBidi"/>
          <w:sz w:val="22"/>
          <w:szCs w:val="22"/>
        </w:rPr>
        <w:t>“</w:t>
      </w:r>
      <w:r w:rsidRPr="00A018D9">
        <w:rPr>
          <w:sz w:val="22"/>
          <w:szCs w:val="22"/>
        </w:rPr>
        <w:t>The political economy of the rent-seeking society</w:t>
      </w:r>
      <w:r w:rsidRPr="00A018D9">
        <w:rPr>
          <w:rFonts w:asciiTheme="majorBidi" w:hAnsiTheme="majorBidi" w:cstheme="majorBidi"/>
          <w:sz w:val="22"/>
          <w:szCs w:val="22"/>
        </w:rPr>
        <w:t>”</w:t>
      </w:r>
      <w:r w:rsidRPr="00A018D9">
        <w:rPr>
          <w:sz w:val="22"/>
          <w:szCs w:val="22"/>
        </w:rPr>
        <w:t xml:space="preserve">. </w:t>
      </w:r>
      <w:r w:rsidRPr="00A018D9">
        <w:rPr>
          <w:i/>
          <w:iCs/>
          <w:sz w:val="22"/>
          <w:szCs w:val="22"/>
        </w:rPr>
        <w:t>American Economic Review</w:t>
      </w:r>
      <w:r w:rsidRPr="00A018D9">
        <w:rPr>
          <w:sz w:val="22"/>
          <w:szCs w:val="22"/>
        </w:rPr>
        <w:t xml:space="preserve">, vol. 64; and Mosley, P. (1985), </w:t>
      </w:r>
      <w:r w:rsidRPr="00A018D9">
        <w:rPr>
          <w:rFonts w:asciiTheme="majorBidi" w:hAnsiTheme="majorBidi" w:cstheme="majorBidi"/>
          <w:sz w:val="22"/>
          <w:szCs w:val="22"/>
        </w:rPr>
        <w:t>“</w:t>
      </w:r>
      <w:r w:rsidRPr="00A018D9">
        <w:rPr>
          <w:sz w:val="22"/>
          <w:szCs w:val="22"/>
        </w:rPr>
        <w:t>On persuading a leopard to change his spots: optimal strategies for donors and recipients of conditional development aid</w:t>
      </w:r>
      <w:r w:rsidRPr="00A018D9">
        <w:rPr>
          <w:rFonts w:asciiTheme="majorBidi" w:hAnsiTheme="majorBidi" w:cstheme="majorBidi"/>
          <w:sz w:val="22"/>
          <w:szCs w:val="22"/>
        </w:rPr>
        <w:t>”</w:t>
      </w:r>
      <w:r w:rsidRPr="00A018D9">
        <w:rPr>
          <w:sz w:val="22"/>
          <w:szCs w:val="22"/>
        </w:rPr>
        <w:t>, mimeo, University of Manchester.</w:t>
      </w:r>
    </w:p>
    <w:p w14:paraId="4DBD26C9" w14:textId="77777777" w:rsidR="00ED326D" w:rsidRPr="00A018D9" w:rsidRDefault="00ED326D" w:rsidP="00ED326D">
      <w:pPr>
        <w:spacing w:line="288" w:lineRule="auto"/>
        <w:rPr>
          <w:sz w:val="22"/>
          <w:szCs w:val="22"/>
        </w:rPr>
      </w:pPr>
      <w:r w:rsidRPr="00A018D9">
        <w:rPr>
          <w:sz w:val="22"/>
          <w:szCs w:val="22"/>
        </w:rPr>
        <w:t xml:space="preserve">4.  </w:t>
      </w:r>
      <w:r w:rsidRPr="00A018D9">
        <w:rPr>
          <w:rFonts w:hint="eastAsia"/>
          <w:sz w:val="22"/>
          <w:szCs w:val="22"/>
        </w:rPr>
        <w:t>关于影响到对结构调整措施所采取的政治态度的因素和主要有关集团对这些措施所作的反应，见</w:t>
      </w:r>
      <w:r w:rsidRPr="00A018D9">
        <w:rPr>
          <w:sz w:val="22"/>
          <w:szCs w:val="22"/>
        </w:rPr>
        <w:t xml:space="preserve">Nelson, J.M. (1984), </w:t>
      </w:r>
      <w:r w:rsidRPr="00A018D9">
        <w:rPr>
          <w:rFonts w:asciiTheme="majorBidi" w:hAnsiTheme="majorBidi" w:cstheme="majorBidi"/>
          <w:sz w:val="22"/>
          <w:szCs w:val="22"/>
        </w:rPr>
        <w:t>“</w:t>
      </w:r>
      <w:r w:rsidRPr="00A018D9">
        <w:rPr>
          <w:sz w:val="22"/>
          <w:szCs w:val="22"/>
        </w:rPr>
        <w:t>The political economy of stabilization: commitment, capacity and public response</w:t>
      </w:r>
      <w:r w:rsidRPr="00A018D9">
        <w:rPr>
          <w:rFonts w:asciiTheme="majorBidi" w:hAnsiTheme="majorBidi" w:cstheme="majorBidi"/>
          <w:sz w:val="22"/>
          <w:szCs w:val="22"/>
        </w:rPr>
        <w:t>”</w:t>
      </w:r>
      <w:r w:rsidRPr="00A018D9">
        <w:rPr>
          <w:sz w:val="22"/>
          <w:szCs w:val="22"/>
        </w:rPr>
        <w:t xml:space="preserve">. </w:t>
      </w:r>
      <w:r w:rsidRPr="00A018D9">
        <w:rPr>
          <w:i/>
          <w:iCs/>
          <w:sz w:val="22"/>
          <w:szCs w:val="22"/>
        </w:rPr>
        <w:t>World Development</w:t>
      </w:r>
      <w:r w:rsidRPr="00A018D9">
        <w:rPr>
          <w:sz w:val="22"/>
          <w:szCs w:val="22"/>
        </w:rPr>
        <w:t>, vol.12, No.10</w:t>
      </w:r>
      <w:r w:rsidRPr="00A018D9">
        <w:rPr>
          <w:rFonts w:hint="eastAsia"/>
          <w:sz w:val="22"/>
          <w:szCs w:val="22"/>
        </w:rPr>
        <w:t>。另见</w:t>
      </w:r>
      <w:r w:rsidRPr="00A018D9">
        <w:rPr>
          <w:sz w:val="22"/>
          <w:szCs w:val="22"/>
        </w:rPr>
        <w:t xml:space="preserve">Krueger, A. (1974), </w:t>
      </w:r>
      <w:r w:rsidRPr="00A018D9">
        <w:rPr>
          <w:rFonts w:asciiTheme="majorBidi" w:hAnsiTheme="majorBidi" w:cstheme="majorBidi"/>
          <w:sz w:val="22"/>
          <w:szCs w:val="22"/>
        </w:rPr>
        <w:t>“</w:t>
      </w:r>
      <w:r w:rsidRPr="00A018D9">
        <w:rPr>
          <w:sz w:val="22"/>
          <w:szCs w:val="22"/>
        </w:rPr>
        <w:t>The political economy of the rent-seeking society</w:t>
      </w:r>
      <w:r w:rsidRPr="00A018D9">
        <w:rPr>
          <w:rFonts w:asciiTheme="majorBidi" w:hAnsiTheme="majorBidi" w:cstheme="majorBidi"/>
          <w:sz w:val="22"/>
          <w:szCs w:val="22"/>
        </w:rPr>
        <w:t>”</w:t>
      </w:r>
      <w:r w:rsidRPr="00A018D9">
        <w:rPr>
          <w:sz w:val="22"/>
          <w:szCs w:val="22"/>
        </w:rPr>
        <w:t xml:space="preserve">. </w:t>
      </w:r>
      <w:r w:rsidRPr="00A018D9">
        <w:rPr>
          <w:i/>
          <w:iCs/>
          <w:sz w:val="22"/>
          <w:szCs w:val="22"/>
        </w:rPr>
        <w:t>American Economic Review</w:t>
      </w:r>
      <w:r w:rsidRPr="00A018D9">
        <w:rPr>
          <w:sz w:val="22"/>
          <w:szCs w:val="22"/>
        </w:rPr>
        <w:t xml:space="preserve">, vol. 64; and Mosley, P. (1985), </w:t>
      </w:r>
      <w:r w:rsidRPr="00A018D9">
        <w:rPr>
          <w:rFonts w:asciiTheme="majorBidi" w:hAnsiTheme="majorBidi" w:cstheme="majorBidi"/>
          <w:sz w:val="22"/>
          <w:szCs w:val="22"/>
        </w:rPr>
        <w:t>“</w:t>
      </w:r>
      <w:r w:rsidRPr="00A018D9">
        <w:rPr>
          <w:sz w:val="22"/>
          <w:szCs w:val="22"/>
        </w:rPr>
        <w:t>On persuading a leopard to change his spots: optimal strategies for donors and recipients of conditional development aid</w:t>
      </w:r>
      <w:r w:rsidRPr="00A018D9">
        <w:rPr>
          <w:rFonts w:asciiTheme="majorBidi" w:hAnsiTheme="majorBidi" w:cstheme="majorBidi"/>
          <w:sz w:val="22"/>
          <w:szCs w:val="22"/>
        </w:rPr>
        <w:t>”</w:t>
      </w:r>
      <w:r w:rsidRPr="00A018D9">
        <w:rPr>
          <w:sz w:val="22"/>
          <w:szCs w:val="22"/>
        </w:rPr>
        <w:t>, mimeo, University of Manchester</w:t>
      </w:r>
      <w:r w:rsidRPr="00A018D9">
        <w:rPr>
          <w:rFonts w:hint="eastAsia"/>
          <w:sz w:val="22"/>
          <w:szCs w:val="22"/>
        </w:rPr>
        <w:t>。</w:t>
      </w:r>
    </w:p>
    <w:p w14:paraId="6C85BC4B" w14:textId="77777777" w:rsidR="00ED326D" w:rsidRPr="00A018D9" w:rsidRDefault="00ED326D" w:rsidP="00ED326D">
      <w:pPr>
        <w:spacing w:line="288" w:lineRule="auto"/>
        <w:rPr>
          <w:sz w:val="22"/>
          <w:szCs w:val="22"/>
        </w:rPr>
      </w:pPr>
    </w:p>
    <w:p w14:paraId="619569D4" w14:textId="77777777" w:rsidR="00ED326D" w:rsidRPr="00A018D9" w:rsidRDefault="00ED326D" w:rsidP="00ED326D">
      <w:pPr>
        <w:spacing w:line="288" w:lineRule="auto"/>
        <w:rPr>
          <w:rFonts w:cs="Segoe UI"/>
          <w:sz w:val="22"/>
          <w:szCs w:val="22"/>
        </w:rPr>
      </w:pPr>
      <w:r w:rsidRPr="00A018D9">
        <w:rPr>
          <w:sz w:val="22"/>
          <w:szCs w:val="22"/>
        </w:rPr>
        <w:t xml:space="preserve">5.  </w:t>
      </w:r>
      <w:r w:rsidRPr="00A018D9">
        <w:rPr>
          <w:rFonts w:cs="Segoe UI"/>
          <w:sz w:val="22"/>
          <w:szCs w:val="22"/>
        </w:rPr>
        <w:t>This question will be explored in more detail at a later stage of the work on the topic; see also Agreement Establishing the World Trade Organization, 1994, United Nations, Treaty Series, vol. 1867, No. 31874, p. 3, art. IX, para. 2, and WTO Appellate Body Report, EC</w:t>
      </w:r>
      <w:r w:rsidRPr="00A018D9">
        <w:rPr>
          <w:rFonts w:cs="Segoe UI" w:hint="eastAsia"/>
          <w:sz w:val="22"/>
          <w:szCs w:val="22"/>
        </w:rPr>
        <w:t>–</w:t>
      </w:r>
      <w:r w:rsidRPr="00A018D9">
        <w:rPr>
          <w:rFonts w:cs="Segoe UI"/>
          <w:sz w:val="22"/>
          <w:szCs w:val="22"/>
        </w:rPr>
        <w:t>Chicken Cuts, WT/DS269/AB/R, WT/DS286/AB/R, 12 September 2005, para. 273; WTO Appellate Body Report, EC</w:t>
      </w:r>
      <w:r w:rsidRPr="00A018D9">
        <w:rPr>
          <w:rFonts w:cs="Segoe UI" w:hint="eastAsia"/>
          <w:sz w:val="22"/>
          <w:szCs w:val="22"/>
        </w:rPr>
        <w:t>–</w:t>
      </w:r>
      <w:r w:rsidRPr="00A018D9">
        <w:rPr>
          <w:rFonts w:cs="Segoe UI"/>
          <w:sz w:val="22"/>
          <w:szCs w:val="22"/>
        </w:rPr>
        <w:t>Bananas III, Second Recourse to Article 21.5, WT/DS27/AB/RW2/ECU, WT/DS27/AB/RW/USA, 26 November 2008, paras. 383 and 390.</w:t>
      </w:r>
    </w:p>
    <w:p w14:paraId="3C09C91A" w14:textId="77777777" w:rsidR="00ED326D" w:rsidRPr="00A018D9" w:rsidRDefault="00ED326D" w:rsidP="00ED326D">
      <w:pPr>
        <w:spacing w:line="288" w:lineRule="auto"/>
        <w:rPr>
          <w:rFonts w:cs="Segoe UI"/>
          <w:sz w:val="22"/>
          <w:szCs w:val="22"/>
        </w:rPr>
      </w:pPr>
      <w:r w:rsidRPr="00A018D9">
        <w:rPr>
          <w:sz w:val="22"/>
          <w:szCs w:val="22"/>
        </w:rPr>
        <w:t xml:space="preserve">5.  </w:t>
      </w:r>
      <w:r w:rsidRPr="00A018D9">
        <w:rPr>
          <w:rFonts w:cs="Segoe UI" w:hint="eastAsia"/>
          <w:sz w:val="22"/>
          <w:szCs w:val="22"/>
        </w:rPr>
        <w:t>这一问题正在关于本专题工作的稍后阶段详细探讨；另见《建立世界贸易组织协定》，</w:t>
      </w:r>
      <w:r w:rsidRPr="00A018D9">
        <w:rPr>
          <w:rFonts w:cs="Segoe UI"/>
          <w:sz w:val="22"/>
          <w:szCs w:val="22"/>
        </w:rPr>
        <w:t>1994</w:t>
      </w:r>
      <w:r w:rsidRPr="00A018D9">
        <w:rPr>
          <w:rFonts w:cs="Segoe UI" w:hint="eastAsia"/>
          <w:sz w:val="22"/>
          <w:szCs w:val="22"/>
        </w:rPr>
        <w:t>年，联合国，《条约汇编》，第</w:t>
      </w:r>
      <w:r w:rsidRPr="00A018D9">
        <w:rPr>
          <w:rFonts w:cs="Segoe UI"/>
          <w:sz w:val="22"/>
          <w:szCs w:val="22"/>
        </w:rPr>
        <w:t>1867</w:t>
      </w:r>
      <w:r w:rsidRPr="00A018D9">
        <w:rPr>
          <w:rFonts w:cs="Segoe UI" w:hint="eastAsia"/>
          <w:sz w:val="22"/>
          <w:szCs w:val="22"/>
        </w:rPr>
        <w:t>卷，第</w:t>
      </w:r>
      <w:r w:rsidRPr="00A018D9">
        <w:rPr>
          <w:rFonts w:cs="Segoe UI"/>
          <w:sz w:val="22"/>
          <w:szCs w:val="22"/>
        </w:rPr>
        <w:t>31874</w:t>
      </w:r>
      <w:r w:rsidRPr="00A018D9">
        <w:rPr>
          <w:rFonts w:cs="Segoe UI" w:hint="eastAsia"/>
          <w:sz w:val="22"/>
          <w:szCs w:val="22"/>
        </w:rPr>
        <w:t>号，第</w:t>
      </w:r>
      <w:r w:rsidRPr="00A018D9">
        <w:rPr>
          <w:rFonts w:cs="Segoe UI"/>
          <w:sz w:val="22"/>
          <w:szCs w:val="22"/>
        </w:rPr>
        <w:t>3</w:t>
      </w:r>
      <w:r w:rsidRPr="00A018D9">
        <w:rPr>
          <w:rFonts w:cs="Segoe UI" w:hint="eastAsia"/>
          <w:sz w:val="22"/>
          <w:szCs w:val="22"/>
        </w:rPr>
        <w:t>页，第九条第</w:t>
      </w:r>
      <w:r w:rsidRPr="00A018D9">
        <w:rPr>
          <w:rFonts w:cs="Segoe UI"/>
          <w:sz w:val="22"/>
          <w:szCs w:val="22"/>
        </w:rPr>
        <w:t>2</w:t>
      </w:r>
      <w:r w:rsidRPr="00A018D9">
        <w:rPr>
          <w:rFonts w:cs="Segoe UI" w:hint="eastAsia"/>
          <w:sz w:val="22"/>
          <w:szCs w:val="22"/>
        </w:rPr>
        <w:t>款，及</w:t>
      </w:r>
      <w:r w:rsidRPr="00A018D9">
        <w:rPr>
          <w:rFonts w:cs="Segoe UI"/>
          <w:sz w:val="22"/>
          <w:szCs w:val="22"/>
        </w:rPr>
        <w:t>WTO Appellate Body Report, EC</w:t>
      </w:r>
      <w:r w:rsidRPr="00A018D9">
        <w:rPr>
          <w:rFonts w:cs="Segoe UI" w:hint="eastAsia"/>
          <w:sz w:val="22"/>
          <w:szCs w:val="22"/>
        </w:rPr>
        <w:t>–</w:t>
      </w:r>
      <w:r w:rsidRPr="00A018D9">
        <w:rPr>
          <w:rFonts w:cs="Segoe UI"/>
          <w:sz w:val="22"/>
          <w:szCs w:val="22"/>
        </w:rPr>
        <w:t>Chicken Cuts, WT/DS269/AB/R, WT/DS286/AB/R, 12 September 2005, para. 273; WTO Appellate Body Report, EC</w:t>
      </w:r>
      <w:r w:rsidRPr="00A018D9">
        <w:rPr>
          <w:rFonts w:cs="Segoe UI" w:hint="eastAsia"/>
          <w:sz w:val="22"/>
          <w:szCs w:val="22"/>
        </w:rPr>
        <w:t>–</w:t>
      </w:r>
      <w:r w:rsidRPr="00A018D9">
        <w:rPr>
          <w:rFonts w:cs="Segoe UI"/>
          <w:sz w:val="22"/>
          <w:szCs w:val="22"/>
        </w:rPr>
        <w:t>Bananas III, Second Recourse to Article 21.5, WT/DS27/AB/RW2/ECU, WT/DS27/AB/RW/USA, 26 November 2008, paras. 383 and 390</w:t>
      </w:r>
      <w:r w:rsidRPr="00A018D9">
        <w:rPr>
          <w:rFonts w:cs="Segoe UI" w:hint="eastAsia"/>
          <w:sz w:val="22"/>
          <w:szCs w:val="22"/>
        </w:rPr>
        <w:t>。</w:t>
      </w:r>
    </w:p>
    <w:p w14:paraId="5E74B12D" w14:textId="77777777" w:rsidR="00ED326D" w:rsidRPr="00A018D9" w:rsidRDefault="00ED326D" w:rsidP="00ED326D">
      <w:pPr>
        <w:spacing w:line="288" w:lineRule="auto"/>
        <w:rPr>
          <w:sz w:val="22"/>
          <w:szCs w:val="22"/>
        </w:rPr>
      </w:pPr>
    </w:p>
    <w:p w14:paraId="3DBDF72C" w14:textId="77777777" w:rsidR="00ED326D" w:rsidRPr="00A018D9" w:rsidRDefault="00ED326D" w:rsidP="00ED326D">
      <w:pPr>
        <w:spacing w:line="288" w:lineRule="auto"/>
        <w:rPr>
          <w:sz w:val="22"/>
          <w:szCs w:val="22"/>
        </w:rPr>
      </w:pPr>
      <w:r w:rsidRPr="00A018D9">
        <w:rPr>
          <w:sz w:val="22"/>
          <w:szCs w:val="22"/>
        </w:rPr>
        <w:t xml:space="preserve">6.  This is particularly so if </w:t>
      </w:r>
      <w:proofErr w:type="gramStart"/>
      <w:r w:rsidRPr="00A018D9">
        <w:rPr>
          <w:sz w:val="22"/>
          <w:szCs w:val="22"/>
        </w:rPr>
        <w:t>not</w:t>
      </w:r>
      <w:proofErr w:type="gramEnd"/>
      <w:r w:rsidRPr="00A018D9">
        <w:rPr>
          <w:sz w:val="22"/>
          <w:szCs w:val="22"/>
        </w:rPr>
        <w:t xml:space="preserve"> only direct sector specific aid is included, but also assistance under regional schemes and other support </w:t>
      </w:r>
      <w:proofErr w:type="spellStart"/>
      <w:r w:rsidRPr="00A018D9">
        <w:rPr>
          <w:sz w:val="22"/>
          <w:szCs w:val="22"/>
        </w:rPr>
        <w:t>programmes</w:t>
      </w:r>
      <w:proofErr w:type="spellEnd"/>
      <w:r w:rsidRPr="00A018D9">
        <w:rPr>
          <w:sz w:val="22"/>
          <w:szCs w:val="22"/>
        </w:rPr>
        <w:t xml:space="preserve">. For a discussion see C. Krieger </w:t>
      </w:r>
      <w:r w:rsidRPr="00A018D9">
        <w:rPr>
          <w:i/>
          <w:iCs/>
          <w:sz w:val="22"/>
          <w:szCs w:val="22"/>
        </w:rPr>
        <w:t>et al,</w:t>
      </w:r>
      <w:r w:rsidRPr="00A018D9">
        <w:rPr>
          <w:sz w:val="22"/>
          <w:szCs w:val="22"/>
        </w:rPr>
        <w:t xml:space="preserve"> </w:t>
      </w:r>
      <w:proofErr w:type="spellStart"/>
      <w:r w:rsidRPr="00A018D9">
        <w:rPr>
          <w:sz w:val="22"/>
          <w:szCs w:val="22"/>
        </w:rPr>
        <w:t>Regionales</w:t>
      </w:r>
      <w:proofErr w:type="spellEnd"/>
      <w:r w:rsidRPr="00A018D9">
        <w:rPr>
          <w:sz w:val="22"/>
          <w:szCs w:val="22"/>
        </w:rPr>
        <w:t xml:space="preserve"> </w:t>
      </w:r>
      <w:proofErr w:type="spellStart"/>
      <w:r w:rsidRPr="00A018D9">
        <w:rPr>
          <w:sz w:val="22"/>
          <w:szCs w:val="22"/>
        </w:rPr>
        <w:t>Wirtschaftswachstum</w:t>
      </w:r>
      <w:proofErr w:type="spellEnd"/>
      <w:r w:rsidRPr="00A018D9">
        <w:rPr>
          <w:sz w:val="22"/>
          <w:szCs w:val="22"/>
        </w:rPr>
        <w:t xml:space="preserve"> und </w:t>
      </w:r>
      <w:proofErr w:type="spellStart"/>
      <w:r w:rsidRPr="00A018D9">
        <w:rPr>
          <w:sz w:val="22"/>
          <w:szCs w:val="22"/>
        </w:rPr>
        <w:t>sektoraler</w:t>
      </w:r>
      <w:proofErr w:type="spellEnd"/>
      <w:r w:rsidRPr="00A018D9">
        <w:rPr>
          <w:sz w:val="22"/>
          <w:szCs w:val="22"/>
        </w:rPr>
        <w:t xml:space="preserve"> </w:t>
      </w:r>
      <w:proofErr w:type="spellStart"/>
      <w:r w:rsidRPr="00A018D9">
        <w:rPr>
          <w:sz w:val="22"/>
          <w:szCs w:val="22"/>
        </w:rPr>
        <w:t>Stukturwandel</w:t>
      </w:r>
      <w:proofErr w:type="spellEnd"/>
      <w:r w:rsidRPr="00A018D9">
        <w:rPr>
          <w:sz w:val="22"/>
          <w:szCs w:val="22"/>
        </w:rPr>
        <w:t xml:space="preserve"> in der </w:t>
      </w:r>
      <w:proofErr w:type="spellStart"/>
      <w:r w:rsidRPr="00A018D9">
        <w:rPr>
          <w:sz w:val="22"/>
          <w:szCs w:val="22"/>
        </w:rPr>
        <w:t>Europäischen</w:t>
      </w:r>
      <w:proofErr w:type="spellEnd"/>
      <w:r w:rsidRPr="00A018D9">
        <w:rPr>
          <w:sz w:val="22"/>
          <w:szCs w:val="22"/>
        </w:rPr>
        <w:t xml:space="preserve"> Gemeinschaft, </w:t>
      </w:r>
      <w:proofErr w:type="spellStart"/>
      <w:r w:rsidRPr="00A018D9">
        <w:rPr>
          <w:sz w:val="22"/>
          <w:szCs w:val="22"/>
        </w:rPr>
        <w:t>Kieler</w:t>
      </w:r>
      <w:proofErr w:type="spellEnd"/>
      <w:r w:rsidRPr="00A018D9">
        <w:rPr>
          <w:sz w:val="22"/>
          <w:szCs w:val="22"/>
        </w:rPr>
        <w:t xml:space="preserve"> </w:t>
      </w:r>
      <w:proofErr w:type="spellStart"/>
      <w:r w:rsidRPr="00A018D9">
        <w:rPr>
          <w:sz w:val="22"/>
          <w:szCs w:val="22"/>
        </w:rPr>
        <w:t>Studien</w:t>
      </w:r>
      <w:proofErr w:type="spellEnd"/>
      <w:r w:rsidRPr="00A018D9">
        <w:rPr>
          <w:sz w:val="22"/>
          <w:szCs w:val="22"/>
        </w:rPr>
        <w:t xml:space="preserve"> No.194, 1985, pp.125 </w:t>
      </w:r>
      <w:r w:rsidRPr="00A018D9">
        <w:rPr>
          <w:i/>
          <w:iCs/>
          <w:sz w:val="22"/>
          <w:szCs w:val="22"/>
        </w:rPr>
        <w:t>et seq.</w:t>
      </w:r>
      <w:r w:rsidRPr="00A018D9">
        <w:rPr>
          <w:sz w:val="22"/>
          <w:szCs w:val="22"/>
        </w:rPr>
        <w:t>; Jean-</w:t>
      </w:r>
      <w:proofErr w:type="spellStart"/>
      <w:r w:rsidRPr="00A018D9">
        <w:rPr>
          <w:sz w:val="22"/>
          <w:szCs w:val="22"/>
        </w:rPr>
        <w:t>Qaude</w:t>
      </w:r>
      <w:proofErr w:type="spellEnd"/>
      <w:r w:rsidRPr="00A018D9">
        <w:rPr>
          <w:sz w:val="22"/>
          <w:szCs w:val="22"/>
        </w:rPr>
        <w:t xml:space="preserve"> </w:t>
      </w:r>
      <w:proofErr w:type="spellStart"/>
      <w:r w:rsidRPr="00A018D9">
        <w:rPr>
          <w:sz w:val="22"/>
          <w:szCs w:val="22"/>
        </w:rPr>
        <w:t>Duiailly</w:t>
      </w:r>
      <w:proofErr w:type="spellEnd"/>
      <w:r w:rsidRPr="00A018D9">
        <w:rPr>
          <w:sz w:val="22"/>
          <w:szCs w:val="22"/>
        </w:rPr>
        <w:t xml:space="preserve">, Aides aux </w:t>
      </w:r>
      <w:proofErr w:type="spellStart"/>
      <w:r w:rsidRPr="00A018D9">
        <w:rPr>
          <w:sz w:val="22"/>
          <w:szCs w:val="22"/>
        </w:rPr>
        <w:t>entreprises</w:t>
      </w:r>
      <w:proofErr w:type="spellEnd"/>
      <w:r w:rsidRPr="00A018D9">
        <w:rPr>
          <w:sz w:val="22"/>
          <w:szCs w:val="22"/>
        </w:rPr>
        <w:t xml:space="preserve">. </w:t>
      </w:r>
      <w:proofErr w:type="spellStart"/>
      <w:r w:rsidRPr="00A018D9">
        <w:rPr>
          <w:sz w:val="22"/>
          <w:szCs w:val="22"/>
          <w:lang w:val="fr-CH"/>
        </w:rPr>
        <w:t>Ecunomie</w:t>
      </w:r>
      <w:proofErr w:type="spellEnd"/>
      <w:r w:rsidRPr="00A018D9">
        <w:rPr>
          <w:sz w:val="22"/>
          <w:szCs w:val="22"/>
          <w:lang w:val="fr-CH"/>
        </w:rPr>
        <w:t xml:space="preserve"> et Statistique, vol 169 (1984), pp.3 </w:t>
      </w:r>
      <w:r w:rsidRPr="00A018D9">
        <w:rPr>
          <w:i/>
          <w:iCs/>
          <w:sz w:val="22"/>
          <w:szCs w:val="22"/>
          <w:lang w:val="fr-CH"/>
        </w:rPr>
        <w:t xml:space="preserve">et </w:t>
      </w:r>
      <w:proofErr w:type="spellStart"/>
      <w:r w:rsidRPr="00A018D9">
        <w:rPr>
          <w:i/>
          <w:iCs/>
          <w:sz w:val="22"/>
          <w:szCs w:val="22"/>
          <w:lang w:val="fr-CH"/>
        </w:rPr>
        <w:t>seq</w:t>
      </w:r>
      <w:proofErr w:type="spellEnd"/>
      <w:proofErr w:type="gramStart"/>
      <w:r w:rsidRPr="00A018D9">
        <w:rPr>
          <w:sz w:val="22"/>
          <w:szCs w:val="22"/>
          <w:lang w:val="fr-CH"/>
        </w:rPr>
        <w:t>.;</w:t>
      </w:r>
      <w:proofErr w:type="gramEnd"/>
      <w:r w:rsidRPr="00A018D9">
        <w:rPr>
          <w:sz w:val="22"/>
          <w:szCs w:val="22"/>
          <w:lang w:val="fr-CH"/>
        </w:rPr>
        <w:t xml:space="preserve"> K. W. </w:t>
      </w:r>
      <w:proofErr w:type="spellStart"/>
      <w:r w:rsidRPr="00A018D9">
        <w:rPr>
          <w:sz w:val="22"/>
          <w:szCs w:val="22"/>
          <w:lang w:val="fr-CH"/>
        </w:rPr>
        <w:t>Schatz</w:t>
      </w:r>
      <w:proofErr w:type="spellEnd"/>
      <w:r w:rsidRPr="00A018D9">
        <w:rPr>
          <w:sz w:val="22"/>
          <w:szCs w:val="22"/>
          <w:lang w:val="fr-CH"/>
        </w:rPr>
        <w:t xml:space="preserve">, Der </w:t>
      </w:r>
      <w:proofErr w:type="spellStart"/>
      <w:r w:rsidRPr="00A018D9">
        <w:rPr>
          <w:sz w:val="22"/>
          <w:szCs w:val="22"/>
          <w:lang w:val="fr-CH"/>
        </w:rPr>
        <w:t>Staat</w:t>
      </w:r>
      <w:proofErr w:type="spellEnd"/>
      <w:r w:rsidRPr="00A018D9">
        <w:rPr>
          <w:sz w:val="22"/>
          <w:szCs w:val="22"/>
          <w:lang w:val="fr-CH"/>
        </w:rPr>
        <w:t xml:space="preserve"> </w:t>
      </w:r>
      <w:proofErr w:type="spellStart"/>
      <w:r w:rsidRPr="00A018D9">
        <w:rPr>
          <w:sz w:val="22"/>
          <w:szCs w:val="22"/>
          <w:lang w:val="fr-CH"/>
        </w:rPr>
        <w:t>und</w:t>
      </w:r>
      <w:proofErr w:type="spellEnd"/>
      <w:r w:rsidRPr="00A018D9">
        <w:rPr>
          <w:sz w:val="22"/>
          <w:szCs w:val="22"/>
          <w:lang w:val="fr-CH"/>
        </w:rPr>
        <w:t xml:space="preserve"> seine </w:t>
      </w:r>
      <w:proofErr w:type="spellStart"/>
      <w:r w:rsidRPr="00A018D9">
        <w:rPr>
          <w:sz w:val="22"/>
          <w:szCs w:val="22"/>
          <w:lang w:val="fr-CH"/>
        </w:rPr>
        <w:t>Subventionen</w:t>
      </w:r>
      <w:proofErr w:type="spellEnd"/>
      <w:r w:rsidRPr="00A018D9">
        <w:rPr>
          <w:sz w:val="22"/>
          <w:szCs w:val="22"/>
          <w:lang w:val="fr-CH"/>
        </w:rPr>
        <w:t xml:space="preserve">; </w:t>
      </w:r>
      <w:proofErr w:type="spellStart"/>
      <w:r w:rsidRPr="00A018D9">
        <w:rPr>
          <w:sz w:val="22"/>
          <w:szCs w:val="22"/>
          <w:lang w:val="fr-CH"/>
        </w:rPr>
        <w:t>Wirtschaftsdienst</w:t>
      </w:r>
      <w:proofErr w:type="spellEnd"/>
      <w:r w:rsidRPr="00A018D9">
        <w:rPr>
          <w:sz w:val="22"/>
          <w:szCs w:val="22"/>
          <w:lang w:val="fr-CH"/>
        </w:rPr>
        <w:t>. HWWA-</w:t>
      </w:r>
      <w:proofErr w:type="spellStart"/>
      <w:r w:rsidRPr="00A018D9">
        <w:rPr>
          <w:sz w:val="22"/>
          <w:szCs w:val="22"/>
          <w:lang w:val="fr-CH"/>
        </w:rPr>
        <w:t>lnstilui</w:t>
      </w:r>
      <w:proofErr w:type="spellEnd"/>
      <w:r w:rsidRPr="00A018D9">
        <w:rPr>
          <w:sz w:val="22"/>
          <w:szCs w:val="22"/>
          <w:lang w:val="fr-CH"/>
        </w:rPr>
        <w:t xml:space="preserve"> </w:t>
      </w:r>
      <w:proofErr w:type="spellStart"/>
      <w:r w:rsidRPr="00A018D9">
        <w:rPr>
          <w:sz w:val="22"/>
          <w:szCs w:val="22"/>
          <w:lang w:val="fr-CH"/>
        </w:rPr>
        <w:t>für</w:t>
      </w:r>
      <w:proofErr w:type="spellEnd"/>
      <w:r w:rsidRPr="00A018D9">
        <w:rPr>
          <w:sz w:val="22"/>
          <w:szCs w:val="22"/>
          <w:lang w:val="fr-CH"/>
        </w:rPr>
        <w:t xml:space="preserve"> </w:t>
      </w:r>
      <w:proofErr w:type="spellStart"/>
      <w:r w:rsidRPr="00A018D9">
        <w:rPr>
          <w:sz w:val="22"/>
          <w:szCs w:val="22"/>
          <w:lang w:val="fr-CH"/>
        </w:rPr>
        <w:t>Wirlschaflsforschung</w:t>
      </w:r>
      <w:proofErr w:type="spellEnd"/>
      <w:r w:rsidRPr="00A018D9">
        <w:rPr>
          <w:sz w:val="22"/>
          <w:szCs w:val="22"/>
          <w:lang w:val="fr-CH"/>
        </w:rPr>
        <w:t xml:space="preserve">, vol.68 (1983), pp. 268 </w:t>
      </w:r>
      <w:r w:rsidRPr="00A018D9">
        <w:rPr>
          <w:i/>
          <w:iCs/>
          <w:sz w:val="22"/>
          <w:szCs w:val="22"/>
          <w:lang w:val="fr-CH"/>
        </w:rPr>
        <w:t xml:space="preserve">et </w:t>
      </w:r>
      <w:proofErr w:type="spellStart"/>
      <w:r w:rsidRPr="00A018D9">
        <w:rPr>
          <w:i/>
          <w:iCs/>
          <w:sz w:val="22"/>
          <w:szCs w:val="22"/>
          <w:lang w:val="fr-CH"/>
        </w:rPr>
        <w:t>seq</w:t>
      </w:r>
      <w:proofErr w:type="spellEnd"/>
      <w:proofErr w:type="gramStart"/>
      <w:r w:rsidRPr="00A018D9">
        <w:rPr>
          <w:i/>
          <w:iCs/>
          <w:sz w:val="22"/>
          <w:szCs w:val="22"/>
          <w:lang w:val="fr-CH"/>
        </w:rPr>
        <w:t>.</w:t>
      </w:r>
      <w:r w:rsidRPr="00A018D9">
        <w:rPr>
          <w:sz w:val="22"/>
          <w:szCs w:val="22"/>
          <w:lang w:val="fr-CH"/>
        </w:rPr>
        <w:t>;</w:t>
      </w:r>
      <w:proofErr w:type="gramEnd"/>
      <w:r w:rsidRPr="00A018D9">
        <w:rPr>
          <w:sz w:val="22"/>
          <w:szCs w:val="22"/>
          <w:lang w:val="fr-CH"/>
        </w:rPr>
        <w:t xml:space="preserve"> K. H. </w:t>
      </w:r>
      <w:proofErr w:type="spellStart"/>
      <w:r w:rsidRPr="00A018D9">
        <w:rPr>
          <w:sz w:val="22"/>
          <w:szCs w:val="22"/>
          <w:lang w:val="fr-CH"/>
        </w:rPr>
        <w:t>Juttemeier</w:t>
      </w:r>
      <w:proofErr w:type="spellEnd"/>
      <w:r w:rsidRPr="00A018D9">
        <w:rPr>
          <w:sz w:val="22"/>
          <w:szCs w:val="22"/>
          <w:lang w:val="fr-CH"/>
        </w:rPr>
        <w:t xml:space="preserve">, Deutsche </w:t>
      </w:r>
      <w:proofErr w:type="spellStart"/>
      <w:r w:rsidRPr="00A018D9">
        <w:rPr>
          <w:sz w:val="22"/>
          <w:szCs w:val="22"/>
          <w:lang w:val="fr-CH"/>
        </w:rPr>
        <w:t>Subventionspolitik</w:t>
      </w:r>
      <w:proofErr w:type="spellEnd"/>
      <w:r w:rsidRPr="00A018D9">
        <w:rPr>
          <w:sz w:val="22"/>
          <w:szCs w:val="22"/>
          <w:lang w:val="fr-CH"/>
        </w:rPr>
        <w:t xml:space="preserve"> in </w:t>
      </w:r>
      <w:proofErr w:type="spellStart"/>
      <w:r w:rsidRPr="00A018D9">
        <w:rPr>
          <w:sz w:val="22"/>
          <w:szCs w:val="22"/>
          <w:lang w:val="fr-CH"/>
        </w:rPr>
        <w:t>Zahlent</w:t>
      </w:r>
      <w:proofErr w:type="spellEnd"/>
      <w:r w:rsidRPr="00A018D9">
        <w:rPr>
          <w:sz w:val="22"/>
          <w:szCs w:val="22"/>
          <w:lang w:val="fr-CH"/>
        </w:rPr>
        <w:t xml:space="preserve">. </w:t>
      </w:r>
      <w:r w:rsidRPr="00A018D9">
        <w:rPr>
          <w:sz w:val="22"/>
          <w:szCs w:val="22"/>
        </w:rPr>
        <w:t xml:space="preserve">1973-J98I, </w:t>
      </w:r>
      <w:proofErr w:type="spellStart"/>
      <w:r w:rsidRPr="00A018D9">
        <w:rPr>
          <w:sz w:val="22"/>
          <w:szCs w:val="22"/>
        </w:rPr>
        <w:t>Anlagenband</w:t>
      </w:r>
      <w:proofErr w:type="spellEnd"/>
      <w:r w:rsidRPr="00A018D9">
        <w:rPr>
          <w:sz w:val="22"/>
          <w:szCs w:val="22"/>
        </w:rPr>
        <w:t xml:space="preserve"> </w:t>
      </w:r>
      <w:proofErr w:type="spellStart"/>
      <w:r w:rsidRPr="00A018D9">
        <w:rPr>
          <w:sz w:val="22"/>
          <w:szCs w:val="22"/>
        </w:rPr>
        <w:t>zum</w:t>
      </w:r>
      <w:proofErr w:type="spellEnd"/>
      <w:r w:rsidRPr="00A018D9">
        <w:rPr>
          <w:sz w:val="22"/>
          <w:szCs w:val="22"/>
        </w:rPr>
        <w:t xml:space="preserve"> </w:t>
      </w:r>
      <w:proofErr w:type="spellStart"/>
      <w:r w:rsidRPr="00A018D9">
        <w:rPr>
          <w:sz w:val="22"/>
          <w:szCs w:val="22"/>
        </w:rPr>
        <w:t>zweiten</w:t>
      </w:r>
      <w:proofErr w:type="spellEnd"/>
      <w:r w:rsidRPr="00A018D9">
        <w:rPr>
          <w:sz w:val="22"/>
          <w:szCs w:val="22"/>
        </w:rPr>
        <w:t xml:space="preserve"> </w:t>
      </w:r>
      <w:proofErr w:type="spellStart"/>
      <w:r w:rsidRPr="00A018D9">
        <w:rPr>
          <w:sz w:val="22"/>
          <w:szCs w:val="22"/>
        </w:rPr>
        <w:t>Strukturbericht</w:t>
      </w:r>
      <w:proofErr w:type="spellEnd"/>
      <w:r w:rsidRPr="00A018D9">
        <w:rPr>
          <w:sz w:val="22"/>
          <w:szCs w:val="22"/>
        </w:rPr>
        <w:t xml:space="preserve"> des </w:t>
      </w:r>
      <w:proofErr w:type="spellStart"/>
      <w:r w:rsidRPr="00A018D9">
        <w:rPr>
          <w:sz w:val="22"/>
          <w:szCs w:val="22"/>
        </w:rPr>
        <w:t>Institiuts</w:t>
      </w:r>
      <w:proofErr w:type="spellEnd"/>
      <w:r w:rsidRPr="00A018D9">
        <w:rPr>
          <w:sz w:val="22"/>
          <w:szCs w:val="22"/>
        </w:rPr>
        <w:t xml:space="preserve"> </w:t>
      </w:r>
      <w:proofErr w:type="spellStart"/>
      <w:r w:rsidRPr="00A018D9">
        <w:rPr>
          <w:sz w:val="22"/>
          <w:szCs w:val="22"/>
        </w:rPr>
        <w:t>für</w:t>
      </w:r>
      <w:proofErr w:type="spellEnd"/>
      <w:r w:rsidRPr="00A018D9">
        <w:rPr>
          <w:sz w:val="22"/>
          <w:szCs w:val="22"/>
        </w:rPr>
        <w:t xml:space="preserve"> </w:t>
      </w:r>
      <w:proofErr w:type="spellStart"/>
      <w:r w:rsidRPr="00A018D9">
        <w:rPr>
          <w:sz w:val="22"/>
          <w:szCs w:val="22"/>
        </w:rPr>
        <w:t>Weltwirtschaft</w:t>
      </w:r>
      <w:proofErr w:type="spellEnd"/>
      <w:r w:rsidRPr="00A018D9">
        <w:rPr>
          <w:sz w:val="22"/>
          <w:szCs w:val="22"/>
        </w:rPr>
        <w:t xml:space="preserve">, Kiel 1984, </w:t>
      </w:r>
      <w:proofErr w:type="gramStart"/>
      <w:r w:rsidRPr="00A018D9">
        <w:rPr>
          <w:sz w:val="22"/>
          <w:szCs w:val="22"/>
        </w:rPr>
        <w:t xml:space="preserve">in particular </w:t>
      </w:r>
      <w:proofErr w:type="spellStart"/>
      <w:r w:rsidRPr="00A018D9">
        <w:rPr>
          <w:sz w:val="22"/>
          <w:szCs w:val="22"/>
        </w:rPr>
        <w:t>Tabellen</w:t>
      </w:r>
      <w:proofErr w:type="spellEnd"/>
      <w:proofErr w:type="gramEnd"/>
      <w:r w:rsidRPr="00A018D9">
        <w:rPr>
          <w:sz w:val="22"/>
          <w:szCs w:val="22"/>
        </w:rPr>
        <w:t xml:space="preserve"> A48 - A 53.</w:t>
      </w:r>
    </w:p>
    <w:p w14:paraId="3BC01512" w14:textId="77777777" w:rsidR="00ED326D" w:rsidRPr="00A018D9" w:rsidRDefault="00ED326D" w:rsidP="00ED326D">
      <w:pPr>
        <w:spacing w:line="288" w:lineRule="auto"/>
        <w:rPr>
          <w:sz w:val="22"/>
          <w:szCs w:val="22"/>
        </w:rPr>
      </w:pPr>
      <w:r w:rsidRPr="00A018D9">
        <w:rPr>
          <w:sz w:val="22"/>
          <w:szCs w:val="22"/>
        </w:rPr>
        <w:t xml:space="preserve">6.  </w:t>
      </w:r>
      <w:r w:rsidRPr="00A018D9">
        <w:rPr>
          <w:rFonts w:hint="eastAsia"/>
          <w:sz w:val="22"/>
          <w:szCs w:val="22"/>
        </w:rPr>
        <w:t>如果不仅包括直接的特定部门支助，而且还包括区域计划和其他支助方案的援助，情况就更是如此。关于这方面的讨论，见</w:t>
      </w:r>
      <w:r w:rsidRPr="00A018D9">
        <w:rPr>
          <w:sz w:val="22"/>
          <w:szCs w:val="22"/>
        </w:rPr>
        <w:t xml:space="preserve">C. Krieger </w:t>
      </w:r>
      <w:r w:rsidRPr="00A018D9">
        <w:rPr>
          <w:i/>
          <w:iCs/>
          <w:sz w:val="22"/>
          <w:szCs w:val="22"/>
        </w:rPr>
        <w:t>et al,</w:t>
      </w:r>
      <w:r w:rsidRPr="00A018D9">
        <w:rPr>
          <w:sz w:val="22"/>
          <w:szCs w:val="22"/>
        </w:rPr>
        <w:t xml:space="preserve"> </w:t>
      </w:r>
      <w:proofErr w:type="spellStart"/>
      <w:r w:rsidRPr="00A018D9">
        <w:rPr>
          <w:sz w:val="22"/>
          <w:szCs w:val="22"/>
        </w:rPr>
        <w:t>Regionales</w:t>
      </w:r>
      <w:proofErr w:type="spellEnd"/>
      <w:r w:rsidRPr="00A018D9">
        <w:rPr>
          <w:sz w:val="22"/>
          <w:szCs w:val="22"/>
        </w:rPr>
        <w:t xml:space="preserve"> </w:t>
      </w:r>
      <w:proofErr w:type="spellStart"/>
      <w:r w:rsidRPr="00A018D9">
        <w:rPr>
          <w:sz w:val="22"/>
          <w:szCs w:val="22"/>
        </w:rPr>
        <w:t>Wirtschaftswachstum</w:t>
      </w:r>
      <w:proofErr w:type="spellEnd"/>
      <w:r w:rsidRPr="00A018D9">
        <w:rPr>
          <w:sz w:val="22"/>
          <w:szCs w:val="22"/>
        </w:rPr>
        <w:t xml:space="preserve"> und </w:t>
      </w:r>
      <w:proofErr w:type="spellStart"/>
      <w:r w:rsidRPr="00A018D9">
        <w:rPr>
          <w:sz w:val="22"/>
          <w:szCs w:val="22"/>
        </w:rPr>
        <w:t>sektoraler</w:t>
      </w:r>
      <w:proofErr w:type="spellEnd"/>
      <w:r w:rsidRPr="00A018D9">
        <w:rPr>
          <w:sz w:val="22"/>
          <w:szCs w:val="22"/>
        </w:rPr>
        <w:t xml:space="preserve"> </w:t>
      </w:r>
      <w:proofErr w:type="spellStart"/>
      <w:r w:rsidRPr="00A018D9">
        <w:rPr>
          <w:sz w:val="22"/>
          <w:szCs w:val="22"/>
        </w:rPr>
        <w:t>Stukturwandel</w:t>
      </w:r>
      <w:proofErr w:type="spellEnd"/>
      <w:r w:rsidRPr="00A018D9">
        <w:rPr>
          <w:sz w:val="22"/>
          <w:szCs w:val="22"/>
        </w:rPr>
        <w:t xml:space="preserve"> in der </w:t>
      </w:r>
      <w:proofErr w:type="spellStart"/>
      <w:r w:rsidRPr="00A018D9">
        <w:rPr>
          <w:sz w:val="22"/>
          <w:szCs w:val="22"/>
        </w:rPr>
        <w:t>Europäischen</w:t>
      </w:r>
      <w:proofErr w:type="spellEnd"/>
      <w:r w:rsidRPr="00A018D9">
        <w:rPr>
          <w:sz w:val="22"/>
          <w:szCs w:val="22"/>
        </w:rPr>
        <w:t xml:space="preserve"> Gemeinschaft, </w:t>
      </w:r>
      <w:proofErr w:type="spellStart"/>
      <w:r w:rsidRPr="00A018D9">
        <w:rPr>
          <w:sz w:val="22"/>
          <w:szCs w:val="22"/>
        </w:rPr>
        <w:t>Kieler</w:t>
      </w:r>
      <w:proofErr w:type="spellEnd"/>
      <w:r w:rsidRPr="00A018D9">
        <w:rPr>
          <w:sz w:val="22"/>
          <w:szCs w:val="22"/>
        </w:rPr>
        <w:t xml:space="preserve"> </w:t>
      </w:r>
      <w:proofErr w:type="spellStart"/>
      <w:r w:rsidRPr="00A018D9">
        <w:rPr>
          <w:sz w:val="22"/>
          <w:szCs w:val="22"/>
        </w:rPr>
        <w:t>Studien</w:t>
      </w:r>
      <w:proofErr w:type="spellEnd"/>
      <w:r w:rsidRPr="00A018D9">
        <w:rPr>
          <w:sz w:val="22"/>
          <w:szCs w:val="22"/>
        </w:rPr>
        <w:t xml:space="preserve"> No.194, 1985, </w:t>
      </w:r>
      <w:r w:rsidRPr="00A018D9">
        <w:rPr>
          <w:sz w:val="22"/>
          <w:szCs w:val="22"/>
        </w:rPr>
        <w:lastRenderedPageBreak/>
        <w:t xml:space="preserve">pp.125 </w:t>
      </w:r>
      <w:r w:rsidRPr="00A018D9">
        <w:rPr>
          <w:i/>
          <w:iCs/>
          <w:sz w:val="22"/>
          <w:szCs w:val="22"/>
        </w:rPr>
        <w:t>et seq.</w:t>
      </w:r>
      <w:r w:rsidRPr="00A018D9">
        <w:rPr>
          <w:sz w:val="22"/>
          <w:szCs w:val="22"/>
        </w:rPr>
        <w:t>; Jean-</w:t>
      </w:r>
      <w:proofErr w:type="spellStart"/>
      <w:r w:rsidRPr="00A018D9">
        <w:rPr>
          <w:sz w:val="22"/>
          <w:szCs w:val="22"/>
        </w:rPr>
        <w:t>Qaude</w:t>
      </w:r>
      <w:proofErr w:type="spellEnd"/>
      <w:r w:rsidRPr="00A018D9">
        <w:rPr>
          <w:sz w:val="22"/>
          <w:szCs w:val="22"/>
        </w:rPr>
        <w:t xml:space="preserve"> </w:t>
      </w:r>
      <w:proofErr w:type="spellStart"/>
      <w:r w:rsidRPr="00A018D9">
        <w:rPr>
          <w:sz w:val="22"/>
          <w:szCs w:val="22"/>
        </w:rPr>
        <w:t>Duiailly</w:t>
      </w:r>
      <w:proofErr w:type="spellEnd"/>
      <w:r w:rsidRPr="00A018D9">
        <w:rPr>
          <w:sz w:val="22"/>
          <w:szCs w:val="22"/>
        </w:rPr>
        <w:t xml:space="preserve">, Aides aux </w:t>
      </w:r>
      <w:proofErr w:type="spellStart"/>
      <w:r w:rsidRPr="00A018D9">
        <w:rPr>
          <w:sz w:val="22"/>
          <w:szCs w:val="22"/>
        </w:rPr>
        <w:t>entreprises</w:t>
      </w:r>
      <w:proofErr w:type="spellEnd"/>
      <w:r w:rsidRPr="00A018D9">
        <w:rPr>
          <w:sz w:val="22"/>
          <w:szCs w:val="22"/>
        </w:rPr>
        <w:t xml:space="preserve">. </w:t>
      </w:r>
      <w:proofErr w:type="spellStart"/>
      <w:r w:rsidRPr="00A018D9">
        <w:rPr>
          <w:sz w:val="22"/>
          <w:szCs w:val="22"/>
          <w:lang w:val="fr-CH"/>
        </w:rPr>
        <w:t>Ecunomie</w:t>
      </w:r>
      <w:proofErr w:type="spellEnd"/>
      <w:r w:rsidRPr="00A018D9">
        <w:rPr>
          <w:sz w:val="22"/>
          <w:szCs w:val="22"/>
          <w:lang w:val="fr-CH"/>
        </w:rPr>
        <w:t xml:space="preserve"> et Statistique, vol 169 (1984), pp.3 </w:t>
      </w:r>
      <w:r w:rsidRPr="00A018D9">
        <w:rPr>
          <w:i/>
          <w:iCs/>
          <w:sz w:val="22"/>
          <w:szCs w:val="22"/>
          <w:lang w:val="fr-CH"/>
        </w:rPr>
        <w:t xml:space="preserve">et </w:t>
      </w:r>
      <w:proofErr w:type="spellStart"/>
      <w:r w:rsidRPr="00A018D9">
        <w:rPr>
          <w:i/>
          <w:iCs/>
          <w:sz w:val="22"/>
          <w:szCs w:val="22"/>
          <w:lang w:val="fr-CH"/>
        </w:rPr>
        <w:t>seq</w:t>
      </w:r>
      <w:proofErr w:type="spellEnd"/>
      <w:proofErr w:type="gramStart"/>
      <w:r w:rsidRPr="00A018D9">
        <w:rPr>
          <w:sz w:val="22"/>
          <w:szCs w:val="22"/>
          <w:lang w:val="fr-CH"/>
        </w:rPr>
        <w:t>.;</w:t>
      </w:r>
      <w:proofErr w:type="gramEnd"/>
      <w:r w:rsidRPr="00A018D9">
        <w:rPr>
          <w:sz w:val="22"/>
          <w:szCs w:val="22"/>
          <w:lang w:val="fr-CH"/>
        </w:rPr>
        <w:t xml:space="preserve"> K. W. </w:t>
      </w:r>
      <w:proofErr w:type="spellStart"/>
      <w:r w:rsidRPr="00A018D9">
        <w:rPr>
          <w:sz w:val="22"/>
          <w:szCs w:val="22"/>
          <w:lang w:val="fr-CH"/>
        </w:rPr>
        <w:t>Schatz</w:t>
      </w:r>
      <w:proofErr w:type="spellEnd"/>
      <w:r w:rsidRPr="00A018D9">
        <w:rPr>
          <w:sz w:val="22"/>
          <w:szCs w:val="22"/>
          <w:lang w:val="fr-CH"/>
        </w:rPr>
        <w:t xml:space="preserve">, Der </w:t>
      </w:r>
      <w:proofErr w:type="spellStart"/>
      <w:r w:rsidRPr="00A018D9">
        <w:rPr>
          <w:sz w:val="22"/>
          <w:szCs w:val="22"/>
          <w:lang w:val="fr-CH"/>
        </w:rPr>
        <w:t>Staat</w:t>
      </w:r>
      <w:proofErr w:type="spellEnd"/>
      <w:r w:rsidRPr="00A018D9">
        <w:rPr>
          <w:sz w:val="22"/>
          <w:szCs w:val="22"/>
          <w:lang w:val="fr-CH"/>
        </w:rPr>
        <w:t xml:space="preserve"> </w:t>
      </w:r>
      <w:proofErr w:type="spellStart"/>
      <w:r w:rsidRPr="00A018D9">
        <w:rPr>
          <w:sz w:val="22"/>
          <w:szCs w:val="22"/>
          <w:lang w:val="fr-CH"/>
        </w:rPr>
        <w:t>und</w:t>
      </w:r>
      <w:proofErr w:type="spellEnd"/>
      <w:r w:rsidRPr="00A018D9">
        <w:rPr>
          <w:sz w:val="22"/>
          <w:szCs w:val="22"/>
          <w:lang w:val="fr-CH"/>
        </w:rPr>
        <w:t xml:space="preserve"> seine </w:t>
      </w:r>
      <w:proofErr w:type="spellStart"/>
      <w:r w:rsidRPr="00A018D9">
        <w:rPr>
          <w:sz w:val="22"/>
          <w:szCs w:val="22"/>
          <w:lang w:val="fr-CH"/>
        </w:rPr>
        <w:t>Subventionen</w:t>
      </w:r>
      <w:proofErr w:type="spellEnd"/>
      <w:r w:rsidRPr="00A018D9">
        <w:rPr>
          <w:sz w:val="22"/>
          <w:szCs w:val="22"/>
          <w:lang w:val="fr-CH"/>
        </w:rPr>
        <w:t xml:space="preserve">; </w:t>
      </w:r>
      <w:proofErr w:type="spellStart"/>
      <w:r w:rsidRPr="00A018D9">
        <w:rPr>
          <w:sz w:val="22"/>
          <w:szCs w:val="22"/>
          <w:lang w:val="fr-CH"/>
        </w:rPr>
        <w:t>Wirtschaftsdienst</w:t>
      </w:r>
      <w:proofErr w:type="spellEnd"/>
      <w:r w:rsidRPr="00A018D9">
        <w:rPr>
          <w:sz w:val="22"/>
          <w:szCs w:val="22"/>
          <w:lang w:val="fr-CH"/>
        </w:rPr>
        <w:t>. HWWA-</w:t>
      </w:r>
      <w:proofErr w:type="spellStart"/>
      <w:r w:rsidRPr="00A018D9">
        <w:rPr>
          <w:sz w:val="22"/>
          <w:szCs w:val="22"/>
          <w:lang w:val="fr-CH"/>
        </w:rPr>
        <w:t>lnstilui</w:t>
      </w:r>
      <w:proofErr w:type="spellEnd"/>
      <w:r w:rsidRPr="00A018D9">
        <w:rPr>
          <w:sz w:val="22"/>
          <w:szCs w:val="22"/>
          <w:lang w:val="fr-CH"/>
        </w:rPr>
        <w:t xml:space="preserve"> </w:t>
      </w:r>
      <w:proofErr w:type="spellStart"/>
      <w:r w:rsidRPr="00A018D9">
        <w:rPr>
          <w:sz w:val="22"/>
          <w:szCs w:val="22"/>
          <w:lang w:val="fr-CH"/>
        </w:rPr>
        <w:t>für</w:t>
      </w:r>
      <w:proofErr w:type="spellEnd"/>
      <w:r w:rsidRPr="00A018D9">
        <w:rPr>
          <w:sz w:val="22"/>
          <w:szCs w:val="22"/>
          <w:lang w:val="fr-CH"/>
        </w:rPr>
        <w:t xml:space="preserve"> </w:t>
      </w:r>
      <w:proofErr w:type="spellStart"/>
      <w:r w:rsidRPr="00A018D9">
        <w:rPr>
          <w:sz w:val="22"/>
          <w:szCs w:val="22"/>
          <w:lang w:val="fr-CH"/>
        </w:rPr>
        <w:t>Wirlschaflsforschung</w:t>
      </w:r>
      <w:proofErr w:type="spellEnd"/>
      <w:r w:rsidRPr="00A018D9">
        <w:rPr>
          <w:sz w:val="22"/>
          <w:szCs w:val="22"/>
          <w:lang w:val="fr-CH"/>
        </w:rPr>
        <w:t xml:space="preserve">, vol.68 (1983), pp. 268 </w:t>
      </w:r>
      <w:r w:rsidRPr="00A018D9">
        <w:rPr>
          <w:i/>
          <w:iCs/>
          <w:sz w:val="22"/>
          <w:szCs w:val="22"/>
          <w:lang w:val="fr-CH"/>
        </w:rPr>
        <w:t xml:space="preserve">et </w:t>
      </w:r>
      <w:proofErr w:type="spellStart"/>
      <w:r w:rsidRPr="00A018D9">
        <w:rPr>
          <w:i/>
          <w:iCs/>
          <w:sz w:val="22"/>
          <w:szCs w:val="22"/>
          <w:lang w:val="fr-CH"/>
        </w:rPr>
        <w:t>seq</w:t>
      </w:r>
      <w:proofErr w:type="spellEnd"/>
      <w:proofErr w:type="gramStart"/>
      <w:r w:rsidRPr="00A018D9">
        <w:rPr>
          <w:i/>
          <w:iCs/>
          <w:sz w:val="22"/>
          <w:szCs w:val="22"/>
          <w:lang w:val="fr-CH"/>
        </w:rPr>
        <w:t>.</w:t>
      </w:r>
      <w:r w:rsidRPr="00A018D9">
        <w:rPr>
          <w:sz w:val="22"/>
          <w:szCs w:val="22"/>
          <w:lang w:val="fr-CH"/>
        </w:rPr>
        <w:t>;</w:t>
      </w:r>
      <w:proofErr w:type="gramEnd"/>
      <w:r w:rsidRPr="00A018D9">
        <w:rPr>
          <w:sz w:val="22"/>
          <w:szCs w:val="22"/>
          <w:lang w:val="fr-CH"/>
        </w:rPr>
        <w:t xml:space="preserve"> K. H. </w:t>
      </w:r>
      <w:proofErr w:type="spellStart"/>
      <w:r w:rsidRPr="00A018D9">
        <w:rPr>
          <w:sz w:val="22"/>
          <w:szCs w:val="22"/>
          <w:lang w:val="fr-CH"/>
        </w:rPr>
        <w:t>Juttemeier</w:t>
      </w:r>
      <w:proofErr w:type="spellEnd"/>
      <w:r w:rsidRPr="00A018D9">
        <w:rPr>
          <w:sz w:val="22"/>
          <w:szCs w:val="22"/>
          <w:lang w:val="fr-CH"/>
        </w:rPr>
        <w:t xml:space="preserve">, Deutsche </w:t>
      </w:r>
      <w:proofErr w:type="spellStart"/>
      <w:r w:rsidRPr="00A018D9">
        <w:rPr>
          <w:sz w:val="22"/>
          <w:szCs w:val="22"/>
          <w:lang w:val="fr-CH"/>
        </w:rPr>
        <w:t>Subventionspolitik</w:t>
      </w:r>
      <w:proofErr w:type="spellEnd"/>
      <w:r w:rsidRPr="00A018D9">
        <w:rPr>
          <w:sz w:val="22"/>
          <w:szCs w:val="22"/>
          <w:lang w:val="fr-CH"/>
        </w:rPr>
        <w:t xml:space="preserve"> in </w:t>
      </w:r>
      <w:proofErr w:type="spellStart"/>
      <w:r w:rsidRPr="00A018D9">
        <w:rPr>
          <w:sz w:val="22"/>
          <w:szCs w:val="22"/>
          <w:lang w:val="fr-CH"/>
        </w:rPr>
        <w:t>Zahlent</w:t>
      </w:r>
      <w:proofErr w:type="spellEnd"/>
      <w:r w:rsidRPr="00A018D9">
        <w:rPr>
          <w:sz w:val="22"/>
          <w:szCs w:val="22"/>
          <w:lang w:val="fr-CH"/>
        </w:rPr>
        <w:t xml:space="preserve">. </w:t>
      </w:r>
      <w:r w:rsidRPr="00A018D9">
        <w:rPr>
          <w:sz w:val="22"/>
          <w:szCs w:val="22"/>
        </w:rPr>
        <w:t xml:space="preserve">1973-J98I, </w:t>
      </w:r>
      <w:proofErr w:type="spellStart"/>
      <w:r w:rsidRPr="00A018D9">
        <w:rPr>
          <w:sz w:val="22"/>
          <w:szCs w:val="22"/>
        </w:rPr>
        <w:t>Anlagenband</w:t>
      </w:r>
      <w:proofErr w:type="spellEnd"/>
      <w:r w:rsidRPr="00A018D9">
        <w:rPr>
          <w:sz w:val="22"/>
          <w:szCs w:val="22"/>
        </w:rPr>
        <w:t xml:space="preserve"> </w:t>
      </w:r>
      <w:proofErr w:type="spellStart"/>
      <w:r w:rsidRPr="00A018D9">
        <w:rPr>
          <w:sz w:val="22"/>
          <w:szCs w:val="22"/>
        </w:rPr>
        <w:t>zum</w:t>
      </w:r>
      <w:proofErr w:type="spellEnd"/>
      <w:r w:rsidRPr="00A018D9">
        <w:rPr>
          <w:sz w:val="22"/>
          <w:szCs w:val="22"/>
        </w:rPr>
        <w:t xml:space="preserve"> </w:t>
      </w:r>
      <w:proofErr w:type="spellStart"/>
      <w:r w:rsidRPr="00A018D9">
        <w:rPr>
          <w:sz w:val="22"/>
          <w:szCs w:val="22"/>
        </w:rPr>
        <w:t>zweiten</w:t>
      </w:r>
      <w:proofErr w:type="spellEnd"/>
      <w:r w:rsidRPr="00A018D9">
        <w:rPr>
          <w:sz w:val="22"/>
          <w:szCs w:val="22"/>
        </w:rPr>
        <w:t xml:space="preserve"> </w:t>
      </w:r>
      <w:proofErr w:type="spellStart"/>
      <w:r w:rsidRPr="00A018D9">
        <w:rPr>
          <w:sz w:val="22"/>
          <w:szCs w:val="22"/>
        </w:rPr>
        <w:t>Strukturbericht</w:t>
      </w:r>
      <w:proofErr w:type="spellEnd"/>
      <w:r w:rsidRPr="00A018D9">
        <w:rPr>
          <w:sz w:val="22"/>
          <w:szCs w:val="22"/>
        </w:rPr>
        <w:t xml:space="preserve"> des </w:t>
      </w:r>
      <w:proofErr w:type="spellStart"/>
      <w:r w:rsidRPr="00A018D9">
        <w:rPr>
          <w:sz w:val="22"/>
          <w:szCs w:val="22"/>
        </w:rPr>
        <w:t>Institiuts</w:t>
      </w:r>
      <w:proofErr w:type="spellEnd"/>
      <w:r w:rsidRPr="00A018D9">
        <w:rPr>
          <w:sz w:val="22"/>
          <w:szCs w:val="22"/>
        </w:rPr>
        <w:t xml:space="preserve"> </w:t>
      </w:r>
      <w:proofErr w:type="spellStart"/>
      <w:r w:rsidRPr="00A018D9">
        <w:rPr>
          <w:sz w:val="22"/>
          <w:szCs w:val="22"/>
        </w:rPr>
        <w:t>für</w:t>
      </w:r>
      <w:proofErr w:type="spellEnd"/>
      <w:r w:rsidRPr="00A018D9">
        <w:rPr>
          <w:sz w:val="22"/>
          <w:szCs w:val="22"/>
        </w:rPr>
        <w:t xml:space="preserve"> </w:t>
      </w:r>
      <w:proofErr w:type="spellStart"/>
      <w:r w:rsidRPr="00A018D9">
        <w:rPr>
          <w:sz w:val="22"/>
          <w:szCs w:val="22"/>
        </w:rPr>
        <w:t>Weltwirtschaft</w:t>
      </w:r>
      <w:proofErr w:type="spellEnd"/>
      <w:r w:rsidRPr="00A018D9">
        <w:rPr>
          <w:sz w:val="22"/>
          <w:szCs w:val="22"/>
        </w:rPr>
        <w:t xml:space="preserve">, Kiel 1984, </w:t>
      </w:r>
      <w:proofErr w:type="gramStart"/>
      <w:r w:rsidRPr="00A018D9">
        <w:rPr>
          <w:sz w:val="22"/>
          <w:szCs w:val="22"/>
        </w:rPr>
        <w:t xml:space="preserve">in particular </w:t>
      </w:r>
      <w:proofErr w:type="spellStart"/>
      <w:r w:rsidRPr="00A018D9">
        <w:rPr>
          <w:sz w:val="22"/>
          <w:szCs w:val="22"/>
        </w:rPr>
        <w:t>Tabellen</w:t>
      </w:r>
      <w:proofErr w:type="spellEnd"/>
      <w:proofErr w:type="gramEnd"/>
      <w:r w:rsidRPr="00A018D9">
        <w:rPr>
          <w:sz w:val="22"/>
          <w:szCs w:val="22"/>
        </w:rPr>
        <w:t xml:space="preserve"> A48 - A 53</w:t>
      </w:r>
      <w:r w:rsidRPr="00A018D9">
        <w:rPr>
          <w:rFonts w:hint="eastAsia"/>
          <w:sz w:val="22"/>
          <w:szCs w:val="22"/>
          <w:lang w:val="fr-CH"/>
        </w:rPr>
        <w:t>。</w:t>
      </w:r>
    </w:p>
    <w:p w14:paraId="52D5727E" w14:textId="77777777" w:rsidR="00ED326D" w:rsidRPr="00A018D9" w:rsidRDefault="00ED326D" w:rsidP="00D02CA9">
      <w:pPr>
        <w:spacing w:line="288" w:lineRule="auto"/>
        <w:rPr>
          <w:sz w:val="22"/>
          <w:szCs w:val="22"/>
        </w:rPr>
      </w:pPr>
    </w:p>
    <w:p w14:paraId="4C8EC5C3" w14:textId="1C459FF0" w:rsidR="00D02CA9" w:rsidRPr="00A018D9" w:rsidRDefault="00D02CA9" w:rsidP="00AC787B">
      <w:pPr>
        <w:spacing w:line="300" w:lineRule="auto"/>
        <w:ind w:firstLine="431"/>
        <w:rPr>
          <w:rFonts w:eastAsia="SimHei"/>
          <w:color w:val="0000FF"/>
          <w:sz w:val="22"/>
          <w:szCs w:val="22"/>
        </w:rPr>
      </w:pPr>
    </w:p>
    <w:p w14:paraId="0F79DEF6" w14:textId="3A602152" w:rsidR="006E6544" w:rsidRPr="00A018D9" w:rsidRDefault="006E6544" w:rsidP="006E6544">
      <w:pPr>
        <w:spacing w:line="288" w:lineRule="auto"/>
        <w:ind w:firstLine="431"/>
        <w:rPr>
          <w:rFonts w:eastAsia="SimHei"/>
          <w:color w:val="0000FF"/>
          <w:sz w:val="22"/>
          <w:szCs w:val="22"/>
        </w:rPr>
      </w:pPr>
      <w:r w:rsidRPr="00A018D9">
        <w:rPr>
          <w:rFonts w:eastAsia="SimHei"/>
          <w:color w:val="0000FF"/>
          <w:sz w:val="22"/>
          <w:szCs w:val="22"/>
        </w:rPr>
        <w:t xml:space="preserve">2. </w:t>
      </w:r>
      <w:r w:rsidRPr="00A018D9">
        <w:rPr>
          <w:rFonts w:eastAsia="SimHei" w:hint="eastAsia"/>
          <w:color w:val="0000FF"/>
          <w:sz w:val="22"/>
          <w:szCs w:val="22"/>
        </w:rPr>
        <w:t>脚注中</w:t>
      </w:r>
      <w:r w:rsidR="001A42DB" w:rsidRPr="00A018D9">
        <w:rPr>
          <w:rFonts w:eastAsia="SimHei" w:hint="eastAsia"/>
          <w:color w:val="0000FF"/>
          <w:sz w:val="22"/>
          <w:szCs w:val="22"/>
        </w:rPr>
        <w:t>引用的</w:t>
      </w:r>
      <w:r w:rsidRPr="00A018D9">
        <w:rPr>
          <w:rFonts w:eastAsia="SimHei" w:hint="eastAsia"/>
          <w:color w:val="0000FF"/>
          <w:sz w:val="22"/>
          <w:szCs w:val="22"/>
        </w:rPr>
        <w:t>与原文不同的其他语言不译</w:t>
      </w:r>
      <w:r w:rsidR="00294400">
        <w:rPr>
          <w:rFonts w:eastAsia="SimHei" w:hint="eastAsia"/>
          <w:color w:val="0000FF"/>
          <w:sz w:val="22"/>
          <w:szCs w:val="22"/>
        </w:rPr>
        <w:t>，</w:t>
      </w:r>
      <w:r w:rsidR="003D29E5">
        <w:rPr>
          <w:rFonts w:eastAsia="SimHei" w:hint="eastAsia"/>
          <w:color w:val="0000FF"/>
          <w:sz w:val="22"/>
          <w:szCs w:val="22"/>
        </w:rPr>
        <w:t>拉丁短语</w:t>
      </w:r>
      <w:r w:rsidR="00294400">
        <w:rPr>
          <w:rFonts w:eastAsia="SimHei" w:hint="eastAsia"/>
          <w:color w:val="0000FF"/>
          <w:sz w:val="22"/>
          <w:szCs w:val="22"/>
        </w:rPr>
        <w:t>除外</w:t>
      </w:r>
      <w:r w:rsidRPr="00A018D9">
        <w:rPr>
          <w:rFonts w:eastAsia="SimHei" w:hint="eastAsia"/>
          <w:color w:val="0000FF"/>
          <w:sz w:val="22"/>
          <w:szCs w:val="22"/>
        </w:rPr>
        <w:t>。附有英文译文的，译出英文部分。</w:t>
      </w:r>
    </w:p>
    <w:p w14:paraId="6BE162A0" w14:textId="77777777" w:rsidR="00D02CA9" w:rsidRPr="00A018D9" w:rsidRDefault="00D02CA9" w:rsidP="00AC787B">
      <w:pPr>
        <w:spacing w:line="288" w:lineRule="auto"/>
        <w:rPr>
          <w:sz w:val="22"/>
          <w:szCs w:val="22"/>
        </w:rPr>
      </w:pPr>
    </w:p>
    <w:p w14:paraId="71E66459" w14:textId="55EEF8F0" w:rsidR="003E3752" w:rsidRDefault="003E3752" w:rsidP="00AC787B">
      <w:pPr>
        <w:spacing w:line="288" w:lineRule="auto"/>
        <w:rPr>
          <w:sz w:val="22"/>
          <w:szCs w:val="22"/>
        </w:rPr>
      </w:pPr>
      <w:r w:rsidRPr="00A018D9">
        <w:rPr>
          <w:sz w:val="22"/>
          <w:szCs w:val="22"/>
        </w:rPr>
        <w:tab/>
      </w:r>
      <w:r w:rsidRPr="00A018D9">
        <w:rPr>
          <w:rFonts w:hint="eastAsia"/>
          <w:sz w:val="22"/>
          <w:szCs w:val="22"/>
        </w:rPr>
        <w:t>例如</w:t>
      </w:r>
      <w:r w:rsidR="004C586B" w:rsidRPr="00A018D9">
        <w:rPr>
          <w:sz w:val="22"/>
          <w:szCs w:val="22"/>
        </w:rPr>
        <w:t>(</w:t>
      </w:r>
      <w:r w:rsidR="004C586B" w:rsidRPr="00A018D9">
        <w:rPr>
          <w:rFonts w:hint="eastAsia"/>
          <w:sz w:val="22"/>
          <w:szCs w:val="22"/>
        </w:rPr>
        <w:t>见下划虚线部分</w:t>
      </w:r>
      <w:r w:rsidR="004C586B" w:rsidRPr="00A018D9">
        <w:rPr>
          <w:sz w:val="22"/>
          <w:szCs w:val="22"/>
        </w:rPr>
        <w:t>)</w:t>
      </w:r>
      <w:r w:rsidRPr="00A018D9">
        <w:rPr>
          <w:rFonts w:hint="eastAsia"/>
          <w:sz w:val="22"/>
          <w:szCs w:val="22"/>
        </w:rPr>
        <w:t>：</w:t>
      </w:r>
    </w:p>
    <w:p w14:paraId="4BD0F6F6" w14:textId="77777777" w:rsidR="00826BD6" w:rsidRPr="00A018D9" w:rsidRDefault="00826BD6" w:rsidP="00AC787B">
      <w:pPr>
        <w:spacing w:line="288" w:lineRule="auto"/>
        <w:rPr>
          <w:sz w:val="22"/>
          <w:szCs w:val="22"/>
        </w:rPr>
      </w:pPr>
    </w:p>
    <w:p w14:paraId="723FF29F" w14:textId="083601F2" w:rsidR="006D2D12" w:rsidRPr="00A018D9" w:rsidRDefault="006D2D12" w:rsidP="003317E5">
      <w:pPr>
        <w:spacing w:line="288" w:lineRule="auto"/>
        <w:rPr>
          <w:rFonts w:cs="Segoe UI"/>
          <w:sz w:val="22"/>
          <w:szCs w:val="22"/>
          <w:lang w:val="es-ES"/>
        </w:rPr>
      </w:pPr>
      <w:r w:rsidRPr="00A018D9">
        <w:rPr>
          <w:rFonts w:cs="Segoe UI"/>
          <w:sz w:val="22"/>
          <w:szCs w:val="22"/>
          <w:lang w:val="es-ES"/>
        </w:rPr>
        <w:t xml:space="preserve">1.  </w:t>
      </w:r>
      <w:proofErr w:type="spellStart"/>
      <w:r w:rsidRPr="00A018D9">
        <w:rPr>
          <w:rFonts w:cs="Segoe UI"/>
          <w:sz w:val="22"/>
          <w:szCs w:val="22"/>
          <w:lang w:val="es-ES"/>
        </w:rPr>
        <w:t>See</w:t>
      </w:r>
      <w:proofErr w:type="spellEnd"/>
      <w:r w:rsidRPr="00A018D9">
        <w:rPr>
          <w:rFonts w:cs="Segoe UI"/>
          <w:sz w:val="22"/>
          <w:szCs w:val="22"/>
          <w:lang w:val="es-ES"/>
        </w:rPr>
        <w:t xml:space="preserve">, </w:t>
      </w:r>
      <w:proofErr w:type="spellStart"/>
      <w:r w:rsidRPr="00A018D9">
        <w:rPr>
          <w:rFonts w:cs="Segoe UI"/>
          <w:sz w:val="22"/>
          <w:szCs w:val="22"/>
          <w:lang w:val="es-ES"/>
        </w:rPr>
        <w:t>for</w:t>
      </w:r>
      <w:proofErr w:type="spellEnd"/>
      <w:r w:rsidRPr="00A018D9">
        <w:rPr>
          <w:rFonts w:cs="Segoe UI"/>
          <w:sz w:val="22"/>
          <w:szCs w:val="22"/>
          <w:lang w:val="es-ES"/>
        </w:rPr>
        <w:t xml:space="preserve"> </w:t>
      </w:r>
      <w:proofErr w:type="spellStart"/>
      <w:r w:rsidRPr="00A018D9">
        <w:rPr>
          <w:rFonts w:cs="Segoe UI"/>
          <w:sz w:val="22"/>
          <w:szCs w:val="22"/>
          <w:lang w:val="es-ES"/>
        </w:rPr>
        <w:t>example</w:t>
      </w:r>
      <w:proofErr w:type="spellEnd"/>
      <w:r w:rsidRPr="00A018D9">
        <w:rPr>
          <w:rFonts w:cs="Segoe UI"/>
          <w:sz w:val="22"/>
          <w:szCs w:val="22"/>
          <w:lang w:val="es-ES"/>
        </w:rPr>
        <w:t xml:space="preserve">, </w:t>
      </w:r>
      <w:hyperlink r:id="rId21" w:history="1">
        <w:r w:rsidRPr="00A018D9">
          <w:rPr>
            <w:rFonts w:cs="Segoe UI"/>
            <w:sz w:val="22"/>
            <w:szCs w:val="22"/>
            <w:u w:val="dotted"/>
            <w:lang w:val="es-ES"/>
          </w:rPr>
          <w:t>Ecuador Código Orgánico Integral Penal</w:t>
        </w:r>
      </w:hyperlink>
      <w:r w:rsidRPr="00A018D9">
        <w:rPr>
          <w:rFonts w:cs="Segoe UI"/>
          <w:sz w:val="22"/>
          <w:szCs w:val="22"/>
          <w:u w:val="dotted"/>
          <w:lang w:val="es-ES"/>
        </w:rPr>
        <w:t xml:space="preserve">, </w:t>
      </w:r>
      <w:r w:rsidRPr="00A018D9">
        <w:rPr>
          <w:rFonts w:cs="Segoe UI"/>
          <w:i/>
          <w:iCs/>
          <w:sz w:val="22"/>
          <w:szCs w:val="22"/>
          <w:u w:val="dotted"/>
          <w:lang w:val="es-ES"/>
        </w:rPr>
        <w:t xml:space="preserve">Registro Oficial, Suplemento, Año 1, </w:t>
      </w:r>
      <w:proofErr w:type="spellStart"/>
      <w:r w:rsidRPr="00A018D9">
        <w:rPr>
          <w:rFonts w:cs="Segoe UI"/>
          <w:i/>
          <w:iCs/>
          <w:sz w:val="22"/>
          <w:szCs w:val="22"/>
          <w:u w:val="dotted"/>
          <w:lang w:val="es-ES"/>
        </w:rPr>
        <w:t>N°</w:t>
      </w:r>
      <w:proofErr w:type="spellEnd"/>
      <w:r w:rsidRPr="00A018D9">
        <w:rPr>
          <w:rFonts w:cs="Segoe UI"/>
          <w:i/>
          <w:iCs/>
          <w:sz w:val="22"/>
          <w:szCs w:val="22"/>
          <w:u w:val="dotted"/>
          <w:lang w:val="es-ES"/>
        </w:rPr>
        <w:t xml:space="preserve"> 180</w:t>
      </w:r>
      <w:r w:rsidRPr="00A018D9">
        <w:rPr>
          <w:rFonts w:cs="Segoe UI"/>
          <w:sz w:val="22"/>
          <w:szCs w:val="22"/>
          <w:lang w:val="es-ES"/>
        </w:rPr>
        <w:t xml:space="preserve">, 10 </w:t>
      </w:r>
      <w:proofErr w:type="spellStart"/>
      <w:r w:rsidRPr="00A018D9">
        <w:rPr>
          <w:rFonts w:cs="Segoe UI"/>
          <w:sz w:val="22"/>
          <w:szCs w:val="22"/>
          <w:lang w:val="es-ES"/>
        </w:rPr>
        <w:t>February</w:t>
      </w:r>
      <w:proofErr w:type="spellEnd"/>
      <w:r w:rsidRPr="00A018D9">
        <w:rPr>
          <w:rFonts w:cs="Segoe UI"/>
          <w:sz w:val="22"/>
          <w:szCs w:val="22"/>
          <w:lang w:val="es-ES"/>
        </w:rPr>
        <w:t xml:space="preserve"> 2014, art. 90. </w:t>
      </w:r>
      <w:proofErr w:type="spellStart"/>
      <w:r w:rsidRPr="00A018D9">
        <w:rPr>
          <w:rFonts w:cs="Segoe UI"/>
          <w:sz w:val="22"/>
          <w:szCs w:val="22"/>
          <w:lang w:val="es-ES"/>
        </w:rPr>
        <w:t>Penalty</w:t>
      </w:r>
      <w:proofErr w:type="spellEnd"/>
      <w:r w:rsidRPr="00A018D9">
        <w:rPr>
          <w:rFonts w:cs="Segoe UI"/>
          <w:sz w:val="22"/>
          <w:szCs w:val="22"/>
          <w:lang w:val="es-ES"/>
        </w:rPr>
        <w:t xml:space="preserve"> </w:t>
      </w:r>
      <w:proofErr w:type="spellStart"/>
      <w:r w:rsidRPr="00A018D9">
        <w:rPr>
          <w:rFonts w:cs="Segoe UI"/>
          <w:sz w:val="22"/>
          <w:szCs w:val="22"/>
          <w:lang w:val="es-ES"/>
        </w:rPr>
        <w:t>for</w:t>
      </w:r>
      <w:proofErr w:type="spellEnd"/>
      <w:r w:rsidRPr="00A018D9">
        <w:rPr>
          <w:rFonts w:cs="Segoe UI"/>
          <w:sz w:val="22"/>
          <w:szCs w:val="22"/>
          <w:lang w:val="es-ES"/>
        </w:rPr>
        <w:t xml:space="preserve"> a legal </w:t>
      </w:r>
      <w:proofErr w:type="spellStart"/>
      <w:r w:rsidRPr="00A018D9">
        <w:rPr>
          <w:rFonts w:cs="Segoe UI"/>
          <w:sz w:val="22"/>
          <w:szCs w:val="22"/>
          <w:lang w:val="es-ES"/>
        </w:rPr>
        <w:t>person</w:t>
      </w:r>
      <w:proofErr w:type="spellEnd"/>
      <w:r w:rsidRPr="00A018D9">
        <w:rPr>
          <w:rFonts w:cs="Segoe UI"/>
          <w:sz w:val="22"/>
          <w:szCs w:val="22"/>
          <w:lang w:val="es-ES"/>
        </w:rPr>
        <w:t xml:space="preserve"> (</w:t>
      </w:r>
      <w:proofErr w:type="spellStart"/>
      <w:r w:rsidRPr="00A018D9">
        <w:rPr>
          <w:rFonts w:cs="Segoe UI"/>
          <w:sz w:val="22"/>
          <w:szCs w:val="22"/>
          <w:lang w:val="es-ES"/>
        </w:rPr>
        <w:t>providing</w:t>
      </w:r>
      <w:proofErr w:type="spellEnd"/>
      <w:r w:rsidRPr="00A018D9">
        <w:rPr>
          <w:rFonts w:cs="Segoe UI"/>
          <w:sz w:val="22"/>
          <w:szCs w:val="22"/>
          <w:lang w:val="es-ES"/>
        </w:rPr>
        <w:t xml:space="preserve">, in a </w:t>
      </w:r>
      <w:proofErr w:type="spellStart"/>
      <w:r w:rsidRPr="00A018D9">
        <w:rPr>
          <w:rFonts w:cs="Segoe UI"/>
          <w:sz w:val="22"/>
          <w:szCs w:val="22"/>
          <w:lang w:val="es-ES"/>
        </w:rPr>
        <w:t>section</w:t>
      </w:r>
      <w:proofErr w:type="spellEnd"/>
      <w:r w:rsidRPr="00A018D9">
        <w:rPr>
          <w:rFonts w:cs="Segoe UI"/>
          <w:sz w:val="22"/>
          <w:szCs w:val="22"/>
          <w:lang w:val="es-ES"/>
        </w:rPr>
        <w:t xml:space="preserve"> </w:t>
      </w:r>
      <w:proofErr w:type="spellStart"/>
      <w:r w:rsidRPr="00A018D9">
        <w:rPr>
          <w:rFonts w:cs="Segoe UI"/>
          <w:sz w:val="22"/>
          <w:szCs w:val="22"/>
          <w:lang w:val="es-ES"/>
        </w:rPr>
        <w:t>addressing</w:t>
      </w:r>
      <w:proofErr w:type="spellEnd"/>
      <w:r w:rsidRPr="00A018D9">
        <w:rPr>
          <w:rFonts w:cs="Segoe UI"/>
          <w:sz w:val="22"/>
          <w:szCs w:val="22"/>
          <w:lang w:val="es-ES"/>
        </w:rPr>
        <w:t xml:space="preserve"> </w:t>
      </w:r>
      <w:proofErr w:type="spellStart"/>
      <w:r w:rsidRPr="00A018D9">
        <w:rPr>
          <w:rFonts w:cs="Segoe UI"/>
          <w:sz w:val="22"/>
          <w:szCs w:val="22"/>
          <w:lang w:val="es-ES"/>
        </w:rPr>
        <w:t>crimes</w:t>
      </w:r>
      <w:proofErr w:type="spellEnd"/>
      <w:r w:rsidRPr="00A018D9">
        <w:rPr>
          <w:rFonts w:cs="Segoe UI"/>
          <w:sz w:val="22"/>
          <w:szCs w:val="22"/>
          <w:lang w:val="es-ES"/>
        </w:rPr>
        <w:t xml:space="preserve"> </w:t>
      </w:r>
      <w:proofErr w:type="spellStart"/>
      <w:r w:rsidRPr="00A018D9">
        <w:rPr>
          <w:rFonts w:cs="Segoe UI"/>
          <w:sz w:val="22"/>
          <w:szCs w:val="22"/>
          <w:lang w:val="es-ES"/>
        </w:rPr>
        <w:t>against</w:t>
      </w:r>
      <w:proofErr w:type="spellEnd"/>
      <w:r w:rsidRPr="00A018D9">
        <w:rPr>
          <w:rFonts w:cs="Segoe UI"/>
          <w:sz w:val="22"/>
          <w:szCs w:val="22"/>
          <w:lang w:val="es-ES"/>
        </w:rPr>
        <w:t xml:space="preserve"> </w:t>
      </w:r>
      <w:proofErr w:type="spellStart"/>
      <w:r w:rsidRPr="00A018D9">
        <w:rPr>
          <w:rFonts w:cs="Segoe UI"/>
          <w:sz w:val="22"/>
          <w:szCs w:val="22"/>
          <w:lang w:val="es-ES"/>
        </w:rPr>
        <w:t>humanity</w:t>
      </w:r>
      <w:proofErr w:type="spellEnd"/>
      <w:r w:rsidRPr="00A018D9">
        <w:rPr>
          <w:rFonts w:cs="Segoe UI"/>
          <w:sz w:val="22"/>
          <w:szCs w:val="22"/>
          <w:lang w:val="es-ES"/>
        </w:rPr>
        <w:t xml:space="preserve">, </w:t>
      </w:r>
      <w:proofErr w:type="spellStart"/>
      <w:r w:rsidRPr="00A018D9">
        <w:rPr>
          <w:rFonts w:cs="Segoe UI"/>
          <w:sz w:val="22"/>
          <w:szCs w:val="22"/>
          <w:lang w:val="es-ES"/>
        </w:rPr>
        <w:t>that</w:t>
      </w:r>
      <w:proofErr w:type="spellEnd"/>
      <w:r w:rsidRPr="00A018D9">
        <w:rPr>
          <w:rFonts w:cs="Segoe UI"/>
          <w:sz w:val="22"/>
          <w:szCs w:val="22"/>
          <w:lang w:val="es-ES"/>
        </w:rPr>
        <w:t xml:space="preserve">: </w:t>
      </w:r>
      <w:r w:rsidRPr="00A018D9">
        <w:rPr>
          <w:sz w:val="22"/>
          <w:szCs w:val="22"/>
          <w:lang w:val="es-ES"/>
        </w:rPr>
        <w:t>“</w:t>
      </w:r>
      <w:r w:rsidRPr="00A018D9">
        <w:rPr>
          <w:sz w:val="22"/>
          <w:szCs w:val="22"/>
          <w:u w:val="dotted"/>
          <w:lang w:val="es-ES"/>
        </w:rPr>
        <w:t xml:space="preserve">Cuando una persona jurídica sea la responsable de cualquiera de los delitos de esta Sección, será sancionada con la extinción de </w:t>
      </w:r>
      <w:proofErr w:type="gramStart"/>
      <w:r w:rsidRPr="00A018D9">
        <w:rPr>
          <w:sz w:val="22"/>
          <w:szCs w:val="22"/>
          <w:u w:val="dotted"/>
          <w:lang w:val="es-ES"/>
        </w:rPr>
        <w:t>la misma</w:t>
      </w:r>
      <w:proofErr w:type="gramEnd"/>
      <w:r w:rsidRPr="00A018D9">
        <w:rPr>
          <w:rFonts w:cs="Segoe UI"/>
          <w:sz w:val="22"/>
          <w:szCs w:val="22"/>
          <w:lang w:val="es-ES"/>
        </w:rPr>
        <w:t>”).</w:t>
      </w:r>
    </w:p>
    <w:p w14:paraId="1A4BB6EC" w14:textId="51F263A5" w:rsidR="006D2D12" w:rsidRPr="00A018D9" w:rsidRDefault="006D2D12" w:rsidP="003317E5">
      <w:pPr>
        <w:spacing w:line="288" w:lineRule="auto"/>
        <w:rPr>
          <w:rFonts w:cs="Segoe UI"/>
          <w:sz w:val="22"/>
          <w:szCs w:val="22"/>
          <w:lang w:val="es-ES"/>
        </w:rPr>
      </w:pPr>
      <w:r w:rsidRPr="00A018D9">
        <w:rPr>
          <w:sz w:val="22"/>
          <w:szCs w:val="22"/>
          <w:lang w:val="es-ES"/>
        </w:rPr>
        <w:t xml:space="preserve">1.  </w:t>
      </w:r>
      <w:r w:rsidRPr="00A018D9">
        <w:rPr>
          <w:rFonts w:hint="eastAsia"/>
          <w:sz w:val="22"/>
          <w:szCs w:val="22"/>
          <w:lang w:val="es-ES"/>
        </w:rPr>
        <w:t>例如，见</w:t>
      </w:r>
      <w:r w:rsidR="002624EA">
        <w:fldChar w:fldCharType="begin"/>
      </w:r>
      <w:r w:rsidR="002624EA">
        <w:instrText xml:space="preserve"> HYPERLINK "http://www.ilo.org/dyn/natlex/docs/ELECTRONIC/95496/112458/F-1546437745/ECU95496.pdf" </w:instrText>
      </w:r>
      <w:r w:rsidR="002624EA">
        <w:fldChar w:fldCharType="separate"/>
      </w:r>
      <w:r w:rsidRPr="00A018D9">
        <w:rPr>
          <w:rFonts w:cs="Segoe UI"/>
          <w:sz w:val="22"/>
          <w:szCs w:val="22"/>
          <w:u w:val="dotted"/>
          <w:lang w:val="es-ES"/>
        </w:rPr>
        <w:t>Ecuador Código Orgánico Integral Penal</w:t>
      </w:r>
      <w:r w:rsidR="002624EA">
        <w:rPr>
          <w:rFonts w:cs="Segoe UI"/>
          <w:sz w:val="22"/>
          <w:szCs w:val="22"/>
          <w:u w:val="dotted"/>
          <w:lang w:val="es-ES"/>
        </w:rPr>
        <w:fldChar w:fldCharType="end"/>
      </w:r>
      <w:r w:rsidRPr="00A018D9">
        <w:rPr>
          <w:rFonts w:cs="Segoe UI"/>
          <w:sz w:val="22"/>
          <w:szCs w:val="22"/>
          <w:u w:val="dotted"/>
          <w:lang w:val="es-ES"/>
        </w:rPr>
        <w:t xml:space="preserve">, </w:t>
      </w:r>
      <w:r w:rsidRPr="00A018D9">
        <w:rPr>
          <w:rFonts w:cs="Segoe UI"/>
          <w:i/>
          <w:iCs/>
          <w:sz w:val="22"/>
          <w:szCs w:val="22"/>
          <w:u w:val="dotted"/>
          <w:lang w:val="es-ES"/>
        </w:rPr>
        <w:t xml:space="preserve">Registro Oficial, Suplemento, Año 1, </w:t>
      </w:r>
      <w:proofErr w:type="spellStart"/>
      <w:r w:rsidRPr="00A018D9">
        <w:rPr>
          <w:rFonts w:cs="Segoe UI"/>
          <w:i/>
          <w:iCs/>
          <w:sz w:val="22"/>
          <w:szCs w:val="22"/>
          <w:u w:val="dotted"/>
          <w:lang w:val="es-ES"/>
        </w:rPr>
        <w:t>N°</w:t>
      </w:r>
      <w:proofErr w:type="spellEnd"/>
      <w:r w:rsidRPr="00A018D9">
        <w:rPr>
          <w:rFonts w:cs="Segoe UI"/>
          <w:i/>
          <w:iCs/>
          <w:sz w:val="22"/>
          <w:szCs w:val="22"/>
          <w:u w:val="dotted"/>
          <w:lang w:val="es-ES"/>
        </w:rPr>
        <w:t xml:space="preserve"> 180</w:t>
      </w:r>
      <w:r w:rsidRPr="00A018D9">
        <w:rPr>
          <w:rFonts w:cs="Segoe UI"/>
          <w:sz w:val="22"/>
          <w:szCs w:val="22"/>
          <w:lang w:val="es-ES"/>
        </w:rPr>
        <w:t xml:space="preserve">, 10 </w:t>
      </w:r>
      <w:proofErr w:type="spellStart"/>
      <w:r w:rsidRPr="00A018D9">
        <w:rPr>
          <w:rFonts w:cs="Segoe UI"/>
          <w:sz w:val="22"/>
          <w:szCs w:val="22"/>
          <w:lang w:val="es-ES"/>
        </w:rPr>
        <w:t>February</w:t>
      </w:r>
      <w:proofErr w:type="spellEnd"/>
      <w:r w:rsidRPr="00A018D9">
        <w:rPr>
          <w:rFonts w:cs="Segoe UI"/>
          <w:sz w:val="22"/>
          <w:szCs w:val="22"/>
          <w:lang w:val="es-ES"/>
        </w:rPr>
        <w:t xml:space="preserve"> 2014, art. 90</w:t>
      </w:r>
      <w:r w:rsidRPr="00A018D9">
        <w:rPr>
          <w:rFonts w:hint="eastAsia"/>
          <w:sz w:val="22"/>
          <w:szCs w:val="22"/>
        </w:rPr>
        <w:t>。对法人的惩罚</w:t>
      </w:r>
      <w:r w:rsidRPr="00A018D9">
        <w:rPr>
          <w:sz w:val="22"/>
          <w:szCs w:val="22"/>
        </w:rPr>
        <w:t>(</w:t>
      </w:r>
      <w:r w:rsidRPr="00A018D9">
        <w:rPr>
          <w:rFonts w:hint="eastAsia"/>
          <w:sz w:val="22"/>
          <w:szCs w:val="22"/>
          <w:lang w:val="es-ES"/>
        </w:rPr>
        <w:t>关于危害人类罪的一节规定</w:t>
      </w:r>
      <w:r w:rsidRPr="00A018D9">
        <w:rPr>
          <w:rFonts w:hint="eastAsia"/>
          <w:sz w:val="22"/>
          <w:szCs w:val="22"/>
        </w:rPr>
        <w:t>：</w:t>
      </w:r>
      <w:r w:rsidRPr="00A018D9">
        <w:rPr>
          <w:sz w:val="22"/>
          <w:szCs w:val="22"/>
        </w:rPr>
        <w:t>“</w:t>
      </w:r>
      <w:proofErr w:type="spellStart"/>
      <w:r w:rsidRPr="00A018D9">
        <w:rPr>
          <w:sz w:val="22"/>
          <w:szCs w:val="22"/>
          <w:u w:val="dotted"/>
        </w:rPr>
        <w:t>Cuando</w:t>
      </w:r>
      <w:proofErr w:type="spellEnd"/>
      <w:r w:rsidRPr="00A018D9">
        <w:rPr>
          <w:sz w:val="22"/>
          <w:szCs w:val="22"/>
          <w:u w:val="dotted"/>
        </w:rPr>
        <w:t xml:space="preserve"> una persona </w:t>
      </w:r>
      <w:proofErr w:type="spellStart"/>
      <w:r w:rsidRPr="00A018D9">
        <w:rPr>
          <w:sz w:val="22"/>
          <w:szCs w:val="22"/>
          <w:u w:val="dotted"/>
        </w:rPr>
        <w:t>jurídica</w:t>
      </w:r>
      <w:proofErr w:type="spellEnd"/>
      <w:r w:rsidRPr="00A018D9">
        <w:rPr>
          <w:sz w:val="22"/>
          <w:szCs w:val="22"/>
          <w:u w:val="dotted"/>
        </w:rPr>
        <w:t xml:space="preserve"> sea la </w:t>
      </w:r>
      <w:proofErr w:type="spellStart"/>
      <w:r w:rsidRPr="00A018D9">
        <w:rPr>
          <w:sz w:val="22"/>
          <w:szCs w:val="22"/>
          <w:u w:val="dotted"/>
        </w:rPr>
        <w:t>responsable</w:t>
      </w:r>
      <w:proofErr w:type="spellEnd"/>
      <w:r w:rsidRPr="00A018D9">
        <w:rPr>
          <w:sz w:val="22"/>
          <w:szCs w:val="22"/>
          <w:u w:val="dotted"/>
        </w:rPr>
        <w:t xml:space="preserve"> de </w:t>
      </w:r>
      <w:proofErr w:type="spellStart"/>
      <w:r w:rsidRPr="00A018D9">
        <w:rPr>
          <w:sz w:val="22"/>
          <w:szCs w:val="22"/>
          <w:u w:val="dotted"/>
        </w:rPr>
        <w:t>cualquiera</w:t>
      </w:r>
      <w:proofErr w:type="spellEnd"/>
      <w:r w:rsidRPr="00A018D9">
        <w:rPr>
          <w:sz w:val="22"/>
          <w:szCs w:val="22"/>
          <w:u w:val="dotted"/>
        </w:rPr>
        <w:t xml:space="preserve"> de los </w:t>
      </w:r>
      <w:proofErr w:type="spellStart"/>
      <w:r w:rsidRPr="00A018D9">
        <w:rPr>
          <w:sz w:val="22"/>
          <w:szCs w:val="22"/>
          <w:u w:val="dotted"/>
        </w:rPr>
        <w:t>delitos</w:t>
      </w:r>
      <w:proofErr w:type="spellEnd"/>
      <w:r w:rsidRPr="00A018D9">
        <w:rPr>
          <w:sz w:val="22"/>
          <w:szCs w:val="22"/>
          <w:u w:val="dotted"/>
        </w:rPr>
        <w:t xml:space="preserve"> de </w:t>
      </w:r>
      <w:proofErr w:type="spellStart"/>
      <w:r w:rsidRPr="00A018D9">
        <w:rPr>
          <w:sz w:val="22"/>
          <w:szCs w:val="22"/>
          <w:u w:val="dotted"/>
        </w:rPr>
        <w:t>esta</w:t>
      </w:r>
      <w:proofErr w:type="spellEnd"/>
      <w:r w:rsidRPr="00A018D9">
        <w:rPr>
          <w:sz w:val="22"/>
          <w:szCs w:val="22"/>
          <w:u w:val="dotted"/>
        </w:rPr>
        <w:t xml:space="preserve"> </w:t>
      </w:r>
      <w:proofErr w:type="spellStart"/>
      <w:r w:rsidRPr="00A018D9">
        <w:rPr>
          <w:sz w:val="22"/>
          <w:szCs w:val="22"/>
          <w:u w:val="dotted"/>
        </w:rPr>
        <w:t>Sección</w:t>
      </w:r>
      <w:proofErr w:type="spellEnd"/>
      <w:r w:rsidRPr="00A018D9">
        <w:rPr>
          <w:sz w:val="22"/>
          <w:szCs w:val="22"/>
          <w:u w:val="dotted"/>
        </w:rPr>
        <w:t xml:space="preserve">, </w:t>
      </w:r>
      <w:proofErr w:type="spellStart"/>
      <w:r w:rsidRPr="00A018D9">
        <w:rPr>
          <w:sz w:val="22"/>
          <w:szCs w:val="22"/>
          <w:u w:val="dotted"/>
        </w:rPr>
        <w:t>será</w:t>
      </w:r>
      <w:proofErr w:type="spellEnd"/>
      <w:r w:rsidRPr="00A018D9">
        <w:rPr>
          <w:sz w:val="22"/>
          <w:szCs w:val="22"/>
          <w:u w:val="dotted"/>
        </w:rPr>
        <w:t xml:space="preserve"> </w:t>
      </w:r>
      <w:proofErr w:type="spellStart"/>
      <w:r w:rsidRPr="00A018D9">
        <w:rPr>
          <w:sz w:val="22"/>
          <w:szCs w:val="22"/>
          <w:u w:val="dotted"/>
        </w:rPr>
        <w:t>sancionada</w:t>
      </w:r>
      <w:proofErr w:type="spellEnd"/>
      <w:r w:rsidRPr="00A018D9">
        <w:rPr>
          <w:sz w:val="22"/>
          <w:szCs w:val="22"/>
          <w:u w:val="dotted"/>
        </w:rPr>
        <w:t xml:space="preserve"> con la </w:t>
      </w:r>
      <w:proofErr w:type="spellStart"/>
      <w:r w:rsidRPr="00A018D9">
        <w:rPr>
          <w:sz w:val="22"/>
          <w:szCs w:val="22"/>
          <w:u w:val="dotted"/>
        </w:rPr>
        <w:t>extinción</w:t>
      </w:r>
      <w:proofErr w:type="spellEnd"/>
      <w:r w:rsidRPr="00A018D9">
        <w:rPr>
          <w:sz w:val="22"/>
          <w:szCs w:val="22"/>
          <w:u w:val="dotted"/>
        </w:rPr>
        <w:t xml:space="preserve"> de la </w:t>
      </w:r>
      <w:proofErr w:type="spellStart"/>
      <w:r w:rsidRPr="00A018D9">
        <w:rPr>
          <w:sz w:val="22"/>
          <w:szCs w:val="22"/>
          <w:u w:val="dotted"/>
        </w:rPr>
        <w:t>misma</w:t>
      </w:r>
      <w:proofErr w:type="spellEnd"/>
      <w:r w:rsidRPr="00A018D9">
        <w:rPr>
          <w:sz w:val="22"/>
          <w:szCs w:val="22"/>
        </w:rPr>
        <w:t>”)</w:t>
      </w:r>
      <w:r w:rsidRPr="00A018D9">
        <w:rPr>
          <w:rFonts w:hint="eastAsia"/>
          <w:sz w:val="22"/>
          <w:szCs w:val="22"/>
        </w:rPr>
        <w:t>。</w:t>
      </w:r>
    </w:p>
    <w:p w14:paraId="76FD0CF4" w14:textId="77777777" w:rsidR="006D2D12" w:rsidRPr="00A018D9" w:rsidRDefault="006D2D12" w:rsidP="003317E5">
      <w:pPr>
        <w:spacing w:line="288" w:lineRule="auto"/>
        <w:rPr>
          <w:rFonts w:cs="Segoe UI"/>
          <w:sz w:val="22"/>
          <w:szCs w:val="22"/>
          <w:lang w:val="es-ES"/>
        </w:rPr>
      </w:pPr>
    </w:p>
    <w:p w14:paraId="3D0EFBD5" w14:textId="20C38833" w:rsidR="002E2EB6" w:rsidRPr="00A018D9" w:rsidRDefault="006D2D12" w:rsidP="003317E5">
      <w:pPr>
        <w:spacing w:line="288" w:lineRule="auto"/>
        <w:rPr>
          <w:rFonts w:cs="Segoe UI"/>
          <w:sz w:val="22"/>
          <w:szCs w:val="22"/>
          <w:lang w:val="es-ES"/>
        </w:rPr>
      </w:pPr>
      <w:r w:rsidRPr="00A018D9">
        <w:rPr>
          <w:rFonts w:cs="Segoe UI"/>
          <w:sz w:val="22"/>
          <w:szCs w:val="22"/>
          <w:lang w:val="es-ES"/>
        </w:rPr>
        <w:t>2</w:t>
      </w:r>
      <w:r w:rsidR="00AD32F6" w:rsidRPr="00A018D9">
        <w:rPr>
          <w:rFonts w:cs="Segoe UI"/>
          <w:sz w:val="22"/>
          <w:szCs w:val="22"/>
          <w:lang w:val="es-ES"/>
        </w:rPr>
        <w:t xml:space="preserve">.  </w:t>
      </w:r>
      <w:proofErr w:type="spellStart"/>
      <w:r w:rsidR="002E2EB6" w:rsidRPr="00A018D9">
        <w:rPr>
          <w:rFonts w:cs="Segoe UI"/>
          <w:sz w:val="22"/>
          <w:szCs w:val="22"/>
          <w:lang w:val="es-ES"/>
        </w:rPr>
        <w:t>Crook</w:t>
      </w:r>
      <w:proofErr w:type="spellEnd"/>
      <w:r w:rsidR="002E2EB6" w:rsidRPr="00A018D9">
        <w:rPr>
          <w:rFonts w:cs="Segoe UI"/>
          <w:sz w:val="22"/>
          <w:szCs w:val="22"/>
          <w:lang w:val="es-ES"/>
        </w:rPr>
        <w:t>, “</w:t>
      </w:r>
      <w:proofErr w:type="spellStart"/>
      <w:r w:rsidR="002E2EB6" w:rsidRPr="00A018D9">
        <w:rPr>
          <w:rFonts w:cs="Segoe UI"/>
          <w:sz w:val="22"/>
          <w:szCs w:val="22"/>
          <w:lang w:val="es-ES"/>
        </w:rPr>
        <w:t>Contemporary</w:t>
      </w:r>
      <w:proofErr w:type="spellEnd"/>
      <w:r w:rsidR="002E2EB6" w:rsidRPr="00A018D9">
        <w:rPr>
          <w:rFonts w:cs="Segoe UI"/>
          <w:sz w:val="22"/>
          <w:szCs w:val="22"/>
          <w:lang w:val="es-ES"/>
        </w:rPr>
        <w:t xml:space="preserve"> </w:t>
      </w:r>
      <w:proofErr w:type="spellStart"/>
      <w:r w:rsidR="002E2EB6" w:rsidRPr="00A018D9">
        <w:rPr>
          <w:rFonts w:cs="Segoe UI"/>
          <w:sz w:val="22"/>
          <w:szCs w:val="22"/>
          <w:lang w:val="es-ES"/>
        </w:rPr>
        <w:t>practice</w:t>
      </w:r>
      <w:proofErr w:type="spellEnd"/>
      <w:r w:rsidR="002E2EB6" w:rsidRPr="00A018D9">
        <w:rPr>
          <w:rFonts w:cs="Segoe UI"/>
          <w:sz w:val="22"/>
          <w:szCs w:val="22"/>
          <w:lang w:val="es-ES"/>
        </w:rPr>
        <w:t xml:space="preserve"> of the </w:t>
      </w:r>
      <w:proofErr w:type="spellStart"/>
      <w:r w:rsidR="002E2EB6" w:rsidRPr="00A018D9">
        <w:rPr>
          <w:rFonts w:cs="Segoe UI"/>
          <w:sz w:val="22"/>
          <w:szCs w:val="22"/>
          <w:lang w:val="es-ES"/>
        </w:rPr>
        <w:t>United</w:t>
      </w:r>
      <w:proofErr w:type="spellEnd"/>
      <w:r w:rsidR="002E2EB6" w:rsidRPr="00A018D9">
        <w:rPr>
          <w:rFonts w:cs="Segoe UI"/>
          <w:sz w:val="22"/>
          <w:szCs w:val="22"/>
          <w:lang w:val="es-ES"/>
        </w:rPr>
        <w:t xml:space="preserve"> </w:t>
      </w:r>
      <w:proofErr w:type="spellStart"/>
      <w:r w:rsidR="002E2EB6" w:rsidRPr="00A018D9">
        <w:rPr>
          <w:rFonts w:cs="Segoe UI"/>
          <w:sz w:val="22"/>
          <w:szCs w:val="22"/>
          <w:lang w:val="es-ES"/>
        </w:rPr>
        <w:t>States</w:t>
      </w:r>
      <w:proofErr w:type="spellEnd"/>
      <w:r w:rsidR="002E2EB6" w:rsidRPr="00A018D9">
        <w:rPr>
          <w:rFonts w:cs="Segoe UI"/>
          <w:sz w:val="22"/>
          <w:szCs w:val="22"/>
          <w:lang w:val="es-ES"/>
        </w:rPr>
        <w:t>” (</w:t>
      </w:r>
      <w:proofErr w:type="spellStart"/>
      <w:r w:rsidR="002E2EB6" w:rsidRPr="00A018D9">
        <w:rPr>
          <w:rFonts w:cs="Segoe UI"/>
          <w:sz w:val="22"/>
          <w:szCs w:val="22"/>
          <w:lang w:val="es-ES"/>
        </w:rPr>
        <w:t>see</w:t>
      </w:r>
      <w:proofErr w:type="spellEnd"/>
      <w:r w:rsidR="002E2EB6" w:rsidRPr="00A018D9">
        <w:rPr>
          <w:rFonts w:cs="Segoe UI"/>
          <w:sz w:val="22"/>
          <w:szCs w:val="22"/>
          <w:lang w:val="es-ES"/>
        </w:rPr>
        <w:t xml:space="preserve"> </w:t>
      </w:r>
      <w:proofErr w:type="spellStart"/>
      <w:r w:rsidR="002E2EB6" w:rsidRPr="00A018D9">
        <w:rPr>
          <w:rFonts w:cs="Segoe UI"/>
          <w:sz w:val="22"/>
          <w:szCs w:val="22"/>
          <w:lang w:val="es-ES"/>
        </w:rPr>
        <w:t>footnote</w:t>
      </w:r>
      <w:proofErr w:type="spellEnd"/>
      <w:r w:rsidR="00055DC2" w:rsidRPr="00A018D9">
        <w:rPr>
          <w:rFonts w:cs="Segoe UI"/>
          <w:sz w:val="22"/>
          <w:szCs w:val="22"/>
          <w:lang w:val="es-ES"/>
        </w:rPr>
        <w:t xml:space="preserve"> 606</w:t>
      </w:r>
      <w:r w:rsidR="002E2EB6" w:rsidRPr="00A018D9">
        <w:rPr>
          <w:rFonts w:cs="Segoe UI"/>
          <w:sz w:val="22"/>
          <w:szCs w:val="22"/>
          <w:lang w:val="es-ES"/>
        </w:rPr>
        <w:t xml:space="preserve"> </w:t>
      </w:r>
      <w:proofErr w:type="spellStart"/>
      <w:r w:rsidR="002E2EB6" w:rsidRPr="00A018D9">
        <w:rPr>
          <w:rFonts w:cs="Segoe UI"/>
          <w:sz w:val="22"/>
          <w:szCs w:val="22"/>
          <w:lang w:val="es-ES"/>
        </w:rPr>
        <w:t>above</w:t>
      </w:r>
      <w:proofErr w:type="spellEnd"/>
      <w:r w:rsidR="002E2EB6" w:rsidRPr="00A018D9">
        <w:rPr>
          <w:rFonts w:cs="Segoe UI"/>
          <w:sz w:val="22"/>
          <w:szCs w:val="22"/>
          <w:lang w:val="es-ES"/>
        </w:rPr>
        <w:t xml:space="preserve">), pp. 809-812; </w:t>
      </w:r>
      <w:proofErr w:type="spellStart"/>
      <w:r w:rsidR="002E2EB6" w:rsidRPr="00A018D9">
        <w:rPr>
          <w:rFonts w:cs="Segoe UI"/>
          <w:sz w:val="22"/>
          <w:szCs w:val="22"/>
          <w:lang w:val="es-ES"/>
        </w:rPr>
        <w:t>see</w:t>
      </w:r>
      <w:proofErr w:type="spellEnd"/>
      <w:r w:rsidR="002E2EB6" w:rsidRPr="00A018D9">
        <w:rPr>
          <w:rFonts w:cs="Segoe UI"/>
          <w:sz w:val="22"/>
          <w:szCs w:val="22"/>
          <w:lang w:val="es-ES"/>
        </w:rPr>
        <w:t xml:space="preserve"> </w:t>
      </w:r>
      <w:proofErr w:type="spellStart"/>
      <w:r w:rsidR="002E2EB6" w:rsidRPr="00A018D9">
        <w:rPr>
          <w:rFonts w:cs="Segoe UI"/>
          <w:sz w:val="22"/>
          <w:szCs w:val="22"/>
          <w:lang w:val="es-ES"/>
        </w:rPr>
        <w:t>also</w:t>
      </w:r>
      <w:proofErr w:type="spellEnd"/>
      <w:r w:rsidR="002E2EB6" w:rsidRPr="00A018D9">
        <w:rPr>
          <w:rFonts w:cs="Segoe UI"/>
          <w:sz w:val="22"/>
          <w:szCs w:val="22"/>
          <w:lang w:val="es-ES"/>
        </w:rPr>
        <w:t xml:space="preserve">: </w:t>
      </w:r>
      <w:proofErr w:type="spellStart"/>
      <w:r w:rsidR="002E2EB6" w:rsidRPr="00A018D9">
        <w:rPr>
          <w:rFonts w:cs="Segoe UI"/>
          <w:sz w:val="22"/>
          <w:szCs w:val="22"/>
          <w:lang w:val="es-ES"/>
        </w:rPr>
        <w:t>Mexico</w:t>
      </w:r>
      <w:proofErr w:type="spellEnd"/>
      <w:r w:rsidR="002E2EB6" w:rsidRPr="00A018D9">
        <w:rPr>
          <w:rFonts w:cs="Segoe UI"/>
          <w:sz w:val="22"/>
          <w:szCs w:val="22"/>
          <w:lang w:val="es-ES"/>
        </w:rPr>
        <w:t xml:space="preserve">, </w:t>
      </w:r>
      <w:r w:rsidR="002E2EB6" w:rsidRPr="00A018D9">
        <w:rPr>
          <w:rFonts w:cs="Segoe UI"/>
          <w:i/>
          <w:iCs/>
          <w:sz w:val="22"/>
          <w:szCs w:val="22"/>
          <w:u w:val="dotted"/>
          <w:lang w:val="es-ES"/>
        </w:rPr>
        <w:t>Diario Oficial de la Federación</w:t>
      </w:r>
      <w:r w:rsidR="002E2EB6" w:rsidRPr="00A018D9">
        <w:rPr>
          <w:rFonts w:cs="Segoe UI"/>
          <w:sz w:val="22"/>
          <w:szCs w:val="22"/>
          <w:lang w:val="es-ES"/>
        </w:rPr>
        <w:t xml:space="preserve"> (7 </w:t>
      </w:r>
      <w:proofErr w:type="spellStart"/>
      <w:r w:rsidR="002E2EB6" w:rsidRPr="00A018D9">
        <w:rPr>
          <w:rFonts w:cs="Segoe UI"/>
          <w:sz w:val="22"/>
          <w:szCs w:val="22"/>
          <w:lang w:val="es-ES"/>
        </w:rPr>
        <w:t>July</w:t>
      </w:r>
      <w:proofErr w:type="spellEnd"/>
      <w:r w:rsidR="002E2EB6" w:rsidRPr="00A018D9">
        <w:rPr>
          <w:rFonts w:cs="Segoe UI"/>
          <w:sz w:val="22"/>
          <w:szCs w:val="22"/>
          <w:lang w:val="es-ES"/>
        </w:rPr>
        <w:t xml:space="preserve"> 2011), “</w:t>
      </w:r>
      <w:r w:rsidR="002E2EB6" w:rsidRPr="00A018D9">
        <w:rPr>
          <w:rFonts w:cs="Segoe UI"/>
          <w:sz w:val="22"/>
          <w:szCs w:val="22"/>
          <w:u w:val="dotted"/>
          <w:lang w:val="es-ES"/>
        </w:rPr>
        <w:t>Decreto por el que se modifica el artículo 1 del diverso por el que se establece la Tasa Aplicable durante 2003, del Impuesto General de Importación, para las mercancías originarias de América del Norte”, publicado el 31 de diciembre de 2002, por lo que respecta a las mercancías originarias de los Estados Unidos de América</w:t>
      </w:r>
      <w:r w:rsidR="002E2EB6" w:rsidRPr="00A018D9">
        <w:rPr>
          <w:rFonts w:cs="Segoe UI"/>
          <w:sz w:val="22"/>
          <w:szCs w:val="22"/>
          <w:lang w:val="es-ES"/>
        </w:rPr>
        <w:t xml:space="preserve"> (</w:t>
      </w:r>
      <w:hyperlink r:id="rId22" w:history="1">
        <w:r w:rsidR="002E2EB6" w:rsidRPr="00A018D9">
          <w:rPr>
            <w:rStyle w:val="Lienhypertexte"/>
            <w:rFonts w:asciiTheme="majorBidi" w:hAnsiTheme="majorBidi" w:cstheme="majorBidi"/>
            <w:iCs/>
            <w:sz w:val="22"/>
            <w:szCs w:val="22"/>
            <w:lang w:val="es-ES_tradnl"/>
          </w:rPr>
          <w:t>www.dof.gob.mx</w:t>
        </w:r>
      </w:hyperlink>
      <w:r w:rsidR="002E2EB6" w:rsidRPr="00A018D9">
        <w:rPr>
          <w:rFonts w:cs="Segoe UI"/>
          <w:sz w:val="22"/>
          <w:szCs w:val="22"/>
          <w:lang w:val="es-ES"/>
        </w:rPr>
        <w:t>).</w:t>
      </w:r>
    </w:p>
    <w:p w14:paraId="43125620" w14:textId="518C074B" w:rsidR="00655B9E" w:rsidRPr="00A018D9" w:rsidRDefault="006D2D12" w:rsidP="003317E5">
      <w:pPr>
        <w:spacing w:line="288" w:lineRule="auto"/>
        <w:rPr>
          <w:rFonts w:cs="Segoe UI"/>
          <w:sz w:val="22"/>
          <w:szCs w:val="22"/>
          <w:lang w:val="es-ES"/>
        </w:rPr>
      </w:pPr>
      <w:r w:rsidRPr="00A018D9">
        <w:rPr>
          <w:rFonts w:cs="Segoe UI"/>
          <w:sz w:val="22"/>
          <w:szCs w:val="22"/>
          <w:lang w:val="es-ES"/>
        </w:rPr>
        <w:t>2</w:t>
      </w:r>
      <w:r w:rsidR="00AD32F6" w:rsidRPr="00A018D9">
        <w:rPr>
          <w:rFonts w:cs="Segoe UI"/>
          <w:sz w:val="22"/>
          <w:szCs w:val="22"/>
          <w:lang w:val="es-ES"/>
        </w:rPr>
        <w:t xml:space="preserve">.  </w:t>
      </w:r>
      <w:proofErr w:type="spellStart"/>
      <w:r w:rsidR="00655B9E" w:rsidRPr="00A018D9">
        <w:rPr>
          <w:rFonts w:cs="Segoe UI"/>
          <w:sz w:val="22"/>
          <w:szCs w:val="22"/>
          <w:lang w:val="es-ES"/>
        </w:rPr>
        <w:t>Crook</w:t>
      </w:r>
      <w:proofErr w:type="spellEnd"/>
      <w:r w:rsidR="00655B9E" w:rsidRPr="00A018D9">
        <w:rPr>
          <w:rFonts w:cs="Segoe UI"/>
          <w:sz w:val="22"/>
          <w:szCs w:val="22"/>
          <w:lang w:val="es-ES"/>
        </w:rPr>
        <w:t>, “</w:t>
      </w:r>
      <w:proofErr w:type="spellStart"/>
      <w:r w:rsidR="00655B9E" w:rsidRPr="00A018D9">
        <w:rPr>
          <w:rFonts w:cs="Segoe UI"/>
          <w:sz w:val="22"/>
          <w:szCs w:val="22"/>
          <w:lang w:val="es-ES"/>
        </w:rPr>
        <w:t>Contemporary</w:t>
      </w:r>
      <w:proofErr w:type="spellEnd"/>
      <w:r w:rsidR="00655B9E" w:rsidRPr="00A018D9">
        <w:rPr>
          <w:rFonts w:cs="Segoe UI"/>
          <w:sz w:val="22"/>
          <w:szCs w:val="22"/>
          <w:lang w:val="es-ES"/>
        </w:rPr>
        <w:t xml:space="preserve"> </w:t>
      </w:r>
      <w:proofErr w:type="spellStart"/>
      <w:r w:rsidR="00655B9E" w:rsidRPr="00A018D9">
        <w:rPr>
          <w:rFonts w:cs="Segoe UI"/>
          <w:sz w:val="22"/>
          <w:szCs w:val="22"/>
          <w:lang w:val="es-ES"/>
        </w:rPr>
        <w:t>practice</w:t>
      </w:r>
      <w:proofErr w:type="spellEnd"/>
      <w:r w:rsidR="00655B9E" w:rsidRPr="00A018D9">
        <w:rPr>
          <w:rFonts w:cs="Segoe UI"/>
          <w:sz w:val="22"/>
          <w:szCs w:val="22"/>
          <w:lang w:val="es-ES"/>
        </w:rPr>
        <w:t xml:space="preserve"> of the </w:t>
      </w:r>
      <w:proofErr w:type="spellStart"/>
      <w:r w:rsidR="00655B9E" w:rsidRPr="00A018D9">
        <w:rPr>
          <w:rFonts w:cs="Segoe UI"/>
          <w:sz w:val="22"/>
          <w:szCs w:val="22"/>
          <w:lang w:val="es-ES"/>
        </w:rPr>
        <w:t>United</w:t>
      </w:r>
      <w:proofErr w:type="spellEnd"/>
      <w:r w:rsidR="00655B9E" w:rsidRPr="00A018D9">
        <w:rPr>
          <w:rFonts w:cs="Segoe UI"/>
          <w:sz w:val="22"/>
          <w:szCs w:val="22"/>
          <w:lang w:val="es-ES"/>
        </w:rPr>
        <w:t xml:space="preserve"> </w:t>
      </w:r>
      <w:proofErr w:type="spellStart"/>
      <w:r w:rsidR="00655B9E" w:rsidRPr="00A018D9">
        <w:rPr>
          <w:rFonts w:cs="Segoe UI"/>
          <w:sz w:val="22"/>
          <w:szCs w:val="22"/>
          <w:lang w:val="es-ES"/>
        </w:rPr>
        <w:t>States</w:t>
      </w:r>
      <w:proofErr w:type="spellEnd"/>
      <w:r w:rsidR="00655B9E" w:rsidRPr="00A018D9">
        <w:rPr>
          <w:rFonts w:cs="Segoe UI"/>
          <w:sz w:val="22"/>
          <w:szCs w:val="22"/>
          <w:lang w:val="es-ES"/>
        </w:rPr>
        <w:t>” (</w:t>
      </w:r>
      <w:r w:rsidR="00655B9E" w:rsidRPr="00A018D9">
        <w:rPr>
          <w:rFonts w:cs="Segoe UI" w:hint="eastAsia"/>
          <w:sz w:val="22"/>
          <w:szCs w:val="22"/>
          <w:lang w:val="es-ES"/>
        </w:rPr>
        <w:t>见上文脚注</w:t>
      </w:r>
      <w:r w:rsidR="00055DC2" w:rsidRPr="00A018D9">
        <w:rPr>
          <w:rFonts w:cs="Segoe UI"/>
          <w:sz w:val="22"/>
          <w:szCs w:val="22"/>
          <w:lang w:val="es-ES"/>
        </w:rPr>
        <w:t>606</w:t>
      </w:r>
      <w:r w:rsidR="00655B9E" w:rsidRPr="00A018D9">
        <w:rPr>
          <w:rFonts w:cs="Segoe UI"/>
          <w:sz w:val="22"/>
          <w:szCs w:val="22"/>
          <w:lang w:val="es-ES"/>
        </w:rPr>
        <w:t xml:space="preserve">), pp. 809-812; </w:t>
      </w:r>
      <w:r w:rsidR="00655B9E" w:rsidRPr="00A018D9">
        <w:rPr>
          <w:rFonts w:cs="Segoe UI" w:hint="eastAsia"/>
          <w:sz w:val="22"/>
          <w:szCs w:val="22"/>
          <w:lang w:val="es-ES"/>
        </w:rPr>
        <w:t>另见</w:t>
      </w:r>
      <w:r w:rsidR="004B55AF" w:rsidRPr="00A018D9">
        <w:rPr>
          <w:rFonts w:cs="Segoe UI" w:hint="eastAsia"/>
          <w:sz w:val="22"/>
          <w:szCs w:val="22"/>
          <w:lang w:val="es-ES"/>
        </w:rPr>
        <w:t>：</w:t>
      </w:r>
      <w:r w:rsidR="003961B4" w:rsidRPr="00A018D9">
        <w:rPr>
          <w:rFonts w:cs="Segoe UI" w:hint="eastAsia"/>
          <w:sz w:val="22"/>
          <w:szCs w:val="22"/>
          <w:lang w:val="es-ES"/>
        </w:rPr>
        <w:t>墨西哥</w:t>
      </w:r>
      <w:r w:rsidR="003961B4" w:rsidRPr="00A018D9">
        <w:rPr>
          <w:rFonts w:cs="Segoe UI"/>
          <w:sz w:val="22"/>
          <w:szCs w:val="22"/>
          <w:lang w:val="es-ES"/>
        </w:rPr>
        <w:t xml:space="preserve">, </w:t>
      </w:r>
      <w:r w:rsidR="00655B9E" w:rsidRPr="00A018D9">
        <w:rPr>
          <w:rFonts w:cs="Segoe UI"/>
          <w:i/>
          <w:iCs/>
          <w:sz w:val="22"/>
          <w:szCs w:val="22"/>
          <w:lang w:val="es-ES"/>
        </w:rPr>
        <w:t>Diario Oficial de la Federación</w:t>
      </w:r>
      <w:r w:rsidR="00655B9E" w:rsidRPr="00A018D9">
        <w:rPr>
          <w:rFonts w:cs="Segoe UI"/>
          <w:sz w:val="22"/>
          <w:szCs w:val="22"/>
          <w:lang w:val="es-ES"/>
        </w:rPr>
        <w:t xml:space="preserve"> (</w:t>
      </w:r>
      <w:r w:rsidR="00480DED" w:rsidRPr="00A018D9">
        <w:rPr>
          <w:rFonts w:cs="Segoe UI"/>
          <w:sz w:val="22"/>
          <w:szCs w:val="22"/>
          <w:lang w:val="es-ES"/>
        </w:rPr>
        <w:t xml:space="preserve">7 </w:t>
      </w:r>
      <w:proofErr w:type="spellStart"/>
      <w:r w:rsidR="00480DED" w:rsidRPr="00A018D9">
        <w:rPr>
          <w:rFonts w:cs="Segoe UI"/>
          <w:sz w:val="22"/>
          <w:szCs w:val="22"/>
          <w:lang w:val="es-ES"/>
        </w:rPr>
        <w:t>July</w:t>
      </w:r>
      <w:proofErr w:type="spellEnd"/>
      <w:r w:rsidR="00480DED" w:rsidRPr="00A018D9">
        <w:rPr>
          <w:rFonts w:cs="Segoe UI"/>
          <w:sz w:val="22"/>
          <w:szCs w:val="22"/>
          <w:lang w:val="es-ES"/>
        </w:rPr>
        <w:t xml:space="preserve"> 2011</w:t>
      </w:r>
      <w:r w:rsidR="00655B9E" w:rsidRPr="00A018D9">
        <w:rPr>
          <w:rFonts w:cs="Segoe UI"/>
          <w:sz w:val="22"/>
          <w:szCs w:val="22"/>
          <w:lang w:val="es-ES"/>
        </w:rPr>
        <w:t>), “</w:t>
      </w:r>
      <w:r w:rsidR="00655B9E" w:rsidRPr="00A018D9">
        <w:rPr>
          <w:rFonts w:cs="Segoe UI"/>
          <w:sz w:val="22"/>
          <w:szCs w:val="22"/>
          <w:u w:val="dotted"/>
          <w:lang w:val="es-ES"/>
        </w:rPr>
        <w:t>Decreto por el que se modifica el artículo 1 del diverso por el que se establece la Tasa Aplicable durante 2003, del Impuesto General de Importación, para las mercancías originarias de América del Norte”, publicado el 31 de diciembre de 2002, por lo que respecta a las mercancías originarias de los Estados Unidos de América</w:t>
      </w:r>
      <w:r w:rsidR="00655B9E" w:rsidRPr="00A018D9">
        <w:rPr>
          <w:rFonts w:cs="Segoe UI"/>
          <w:sz w:val="22"/>
          <w:szCs w:val="22"/>
          <w:lang w:val="es-ES"/>
        </w:rPr>
        <w:t xml:space="preserve"> (</w:t>
      </w:r>
      <w:hyperlink r:id="rId23" w:history="1">
        <w:r w:rsidR="00655B9E" w:rsidRPr="00A018D9">
          <w:rPr>
            <w:rStyle w:val="Lienhypertexte"/>
            <w:rFonts w:asciiTheme="majorBidi" w:hAnsiTheme="majorBidi" w:cstheme="majorBidi"/>
            <w:iCs/>
            <w:sz w:val="22"/>
            <w:szCs w:val="22"/>
            <w:lang w:val="es-ES_tradnl"/>
          </w:rPr>
          <w:t>www.dof.gob.mx</w:t>
        </w:r>
      </w:hyperlink>
      <w:r w:rsidR="00655B9E" w:rsidRPr="00A018D9">
        <w:rPr>
          <w:rFonts w:cs="Segoe UI"/>
          <w:sz w:val="22"/>
          <w:szCs w:val="22"/>
          <w:lang w:val="es-ES"/>
        </w:rPr>
        <w:t>)</w:t>
      </w:r>
      <w:r w:rsidR="00F04116" w:rsidRPr="00A018D9">
        <w:rPr>
          <w:rFonts w:cs="Segoe UI" w:hint="eastAsia"/>
          <w:sz w:val="22"/>
          <w:szCs w:val="22"/>
          <w:lang w:val="es-ES"/>
        </w:rPr>
        <w:t>。</w:t>
      </w:r>
    </w:p>
    <w:p w14:paraId="4F650653" w14:textId="77777777" w:rsidR="0047384A" w:rsidRPr="00A018D9" w:rsidRDefault="0047384A" w:rsidP="003317E5">
      <w:pPr>
        <w:tabs>
          <w:tab w:val="clear" w:pos="431"/>
        </w:tabs>
        <w:adjustRightInd/>
        <w:snapToGrid/>
        <w:spacing w:line="288" w:lineRule="auto"/>
        <w:jc w:val="left"/>
        <w:rPr>
          <w:rFonts w:asciiTheme="majorBidi" w:hAnsiTheme="majorBidi" w:cstheme="majorBidi"/>
          <w:sz w:val="22"/>
          <w:szCs w:val="22"/>
          <w:lang w:val="es-ES"/>
        </w:rPr>
      </w:pPr>
    </w:p>
    <w:p w14:paraId="13DEFAEC" w14:textId="77777777" w:rsidR="0064271B" w:rsidRPr="00A018D9" w:rsidRDefault="0064271B" w:rsidP="0064271B">
      <w:pPr>
        <w:spacing w:line="288" w:lineRule="auto"/>
        <w:ind w:firstLine="431"/>
        <w:rPr>
          <w:rFonts w:eastAsia="SimHei"/>
          <w:color w:val="0000FF"/>
          <w:sz w:val="22"/>
          <w:szCs w:val="22"/>
          <w:lang w:val="es-ES"/>
        </w:rPr>
      </w:pPr>
    </w:p>
    <w:p w14:paraId="77262B95" w14:textId="455737B2" w:rsidR="0064271B" w:rsidRPr="00A018D9" w:rsidRDefault="00E31114" w:rsidP="0064271B">
      <w:pPr>
        <w:spacing w:line="288" w:lineRule="auto"/>
        <w:ind w:firstLine="431"/>
        <w:rPr>
          <w:rFonts w:eastAsia="SimHei"/>
          <w:color w:val="0000FF"/>
          <w:sz w:val="22"/>
          <w:szCs w:val="22"/>
          <w:lang w:val="es-ES"/>
        </w:rPr>
      </w:pPr>
      <w:r w:rsidRPr="00A018D9">
        <w:rPr>
          <w:rFonts w:eastAsia="SimHei"/>
          <w:color w:val="0000FF"/>
          <w:sz w:val="22"/>
          <w:szCs w:val="22"/>
          <w:lang w:val="es-ES"/>
        </w:rPr>
        <w:t>3</w:t>
      </w:r>
      <w:r w:rsidR="0064271B" w:rsidRPr="00A018D9">
        <w:rPr>
          <w:rFonts w:eastAsia="SimHei"/>
          <w:color w:val="0000FF"/>
          <w:sz w:val="22"/>
          <w:szCs w:val="22"/>
          <w:lang w:val="es-ES"/>
        </w:rPr>
        <w:t>.</w:t>
      </w:r>
      <w:r w:rsidR="0064271B" w:rsidRPr="00A018D9">
        <w:rPr>
          <w:rFonts w:eastAsia="SimHei" w:hint="eastAsia"/>
          <w:color w:val="0000FF"/>
          <w:sz w:val="22"/>
          <w:szCs w:val="22"/>
          <w:lang w:val="es-ES"/>
        </w:rPr>
        <w:t xml:space="preserve"> </w:t>
      </w:r>
      <w:r w:rsidR="00485BCC" w:rsidRPr="00A018D9">
        <w:rPr>
          <w:rFonts w:eastAsia="SimHei" w:hint="eastAsia"/>
          <w:color w:val="0000FF"/>
          <w:sz w:val="22"/>
          <w:szCs w:val="22"/>
        </w:rPr>
        <w:t>网址保留原样但相关</w:t>
      </w:r>
      <w:r w:rsidR="007C3B8F">
        <w:rPr>
          <w:rFonts w:eastAsia="SimHei" w:hint="eastAsia"/>
          <w:color w:val="0000FF"/>
          <w:sz w:val="22"/>
          <w:szCs w:val="22"/>
        </w:rPr>
        <w:t>的</w:t>
      </w:r>
      <w:r w:rsidR="00485BCC" w:rsidRPr="00A018D9">
        <w:rPr>
          <w:rFonts w:eastAsia="SimHei" w:hint="eastAsia"/>
          <w:color w:val="0000FF"/>
          <w:sz w:val="22"/>
          <w:szCs w:val="22"/>
        </w:rPr>
        <w:t>说明内容</w:t>
      </w:r>
      <w:r w:rsidR="00485BCC" w:rsidRPr="00E25044">
        <w:rPr>
          <w:rFonts w:eastAsia="SimHei" w:hint="eastAsia"/>
          <w:color w:val="0000FF"/>
          <w:sz w:val="22"/>
          <w:szCs w:val="22"/>
          <w:lang w:val="es-ES"/>
        </w:rPr>
        <w:t>（</w:t>
      </w:r>
      <w:r w:rsidR="00485BCC" w:rsidRPr="00A018D9">
        <w:rPr>
          <w:rFonts w:eastAsia="SimHei" w:hint="eastAsia"/>
          <w:color w:val="0000FF"/>
          <w:sz w:val="22"/>
          <w:szCs w:val="22"/>
        </w:rPr>
        <w:t>如</w:t>
      </w:r>
      <w:proofErr w:type="spellStart"/>
      <w:r w:rsidR="00485BCC" w:rsidRPr="00A018D9">
        <w:rPr>
          <w:rFonts w:eastAsia="SimHei"/>
          <w:color w:val="0000FF"/>
          <w:sz w:val="22"/>
          <w:szCs w:val="22"/>
          <w:lang w:val="es-ES"/>
        </w:rPr>
        <w:t>available</w:t>
      </w:r>
      <w:proofErr w:type="spellEnd"/>
      <w:r w:rsidR="00485BCC" w:rsidRPr="00A018D9">
        <w:rPr>
          <w:rFonts w:eastAsia="SimHei"/>
          <w:color w:val="0000FF"/>
          <w:sz w:val="22"/>
          <w:szCs w:val="22"/>
          <w:lang w:val="es-ES"/>
        </w:rPr>
        <w:t xml:space="preserve"> at</w:t>
      </w:r>
      <w:r w:rsidR="00485BCC" w:rsidRPr="00A018D9">
        <w:rPr>
          <w:rFonts w:eastAsia="SimHei" w:hint="eastAsia"/>
          <w:color w:val="0000FF"/>
          <w:sz w:val="22"/>
          <w:szCs w:val="22"/>
        </w:rPr>
        <w:t>或检索日期等</w:t>
      </w:r>
      <w:r w:rsidR="00485BCC" w:rsidRPr="00E25044">
        <w:rPr>
          <w:rFonts w:eastAsia="SimHei" w:hint="eastAsia"/>
          <w:color w:val="0000FF"/>
          <w:sz w:val="22"/>
          <w:szCs w:val="22"/>
          <w:lang w:val="es-ES"/>
        </w:rPr>
        <w:t>）</w:t>
      </w:r>
      <w:r w:rsidR="00485BCC" w:rsidRPr="00A018D9">
        <w:rPr>
          <w:rFonts w:eastAsia="SimHei" w:hint="eastAsia"/>
          <w:color w:val="0000FF"/>
          <w:sz w:val="22"/>
          <w:szCs w:val="22"/>
        </w:rPr>
        <w:t>译出</w:t>
      </w:r>
      <w:r w:rsidR="0064271B" w:rsidRPr="00A018D9">
        <w:rPr>
          <w:rFonts w:eastAsia="SimHei" w:hint="eastAsia"/>
          <w:color w:val="0000FF"/>
          <w:sz w:val="22"/>
          <w:szCs w:val="22"/>
        </w:rPr>
        <w:t>。</w:t>
      </w:r>
    </w:p>
    <w:p w14:paraId="04348E92" w14:textId="77777777" w:rsidR="00DE21F7" w:rsidRPr="00A018D9" w:rsidRDefault="00DE21F7" w:rsidP="003317E5">
      <w:pPr>
        <w:spacing w:after="240" w:line="288" w:lineRule="auto"/>
        <w:rPr>
          <w:sz w:val="22"/>
          <w:szCs w:val="22"/>
          <w:lang w:val="es-ES"/>
        </w:rPr>
      </w:pPr>
    </w:p>
    <w:p w14:paraId="2E743D93" w14:textId="3B27E2CC" w:rsidR="007E4D8F" w:rsidRPr="00A018D9" w:rsidRDefault="007E4D8F" w:rsidP="00DE21F7">
      <w:pPr>
        <w:spacing w:line="288" w:lineRule="auto"/>
        <w:rPr>
          <w:sz w:val="22"/>
          <w:szCs w:val="22"/>
          <w:lang w:val="es-ES"/>
        </w:rPr>
      </w:pPr>
      <w:r w:rsidRPr="00A018D9">
        <w:rPr>
          <w:sz w:val="22"/>
          <w:szCs w:val="22"/>
          <w:lang w:val="es-ES"/>
        </w:rPr>
        <w:tab/>
      </w:r>
      <w:r w:rsidRPr="00A018D9">
        <w:rPr>
          <w:rFonts w:hint="eastAsia"/>
          <w:sz w:val="22"/>
          <w:szCs w:val="22"/>
        </w:rPr>
        <w:t>例如</w:t>
      </w:r>
      <w:r w:rsidRPr="00A018D9">
        <w:rPr>
          <w:rFonts w:hint="eastAsia"/>
          <w:sz w:val="22"/>
          <w:szCs w:val="22"/>
          <w:lang w:val="es-ES"/>
        </w:rPr>
        <w:t>：</w:t>
      </w:r>
    </w:p>
    <w:p w14:paraId="3BB520B9" w14:textId="2CADFCE5" w:rsidR="0066427C" w:rsidRPr="00A018D9" w:rsidRDefault="00C17D9E" w:rsidP="003317E5">
      <w:pPr>
        <w:spacing w:line="288" w:lineRule="auto"/>
        <w:rPr>
          <w:sz w:val="22"/>
          <w:szCs w:val="22"/>
        </w:rPr>
      </w:pPr>
      <w:r w:rsidRPr="00A018D9">
        <w:rPr>
          <w:sz w:val="22"/>
          <w:szCs w:val="22"/>
        </w:rPr>
        <w:t xml:space="preserve">1.  </w:t>
      </w:r>
      <w:r w:rsidR="00402EA4" w:rsidRPr="00A018D9">
        <w:rPr>
          <w:sz w:val="22"/>
          <w:szCs w:val="22"/>
        </w:rPr>
        <w:t>A</w:t>
      </w:r>
      <w:r w:rsidR="0066427C" w:rsidRPr="00A018D9">
        <w:rPr>
          <w:sz w:val="22"/>
          <w:szCs w:val="22"/>
        </w:rPr>
        <w:t>vailable at www.imf.org/external/Pubs/ft/dsa/DSAlist.pdf (accessed 5 July 2018).</w:t>
      </w:r>
    </w:p>
    <w:p w14:paraId="2EB51BF8" w14:textId="4519473B" w:rsidR="0066427C" w:rsidRPr="00A018D9" w:rsidRDefault="00C17D9E" w:rsidP="003317E5">
      <w:pPr>
        <w:spacing w:line="288" w:lineRule="auto"/>
        <w:rPr>
          <w:sz w:val="22"/>
          <w:szCs w:val="22"/>
        </w:rPr>
      </w:pPr>
      <w:r w:rsidRPr="00A018D9">
        <w:rPr>
          <w:sz w:val="22"/>
          <w:szCs w:val="22"/>
        </w:rPr>
        <w:t xml:space="preserve">1.  </w:t>
      </w:r>
      <w:r w:rsidR="0066427C" w:rsidRPr="00A018D9">
        <w:rPr>
          <w:rFonts w:hint="eastAsia"/>
          <w:sz w:val="22"/>
          <w:szCs w:val="22"/>
        </w:rPr>
        <w:t>可查阅</w:t>
      </w:r>
      <w:r w:rsidR="0066427C" w:rsidRPr="00A018D9">
        <w:rPr>
          <w:sz w:val="22"/>
          <w:szCs w:val="22"/>
        </w:rPr>
        <w:t>www.imf.org/external/Pubs/ft/dsa/DSAlist.pdf (2018</w:t>
      </w:r>
      <w:r w:rsidR="0066427C" w:rsidRPr="00A018D9">
        <w:rPr>
          <w:rFonts w:hint="eastAsia"/>
          <w:sz w:val="22"/>
          <w:szCs w:val="22"/>
        </w:rPr>
        <w:t>年</w:t>
      </w:r>
      <w:r w:rsidR="0066427C" w:rsidRPr="00A018D9">
        <w:rPr>
          <w:sz w:val="22"/>
          <w:szCs w:val="22"/>
        </w:rPr>
        <w:t>7</w:t>
      </w:r>
      <w:r w:rsidR="0066427C" w:rsidRPr="00A018D9">
        <w:rPr>
          <w:rFonts w:hint="eastAsia"/>
          <w:sz w:val="22"/>
          <w:szCs w:val="22"/>
        </w:rPr>
        <w:t>月</w:t>
      </w:r>
      <w:r w:rsidR="0066427C" w:rsidRPr="00A018D9">
        <w:rPr>
          <w:sz w:val="22"/>
          <w:szCs w:val="22"/>
        </w:rPr>
        <w:t>5</w:t>
      </w:r>
      <w:proofErr w:type="gramStart"/>
      <w:r w:rsidR="0066427C" w:rsidRPr="00A018D9">
        <w:rPr>
          <w:rFonts w:hint="eastAsia"/>
          <w:sz w:val="22"/>
          <w:szCs w:val="22"/>
        </w:rPr>
        <w:t>日访问</w:t>
      </w:r>
      <w:r w:rsidR="0066427C" w:rsidRPr="00A018D9">
        <w:rPr>
          <w:sz w:val="22"/>
          <w:szCs w:val="22"/>
        </w:rPr>
        <w:t>)</w:t>
      </w:r>
      <w:r w:rsidR="0066427C" w:rsidRPr="00A018D9">
        <w:rPr>
          <w:rFonts w:hint="eastAsia"/>
          <w:sz w:val="22"/>
          <w:szCs w:val="22"/>
        </w:rPr>
        <w:t>。</w:t>
      </w:r>
      <w:proofErr w:type="gramEnd"/>
    </w:p>
    <w:p w14:paraId="75CE7E98" w14:textId="77777777" w:rsidR="00E31114" w:rsidRPr="00A018D9" w:rsidRDefault="00E31114" w:rsidP="003317E5">
      <w:pPr>
        <w:spacing w:line="288" w:lineRule="auto"/>
        <w:rPr>
          <w:sz w:val="22"/>
          <w:szCs w:val="22"/>
        </w:rPr>
      </w:pPr>
    </w:p>
    <w:p w14:paraId="1683B59B" w14:textId="0DE5FF64" w:rsidR="00E31114" w:rsidRPr="00A018D9" w:rsidRDefault="00E31114" w:rsidP="00E31114">
      <w:pPr>
        <w:spacing w:line="288" w:lineRule="auto"/>
        <w:ind w:firstLine="431"/>
        <w:rPr>
          <w:rFonts w:eastAsia="SimHei"/>
          <w:color w:val="0000FF"/>
          <w:sz w:val="22"/>
          <w:szCs w:val="22"/>
        </w:rPr>
      </w:pPr>
      <w:r w:rsidRPr="00A018D9">
        <w:rPr>
          <w:rFonts w:eastAsia="SimHei"/>
          <w:color w:val="0000FF"/>
          <w:sz w:val="22"/>
          <w:szCs w:val="22"/>
        </w:rPr>
        <w:t xml:space="preserve">4. </w:t>
      </w:r>
      <w:r w:rsidR="00D33BD8" w:rsidRPr="00A018D9">
        <w:rPr>
          <w:rFonts w:eastAsia="SimHei" w:hint="eastAsia"/>
          <w:color w:val="0000FF"/>
          <w:sz w:val="22"/>
          <w:szCs w:val="22"/>
        </w:rPr>
        <w:t>“</w:t>
      </w:r>
      <w:proofErr w:type="gramStart"/>
      <w:r w:rsidR="00D33BD8" w:rsidRPr="00A018D9">
        <w:rPr>
          <w:rFonts w:eastAsia="SimHei"/>
          <w:color w:val="0000FF"/>
          <w:sz w:val="22"/>
          <w:szCs w:val="22"/>
        </w:rPr>
        <w:t>See</w:t>
      </w:r>
      <w:r w:rsidR="00D33BD8" w:rsidRPr="00A018D9">
        <w:rPr>
          <w:rFonts w:eastAsia="SimHei" w:hint="eastAsia"/>
          <w:color w:val="0000FF"/>
          <w:sz w:val="22"/>
          <w:szCs w:val="22"/>
        </w:rPr>
        <w:t>”均译为</w:t>
      </w:r>
      <w:proofErr w:type="gramEnd"/>
      <w:r w:rsidR="00D33BD8" w:rsidRPr="00A018D9">
        <w:rPr>
          <w:rFonts w:eastAsia="SimHei" w:hint="eastAsia"/>
          <w:color w:val="0000FF"/>
          <w:sz w:val="22"/>
          <w:szCs w:val="22"/>
        </w:rPr>
        <w:t>“见”，不论后</w:t>
      </w:r>
      <w:r w:rsidR="00AF69A5">
        <w:rPr>
          <w:rFonts w:eastAsia="SimHei" w:hint="eastAsia"/>
          <w:color w:val="0000FF"/>
          <w:sz w:val="22"/>
          <w:szCs w:val="22"/>
        </w:rPr>
        <w:t>边</w:t>
      </w:r>
      <w:r w:rsidR="00D33BD8" w:rsidRPr="00A018D9">
        <w:rPr>
          <w:rFonts w:eastAsia="SimHei" w:hint="eastAsia"/>
          <w:color w:val="0000FF"/>
          <w:sz w:val="22"/>
          <w:szCs w:val="22"/>
        </w:rPr>
        <w:t>内容是否译出</w:t>
      </w:r>
      <w:r w:rsidRPr="00A018D9">
        <w:rPr>
          <w:rFonts w:eastAsia="SimHei" w:hint="eastAsia"/>
          <w:color w:val="0000FF"/>
          <w:sz w:val="22"/>
          <w:szCs w:val="22"/>
        </w:rPr>
        <w:t>。</w:t>
      </w:r>
    </w:p>
    <w:p w14:paraId="55DAC0EA" w14:textId="77777777" w:rsidR="00E31114" w:rsidRPr="00A018D9" w:rsidRDefault="00E31114" w:rsidP="00E31114">
      <w:pPr>
        <w:spacing w:line="288" w:lineRule="auto"/>
        <w:ind w:firstLine="431"/>
        <w:rPr>
          <w:rFonts w:eastAsia="SimHei"/>
          <w:color w:val="0000FF"/>
          <w:sz w:val="22"/>
          <w:szCs w:val="22"/>
        </w:rPr>
      </w:pPr>
    </w:p>
    <w:p w14:paraId="4427C765" w14:textId="77777777" w:rsidR="00E31114" w:rsidRPr="00A018D9" w:rsidRDefault="00E31114" w:rsidP="00E31114">
      <w:pPr>
        <w:spacing w:line="288" w:lineRule="auto"/>
        <w:rPr>
          <w:sz w:val="22"/>
          <w:szCs w:val="22"/>
        </w:rPr>
      </w:pPr>
      <w:r w:rsidRPr="00A018D9">
        <w:rPr>
          <w:sz w:val="22"/>
          <w:szCs w:val="22"/>
        </w:rPr>
        <w:lastRenderedPageBreak/>
        <w:tab/>
      </w:r>
      <w:r w:rsidRPr="00A018D9">
        <w:rPr>
          <w:rFonts w:hint="eastAsia"/>
          <w:sz w:val="22"/>
          <w:szCs w:val="22"/>
        </w:rPr>
        <w:t>示例见上文。</w:t>
      </w:r>
    </w:p>
    <w:p w14:paraId="60197F85" w14:textId="77777777" w:rsidR="001A42DB" w:rsidRPr="00A018D9" w:rsidRDefault="001A42DB" w:rsidP="003317E5">
      <w:pPr>
        <w:spacing w:line="288" w:lineRule="auto"/>
        <w:rPr>
          <w:sz w:val="22"/>
          <w:szCs w:val="22"/>
        </w:rPr>
      </w:pPr>
    </w:p>
    <w:p w14:paraId="164F6DA4" w14:textId="65224FF5" w:rsidR="00847894" w:rsidRPr="00A018D9" w:rsidRDefault="00847894" w:rsidP="003317E5">
      <w:pPr>
        <w:spacing w:line="288" w:lineRule="auto"/>
        <w:rPr>
          <w:sz w:val="22"/>
          <w:szCs w:val="22"/>
        </w:rPr>
      </w:pPr>
    </w:p>
    <w:p w14:paraId="5CB0EEB5" w14:textId="2E7CFE30" w:rsidR="00DE21F7" w:rsidRPr="00A018D9" w:rsidRDefault="00DE21F7" w:rsidP="00FD1BD2">
      <w:pPr>
        <w:spacing w:line="288" w:lineRule="auto"/>
        <w:jc w:val="left"/>
        <w:rPr>
          <w:rFonts w:eastAsia="SimHei"/>
          <w:color w:val="0000FF"/>
          <w:sz w:val="22"/>
          <w:szCs w:val="22"/>
          <w:u w:val="single"/>
        </w:rPr>
      </w:pPr>
      <w:r w:rsidRPr="00A018D9">
        <w:rPr>
          <w:rFonts w:eastAsia="SimHei" w:hint="eastAsia"/>
          <w:color w:val="0000FF"/>
          <w:sz w:val="22"/>
          <w:szCs w:val="22"/>
          <w:u w:val="single"/>
        </w:rPr>
        <w:t>其他指南</w:t>
      </w:r>
    </w:p>
    <w:p w14:paraId="47CEE0D2" w14:textId="6693BC2B" w:rsidR="00556BAF" w:rsidRPr="00A018D9" w:rsidRDefault="00556BAF" w:rsidP="00DE21F7">
      <w:pPr>
        <w:spacing w:line="288" w:lineRule="auto"/>
        <w:ind w:firstLine="431"/>
        <w:jc w:val="center"/>
        <w:rPr>
          <w:rFonts w:eastAsia="SimHei"/>
          <w:color w:val="0000FF"/>
          <w:sz w:val="22"/>
          <w:szCs w:val="22"/>
        </w:rPr>
      </w:pPr>
    </w:p>
    <w:p w14:paraId="23CFCD4A" w14:textId="77777777" w:rsidR="006668D9" w:rsidRPr="00A018D9" w:rsidRDefault="006668D9" w:rsidP="006668D9">
      <w:pPr>
        <w:spacing w:line="288" w:lineRule="auto"/>
        <w:ind w:firstLine="431"/>
        <w:rPr>
          <w:rFonts w:eastAsia="SimHei"/>
          <w:color w:val="0000FF"/>
          <w:sz w:val="22"/>
          <w:szCs w:val="22"/>
        </w:rPr>
      </w:pPr>
      <w:r w:rsidRPr="00A018D9">
        <w:rPr>
          <w:rFonts w:eastAsia="SimHei" w:hint="eastAsia"/>
          <w:color w:val="0000FF"/>
          <w:sz w:val="22"/>
          <w:szCs w:val="22"/>
        </w:rPr>
        <w:t>1</w:t>
      </w:r>
      <w:r w:rsidRPr="00A018D9">
        <w:rPr>
          <w:rFonts w:eastAsia="SimHei"/>
          <w:color w:val="0000FF"/>
          <w:sz w:val="22"/>
          <w:szCs w:val="22"/>
        </w:rPr>
        <w:t xml:space="preserve">. </w:t>
      </w:r>
      <w:r>
        <w:rPr>
          <w:rFonts w:eastAsia="SimHei" w:hint="eastAsia"/>
          <w:color w:val="0000FF"/>
          <w:sz w:val="22"/>
          <w:szCs w:val="22"/>
        </w:rPr>
        <w:t>脚注中的</w:t>
      </w:r>
      <w:r w:rsidRPr="00A018D9">
        <w:rPr>
          <w:rFonts w:eastAsia="SimHei" w:hint="eastAsia"/>
          <w:color w:val="0000FF"/>
          <w:sz w:val="22"/>
          <w:szCs w:val="22"/>
        </w:rPr>
        <w:t>页码一律照抄原文页码。</w:t>
      </w:r>
    </w:p>
    <w:p w14:paraId="76035C15" w14:textId="77777777" w:rsidR="006668D9" w:rsidRPr="00A018D9" w:rsidRDefault="006668D9" w:rsidP="006668D9">
      <w:pPr>
        <w:spacing w:line="288" w:lineRule="auto"/>
        <w:ind w:firstLine="431"/>
        <w:rPr>
          <w:rFonts w:eastAsia="SimHei"/>
          <w:color w:val="0000FF"/>
          <w:sz w:val="22"/>
          <w:szCs w:val="22"/>
        </w:rPr>
      </w:pPr>
      <w:r w:rsidRPr="00A018D9">
        <w:rPr>
          <w:rFonts w:eastAsia="SimHei" w:hint="eastAsia"/>
          <w:color w:val="0000FF"/>
          <w:sz w:val="22"/>
          <w:szCs w:val="22"/>
        </w:rPr>
        <w:t>2</w:t>
      </w:r>
      <w:r w:rsidRPr="00A018D9">
        <w:rPr>
          <w:rFonts w:eastAsia="SimHei"/>
          <w:color w:val="0000FF"/>
          <w:sz w:val="22"/>
          <w:szCs w:val="22"/>
        </w:rPr>
        <w:t xml:space="preserve">. </w:t>
      </w:r>
      <w:r w:rsidRPr="00A018D9">
        <w:rPr>
          <w:rFonts w:eastAsia="SimHei" w:hint="eastAsia"/>
          <w:color w:val="0000FF"/>
          <w:sz w:val="22"/>
          <w:szCs w:val="22"/>
        </w:rPr>
        <w:t>重要出版物出售品编号有中文版</w:t>
      </w:r>
      <w:r>
        <w:rPr>
          <w:rFonts w:eastAsia="SimHei" w:hint="eastAsia"/>
          <w:color w:val="0000FF"/>
          <w:sz w:val="22"/>
          <w:szCs w:val="22"/>
        </w:rPr>
        <w:t>编号</w:t>
      </w:r>
      <w:r w:rsidRPr="00A018D9">
        <w:rPr>
          <w:rFonts w:eastAsia="SimHei" w:hint="eastAsia"/>
          <w:color w:val="0000FF"/>
          <w:sz w:val="22"/>
          <w:szCs w:val="22"/>
        </w:rPr>
        <w:t>的用中文版，否则用原文编号。</w:t>
      </w:r>
    </w:p>
    <w:p w14:paraId="79F0876A" w14:textId="77777777" w:rsidR="006668D9" w:rsidRPr="00A018D9" w:rsidRDefault="006668D9" w:rsidP="006668D9">
      <w:pPr>
        <w:spacing w:line="288" w:lineRule="auto"/>
        <w:ind w:firstLine="431"/>
        <w:rPr>
          <w:rFonts w:eastAsia="SimHei"/>
          <w:color w:val="0000FF"/>
          <w:sz w:val="22"/>
          <w:szCs w:val="22"/>
        </w:rPr>
      </w:pPr>
      <w:r w:rsidRPr="00A018D9">
        <w:rPr>
          <w:rFonts w:eastAsia="SimHei" w:hint="eastAsia"/>
          <w:color w:val="0000FF"/>
          <w:sz w:val="22"/>
          <w:szCs w:val="22"/>
        </w:rPr>
        <w:t>3</w:t>
      </w:r>
      <w:r w:rsidRPr="00A018D9">
        <w:rPr>
          <w:rFonts w:eastAsia="SimHei"/>
          <w:color w:val="0000FF"/>
          <w:sz w:val="22"/>
          <w:szCs w:val="22"/>
        </w:rPr>
        <w:t xml:space="preserve">. </w:t>
      </w:r>
      <w:r w:rsidRPr="00A018D9">
        <w:rPr>
          <w:rFonts w:eastAsia="SimHei" w:hint="eastAsia"/>
          <w:color w:val="0000FF"/>
          <w:sz w:val="22"/>
          <w:szCs w:val="22"/>
        </w:rPr>
        <w:t>含中文字的句子用中文句号。不译的句子保留原文句号。</w:t>
      </w:r>
    </w:p>
    <w:p w14:paraId="1B87DC08" w14:textId="77777777" w:rsidR="006668D9" w:rsidRPr="00A018D9" w:rsidRDefault="006668D9" w:rsidP="006668D9">
      <w:pPr>
        <w:spacing w:line="288" w:lineRule="auto"/>
        <w:ind w:firstLine="431"/>
        <w:rPr>
          <w:rFonts w:eastAsia="SimHei"/>
          <w:color w:val="0000FF"/>
          <w:sz w:val="22"/>
          <w:szCs w:val="22"/>
        </w:rPr>
      </w:pPr>
      <w:r w:rsidRPr="00A018D9">
        <w:rPr>
          <w:rFonts w:eastAsia="SimHei" w:hint="eastAsia"/>
          <w:color w:val="0000FF"/>
          <w:sz w:val="22"/>
          <w:szCs w:val="22"/>
        </w:rPr>
        <w:t>4</w:t>
      </w:r>
      <w:r w:rsidRPr="00A018D9">
        <w:rPr>
          <w:rFonts w:eastAsia="SimHei"/>
          <w:color w:val="0000FF"/>
          <w:sz w:val="22"/>
          <w:szCs w:val="22"/>
        </w:rPr>
        <w:t xml:space="preserve">. </w:t>
      </w:r>
      <w:r w:rsidRPr="00A018D9">
        <w:rPr>
          <w:rFonts w:eastAsia="SimHei" w:hint="eastAsia"/>
          <w:color w:val="0000FF"/>
          <w:sz w:val="22"/>
          <w:szCs w:val="22"/>
        </w:rPr>
        <w:t>脚注编号和数量不变。一句话含多个脚注时，尽可能保留原顺序。</w:t>
      </w:r>
    </w:p>
    <w:p w14:paraId="4610CF63" w14:textId="77777777" w:rsidR="006668D9" w:rsidRPr="00A018D9" w:rsidRDefault="006668D9" w:rsidP="006668D9">
      <w:pPr>
        <w:spacing w:line="288" w:lineRule="auto"/>
        <w:rPr>
          <w:rFonts w:eastAsia="SimHei"/>
          <w:color w:val="0000FF"/>
          <w:sz w:val="22"/>
          <w:szCs w:val="22"/>
        </w:rPr>
      </w:pPr>
      <w:r w:rsidRPr="00A018D9">
        <w:rPr>
          <w:rFonts w:eastAsia="SimHei"/>
          <w:color w:val="0000FF"/>
          <w:sz w:val="22"/>
          <w:szCs w:val="22"/>
        </w:rPr>
        <w:tab/>
      </w:r>
      <w:r w:rsidRPr="00A018D9">
        <w:rPr>
          <w:rFonts w:eastAsia="SimHei" w:hint="eastAsia"/>
          <w:color w:val="0000FF"/>
          <w:sz w:val="22"/>
          <w:szCs w:val="22"/>
        </w:rPr>
        <w:t>5</w:t>
      </w:r>
      <w:r w:rsidRPr="00A018D9">
        <w:rPr>
          <w:rFonts w:eastAsia="SimHei"/>
          <w:color w:val="0000FF"/>
          <w:sz w:val="22"/>
          <w:szCs w:val="22"/>
        </w:rPr>
        <w:t xml:space="preserve">. </w:t>
      </w:r>
      <w:r w:rsidRPr="00A018D9">
        <w:rPr>
          <w:rFonts w:eastAsia="SimHei" w:hint="eastAsia"/>
          <w:color w:val="0000FF"/>
          <w:sz w:val="22"/>
          <w:szCs w:val="22"/>
        </w:rPr>
        <w:t>尾注、表注及图注参照上述指南处理，除非另有要求。</w:t>
      </w:r>
    </w:p>
    <w:p w14:paraId="706249C2" w14:textId="05B49CEE" w:rsidR="00DE21F7" w:rsidRPr="006668D9" w:rsidRDefault="00DE21F7" w:rsidP="003317E5">
      <w:pPr>
        <w:spacing w:line="288" w:lineRule="auto"/>
        <w:rPr>
          <w:sz w:val="22"/>
          <w:szCs w:val="22"/>
        </w:rPr>
      </w:pPr>
    </w:p>
    <w:p w14:paraId="24BDB15E" w14:textId="02505CB7" w:rsidR="00345695" w:rsidRPr="00A018D9" w:rsidRDefault="00153543" w:rsidP="00345695">
      <w:pPr>
        <w:spacing w:line="288" w:lineRule="auto"/>
        <w:ind w:firstLine="431"/>
        <w:jc w:val="left"/>
        <w:rPr>
          <w:rFonts w:eastAsia="SimHei"/>
          <w:sz w:val="22"/>
          <w:szCs w:val="22"/>
        </w:rPr>
      </w:pPr>
      <w:r w:rsidRPr="00A018D9">
        <w:rPr>
          <w:sz w:val="22"/>
          <w:szCs w:val="22"/>
        </w:rPr>
        <w:tab/>
      </w:r>
      <w:r w:rsidR="00345695" w:rsidRPr="00A018D9">
        <w:rPr>
          <w:rFonts w:hint="eastAsia"/>
          <w:sz w:val="22"/>
          <w:szCs w:val="22"/>
        </w:rPr>
        <w:t>（</w:t>
      </w:r>
      <w:r w:rsidR="00E72FD7">
        <w:rPr>
          <w:rFonts w:hint="eastAsia"/>
          <w:sz w:val="22"/>
          <w:szCs w:val="22"/>
        </w:rPr>
        <w:t>其他指南的</w:t>
      </w:r>
      <w:r w:rsidR="00345695" w:rsidRPr="00A018D9">
        <w:rPr>
          <w:rFonts w:hint="eastAsia"/>
          <w:sz w:val="22"/>
          <w:szCs w:val="22"/>
        </w:rPr>
        <w:t>示例从略</w:t>
      </w:r>
      <w:r w:rsidR="00345695" w:rsidRPr="00A018D9">
        <w:rPr>
          <w:rFonts w:eastAsia="SimHei" w:hint="eastAsia"/>
          <w:sz w:val="22"/>
          <w:szCs w:val="22"/>
        </w:rPr>
        <w:t>）</w:t>
      </w:r>
    </w:p>
    <w:p w14:paraId="0C212CEA" w14:textId="77777777" w:rsidR="006171B7" w:rsidRPr="00C9289D" w:rsidRDefault="006171B7" w:rsidP="003317E5">
      <w:pPr>
        <w:spacing w:line="288" w:lineRule="auto"/>
        <w:ind w:firstLine="431"/>
        <w:rPr>
          <w:sz w:val="22"/>
          <w:szCs w:val="22"/>
        </w:rPr>
      </w:pPr>
    </w:p>
    <w:p w14:paraId="191CE9C8" w14:textId="77777777" w:rsidR="00D053DB" w:rsidRPr="00A018D9" w:rsidRDefault="00D053DB" w:rsidP="003317E5">
      <w:pPr>
        <w:spacing w:line="288" w:lineRule="auto"/>
        <w:rPr>
          <w:sz w:val="22"/>
          <w:szCs w:val="22"/>
        </w:rPr>
      </w:pPr>
    </w:p>
    <w:p w14:paraId="2EE2A7D9" w14:textId="77777777" w:rsidR="00FB5536" w:rsidRPr="00A018D9" w:rsidRDefault="00FB5536" w:rsidP="003317E5">
      <w:pPr>
        <w:spacing w:line="288" w:lineRule="auto"/>
        <w:rPr>
          <w:sz w:val="22"/>
          <w:szCs w:val="22"/>
        </w:rPr>
      </w:pPr>
    </w:p>
    <w:p w14:paraId="17C4D3F5" w14:textId="5210E010" w:rsidR="00366BF8" w:rsidRPr="00A018D9" w:rsidRDefault="00AE351E" w:rsidP="003317E5">
      <w:pPr>
        <w:spacing w:line="288" w:lineRule="auto"/>
        <w:jc w:val="right"/>
        <w:rPr>
          <w:sz w:val="22"/>
          <w:szCs w:val="22"/>
        </w:rPr>
      </w:pPr>
      <w:r w:rsidRPr="00A018D9">
        <w:rPr>
          <w:sz w:val="22"/>
          <w:szCs w:val="22"/>
        </w:rPr>
        <w:t>2019</w:t>
      </w:r>
      <w:r w:rsidRPr="00A018D9">
        <w:rPr>
          <w:rFonts w:hint="eastAsia"/>
          <w:sz w:val="22"/>
          <w:szCs w:val="22"/>
        </w:rPr>
        <w:t>年</w:t>
      </w:r>
      <w:r w:rsidRPr="00A018D9">
        <w:rPr>
          <w:sz w:val="22"/>
          <w:szCs w:val="22"/>
        </w:rPr>
        <w:t>1</w:t>
      </w:r>
      <w:r w:rsidR="00B77306" w:rsidRPr="00A018D9">
        <w:rPr>
          <w:rFonts w:hint="eastAsia"/>
          <w:sz w:val="22"/>
          <w:szCs w:val="22"/>
        </w:rPr>
        <w:t>2</w:t>
      </w:r>
      <w:r w:rsidRPr="00A018D9">
        <w:rPr>
          <w:rFonts w:hint="eastAsia"/>
          <w:sz w:val="22"/>
          <w:szCs w:val="22"/>
        </w:rPr>
        <w:t>月</w:t>
      </w:r>
      <w:r w:rsidR="00270489" w:rsidRPr="00A018D9">
        <w:rPr>
          <w:rFonts w:hint="eastAsia"/>
          <w:sz w:val="22"/>
          <w:szCs w:val="22"/>
        </w:rPr>
        <w:t>13</w:t>
      </w:r>
      <w:r w:rsidRPr="00A018D9">
        <w:rPr>
          <w:rFonts w:hint="eastAsia"/>
          <w:sz w:val="22"/>
          <w:szCs w:val="22"/>
        </w:rPr>
        <w:t>日</w:t>
      </w:r>
    </w:p>
    <w:p w14:paraId="05B89876" w14:textId="15BD95DA" w:rsidR="00315AA7" w:rsidRPr="00A018D9" w:rsidRDefault="00315AA7" w:rsidP="003317E5">
      <w:pPr>
        <w:spacing w:line="288" w:lineRule="auto"/>
        <w:jc w:val="right"/>
        <w:rPr>
          <w:sz w:val="22"/>
          <w:szCs w:val="22"/>
        </w:rPr>
      </w:pPr>
    </w:p>
    <w:p w14:paraId="495678A5" w14:textId="77777777" w:rsidR="00A06646" w:rsidRPr="00A018D9" w:rsidRDefault="00A06646" w:rsidP="003317E5">
      <w:pPr>
        <w:spacing w:line="288" w:lineRule="auto"/>
        <w:jc w:val="left"/>
        <w:rPr>
          <w:sz w:val="22"/>
          <w:szCs w:val="22"/>
        </w:rPr>
      </w:pPr>
    </w:p>
    <w:sectPr w:rsidR="00A06646" w:rsidRPr="00A018D9" w:rsidSect="0018139A">
      <w:footerReference w:type="default" r:id="rId24"/>
      <w:pgSz w:w="11901" w:h="16817" w:code="9"/>
      <w:pgMar w:top="1418" w:right="1701" w:bottom="1418" w:left="1701"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79832" w14:textId="77777777" w:rsidR="00497267" w:rsidRDefault="00497267">
      <w:pPr>
        <w:spacing w:line="240" w:lineRule="auto"/>
      </w:pPr>
      <w:r>
        <w:separator/>
      </w:r>
    </w:p>
  </w:endnote>
  <w:endnote w:type="continuationSeparator" w:id="0">
    <w:p w14:paraId="3C16B2E7" w14:textId="77777777" w:rsidR="00497267" w:rsidRDefault="004972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楷体">
    <w:altName w:val="Microsoft YaHei"/>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224449"/>
      <w:docPartObj>
        <w:docPartGallery w:val="Page Numbers (Bottom of Page)"/>
        <w:docPartUnique/>
      </w:docPartObj>
    </w:sdtPr>
    <w:sdtEndPr/>
    <w:sdtContent>
      <w:p w14:paraId="3AC4F64A" w14:textId="169E9953" w:rsidR="003E11CE" w:rsidRDefault="003E11CE">
        <w:pPr>
          <w:pStyle w:val="Pieddepage"/>
          <w:jc w:val="right"/>
        </w:pPr>
        <w:r>
          <w:fldChar w:fldCharType="begin"/>
        </w:r>
        <w:r>
          <w:instrText>PAGE   \* MERGEFORMAT</w:instrText>
        </w:r>
        <w:r>
          <w:fldChar w:fldCharType="separate"/>
        </w:r>
        <w:r>
          <w:rPr>
            <w:lang w:val="zh-CN" w:eastAsia="zh-CN"/>
          </w:rPr>
          <w:t>2</w:t>
        </w:r>
        <w:r>
          <w:fldChar w:fldCharType="end"/>
        </w:r>
      </w:p>
    </w:sdtContent>
  </w:sdt>
  <w:p w14:paraId="593FD372" w14:textId="77777777" w:rsidR="002C0F9A" w:rsidRDefault="002C0F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70A92" w14:textId="77777777" w:rsidR="00497267" w:rsidRDefault="00497267">
      <w:pPr>
        <w:spacing w:line="240" w:lineRule="auto"/>
      </w:pPr>
      <w:r>
        <w:separator/>
      </w:r>
    </w:p>
  </w:footnote>
  <w:footnote w:type="continuationSeparator" w:id="0">
    <w:p w14:paraId="2CA97A11" w14:textId="77777777" w:rsidR="00497267" w:rsidRDefault="004972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1"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bordersDoNotSurroundHeader/>
  <w:bordersDoNotSurroundFooter/>
  <w:proofState w:spelling="clean" w:grammar="clean"/>
  <w:defaultTabStop w:val="425"/>
  <w:drawingGridVerticalSpacing w:val="156"/>
  <w:displayHorizontalDrawingGridEvery w:val="0"/>
  <w:displayVerticalDrawingGridEvery w:val="2"/>
  <w:characterSpacingControl w:val="doNotCompress"/>
  <w:hdrShapeDefaults>
    <o:shapedefaults v:ext="edit" spidmax="18433"/>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F9"/>
    <w:rsid w:val="00003867"/>
    <w:rsid w:val="000102EC"/>
    <w:rsid w:val="0001036C"/>
    <w:rsid w:val="000111A3"/>
    <w:rsid w:val="0001188C"/>
    <w:rsid w:val="000165CF"/>
    <w:rsid w:val="000173CD"/>
    <w:rsid w:val="00025632"/>
    <w:rsid w:val="00026DED"/>
    <w:rsid w:val="00027016"/>
    <w:rsid w:val="0003009D"/>
    <w:rsid w:val="00031378"/>
    <w:rsid w:val="00031C5F"/>
    <w:rsid w:val="000336D2"/>
    <w:rsid w:val="00034FED"/>
    <w:rsid w:val="000376B2"/>
    <w:rsid w:val="00037FBB"/>
    <w:rsid w:val="00041721"/>
    <w:rsid w:val="0004490D"/>
    <w:rsid w:val="00052214"/>
    <w:rsid w:val="000538FF"/>
    <w:rsid w:val="00055DC2"/>
    <w:rsid w:val="00056F96"/>
    <w:rsid w:val="00065A08"/>
    <w:rsid w:val="00067679"/>
    <w:rsid w:val="00067FC5"/>
    <w:rsid w:val="00070EF6"/>
    <w:rsid w:val="00072DDB"/>
    <w:rsid w:val="00073899"/>
    <w:rsid w:val="00074279"/>
    <w:rsid w:val="0007582F"/>
    <w:rsid w:val="0008085F"/>
    <w:rsid w:val="00080AA8"/>
    <w:rsid w:val="00081870"/>
    <w:rsid w:val="00087F72"/>
    <w:rsid w:val="00091FED"/>
    <w:rsid w:val="00093730"/>
    <w:rsid w:val="00093F19"/>
    <w:rsid w:val="00096717"/>
    <w:rsid w:val="00096977"/>
    <w:rsid w:val="00097EB8"/>
    <w:rsid w:val="000A55EF"/>
    <w:rsid w:val="000A6D71"/>
    <w:rsid w:val="000B0295"/>
    <w:rsid w:val="000B30A5"/>
    <w:rsid w:val="000B4549"/>
    <w:rsid w:val="000B5713"/>
    <w:rsid w:val="000B5F07"/>
    <w:rsid w:val="000C512B"/>
    <w:rsid w:val="000C7E03"/>
    <w:rsid w:val="000D1351"/>
    <w:rsid w:val="000D1576"/>
    <w:rsid w:val="000D2B69"/>
    <w:rsid w:val="000D38F2"/>
    <w:rsid w:val="000D4722"/>
    <w:rsid w:val="000E45FC"/>
    <w:rsid w:val="000E4E1E"/>
    <w:rsid w:val="000E54A5"/>
    <w:rsid w:val="000E5FAB"/>
    <w:rsid w:val="000E7EAB"/>
    <w:rsid w:val="000F0101"/>
    <w:rsid w:val="000F1E72"/>
    <w:rsid w:val="000F226B"/>
    <w:rsid w:val="000F73D5"/>
    <w:rsid w:val="00101D21"/>
    <w:rsid w:val="00103CB1"/>
    <w:rsid w:val="0010696E"/>
    <w:rsid w:val="00106F6F"/>
    <w:rsid w:val="00107773"/>
    <w:rsid w:val="0011062F"/>
    <w:rsid w:val="0011160A"/>
    <w:rsid w:val="00113A14"/>
    <w:rsid w:val="001146DF"/>
    <w:rsid w:val="00115EC4"/>
    <w:rsid w:val="001208BF"/>
    <w:rsid w:val="001228CB"/>
    <w:rsid w:val="001247F6"/>
    <w:rsid w:val="0012542A"/>
    <w:rsid w:val="00125A9C"/>
    <w:rsid w:val="00131054"/>
    <w:rsid w:val="00134BF2"/>
    <w:rsid w:val="00141F56"/>
    <w:rsid w:val="001446AD"/>
    <w:rsid w:val="001452F6"/>
    <w:rsid w:val="00146BBD"/>
    <w:rsid w:val="00147664"/>
    <w:rsid w:val="00147773"/>
    <w:rsid w:val="00147E1E"/>
    <w:rsid w:val="00151214"/>
    <w:rsid w:val="001512A8"/>
    <w:rsid w:val="00151F48"/>
    <w:rsid w:val="00152D3D"/>
    <w:rsid w:val="00153543"/>
    <w:rsid w:val="00153DEE"/>
    <w:rsid w:val="00160BB2"/>
    <w:rsid w:val="00161F4F"/>
    <w:rsid w:val="00165CC6"/>
    <w:rsid w:val="00167CE6"/>
    <w:rsid w:val="00170168"/>
    <w:rsid w:val="00173380"/>
    <w:rsid w:val="00175697"/>
    <w:rsid w:val="00176FB5"/>
    <w:rsid w:val="00177473"/>
    <w:rsid w:val="0018028E"/>
    <w:rsid w:val="0018139A"/>
    <w:rsid w:val="001845AA"/>
    <w:rsid w:val="00187054"/>
    <w:rsid w:val="001875E9"/>
    <w:rsid w:val="001959AF"/>
    <w:rsid w:val="00195E63"/>
    <w:rsid w:val="001A0CD5"/>
    <w:rsid w:val="001A140F"/>
    <w:rsid w:val="001A42DB"/>
    <w:rsid w:val="001A676D"/>
    <w:rsid w:val="001A7DB1"/>
    <w:rsid w:val="001B27AF"/>
    <w:rsid w:val="001B34FF"/>
    <w:rsid w:val="001B6D5E"/>
    <w:rsid w:val="001C15AF"/>
    <w:rsid w:val="001C3EC5"/>
    <w:rsid w:val="001C4C2D"/>
    <w:rsid w:val="001C56DD"/>
    <w:rsid w:val="001C65EF"/>
    <w:rsid w:val="001C6BD0"/>
    <w:rsid w:val="001D01E9"/>
    <w:rsid w:val="001D032C"/>
    <w:rsid w:val="001D0D1E"/>
    <w:rsid w:val="001D2B57"/>
    <w:rsid w:val="001E0C7B"/>
    <w:rsid w:val="001E309C"/>
    <w:rsid w:val="001E31C9"/>
    <w:rsid w:val="001E3996"/>
    <w:rsid w:val="001E43D8"/>
    <w:rsid w:val="001E5130"/>
    <w:rsid w:val="001E518A"/>
    <w:rsid w:val="001E605F"/>
    <w:rsid w:val="001E6ED1"/>
    <w:rsid w:val="001F21D1"/>
    <w:rsid w:val="001F33B9"/>
    <w:rsid w:val="001F33E9"/>
    <w:rsid w:val="001F48D5"/>
    <w:rsid w:val="001F5D99"/>
    <w:rsid w:val="001F7B74"/>
    <w:rsid w:val="00200D78"/>
    <w:rsid w:val="00200F91"/>
    <w:rsid w:val="00202DEB"/>
    <w:rsid w:val="00203986"/>
    <w:rsid w:val="00204200"/>
    <w:rsid w:val="002045EC"/>
    <w:rsid w:val="00210E93"/>
    <w:rsid w:val="00212937"/>
    <w:rsid w:val="00214C1C"/>
    <w:rsid w:val="0021576A"/>
    <w:rsid w:val="00216769"/>
    <w:rsid w:val="00216D80"/>
    <w:rsid w:val="0022143E"/>
    <w:rsid w:val="00227FC1"/>
    <w:rsid w:val="00232609"/>
    <w:rsid w:val="002326A2"/>
    <w:rsid w:val="002326A5"/>
    <w:rsid w:val="00234455"/>
    <w:rsid w:val="002375CF"/>
    <w:rsid w:val="00241F2B"/>
    <w:rsid w:val="00242654"/>
    <w:rsid w:val="0024311A"/>
    <w:rsid w:val="0024524D"/>
    <w:rsid w:val="00245FAA"/>
    <w:rsid w:val="00250C3C"/>
    <w:rsid w:val="00251270"/>
    <w:rsid w:val="00253361"/>
    <w:rsid w:val="002536BC"/>
    <w:rsid w:val="00256A0F"/>
    <w:rsid w:val="00256ABA"/>
    <w:rsid w:val="0026052A"/>
    <w:rsid w:val="002624EA"/>
    <w:rsid w:val="00263ACE"/>
    <w:rsid w:val="00264298"/>
    <w:rsid w:val="0026429A"/>
    <w:rsid w:val="00270489"/>
    <w:rsid w:val="0027084A"/>
    <w:rsid w:val="00270AE4"/>
    <w:rsid w:val="00274796"/>
    <w:rsid w:val="00280C6D"/>
    <w:rsid w:val="00281149"/>
    <w:rsid w:val="002825B6"/>
    <w:rsid w:val="002825D5"/>
    <w:rsid w:val="00292BF4"/>
    <w:rsid w:val="00292ED1"/>
    <w:rsid w:val="00293C41"/>
    <w:rsid w:val="0029404A"/>
    <w:rsid w:val="00294400"/>
    <w:rsid w:val="00294D58"/>
    <w:rsid w:val="00295116"/>
    <w:rsid w:val="002A0853"/>
    <w:rsid w:val="002A1A5B"/>
    <w:rsid w:val="002A3FA1"/>
    <w:rsid w:val="002A469F"/>
    <w:rsid w:val="002A49CD"/>
    <w:rsid w:val="002A4B81"/>
    <w:rsid w:val="002A55FA"/>
    <w:rsid w:val="002A6983"/>
    <w:rsid w:val="002A7BAB"/>
    <w:rsid w:val="002B0160"/>
    <w:rsid w:val="002B0A79"/>
    <w:rsid w:val="002B1AFC"/>
    <w:rsid w:val="002B3F24"/>
    <w:rsid w:val="002B418E"/>
    <w:rsid w:val="002B67A1"/>
    <w:rsid w:val="002B6C8E"/>
    <w:rsid w:val="002C0F9A"/>
    <w:rsid w:val="002C1FFB"/>
    <w:rsid w:val="002C3C92"/>
    <w:rsid w:val="002C4839"/>
    <w:rsid w:val="002C685E"/>
    <w:rsid w:val="002C7F51"/>
    <w:rsid w:val="002D46BB"/>
    <w:rsid w:val="002D500C"/>
    <w:rsid w:val="002E1BF4"/>
    <w:rsid w:val="002E2EB6"/>
    <w:rsid w:val="002E5054"/>
    <w:rsid w:val="002E6600"/>
    <w:rsid w:val="002F1285"/>
    <w:rsid w:val="002F1783"/>
    <w:rsid w:val="002F2A4D"/>
    <w:rsid w:val="002F6910"/>
    <w:rsid w:val="002F6BC6"/>
    <w:rsid w:val="002F6E4C"/>
    <w:rsid w:val="00300511"/>
    <w:rsid w:val="00300BA1"/>
    <w:rsid w:val="00300C47"/>
    <w:rsid w:val="00301C6E"/>
    <w:rsid w:val="00302400"/>
    <w:rsid w:val="00304278"/>
    <w:rsid w:val="00304912"/>
    <w:rsid w:val="00304A88"/>
    <w:rsid w:val="00314F52"/>
    <w:rsid w:val="00315AA7"/>
    <w:rsid w:val="003170EC"/>
    <w:rsid w:val="003178ED"/>
    <w:rsid w:val="00317C4B"/>
    <w:rsid w:val="0032137C"/>
    <w:rsid w:val="00322EA3"/>
    <w:rsid w:val="00322EE8"/>
    <w:rsid w:val="00323709"/>
    <w:rsid w:val="00325D91"/>
    <w:rsid w:val="0033084B"/>
    <w:rsid w:val="00330B5F"/>
    <w:rsid w:val="003317E5"/>
    <w:rsid w:val="0033227E"/>
    <w:rsid w:val="00333EF6"/>
    <w:rsid w:val="00337A06"/>
    <w:rsid w:val="00340F6D"/>
    <w:rsid w:val="00341EDB"/>
    <w:rsid w:val="00345695"/>
    <w:rsid w:val="00346340"/>
    <w:rsid w:val="00346560"/>
    <w:rsid w:val="00346FD6"/>
    <w:rsid w:val="00350553"/>
    <w:rsid w:val="00352A89"/>
    <w:rsid w:val="0035357F"/>
    <w:rsid w:val="00356FDD"/>
    <w:rsid w:val="0035743B"/>
    <w:rsid w:val="00361009"/>
    <w:rsid w:val="0036251F"/>
    <w:rsid w:val="00363E7B"/>
    <w:rsid w:val="00365B65"/>
    <w:rsid w:val="00366766"/>
    <w:rsid w:val="00366BF8"/>
    <w:rsid w:val="00367777"/>
    <w:rsid w:val="003725A9"/>
    <w:rsid w:val="0037425E"/>
    <w:rsid w:val="00375BCD"/>
    <w:rsid w:val="00377498"/>
    <w:rsid w:val="003813A2"/>
    <w:rsid w:val="00382637"/>
    <w:rsid w:val="003948A2"/>
    <w:rsid w:val="00394EC4"/>
    <w:rsid w:val="0039599B"/>
    <w:rsid w:val="003961B4"/>
    <w:rsid w:val="00397482"/>
    <w:rsid w:val="003A55E1"/>
    <w:rsid w:val="003A561F"/>
    <w:rsid w:val="003A5C80"/>
    <w:rsid w:val="003A654D"/>
    <w:rsid w:val="003B053C"/>
    <w:rsid w:val="003B1481"/>
    <w:rsid w:val="003B2A76"/>
    <w:rsid w:val="003B7775"/>
    <w:rsid w:val="003C2C2D"/>
    <w:rsid w:val="003C47E0"/>
    <w:rsid w:val="003C5C4B"/>
    <w:rsid w:val="003C7C95"/>
    <w:rsid w:val="003D29E5"/>
    <w:rsid w:val="003D43DE"/>
    <w:rsid w:val="003D6693"/>
    <w:rsid w:val="003E11CE"/>
    <w:rsid w:val="003E3752"/>
    <w:rsid w:val="003E42F9"/>
    <w:rsid w:val="003F124D"/>
    <w:rsid w:val="003F1BFE"/>
    <w:rsid w:val="003F574F"/>
    <w:rsid w:val="00402EA4"/>
    <w:rsid w:val="00403B11"/>
    <w:rsid w:val="00412C3C"/>
    <w:rsid w:val="0041485A"/>
    <w:rsid w:val="00415A6B"/>
    <w:rsid w:val="00417B8A"/>
    <w:rsid w:val="004202F0"/>
    <w:rsid w:val="00421BAC"/>
    <w:rsid w:val="0042212F"/>
    <w:rsid w:val="00422586"/>
    <w:rsid w:val="00427813"/>
    <w:rsid w:val="00443EF9"/>
    <w:rsid w:val="004459C1"/>
    <w:rsid w:val="004503E6"/>
    <w:rsid w:val="00451C69"/>
    <w:rsid w:val="00457A62"/>
    <w:rsid w:val="00457B0B"/>
    <w:rsid w:val="00460699"/>
    <w:rsid w:val="00460AF9"/>
    <w:rsid w:val="00461261"/>
    <w:rsid w:val="00462455"/>
    <w:rsid w:val="004734E8"/>
    <w:rsid w:val="0047384A"/>
    <w:rsid w:val="00475A6E"/>
    <w:rsid w:val="00476D51"/>
    <w:rsid w:val="00480020"/>
    <w:rsid w:val="00480ACF"/>
    <w:rsid w:val="00480DED"/>
    <w:rsid w:val="0048182D"/>
    <w:rsid w:val="00484E02"/>
    <w:rsid w:val="0048548E"/>
    <w:rsid w:val="00485BCC"/>
    <w:rsid w:val="00487600"/>
    <w:rsid w:val="004902A8"/>
    <w:rsid w:val="00493BBA"/>
    <w:rsid w:val="00493FD4"/>
    <w:rsid w:val="0049523E"/>
    <w:rsid w:val="00495E02"/>
    <w:rsid w:val="00496AE4"/>
    <w:rsid w:val="00497267"/>
    <w:rsid w:val="004A227C"/>
    <w:rsid w:val="004A31FA"/>
    <w:rsid w:val="004A36DE"/>
    <w:rsid w:val="004A5281"/>
    <w:rsid w:val="004A5E52"/>
    <w:rsid w:val="004A61F9"/>
    <w:rsid w:val="004A653D"/>
    <w:rsid w:val="004B490A"/>
    <w:rsid w:val="004B55AF"/>
    <w:rsid w:val="004B6A5B"/>
    <w:rsid w:val="004B6AAF"/>
    <w:rsid w:val="004B6B76"/>
    <w:rsid w:val="004C0867"/>
    <w:rsid w:val="004C27EA"/>
    <w:rsid w:val="004C30ED"/>
    <w:rsid w:val="004C3F3A"/>
    <w:rsid w:val="004C4DB3"/>
    <w:rsid w:val="004C5168"/>
    <w:rsid w:val="004C5394"/>
    <w:rsid w:val="004C586B"/>
    <w:rsid w:val="004D2726"/>
    <w:rsid w:val="004D3D30"/>
    <w:rsid w:val="004D5404"/>
    <w:rsid w:val="004E0947"/>
    <w:rsid w:val="004E1858"/>
    <w:rsid w:val="004F3862"/>
    <w:rsid w:val="004F678C"/>
    <w:rsid w:val="00500458"/>
    <w:rsid w:val="005012B8"/>
    <w:rsid w:val="00501F01"/>
    <w:rsid w:val="0050495E"/>
    <w:rsid w:val="00510C3A"/>
    <w:rsid w:val="005166B0"/>
    <w:rsid w:val="005220EE"/>
    <w:rsid w:val="00525C48"/>
    <w:rsid w:val="00531288"/>
    <w:rsid w:val="005320BB"/>
    <w:rsid w:val="005335D1"/>
    <w:rsid w:val="00533BE3"/>
    <w:rsid w:val="00534217"/>
    <w:rsid w:val="00534AEE"/>
    <w:rsid w:val="00535DDE"/>
    <w:rsid w:val="005362D3"/>
    <w:rsid w:val="00536B3E"/>
    <w:rsid w:val="005370BB"/>
    <w:rsid w:val="005411A2"/>
    <w:rsid w:val="00544418"/>
    <w:rsid w:val="00544852"/>
    <w:rsid w:val="0054537B"/>
    <w:rsid w:val="00545887"/>
    <w:rsid w:val="00546268"/>
    <w:rsid w:val="0054654C"/>
    <w:rsid w:val="0054772C"/>
    <w:rsid w:val="005507BD"/>
    <w:rsid w:val="0055203F"/>
    <w:rsid w:val="00552BF2"/>
    <w:rsid w:val="005532B5"/>
    <w:rsid w:val="005533BB"/>
    <w:rsid w:val="005535F9"/>
    <w:rsid w:val="00555CAE"/>
    <w:rsid w:val="00556BAF"/>
    <w:rsid w:val="00557932"/>
    <w:rsid w:val="005651E7"/>
    <w:rsid w:val="00571749"/>
    <w:rsid w:val="005737DD"/>
    <w:rsid w:val="00574EE2"/>
    <w:rsid w:val="00575ECB"/>
    <w:rsid w:val="00576B94"/>
    <w:rsid w:val="0058294D"/>
    <w:rsid w:val="0058333E"/>
    <w:rsid w:val="00583506"/>
    <w:rsid w:val="0058430B"/>
    <w:rsid w:val="00586D4F"/>
    <w:rsid w:val="00587793"/>
    <w:rsid w:val="00590001"/>
    <w:rsid w:val="00590093"/>
    <w:rsid w:val="00591B77"/>
    <w:rsid w:val="00595850"/>
    <w:rsid w:val="00595B29"/>
    <w:rsid w:val="00596755"/>
    <w:rsid w:val="0059728B"/>
    <w:rsid w:val="005A11E9"/>
    <w:rsid w:val="005A1229"/>
    <w:rsid w:val="005A1E97"/>
    <w:rsid w:val="005A42CD"/>
    <w:rsid w:val="005A51AD"/>
    <w:rsid w:val="005B3D6A"/>
    <w:rsid w:val="005B40F5"/>
    <w:rsid w:val="005B5F90"/>
    <w:rsid w:val="005B6059"/>
    <w:rsid w:val="005C0BD6"/>
    <w:rsid w:val="005C4BF6"/>
    <w:rsid w:val="005C635C"/>
    <w:rsid w:val="005C7277"/>
    <w:rsid w:val="005C7918"/>
    <w:rsid w:val="005D45FC"/>
    <w:rsid w:val="005D473A"/>
    <w:rsid w:val="005E2502"/>
    <w:rsid w:val="005E3A81"/>
    <w:rsid w:val="005E5D3C"/>
    <w:rsid w:val="005E7C80"/>
    <w:rsid w:val="005F07C5"/>
    <w:rsid w:val="005F0B85"/>
    <w:rsid w:val="005F1468"/>
    <w:rsid w:val="005F457D"/>
    <w:rsid w:val="005F4722"/>
    <w:rsid w:val="005F482A"/>
    <w:rsid w:val="005F6089"/>
    <w:rsid w:val="005F6522"/>
    <w:rsid w:val="005F7300"/>
    <w:rsid w:val="006024CF"/>
    <w:rsid w:val="0060310B"/>
    <w:rsid w:val="00604D37"/>
    <w:rsid w:val="006103BC"/>
    <w:rsid w:val="00611407"/>
    <w:rsid w:val="00611D5E"/>
    <w:rsid w:val="006122F9"/>
    <w:rsid w:val="006135B0"/>
    <w:rsid w:val="00614BD4"/>
    <w:rsid w:val="006165C8"/>
    <w:rsid w:val="006171B7"/>
    <w:rsid w:val="006229DE"/>
    <w:rsid w:val="00625437"/>
    <w:rsid w:val="00625682"/>
    <w:rsid w:val="006268A6"/>
    <w:rsid w:val="00626B89"/>
    <w:rsid w:val="00627269"/>
    <w:rsid w:val="006318D0"/>
    <w:rsid w:val="00634E1D"/>
    <w:rsid w:val="0063682E"/>
    <w:rsid w:val="00640C32"/>
    <w:rsid w:val="0064271B"/>
    <w:rsid w:val="006449E6"/>
    <w:rsid w:val="00645263"/>
    <w:rsid w:val="00645D43"/>
    <w:rsid w:val="00647CCD"/>
    <w:rsid w:val="006537C4"/>
    <w:rsid w:val="0065474E"/>
    <w:rsid w:val="00655B9E"/>
    <w:rsid w:val="00657ADA"/>
    <w:rsid w:val="0066031A"/>
    <w:rsid w:val="00660580"/>
    <w:rsid w:val="006612B0"/>
    <w:rsid w:val="00661CC8"/>
    <w:rsid w:val="006625E6"/>
    <w:rsid w:val="006629CB"/>
    <w:rsid w:val="006631BD"/>
    <w:rsid w:val="0066427C"/>
    <w:rsid w:val="00665253"/>
    <w:rsid w:val="006668D9"/>
    <w:rsid w:val="00666A1F"/>
    <w:rsid w:val="00666B9A"/>
    <w:rsid w:val="00667A85"/>
    <w:rsid w:val="00667F01"/>
    <w:rsid w:val="00671360"/>
    <w:rsid w:val="00675C0B"/>
    <w:rsid w:val="006761A3"/>
    <w:rsid w:val="00676275"/>
    <w:rsid w:val="0067680F"/>
    <w:rsid w:val="00676EE6"/>
    <w:rsid w:val="00682FA8"/>
    <w:rsid w:val="006902E1"/>
    <w:rsid w:val="006909F2"/>
    <w:rsid w:val="00696C70"/>
    <w:rsid w:val="006A10EA"/>
    <w:rsid w:val="006A1119"/>
    <w:rsid w:val="006A11BE"/>
    <w:rsid w:val="006A315A"/>
    <w:rsid w:val="006A3B98"/>
    <w:rsid w:val="006B1457"/>
    <w:rsid w:val="006B1BA5"/>
    <w:rsid w:val="006B1FB4"/>
    <w:rsid w:val="006B504C"/>
    <w:rsid w:val="006B5CBC"/>
    <w:rsid w:val="006B764C"/>
    <w:rsid w:val="006C1F85"/>
    <w:rsid w:val="006C4043"/>
    <w:rsid w:val="006C4241"/>
    <w:rsid w:val="006C48FD"/>
    <w:rsid w:val="006D1774"/>
    <w:rsid w:val="006D19E3"/>
    <w:rsid w:val="006D2D12"/>
    <w:rsid w:val="006D304B"/>
    <w:rsid w:val="006D4C61"/>
    <w:rsid w:val="006D5520"/>
    <w:rsid w:val="006E0BA4"/>
    <w:rsid w:val="006E0DA6"/>
    <w:rsid w:val="006E1CA8"/>
    <w:rsid w:val="006E2BE3"/>
    <w:rsid w:val="006E3008"/>
    <w:rsid w:val="006E5F10"/>
    <w:rsid w:val="006E6462"/>
    <w:rsid w:val="006E6544"/>
    <w:rsid w:val="006E700F"/>
    <w:rsid w:val="006F02EA"/>
    <w:rsid w:val="006F0472"/>
    <w:rsid w:val="006F08CD"/>
    <w:rsid w:val="006F1300"/>
    <w:rsid w:val="006F3157"/>
    <w:rsid w:val="006F31C3"/>
    <w:rsid w:val="006F6455"/>
    <w:rsid w:val="006F77DC"/>
    <w:rsid w:val="00700094"/>
    <w:rsid w:val="007001A6"/>
    <w:rsid w:val="0070089D"/>
    <w:rsid w:val="00700B28"/>
    <w:rsid w:val="00701C48"/>
    <w:rsid w:val="007055C1"/>
    <w:rsid w:val="00705D20"/>
    <w:rsid w:val="0070603B"/>
    <w:rsid w:val="00710E8D"/>
    <w:rsid w:val="00710F8B"/>
    <w:rsid w:val="0071227C"/>
    <w:rsid w:val="00714A8E"/>
    <w:rsid w:val="007159D2"/>
    <w:rsid w:val="007161CA"/>
    <w:rsid w:val="00716735"/>
    <w:rsid w:val="00720910"/>
    <w:rsid w:val="00720E47"/>
    <w:rsid w:val="00722790"/>
    <w:rsid w:val="00722C5F"/>
    <w:rsid w:val="007246BF"/>
    <w:rsid w:val="00725BF9"/>
    <w:rsid w:val="00725F9E"/>
    <w:rsid w:val="00727B71"/>
    <w:rsid w:val="00732055"/>
    <w:rsid w:val="00733427"/>
    <w:rsid w:val="00735548"/>
    <w:rsid w:val="00737492"/>
    <w:rsid w:val="007449BB"/>
    <w:rsid w:val="00744F60"/>
    <w:rsid w:val="00745317"/>
    <w:rsid w:val="00747A44"/>
    <w:rsid w:val="00751700"/>
    <w:rsid w:val="00752269"/>
    <w:rsid w:val="00755FCA"/>
    <w:rsid w:val="00762D62"/>
    <w:rsid w:val="00766C90"/>
    <w:rsid w:val="007712FE"/>
    <w:rsid w:val="00771756"/>
    <w:rsid w:val="00772B8D"/>
    <w:rsid w:val="00773EC8"/>
    <w:rsid w:val="007745C2"/>
    <w:rsid w:val="00774C89"/>
    <w:rsid w:val="007758F1"/>
    <w:rsid w:val="00782A2F"/>
    <w:rsid w:val="00783F09"/>
    <w:rsid w:val="00784F13"/>
    <w:rsid w:val="00786EA3"/>
    <w:rsid w:val="00786ED1"/>
    <w:rsid w:val="00787B27"/>
    <w:rsid w:val="00787ED1"/>
    <w:rsid w:val="0079209B"/>
    <w:rsid w:val="00792414"/>
    <w:rsid w:val="007967E1"/>
    <w:rsid w:val="00796A4E"/>
    <w:rsid w:val="007A0CCC"/>
    <w:rsid w:val="007A2F0E"/>
    <w:rsid w:val="007A3AD5"/>
    <w:rsid w:val="007A48F4"/>
    <w:rsid w:val="007A551F"/>
    <w:rsid w:val="007A5EF8"/>
    <w:rsid w:val="007B0783"/>
    <w:rsid w:val="007B1E05"/>
    <w:rsid w:val="007B3228"/>
    <w:rsid w:val="007B3C2C"/>
    <w:rsid w:val="007B4427"/>
    <w:rsid w:val="007B75AB"/>
    <w:rsid w:val="007C069E"/>
    <w:rsid w:val="007C20DC"/>
    <w:rsid w:val="007C3B8F"/>
    <w:rsid w:val="007C4E74"/>
    <w:rsid w:val="007C5042"/>
    <w:rsid w:val="007D12DC"/>
    <w:rsid w:val="007D2E93"/>
    <w:rsid w:val="007D7558"/>
    <w:rsid w:val="007D77CA"/>
    <w:rsid w:val="007E1210"/>
    <w:rsid w:val="007E2963"/>
    <w:rsid w:val="007E4D8F"/>
    <w:rsid w:val="007E4FCB"/>
    <w:rsid w:val="007E5025"/>
    <w:rsid w:val="007E7E71"/>
    <w:rsid w:val="007E7F83"/>
    <w:rsid w:val="007F1000"/>
    <w:rsid w:val="007F5471"/>
    <w:rsid w:val="007F5869"/>
    <w:rsid w:val="00801935"/>
    <w:rsid w:val="00803BB3"/>
    <w:rsid w:val="00806623"/>
    <w:rsid w:val="00811594"/>
    <w:rsid w:val="0081301D"/>
    <w:rsid w:val="00816C46"/>
    <w:rsid w:val="0082001A"/>
    <w:rsid w:val="00823545"/>
    <w:rsid w:val="008263B8"/>
    <w:rsid w:val="00826BD6"/>
    <w:rsid w:val="00835DE3"/>
    <w:rsid w:val="00836328"/>
    <w:rsid w:val="00836D52"/>
    <w:rsid w:val="00837FE8"/>
    <w:rsid w:val="00840437"/>
    <w:rsid w:val="008414CF"/>
    <w:rsid w:val="00841704"/>
    <w:rsid w:val="0084198E"/>
    <w:rsid w:val="00843706"/>
    <w:rsid w:val="00843E9A"/>
    <w:rsid w:val="00847894"/>
    <w:rsid w:val="008531C7"/>
    <w:rsid w:val="008548F3"/>
    <w:rsid w:val="00861C7C"/>
    <w:rsid w:val="00867D16"/>
    <w:rsid w:val="00873E1A"/>
    <w:rsid w:val="0087692B"/>
    <w:rsid w:val="00876F65"/>
    <w:rsid w:val="00883E7F"/>
    <w:rsid w:val="00886F8D"/>
    <w:rsid w:val="00891AC8"/>
    <w:rsid w:val="00891C02"/>
    <w:rsid w:val="00892119"/>
    <w:rsid w:val="00894BF5"/>
    <w:rsid w:val="008953A8"/>
    <w:rsid w:val="0089578D"/>
    <w:rsid w:val="008966F5"/>
    <w:rsid w:val="00897EB6"/>
    <w:rsid w:val="008A1883"/>
    <w:rsid w:val="008B0AD7"/>
    <w:rsid w:val="008B1A68"/>
    <w:rsid w:val="008B4B53"/>
    <w:rsid w:val="008B6929"/>
    <w:rsid w:val="008B758E"/>
    <w:rsid w:val="008C0452"/>
    <w:rsid w:val="008C05CC"/>
    <w:rsid w:val="008C2B08"/>
    <w:rsid w:val="008C5291"/>
    <w:rsid w:val="008C6420"/>
    <w:rsid w:val="008D00D5"/>
    <w:rsid w:val="008D13CE"/>
    <w:rsid w:val="008D3DA7"/>
    <w:rsid w:val="008D75EE"/>
    <w:rsid w:val="008E187E"/>
    <w:rsid w:val="008E374C"/>
    <w:rsid w:val="008E4294"/>
    <w:rsid w:val="008E53FF"/>
    <w:rsid w:val="008E5548"/>
    <w:rsid w:val="008F058F"/>
    <w:rsid w:val="008F1AF6"/>
    <w:rsid w:val="008F1DC1"/>
    <w:rsid w:val="008F5141"/>
    <w:rsid w:val="008F626F"/>
    <w:rsid w:val="00901742"/>
    <w:rsid w:val="00901C0C"/>
    <w:rsid w:val="009044A5"/>
    <w:rsid w:val="00906326"/>
    <w:rsid w:val="00906568"/>
    <w:rsid w:val="009071FB"/>
    <w:rsid w:val="00907360"/>
    <w:rsid w:val="009118B2"/>
    <w:rsid w:val="00913404"/>
    <w:rsid w:val="0091342E"/>
    <w:rsid w:val="00916FD2"/>
    <w:rsid w:val="00917221"/>
    <w:rsid w:val="00917B66"/>
    <w:rsid w:val="00920063"/>
    <w:rsid w:val="00922F55"/>
    <w:rsid w:val="0092403F"/>
    <w:rsid w:val="00924948"/>
    <w:rsid w:val="00927D24"/>
    <w:rsid w:val="00933218"/>
    <w:rsid w:val="00934E04"/>
    <w:rsid w:val="00934E47"/>
    <w:rsid w:val="00936214"/>
    <w:rsid w:val="0093750D"/>
    <w:rsid w:val="00937B92"/>
    <w:rsid w:val="00944FA8"/>
    <w:rsid w:val="009455E4"/>
    <w:rsid w:val="0094669B"/>
    <w:rsid w:val="0095154E"/>
    <w:rsid w:val="00953BBD"/>
    <w:rsid w:val="00954639"/>
    <w:rsid w:val="00954DD2"/>
    <w:rsid w:val="0095724B"/>
    <w:rsid w:val="00965E17"/>
    <w:rsid w:val="00970FDB"/>
    <w:rsid w:val="009713E6"/>
    <w:rsid w:val="00972649"/>
    <w:rsid w:val="00972C5C"/>
    <w:rsid w:val="00972E21"/>
    <w:rsid w:val="00973623"/>
    <w:rsid w:val="00977A9C"/>
    <w:rsid w:val="00981CA6"/>
    <w:rsid w:val="0098337C"/>
    <w:rsid w:val="00986DC8"/>
    <w:rsid w:val="009911B4"/>
    <w:rsid w:val="009924EB"/>
    <w:rsid w:val="0099513C"/>
    <w:rsid w:val="00995624"/>
    <w:rsid w:val="00996E6A"/>
    <w:rsid w:val="009A031B"/>
    <w:rsid w:val="009A3722"/>
    <w:rsid w:val="009A615D"/>
    <w:rsid w:val="009B369D"/>
    <w:rsid w:val="009B603C"/>
    <w:rsid w:val="009B7385"/>
    <w:rsid w:val="009C1CD5"/>
    <w:rsid w:val="009C3DC9"/>
    <w:rsid w:val="009C4755"/>
    <w:rsid w:val="009C4DE5"/>
    <w:rsid w:val="009C523F"/>
    <w:rsid w:val="009C63B0"/>
    <w:rsid w:val="009C7CA3"/>
    <w:rsid w:val="009D0427"/>
    <w:rsid w:val="009D253E"/>
    <w:rsid w:val="009D3691"/>
    <w:rsid w:val="009D5498"/>
    <w:rsid w:val="009D5785"/>
    <w:rsid w:val="009D6780"/>
    <w:rsid w:val="009D6BAB"/>
    <w:rsid w:val="009D72E8"/>
    <w:rsid w:val="009E6A96"/>
    <w:rsid w:val="009F1F71"/>
    <w:rsid w:val="009F34B0"/>
    <w:rsid w:val="009F3D04"/>
    <w:rsid w:val="009F42F8"/>
    <w:rsid w:val="009F5148"/>
    <w:rsid w:val="009F55A4"/>
    <w:rsid w:val="009F60B8"/>
    <w:rsid w:val="009F622E"/>
    <w:rsid w:val="009F74C5"/>
    <w:rsid w:val="009F78FD"/>
    <w:rsid w:val="00A00079"/>
    <w:rsid w:val="00A018D9"/>
    <w:rsid w:val="00A018F4"/>
    <w:rsid w:val="00A0197C"/>
    <w:rsid w:val="00A01FE3"/>
    <w:rsid w:val="00A03B3E"/>
    <w:rsid w:val="00A06646"/>
    <w:rsid w:val="00A07C5A"/>
    <w:rsid w:val="00A119FC"/>
    <w:rsid w:val="00A13659"/>
    <w:rsid w:val="00A13F66"/>
    <w:rsid w:val="00A14604"/>
    <w:rsid w:val="00A15DDF"/>
    <w:rsid w:val="00A20A06"/>
    <w:rsid w:val="00A216D1"/>
    <w:rsid w:val="00A276BE"/>
    <w:rsid w:val="00A27D82"/>
    <w:rsid w:val="00A27FD1"/>
    <w:rsid w:val="00A30AB0"/>
    <w:rsid w:val="00A343FB"/>
    <w:rsid w:val="00A3537C"/>
    <w:rsid w:val="00A35CC4"/>
    <w:rsid w:val="00A42D0D"/>
    <w:rsid w:val="00A4329D"/>
    <w:rsid w:val="00A43DB7"/>
    <w:rsid w:val="00A44051"/>
    <w:rsid w:val="00A46F59"/>
    <w:rsid w:val="00A514D7"/>
    <w:rsid w:val="00A53096"/>
    <w:rsid w:val="00A54750"/>
    <w:rsid w:val="00A570AE"/>
    <w:rsid w:val="00A62A78"/>
    <w:rsid w:val="00A675D7"/>
    <w:rsid w:val="00A677A0"/>
    <w:rsid w:val="00A71E70"/>
    <w:rsid w:val="00A72DDC"/>
    <w:rsid w:val="00A738D5"/>
    <w:rsid w:val="00A757FB"/>
    <w:rsid w:val="00A758E8"/>
    <w:rsid w:val="00A75BB8"/>
    <w:rsid w:val="00A80299"/>
    <w:rsid w:val="00A837F5"/>
    <w:rsid w:val="00A8395D"/>
    <w:rsid w:val="00A8516D"/>
    <w:rsid w:val="00A87F35"/>
    <w:rsid w:val="00A90794"/>
    <w:rsid w:val="00A90950"/>
    <w:rsid w:val="00A90D50"/>
    <w:rsid w:val="00A92B8E"/>
    <w:rsid w:val="00A95E49"/>
    <w:rsid w:val="00A9783C"/>
    <w:rsid w:val="00A97DC6"/>
    <w:rsid w:val="00AA02A2"/>
    <w:rsid w:val="00AA2EBA"/>
    <w:rsid w:val="00AA41EE"/>
    <w:rsid w:val="00AA5108"/>
    <w:rsid w:val="00AA7955"/>
    <w:rsid w:val="00AA7B62"/>
    <w:rsid w:val="00AB0584"/>
    <w:rsid w:val="00AB40C1"/>
    <w:rsid w:val="00AB517C"/>
    <w:rsid w:val="00AC03B0"/>
    <w:rsid w:val="00AC0FEC"/>
    <w:rsid w:val="00AC163A"/>
    <w:rsid w:val="00AC1C65"/>
    <w:rsid w:val="00AC1DB6"/>
    <w:rsid w:val="00AC303C"/>
    <w:rsid w:val="00AC605D"/>
    <w:rsid w:val="00AC787B"/>
    <w:rsid w:val="00AD2BC8"/>
    <w:rsid w:val="00AD32F6"/>
    <w:rsid w:val="00AD6ACF"/>
    <w:rsid w:val="00AD7565"/>
    <w:rsid w:val="00AD77F0"/>
    <w:rsid w:val="00AD7C10"/>
    <w:rsid w:val="00AE351E"/>
    <w:rsid w:val="00AE3C08"/>
    <w:rsid w:val="00AE41B5"/>
    <w:rsid w:val="00AE4927"/>
    <w:rsid w:val="00AE5613"/>
    <w:rsid w:val="00AE5A58"/>
    <w:rsid w:val="00AE5D81"/>
    <w:rsid w:val="00AE6AF7"/>
    <w:rsid w:val="00AF272A"/>
    <w:rsid w:val="00AF2F0A"/>
    <w:rsid w:val="00AF69A5"/>
    <w:rsid w:val="00AF7094"/>
    <w:rsid w:val="00B021B0"/>
    <w:rsid w:val="00B03595"/>
    <w:rsid w:val="00B07EAC"/>
    <w:rsid w:val="00B10F90"/>
    <w:rsid w:val="00B14A33"/>
    <w:rsid w:val="00B14E75"/>
    <w:rsid w:val="00B16255"/>
    <w:rsid w:val="00B21601"/>
    <w:rsid w:val="00B22293"/>
    <w:rsid w:val="00B26BD4"/>
    <w:rsid w:val="00B31C93"/>
    <w:rsid w:val="00B34445"/>
    <w:rsid w:val="00B35A44"/>
    <w:rsid w:val="00B3601F"/>
    <w:rsid w:val="00B5065F"/>
    <w:rsid w:val="00B5408B"/>
    <w:rsid w:val="00B550BE"/>
    <w:rsid w:val="00B57F96"/>
    <w:rsid w:val="00B615B4"/>
    <w:rsid w:val="00B6504E"/>
    <w:rsid w:val="00B66044"/>
    <w:rsid w:val="00B66AAD"/>
    <w:rsid w:val="00B67CB4"/>
    <w:rsid w:val="00B70816"/>
    <w:rsid w:val="00B718E6"/>
    <w:rsid w:val="00B732FB"/>
    <w:rsid w:val="00B74967"/>
    <w:rsid w:val="00B75F10"/>
    <w:rsid w:val="00B771B9"/>
    <w:rsid w:val="00B77306"/>
    <w:rsid w:val="00B80199"/>
    <w:rsid w:val="00B821D2"/>
    <w:rsid w:val="00B91155"/>
    <w:rsid w:val="00B93E96"/>
    <w:rsid w:val="00B9638C"/>
    <w:rsid w:val="00B96D25"/>
    <w:rsid w:val="00B97425"/>
    <w:rsid w:val="00BA18E0"/>
    <w:rsid w:val="00BA31A0"/>
    <w:rsid w:val="00BA3D4D"/>
    <w:rsid w:val="00BA4311"/>
    <w:rsid w:val="00BA61C5"/>
    <w:rsid w:val="00BA6F34"/>
    <w:rsid w:val="00BB1101"/>
    <w:rsid w:val="00BB1589"/>
    <w:rsid w:val="00BB3113"/>
    <w:rsid w:val="00BB3C30"/>
    <w:rsid w:val="00BB4C46"/>
    <w:rsid w:val="00BB66FD"/>
    <w:rsid w:val="00BC027F"/>
    <w:rsid w:val="00BC223C"/>
    <w:rsid w:val="00BC2798"/>
    <w:rsid w:val="00BC6509"/>
    <w:rsid w:val="00BC7379"/>
    <w:rsid w:val="00BD48D5"/>
    <w:rsid w:val="00BD7712"/>
    <w:rsid w:val="00BD7C7F"/>
    <w:rsid w:val="00BE09FB"/>
    <w:rsid w:val="00BE1D71"/>
    <w:rsid w:val="00BE3103"/>
    <w:rsid w:val="00BE3D5E"/>
    <w:rsid w:val="00BE4199"/>
    <w:rsid w:val="00BE4EC3"/>
    <w:rsid w:val="00BE778D"/>
    <w:rsid w:val="00BF01CB"/>
    <w:rsid w:val="00BF490B"/>
    <w:rsid w:val="00BF4A2E"/>
    <w:rsid w:val="00BF4E03"/>
    <w:rsid w:val="00BF527A"/>
    <w:rsid w:val="00C018D1"/>
    <w:rsid w:val="00C03E9F"/>
    <w:rsid w:val="00C05691"/>
    <w:rsid w:val="00C057AE"/>
    <w:rsid w:val="00C057DD"/>
    <w:rsid w:val="00C067C2"/>
    <w:rsid w:val="00C072F3"/>
    <w:rsid w:val="00C118F6"/>
    <w:rsid w:val="00C140AD"/>
    <w:rsid w:val="00C14703"/>
    <w:rsid w:val="00C16E71"/>
    <w:rsid w:val="00C17D9E"/>
    <w:rsid w:val="00C20FB5"/>
    <w:rsid w:val="00C25D09"/>
    <w:rsid w:val="00C26F8E"/>
    <w:rsid w:val="00C2717B"/>
    <w:rsid w:val="00C27E78"/>
    <w:rsid w:val="00C302A8"/>
    <w:rsid w:val="00C306F8"/>
    <w:rsid w:val="00C31EBA"/>
    <w:rsid w:val="00C339DA"/>
    <w:rsid w:val="00C3539F"/>
    <w:rsid w:val="00C421AD"/>
    <w:rsid w:val="00C4290F"/>
    <w:rsid w:val="00C4466E"/>
    <w:rsid w:val="00C44AE3"/>
    <w:rsid w:val="00C46DC9"/>
    <w:rsid w:val="00C511A0"/>
    <w:rsid w:val="00C51596"/>
    <w:rsid w:val="00C51DBA"/>
    <w:rsid w:val="00C52801"/>
    <w:rsid w:val="00C53EA0"/>
    <w:rsid w:val="00C566CE"/>
    <w:rsid w:val="00C57441"/>
    <w:rsid w:val="00C5787C"/>
    <w:rsid w:val="00C610A0"/>
    <w:rsid w:val="00C636F5"/>
    <w:rsid w:val="00C63997"/>
    <w:rsid w:val="00C6452C"/>
    <w:rsid w:val="00C6568C"/>
    <w:rsid w:val="00C65BFF"/>
    <w:rsid w:val="00C66BCE"/>
    <w:rsid w:val="00C673F3"/>
    <w:rsid w:val="00C70C4B"/>
    <w:rsid w:val="00C7153F"/>
    <w:rsid w:val="00C72521"/>
    <w:rsid w:val="00C74977"/>
    <w:rsid w:val="00C74AF6"/>
    <w:rsid w:val="00C81E62"/>
    <w:rsid w:val="00C82774"/>
    <w:rsid w:val="00C8355B"/>
    <w:rsid w:val="00C85406"/>
    <w:rsid w:val="00C91350"/>
    <w:rsid w:val="00C9289D"/>
    <w:rsid w:val="00C92FBB"/>
    <w:rsid w:val="00C93E39"/>
    <w:rsid w:val="00C93F3D"/>
    <w:rsid w:val="00C94D9D"/>
    <w:rsid w:val="00C95179"/>
    <w:rsid w:val="00C95639"/>
    <w:rsid w:val="00C95C8F"/>
    <w:rsid w:val="00C97542"/>
    <w:rsid w:val="00CA082B"/>
    <w:rsid w:val="00CA28D2"/>
    <w:rsid w:val="00CA47C1"/>
    <w:rsid w:val="00CB3A04"/>
    <w:rsid w:val="00CB5420"/>
    <w:rsid w:val="00CB6588"/>
    <w:rsid w:val="00CB69CE"/>
    <w:rsid w:val="00CB6A95"/>
    <w:rsid w:val="00CC0122"/>
    <w:rsid w:val="00CC1F7B"/>
    <w:rsid w:val="00CD7B9C"/>
    <w:rsid w:val="00CE0C8B"/>
    <w:rsid w:val="00CE16C0"/>
    <w:rsid w:val="00CE1782"/>
    <w:rsid w:val="00CE19E7"/>
    <w:rsid w:val="00CE25B6"/>
    <w:rsid w:val="00CE3887"/>
    <w:rsid w:val="00CF26E0"/>
    <w:rsid w:val="00D0048F"/>
    <w:rsid w:val="00D029C1"/>
    <w:rsid w:val="00D02CA9"/>
    <w:rsid w:val="00D04697"/>
    <w:rsid w:val="00D053DB"/>
    <w:rsid w:val="00D0698A"/>
    <w:rsid w:val="00D070FC"/>
    <w:rsid w:val="00D10D2A"/>
    <w:rsid w:val="00D12C6A"/>
    <w:rsid w:val="00D14118"/>
    <w:rsid w:val="00D160ED"/>
    <w:rsid w:val="00D178D8"/>
    <w:rsid w:val="00D27C0F"/>
    <w:rsid w:val="00D30862"/>
    <w:rsid w:val="00D33BD8"/>
    <w:rsid w:val="00D33E65"/>
    <w:rsid w:val="00D3494E"/>
    <w:rsid w:val="00D3496F"/>
    <w:rsid w:val="00D431EE"/>
    <w:rsid w:val="00D4384A"/>
    <w:rsid w:val="00D44656"/>
    <w:rsid w:val="00D447BE"/>
    <w:rsid w:val="00D452F3"/>
    <w:rsid w:val="00D5023C"/>
    <w:rsid w:val="00D532A9"/>
    <w:rsid w:val="00D55A2B"/>
    <w:rsid w:val="00D60B52"/>
    <w:rsid w:val="00D63404"/>
    <w:rsid w:val="00D63BD5"/>
    <w:rsid w:val="00D67CCB"/>
    <w:rsid w:val="00D71408"/>
    <w:rsid w:val="00D748BC"/>
    <w:rsid w:val="00D75AF9"/>
    <w:rsid w:val="00D75E81"/>
    <w:rsid w:val="00D8120F"/>
    <w:rsid w:val="00D861BD"/>
    <w:rsid w:val="00D86D81"/>
    <w:rsid w:val="00D906EB"/>
    <w:rsid w:val="00D908AB"/>
    <w:rsid w:val="00D92019"/>
    <w:rsid w:val="00D920AB"/>
    <w:rsid w:val="00D9262F"/>
    <w:rsid w:val="00D93086"/>
    <w:rsid w:val="00D95575"/>
    <w:rsid w:val="00D956D2"/>
    <w:rsid w:val="00D96037"/>
    <w:rsid w:val="00D972D7"/>
    <w:rsid w:val="00DA0C13"/>
    <w:rsid w:val="00DA0C71"/>
    <w:rsid w:val="00DA18BA"/>
    <w:rsid w:val="00DA2C79"/>
    <w:rsid w:val="00DA342A"/>
    <w:rsid w:val="00DA4110"/>
    <w:rsid w:val="00DA42F2"/>
    <w:rsid w:val="00DB0D63"/>
    <w:rsid w:val="00DB0F64"/>
    <w:rsid w:val="00DB2D49"/>
    <w:rsid w:val="00DB3D6E"/>
    <w:rsid w:val="00DB4243"/>
    <w:rsid w:val="00DB4B2E"/>
    <w:rsid w:val="00DB4C09"/>
    <w:rsid w:val="00DC0C50"/>
    <w:rsid w:val="00DC2C33"/>
    <w:rsid w:val="00DC339F"/>
    <w:rsid w:val="00DC4721"/>
    <w:rsid w:val="00DC6569"/>
    <w:rsid w:val="00DC7473"/>
    <w:rsid w:val="00DC771E"/>
    <w:rsid w:val="00DD027D"/>
    <w:rsid w:val="00DD0927"/>
    <w:rsid w:val="00DD301A"/>
    <w:rsid w:val="00DD44A7"/>
    <w:rsid w:val="00DD5601"/>
    <w:rsid w:val="00DD7F6B"/>
    <w:rsid w:val="00DE061A"/>
    <w:rsid w:val="00DE21F7"/>
    <w:rsid w:val="00DE36CC"/>
    <w:rsid w:val="00DE3997"/>
    <w:rsid w:val="00DE4CE3"/>
    <w:rsid w:val="00DE5476"/>
    <w:rsid w:val="00DE5503"/>
    <w:rsid w:val="00DE69C6"/>
    <w:rsid w:val="00DE6D26"/>
    <w:rsid w:val="00DF211E"/>
    <w:rsid w:val="00DF65B5"/>
    <w:rsid w:val="00DF7475"/>
    <w:rsid w:val="00DF7EC3"/>
    <w:rsid w:val="00E002DA"/>
    <w:rsid w:val="00E02BA4"/>
    <w:rsid w:val="00E0350E"/>
    <w:rsid w:val="00E038EB"/>
    <w:rsid w:val="00E03B90"/>
    <w:rsid w:val="00E04194"/>
    <w:rsid w:val="00E04D9D"/>
    <w:rsid w:val="00E0549E"/>
    <w:rsid w:val="00E066CA"/>
    <w:rsid w:val="00E16AAE"/>
    <w:rsid w:val="00E178AA"/>
    <w:rsid w:val="00E244B7"/>
    <w:rsid w:val="00E25044"/>
    <w:rsid w:val="00E25895"/>
    <w:rsid w:val="00E25F08"/>
    <w:rsid w:val="00E267D6"/>
    <w:rsid w:val="00E31114"/>
    <w:rsid w:val="00E3195F"/>
    <w:rsid w:val="00E33779"/>
    <w:rsid w:val="00E40786"/>
    <w:rsid w:val="00E43081"/>
    <w:rsid w:val="00E43810"/>
    <w:rsid w:val="00E43FC9"/>
    <w:rsid w:val="00E44409"/>
    <w:rsid w:val="00E4456B"/>
    <w:rsid w:val="00E47211"/>
    <w:rsid w:val="00E5012A"/>
    <w:rsid w:val="00E52C14"/>
    <w:rsid w:val="00E57409"/>
    <w:rsid w:val="00E57DD4"/>
    <w:rsid w:val="00E6041B"/>
    <w:rsid w:val="00E6444D"/>
    <w:rsid w:val="00E70693"/>
    <w:rsid w:val="00E71388"/>
    <w:rsid w:val="00E71BB2"/>
    <w:rsid w:val="00E71D10"/>
    <w:rsid w:val="00E72362"/>
    <w:rsid w:val="00E72BFA"/>
    <w:rsid w:val="00E72FD7"/>
    <w:rsid w:val="00E749F7"/>
    <w:rsid w:val="00E74AC5"/>
    <w:rsid w:val="00E74D96"/>
    <w:rsid w:val="00E813F6"/>
    <w:rsid w:val="00E82F27"/>
    <w:rsid w:val="00E83160"/>
    <w:rsid w:val="00E8720E"/>
    <w:rsid w:val="00E878A7"/>
    <w:rsid w:val="00E90F6F"/>
    <w:rsid w:val="00E92D36"/>
    <w:rsid w:val="00E93F31"/>
    <w:rsid w:val="00E96730"/>
    <w:rsid w:val="00E972C3"/>
    <w:rsid w:val="00EA5910"/>
    <w:rsid w:val="00EB40CC"/>
    <w:rsid w:val="00EB71E3"/>
    <w:rsid w:val="00EC1522"/>
    <w:rsid w:val="00ED2E6D"/>
    <w:rsid w:val="00ED326D"/>
    <w:rsid w:val="00ED3423"/>
    <w:rsid w:val="00ED5D6D"/>
    <w:rsid w:val="00ED6924"/>
    <w:rsid w:val="00ED7C82"/>
    <w:rsid w:val="00EE585F"/>
    <w:rsid w:val="00EE71D9"/>
    <w:rsid w:val="00EE7DE6"/>
    <w:rsid w:val="00EF6227"/>
    <w:rsid w:val="00EF707D"/>
    <w:rsid w:val="00F02443"/>
    <w:rsid w:val="00F03CC7"/>
    <w:rsid w:val="00F04116"/>
    <w:rsid w:val="00F0412B"/>
    <w:rsid w:val="00F0465D"/>
    <w:rsid w:val="00F05281"/>
    <w:rsid w:val="00F05E7C"/>
    <w:rsid w:val="00F06387"/>
    <w:rsid w:val="00F11B99"/>
    <w:rsid w:val="00F11F4B"/>
    <w:rsid w:val="00F12B28"/>
    <w:rsid w:val="00F158C5"/>
    <w:rsid w:val="00F2065D"/>
    <w:rsid w:val="00F209D0"/>
    <w:rsid w:val="00F21090"/>
    <w:rsid w:val="00F2173F"/>
    <w:rsid w:val="00F235EE"/>
    <w:rsid w:val="00F23DDB"/>
    <w:rsid w:val="00F2515B"/>
    <w:rsid w:val="00F3060D"/>
    <w:rsid w:val="00F30667"/>
    <w:rsid w:val="00F317A5"/>
    <w:rsid w:val="00F31933"/>
    <w:rsid w:val="00F34FB2"/>
    <w:rsid w:val="00F35F71"/>
    <w:rsid w:val="00F379B5"/>
    <w:rsid w:val="00F4245A"/>
    <w:rsid w:val="00F4596C"/>
    <w:rsid w:val="00F521D3"/>
    <w:rsid w:val="00F52B1E"/>
    <w:rsid w:val="00F52DF8"/>
    <w:rsid w:val="00F53530"/>
    <w:rsid w:val="00F55CBC"/>
    <w:rsid w:val="00F56841"/>
    <w:rsid w:val="00F613D9"/>
    <w:rsid w:val="00F616A6"/>
    <w:rsid w:val="00F638BB"/>
    <w:rsid w:val="00F6532A"/>
    <w:rsid w:val="00F66B15"/>
    <w:rsid w:val="00F70719"/>
    <w:rsid w:val="00F72ED7"/>
    <w:rsid w:val="00F73408"/>
    <w:rsid w:val="00F75230"/>
    <w:rsid w:val="00F81E9B"/>
    <w:rsid w:val="00F823BE"/>
    <w:rsid w:val="00F834AF"/>
    <w:rsid w:val="00F84C9E"/>
    <w:rsid w:val="00F84CC3"/>
    <w:rsid w:val="00F8592E"/>
    <w:rsid w:val="00F87D88"/>
    <w:rsid w:val="00F902C9"/>
    <w:rsid w:val="00F9081A"/>
    <w:rsid w:val="00F92E3A"/>
    <w:rsid w:val="00F969AB"/>
    <w:rsid w:val="00F97688"/>
    <w:rsid w:val="00F97C52"/>
    <w:rsid w:val="00FA055F"/>
    <w:rsid w:val="00FA1919"/>
    <w:rsid w:val="00FA1AB6"/>
    <w:rsid w:val="00FA3A43"/>
    <w:rsid w:val="00FA57EA"/>
    <w:rsid w:val="00FA5C03"/>
    <w:rsid w:val="00FA5F4F"/>
    <w:rsid w:val="00FA7E8F"/>
    <w:rsid w:val="00FB300E"/>
    <w:rsid w:val="00FB4C01"/>
    <w:rsid w:val="00FB5536"/>
    <w:rsid w:val="00FB6B75"/>
    <w:rsid w:val="00FC1530"/>
    <w:rsid w:val="00FC1E45"/>
    <w:rsid w:val="00FC348D"/>
    <w:rsid w:val="00FC3DB6"/>
    <w:rsid w:val="00FC5CEC"/>
    <w:rsid w:val="00FC7080"/>
    <w:rsid w:val="00FD13DD"/>
    <w:rsid w:val="00FD1BD2"/>
    <w:rsid w:val="00FD1FE1"/>
    <w:rsid w:val="00FD28D4"/>
    <w:rsid w:val="00FD34BD"/>
    <w:rsid w:val="00FD36BE"/>
    <w:rsid w:val="00FD5F83"/>
    <w:rsid w:val="00FD6ED5"/>
    <w:rsid w:val="00FD7BC6"/>
    <w:rsid w:val="00FE2719"/>
    <w:rsid w:val="00FE2A94"/>
    <w:rsid w:val="00FE2D5C"/>
    <w:rsid w:val="00FE490F"/>
    <w:rsid w:val="00FE619B"/>
    <w:rsid w:val="00FE6351"/>
    <w:rsid w:val="00FE707F"/>
    <w:rsid w:val="00FE7F49"/>
    <w:rsid w:val="00FF19EF"/>
    <w:rsid w:val="00FF1C80"/>
    <w:rsid w:val="00FF2FF9"/>
    <w:rsid w:val="00FF70EF"/>
    <w:rsid w:val="00FF74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045E77"/>
  <w15:docId w15:val="{2C12C374-56D3-D547-93E2-E07DCCD1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1EDB"/>
    <w:pPr>
      <w:tabs>
        <w:tab w:val="left" w:pos="431"/>
      </w:tabs>
      <w:overflowPunct w:val="0"/>
      <w:adjustRightInd w:val="0"/>
      <w:snapToGrid w:val="0"/>
      <w:spacing w:line="320" w:lineRule="exact"/>
      <w:jc w:val="both"/>
    </w:pPr>
    <w:rPr>
      <w:rFonts w:ascii="Times New Roman" w:eastAsia="SimSun" w:hAnsi="Times New Roman" w:cs="Times New Roman"/>
      <w:kern w:val="0"/>
      <w:szCs w:val="21"/>
    </w:rPr>
  </w:style>
  <w:style w:type="paragraph" w:styleId="Titre1">
    <w:name w:val="heading 1"/>
    <w:basedOn w:val="Normal"/>
    <w:next w:val="Normal"/>
    <w:link w:val="Titre1Car"/>
    <w:uiPriority w:val="9"/>
    <w:qFormat/>
    <w:rsid w:val="00341EDB"/>
    <w:pPr>
      <w:keepNext/>
      <w:keepLines/>
      <w:overflowPunct/>
      <w:spacing w:before="480" w:line="276" w:lineRule="auto"/>
      <w:jc w:val="left"/>
      <w:outlineLvl w:val="0"/>
    </w:pPr>
    <w:rPr>
      <w:rFonts w:eastAsia="Times New Roman"/>
      <w:b/>
      <w:bCs/>
      <w:color w:val="2F5496" w:themeColor="accent1" w:themeShade="BF"/>
      <w:sz w:val="28"/>
      <w:szCs w:val="28"/>
    </w:rPr>
  </w:style>
  <w:style w:type="paragraph" w:styleId="Titre2">
    <w:name w:val="heading 2"/>
    <w:basedOn w:val="Normal"/>
    <w:next w:val="Normal"/>
    <w:link w:val="Titre2Car"/>
    <w:uiPriority w:val="9"/>
    <w:semiHidden/>
    <w:rsid w:val="00341EDB"/>
    <w:pPr>
      <w:keepNext/>
      <w:keepLines/>
      <w:overflowPunct/>
      <w:spacing w:before="200" w:line="276" w:lineRule="auto"/>
      <w:jc w:val="left"/>
      <w:outlineLvl w:val="1"/>
    </w:pPr>
    <w:rPr>
      <w:rFonts w:eastAsia="Times New Roman"/>
      <w:b/>
      <w:bCs/>
      <w:color w:val="4472C4" w:themeColor="accent1"/>
      <w:sz w:val="26"/>
      <w:szCs w:val="26"/>
    </w:rPr>
  </w:style>
  <w:style w:type="paragraph" w:styleId="Titre3">
    <w:name w:val="heading 3"/>
    <w:basedOn w:val="Normal"/>
    <w:next w:val="Normal"/>
    <w:link w:val="Titre3Car"/>
    <w:uiPriority w:val="9"/>
    <w:semiHidden/>
    <w:qFormat/>
    <w:rsid w:val="00341EDB"/>
    <w:pPr>
      <w:keepNext/>
      <w:keepLines/>
      <w:overflowPunct/>
      <w:spacing w:before="200" w:line="276" w:lineRule="auto"/>
      <w:jc w:val="left"/>
      <w:outlineLvl w:val="2"/>
    </w:pPr>
    <w:rPr>
      <w:rFonts w:eastAsia="Times New Roman"/>
      <w:b/>
      <w:bCs/>
      <w:color w:val="4472C4" w:themeColor="accent1"/>
      <w:sz w:val="22"/>
    </w:rPr>
  </w:style>
  <w:style w:type="paragraph" w:styleId="Titre4">
    <w:name w:val="heading 4"/>
    <w:basedOn w:val="Normal"/>
    <w:next w:val="Normal"/>
    <w:link w:val="Titre4Car"/>
    <w:uiPriority w:val="9"/>
    <w:semiHidden/>
    <w:qFormat/>
    <w:rsid w:val="00341EDB"/>
    <w:pPr>
      <w:keepNext/>
      <w:keepLines/>
      <w:overflowPunct/>
      <w:spacing w:before="200" w:line="276" w:lineRule="auto"/>
      <w:jc w:val="left"/>
      <w:outlineLvl w:val="3"/>
    </w:pPr>
    <w:rPr>
      <w:rFonts w:eastAsia="Times New Roman"/>
      <w:b/>
      <w:bCs/>
      <w:i/>
      <w:iCs/>
      <w:color w:val="4472C4" w:themeColor="accent1"/>
      <w:sz w:val="22"/>
    </w:rPr>
  </w:style>
  <w:style w:type="paragraph" w:styleId="Titre5">
    <w:name w:val="heading 5"/>
    <w:basedOn w:val="Normal"/>
    <w:next w:val="Normal"/>
    <w:link w:val="Titre5Car"/>
    <w:uiPriority w:val="9"/>
    <w:semiHidden/>
    <w:qFormat/>
    <w:rsid w:val="00341EDB"/>
    <w:pPr>
      <w:keepNext/>
      <w:keepLines/>
      <w:overflowPunct/>
      <w:spacing w:before="200" w:line="276" w:lineRule="auto"/>
      <w:jc w:val="left"/>
      <w:outlineLvl w:val="4"/>
    </w:pPr>
    <w:rPr>
      <w:rFonts w:eastAsia="Times New Roman"/>
      <w:color w:val="1F3763" w:themeColor="accent1" w:themeShade="7F"/>
      <w:sz w:val="22"/>
    </w:rPr>
  </w:style>
  <w:style w:type="paragraph" w:styleId="Titre6">
    <w:name w:val="heading 6"/>
    <w:basedOn w:val="Normal"/>
    <w:next w:val="Normal"/>
    <w:link w:val="Titre6Car"/>
    <w:uiPriority w:val="9"/>
    <w:semiHidden/>
    <w:qFormat/>
    <w:rsid w:val="00341EDB"/>
    <w:pPr>
      <w:keepNext/>
      <w:keepLines/>
      <w:overflowPunct/>
      <w:spacing w:before="200" w:line="276" w:lineRule="auto"/>
      <w:jc w:val="left"/>
      <w:outlineLvl w:val="5"/>
    </w:pPr>
    <w:rPr>
      <w:rFonts w:eastAsia="Times New Roman"/>
      <w:i/>
      <w:iCs/>
      <w:color w:val="1F3763" w:themeColor="accent1" w:themeShade="7F"/>
      <w:sz w:val="22"/>
    </w:rPr>
  </w:style>
  <w:style w:type="paragraph" w:styleId="Titre7">
    <w:name w:val="heading 7"/>
    <w:basedOn w:val="Normal"/>
    <w:next w:val="Normal"/>
    <w:link w:val="Titre7Car"/>
    <w:uiPriority w:val="9"/>
    <w:semiHidden/>
    <w:qFormat/>
    <w:rsid w:val="00341EDB"/>
    <w:pPr>
      <w:keepNext/>
      <w:keepLines/>
      <w:overflowPunct/>
      <w:spacing w:before="200" w:line="276" w:lineRule="auto"/>
      <w:jc w:val="left"/>
      <w:outlineLvl w:val="6"/>
    </w:pPr>
    <w:rPr>
      <w:rFonts w:eastAsia="Times New Roman"/>
      <w:i/>
      <w:iCs/>
      <w:color w:val="404040" w:themeColor="text1" w:themeTint="BF"/>
      <w:sz w:val="22"/>
    </w:rPr>
  </w:style>
  <w:style w:type="paragraph" w:styleId="Titre8">
    <w:name w:val="heading 8"/>
    <w:basedOn w:val="Normal"/>
    <w:next w:val="Normal"/>
    <w:link w:val="Titre8Car"/>
    <w:uiPriority w:val="9"/>
    <w:semiHidden/>
    <w:qFormat/>
    <w:rsid w:val="00341EDB"/>
    <w:pPr>
      <w:keepNext/>
      <w:keepLines/>
      <w:overflowPunct/>
      <w:spacing w:before="200" w:line="276" w:lineRule="auto"/>
      <w:jc w:val="left"/>
      <w:outlineLvl w:val="7"/>
    </w:pPr>
    <w:rPr>
      <w:rFonts w:eastAsia="Times New Roman"/>
      <w:color w:val="4472C4" w:themeColor="accent1"/>
    </w:rPr>
  </w:style>
  <w:style w:type="paragraph" w:styleId="Titre9">
    <w:name w:val="heading 9"/>
    <w:basedOn w:val="Normal"/>
    <w:next w:val="Normal"/>
    <w:link w:val="Titre9Car"/>
    <w:uiPriority w:val="9"/>
    <w:semiHidden/>
    <w:qFormat/>
    <w:rsid w:val="00341EDB"/>
    <w:pPr>
      <w:keepNext/>
      <w:keepLines/>
      <w:overflowPunct/>
      <w:spacing w:before="200" w:line="276" w:lineRule="auto"/>
      <w:jc w:val="left"/>
      <w:outlineLvl w:val="8"/>
    </w:pPr>
    <w:rPr>
      <w:rFonts w:eastAsia="Times New Roman"/>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MGC">
    <w:name w:val="_ H __M_GC"/>
    <w:basedOn w:val="Normal"/>
    <w:next w:val="Normal"/>
    <w:qFormat/>
    <w:rsid w:val="00E43081"/>
    <w:pPr>
      <w:keepNext/>
      <w:keepLines/>
      <w:tabs>
        <w:tab w:val="clear" w:pos="431"/>
        <w:tab w:val="right" w:pos="851"/>
      </w:tabs>
      <w:spacing w:before="240" w:after="240" w:line="440" w:lineRule="exact"/>
      <w:ind w:left="1134" w:right="1134" w:hanging="1134"/>
      <w:jc w:val="left"/>
    </w:pPr>
    <w:rPr>
      <w:rFonts w:eastAsia="SimHei"/>
      <w:sz w:val="34"/>
      <w:szCs w:val="34"/>
    </w:rPr>
  </w:style>
  <w:style w:type="paragraph" w:customStyle="1" w:styleId="HChGC">
    <w:name w:val="_ H _Ch_GC"/>
    <w:basedOn w:val="Normal"/>
    <w:next w:val="Normal"/>
    <w:qFormat/>
    <w:rsid w:val="00E43081"/>
    <w:pPr>
      <w:keepNext/>
      <w:keepLines/>
      <w:tabs>
        <w:tab w:val="clear" w:pos="431"/>
        <w:tab w:val="right" w:pos="851"/>
      </w:tabs>
      <w:spacing w:before="360" w:after="240" w:line="400" w:lineRule="exact"/>
      <w:ind w:left="1134" w:right="1134" w:hanging="1134"/>
      <w:jc w:val="left"/>
    </w:pPr>
    <w:rPr>
      <w:rFonts w:eastAsia="SimHei"/>
      <w:sz w:val="28"/>
      <w:szCs w:val="28"/>
    </w:rPr>
  </w:style>
  <w:style w:type="paragraph" w:customStyle="1" w:styleId="H1GC">
    <w:name w:val="_ H_1_GC"/>
    <w:basedOn w:val="Normal"/>
    <w:next w:val="Normal"/>
    <w:qFormat/>
    <w:rsid w:val="00E43081"/>
    <w:pPr>
      <w:keepNext/>
      <w:keepLines/>
      <w:tabs>
        <w:tab w:val="clear" w:pos="431"/>
        <w:tab w:val="right" w:pos="851"/>
      </w:tabs>
      <w:spacing w:before="360" w:after="240"/>
      <w:ind w:left="1134" w:right="1134" w:hanging="1134"/>
      <w:jc w:val="left"/>
    </w:pPr>
    <w:rPr>
      <w:rFonts w:eastAsia="SimHei"/>
      <w:sz w:val="24"/>
      <w:szCs w:val="24"/>
    </w:rPr>
  </w:style>
  <w:style w:type="paragraph" w:customStyle="1" w:styleId="H23GC">
    <w:name w:val="_ H_2/3_GC"/>
    <w:basedOn w:val="Normal"/>
    <w:next w:val="Normal"/>
    <w:qFormat/>
    <w:rsid w:val="00E43081"/>
    <w:pPr>
      <w:keepNext/>
      <w:keepLines/>
      <w:tabs>
        <w:tab w:val="clear" w:pos="431"/>
        <w:tab w:val="right" w:pos="851"/>
      </w:tabs>
      <w:spacing w:before="240" w:after="120"/>
      <w:ind w:left="1134" w:right="1134" w:hanging="1134"/>
      <w:jc w:val="left"/>
    </w:pPr>
    <w:rPr>
      <w:rFonts w:eastAsia="SimHei"/>
      <w:sz w:val="22"/>
      <w:szCs w:val="22"/>
    </w:rPr>
  </w:style>
  <w:style w:type="paragraph" w:customStyle="1" w:styleId="H4GC">
    <w:name w:val="_ H_4_GC"/>
    <w:basedOn w:val="Normal"/>
    <w:next w:val="Normal"/>
    <w:qFormat/>
    <w:rsid w:val="00E43081"/>
    <w:pPr>
      <w:keepNext/>
      <w:keepLines/>
      <w:tabs>
        <w:tab w:val="clear" w:pos="431"/>
        <w:tab w:val="right" w:pos="851"/>
      </w:tabs>
      <w:spacing w:before="240" w:after="120"/>
      <w:ind w:left="1134" w:right="1134" w:hanging="1134"/>
      <w:jc w:val="left"/>
    </w:pPr>
    <w:rPr>
      <w:rFonts w:eastAsia="楷体"/>
      <w:sz w:val="23"/>
      <w:szCs w:val="23"/>
    </w:rPr>
  </w:style>
  <w:style w:type="paragraph" w:customStyle="1" w:styleId="H56GC">
    <w:name w:val="_ H_5/6_GC"/>
    <w:basedOn w:val="Normal"/>
    <w:next w:val="Normal"/>
    <w:qFormat/>
    <w:rsid w:val="00E43081"/>
    <w:pPr>
      <w:keepNext/>
      <w:keepLines/>
      <w:tabs>
        <w:tab w:val="clear" w:pos="431"/>
        <w:tab w:val="right" w:pos="851"/>
      </w:tabs>
      <w:spacing w:before="240" w:after="120"/>
      <w:ind w:left="1134" w:right="1134" w:hanging="1134"/>
      <w:jc w:val="left"/>
    </w:pPr>
  </w:style>
  <w:style w:type="paragraph" w:customStyle="1" w:styleId="SingleTxtGC">
    <w:name w:val="_ Single Txt_GC"/>
    <w:basedOn w:val="Normal"/>
    <w:link w:val="SingleTxtGCChar"/>
    <w:qFormat/>
    <w:rsid w:val="00341EDB"/>
    <w:pPr>
      <w:tabs>
        <w:tab w:val="left" w:pos="1134"/>
        <w:tab w:val="left" w:pos="1565"/>
        <w:tab w:val="left" w:pos="1996"/>
        <w:tab w:val="left" w:pos="2427"/>
      </w:tabs>
      <w:spacing w:after="120"/>
      <w:ind w:left="1134" w:right="1134"/>
    </w:pPr>
  </w:style>
  <w:style w:type="character" w:customStyle="1" w:styleId="SingleTxtGCChar">
    <w:name w:val="_ Single Txt_GC Char"/>
    <w:basedOn w:val="Policepardfaut"/>
    <w:link w:val="SingleTxtGC"/>
    <w:locked/>
    <w:rsid w:val="00341EDB"/>
    <w:rPr>
      <w:rFonts w:ascii="Times New Roman" w:eastAsia="SimSun" w:hAnsi="Times New Roman" w:cs="Times New Roman"/>
      <w:kern w:val="0"/>
      <w:szCs w:val="21"/>
    </w:rPr>
  </w:style>
  <w:style w:type="paragraph" w:customStyle="1" w:styleId="SLGC">
    <w:name w:val="__S_L_GC"/>
    <w:basedOn w:val="Normal"/>
    <w:next w:val="Normal"/>
    <w:qFormat/>
    <w:rsid w:val="00341EDB"/>
    <w:pPr>
      <w:keepNext/>
      <w:keepLines/>
      <w:spacing w:before="240" w:after="240" w:line="560" w:lineRule="exact"/>
      <w:ind w:left="1134" w:right="1134"/>
      <w:jc w:val="left"/>
    </w:pPr>
    <w:rPr>
      <w:rFonts w:eastAsia="SimHei"/>
      <w:sz w:val="56"/>
      <w:szCs w:val="56"/>
    </w:rPr>
  </w:style>
  <w:style w:type="paragraph" w:customStyle="1" w:styleId="SMGC">
    <w:name w:val="__S_M_GC"/>
    <w:basedOn w:val="Normal"/>
    <w:next w:val="Normal"/>
    <w:qFormat/>
    <w:rsid w:val="00341EDB"/>
    <w:pPr>
      <w:keepNext/>
      <w:keepLines/>
      <w:spacing w:before="240" w:after="240" w:line="400" w:lineRule="exact"/>
      <w:ind w:left="1134" w:right="1134"/>
      <w:jc w:val="left"/>
    </w:pPr>
    <w:rPr>
      <w:rFonts w:eastAsia="SimHei"/>
      <w:sz w:val="40"/>
      <w:szCs w:val="40"/>
    </w:rPr>
  </w:style>
  <w:style w:type="paragraph" w:customStyle="1" w:styleId="SSGC">
    <w:name w:val="__S_S_GC"/>
    <w:basedOn w:val="Normal"/>
    <w:next w:val="Normal"/>
    <w:qFormat/>
    <w:rsid w:val="00341EDB"/>
    <w:pPr>
      <w:keepNext/>
      <w:keepLines/>
      <w:spacing w:before="240" w:after="240" w:line="300" w:lineRule="exact"/>
      <w:ind w:left="1134" w:right="1134"/>
      <w:jc w:val="left"/>
    </w:pPr>
    <w:rPr>
      <w:rFonts w:eastAsia="SimHei"/>
      <w:sz w:val="28"/>
      <w:szCs w:val="28"/>
    </w:rPr>
  </w:style>
  <w:style w:type="paragraph" w:customStyle="1" w:styleId="XLargeGC">
    <w:name w:val="__XLarge_GC"/>
    <w:basedOn w:val="Normal"/>
    <w:next w:val="Normal"/>
    <w:qFormat/>
    <w:rsid w:val="00341EDB"/>
    <w:pPr>
      <w:keepNext/>
      <w:keepLines/>
      <w:spacing w:before="240" w:after="240" w:line="400" w:lineRule="exact"/>
      <w:ind w:left="1134" w:right="1134"/>
      <w:jc w:val="left"/>
    </w:pPr>
    <w:rPr>
      <w:rFonts w:eastAsia="SimHei"/>
      <w:sz w:val="40"/>
      <w:szCs w:val="40"/>
    </w:rPr>
  </w:style>
  <w:style w:type="paragraph" w:customStyle="1" w:styleId="Bullet1GC">
    <w:name w:val="_Bullet 1_GC"/>
    <w:basedOn w:val="Normal"/>
    <w:qFormat/>
    <w:rsid w:val="00341EDB"/>
    <w:pPr>
      <w:numPr>
        <w:numId w:val="1"/>
      </w:numPr>
      <w:spacing w:after="120"/>
      <w:ind w:right="1134"/>
      <w:jc w:val="left"/>
    </w:pPr>
  </w:style>
  <w:style w:type="paragraph" w:customStyle="1" w:styleId="Bullet2GC">
    <w:name w:val="_Bullet 2_GC"/>
    <w:basedOn w:val="Normal"/>
    <w:qFormat/>
    <w:rsid w:val="00341EDB"/>
    <w:pPr>
      <w:numPr>
        <w:numId w:val="2"/>
      </w:numPr>
      <w:spacing w:after="120"/>
      <w:ind w:right="1134"/>
      <w:jc w:val="left"/>
    </w:pPr>
  </w:style>
  <w:style w:type="paragraph" w:customStyle="1" w:styleId="DashGC">
    <w:name w:val="_Dash_GC"/>
    <w:basedOn w:val="Normal"/>
    <w:qFormat/>
    <w:rsid w:val="00341EDB"/>
    <w:pPr>
      <w:numPr>
        <w:numId w:val="3"/>
      </w:numPr>
      <w:spacing w:after="120"/>
      <w:ind w:right="1134"/>
      <w:jc w:val="left"/>
    </w:pPr>
    <w:rPr>
      <w:lang w:val="fr-CH"/>
    </w:rPr>
  </w:style>
  <w:style w:type="character" w:customStyle="1" w:styleId="Titre1Car">
    <w:name w:val="Titre 1 Car"/>
    <w:basedOn w:val="Policepardfaut"/>
    <w:link w:val="Titre1"/>
    <w:uiPriority w:val="9"/>
    <w:rsid w:val="00341EDB"/>
    <w:rPr>
      <w:rFonts w:ascii="Times New Roman" w:eastAsia="Times New Roman" w:hAnsi="Times New Roman" w:cs="Times New Roman"/>
      <w:b/>
      <w:bCs/>
      <w:color w:val="2F5496" w:themeColor="accent1" w:themeShade="BF"/>
      <w:kern w:val="0"/>
      <w:sz w:val="28"/>
      <w:szCs w:val="28"/>
    </w:rPr>
  </w:style>
  <w:style w:type="character" w:customStyle="1" w:styleId="Titre2Car">
    <w:name w:val="Titre 2 Car"/>
    <w:basedOn w:val="Policepardfaut"/>
    <w:link w:val="Titre2"/>
    <w:uiPriority w:val="9"/>
    <w:semiHidden/>
    <w:rsid w:val="00341EDB"/>
    <w:rPr>
      <w:rFonts w:ascii="Times New Roman" w:eastAsia="Times New Roman" w:hAnsi="Times New Roman" w:cs="Times New Roman"/>
      <w:b/>
      <w:bCs/>
      <w:color w:val="4472C4" w:themeColor="accent1"/>
      <w:kern w:val="0"/>
      <w:sz w:val="26"/>
      <w:szCs w:val="26"/>
    </w:rPr>
  </w:style>
  <w:style w:type="character" w:customStyle="1" w:styleId="Titre3Car">
    <w:name w:val="Titre 3 Car"/>
    <w:basedOn w:val="Policepardfaut"/>
    <w:link w:val="Titre3"/>
    <w:uiPriority w:val="9"/>
    <w:semiHidden/>
    <w:rsid w:val="00341EDB"/>
    <w:rPr>
      <w:rFonts w:ascii="Times New Roman" w:eastAsia="Times New Roman" w:hAnsi="Times New Roman" w:cs="Times New Roman"/>
      <w:b/>
      <w:bCs/>
      <w:color w:val="4472C4" w:themeColor="accent1"/>
      <w:kern w:val="0"/>
      <w:sz w:val="22"/>
      <w:szCs w:val="21"/>
    </w:rPr>
  </w:style>
  <w:style w:type="character" w:customStyle="1" w:styleId="Titre4Car">
    <w:name w:val="Titre 4 Car"/>
    <w:basedOn w:val="Policepardfaut"/>
    <w:link w:val="Titre4"/>
    <w:uiPriority w:val="9"/>
    <w:semiHidden/>
    <w:rsid w:val="00341EDB"/>
    <w:rPr>
      <w:rFonts w:ascii="Times New Roman" w:eastAsia="Times New Roman" w:hAnsi="Times New Roman" w:cs="Times New Roman"/>
      <w:b/>
      <w:bCs/>
      <w:i/>
      <w:iCs/>
      <w:color w:val="4472C4" w:themeColor="accent1"/>
      <w:kern w:val="0"/>
      <w:sz w:val="22"/>
      <w:szCs w:val="21"/>
    </w:rPr>
  </w:style>
  <w:style w:type="character" w:customStyle="1" w:styleId="Titre5Car">
    <w:name w:val="Titre 5 Car"/>
    <w:basedOn w:val="Policepardfaut"/>
    <w:link w:val="Titre5"/>
    <w:uiPriority w:val="9"/>
    <w:semiHidden/>
    <w:rsid w:val="00341EDB"/>
    <w:rPr>
      <w:rFonts w:ascii="Times New Roman" w:eastAsia="Times New Roman" w:hAnsi="Times New Roman" w:cs="Times New Roman"/>
      <w:color w:val="1F3763" w:themeColor="accent1" w:themeShade="7F"/>
      <w:kern w:val="0"/>
      <w:sz w:val="22"/>
      <w:szCs w:val="21"/>
    </w:rPr>
  </w:style>
  <w:style w:type="character" w:customStyle="1" w:styleId="Titre6Car">
    <w:name w:val="Titre 6 Car"/>
    <w:basedOn w:val="Policepardfaut"/>
    <w:link w:val="Titre6"/>
    <w:uiPriority w:val="9"/>
    <w:semiHidden/>
    <w:rsid w:val="00341EDB"/>
    <w:rPr>
      <w:rFonts w:ascii="Times New Roman" w:eastAsia="Times New Roman" w:hAnsi="Times New Roman" w:cs="Times New Roman"/>
      <w:i/>
      <w:iCs/>
      <w:color w:val="1F3763" w:themeColor="accent1" w:themeShade="7F"/>
      <w:kern w:val="0"/>
      <w:sz w:val="22"/>
      <w:szCs w:val="21"/>
    </w:rPr>
  </w:style>
  <w:style w:type="character" w:customStyle="1" w:styleId="Titre7Car">
    <w:name w:val="Titre 7 Car"/>
    <w:basedOn w:val="Policepardfaut"/>
    <w:link w:val="Titre7"/>
    <w:uiPriority w:val="9"/>
    <w:semiHidden/>
    <w:rsid w:val="00341EDB"/>
    <w:rPr>
      <w:rFonts w:ascii="Times New Roman" w:eastAsia="Times New Roman" w:hAnsi="Times New Roman" w:cs="Times New Roman"/>
      <w:i/>
      <w:iCs/>
      <w:color w:val="404040" w:themeColor="text1" w:themeTint="BF"/>
      <w:kern w:val="0"/>
      <w:sz w:val="22"/>
      <w:szCs w:val="21"/>
    </w:rPr>
  </w:style>
  <w:style w:type="character" w:customStyle="1" w:styleId="Titre8Car">
    <w:name w:val="Titre 8 Car"/>
    <w:basedOn w:val="Policepardfaut"/>
    <w:link w:val="Titre8"/>
    <w:uiPriority w:val="9"/>
    <w:semiHidden/>
    <w:rsid w:val="00341EDB"/>
    <w:rPr>
      <w:rFonts w:ascii="Times New Roman" w:eastAsia="Times New Roman" w:hAnsi="Times New Roman" w:cs="Times New Roman"/>
      <w:color w:val="4472C4" w:themeColor="accent1"/>
      <w:kern w:val="0"/>
      <w:szCs w:val="21"/>
    </w:rPr>
  </w:style>
  <w:style w:type="character" w:customStyle="1" w:styleId="Titre9Car">
    <w:name w:val="Titre 9 Car"/>
    <w:basedOn w:val="Policepardfaut"/>
    <w:link w:val="Titre9"/>
    <w:uiPriority w:val="9"/>
    <w:semiHidden/>
    <w:rsid w:val="00341EDB"/>
    <w:rPr>
      <w:rFonts w:ascii="Times New Roman" w:eastAsia="Times New Roman" w:hAnsi="Times New Roman" w:cs="Times New Roman"/>
      <w:i/>
      <w:iCs/>
      <w:color w:val="404040" w:themeColor="text1" w:themeTint="BF"/>
      <w:kern w:val="0"/>
      <w:szCs w:val="21"/>
    </w:rPr>
  </w:style>
  <w:style w:type="paragraph" w:customStyle="1" w:styleId="a">
    <w:name w:val="表数文字"/>
    <w:basedOn w:val="Normal"/>
    <w:qFormat/>
    <w:rsid w:val="00341EDB"/>
    <w:pPr>
      <w:tabs>
        <w:tab w:val="left" w:pos="1134"/>
        <w:tab w:val="left" w:pos="1565"/>
        <w:tab w:val="left" w:pos="1996"/>
        <w:tab w:val="left" w:pos="2427"/>
      </w:tabs>
      <w:spacing w:before="40" w:after="40" w:line="240" w:lineRule="atLeast"/>
      <w:ind w:right="113"/>
      <w:jc w:val="left"/>
    </w:pPr>
    <w:rPr>
      <w:sz w:val="18"/>
      <w:szCs w:val="18"/>
    </w:rPr>
  </w:style>
  <w:style w:type="paragraph" w:customStyle="1" w:styleId="a0">
    <w:name w:val="表中标题"/>
    <w:basedOn w:val="Normal"/>
    <w:qFormat/>
    <w:rsid w:val="00341EDB"/>
    <w:pPr>
      <w:tabs>
        <w:tab w:val="left" w:pos="1134"/>
        <w:tab w:val="left" w:pos="1565"/>
        <w:tab w:val="left" w:pos="1996"/>
        <w:tab w:val="left" w:pos="2427"/>
      </w:tabs>
      <w:spacing w:before="80" w:after="80" w:line="200" w:lineRule="exact"/>
      <w:ind w:right="113"/>
      <w:jc w:val="left"/>
    </w:pPr>
    <w:rPr>
      <w:rFonts w:eastAsia="楷体"/>
      <w:sz w:val="18"/>
      <w:szCs w:val="18"/>
    </w:rPr>
  </w:style>
  <w:style w:type="paragraph" w:customStyle="1" w:styleId="a1">
    <w:name w:val="表中文字"/>
    <w:basedOn w:val="Normal"/>
    <w:qFormat/>
    <w:rsid w:val="00341EDB"/>
    <w:pPr>
      <w:tabs>
        <w:tab w:val="left" w:pos="1134"/>
        <w:tab w:val="left" w:pos="1565"/>
        <w:tab w:val="left" w:pos="1996"/>
        <w:tab w:val="left" w:pos="2427"/>
      </w:tabs>
      <w:spacing w:before="40" w:line="240" w:lineRule="atLeast"/>
      <w:ind w:right="113"/>
      <w:jc w:val="left"/>
    </w:pPr>
    <w:rPr>
      <w:sz w:val="18"/>
      <w:szCs w:val="18"/>
    </w:rPr>
  </w:style>
  <w:style w:type="character" w:styleId="Lienhypertexte">
    <w:name w:val="Hyperlink"/>
    <w:basedOn w:val="Policepardfaut"/>
    <w:rsid w:val="00341EDB"/>
    <w:rPr>
      <w:color w:val="0563C1" w:themeColor="hyperlink"/>
      <w:u w:val="none"/>
    </w:rPr>
  </w:style>
  <w:style w:type="character" w:styleId="Lienhypertextesuivivisit">
    <w:name w:val="FollowedHyperlink"/>
    <w:basedOn w:val="Policepardfaut"/>
    <w:uiPriority w:val="99"/>
    <w:semiHidden/>
    <w:rsid w:val="00341EDB"/>
    <w:rPr>
      <w:color w:val="0000FF"/>
      <w:u w:val="none"/>
    </w:rPr>
  </w:style>
  <w:style w:type="paragraph" w:styleId="Textedemacro">
    <w:name w:val="macro"/>
    <w:link w:val="TextedemacroCar"/>
    <w:semiHidden/>
    <w:rsid w:val="00341EDB"/>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rFonts w:ascii="Times New Roman" w:eastAsia="SimSun" w:hAnsi="Times New Roman" w:cs="Times New Roman"/>
      <w:kern w:val="24"/>
      <w:sz w:val="24"/>
      <w:szCs w:val="24"/>
    </w:rPr>
  </w:style>
  <w:style w:type="character" w:customStyle="1" w:styleId="TextedemacroCar">
    <w:name w:val="Texte de macro Car"/>
    <w:basedOn w:val="Policepardfaut"/>
    <w:link w:val="Textedemacro"/>
    <w:semiHidden/>
    <w:rsid w:val="00341EDB"/>
    <w:rPr>
      <w:rFonts w:ascii="Times New Roman" w:eastAsia="SimSun" w:hAnsi="Times New Roman" w:cs="Times New Roman"/>
      <w:kern w:val="24"/>
      <w:sz w:val="24"/>
      <w:szCs w:val="24"/>
    </w:rPr>
  </w:style>
  <w:style w:type="paragraph" w:styleId="Notedebasdepage">
    <w:name w:val="footnote text"/>
    <w:aliases w:val="5_G,Footnote Text Char Char Char Char Char,Footnote Text Char Char Char Char,Footnote reference,FA Fu,Footnote Text Char Char Char,Footnote Reference1,Footnote Expulsion, Char,Char,FOOTNOTES,fn,single space,footnote text,f,ft,AD,ADB"/>
    <w:basedOn w:val="Normal"/>
    <w:link w:val="NotedebasdepageCar"/>
    <w:qFormat/>
    <w:rsid w:val="00341EDB"/>
    <w:pPr>
      <w:keepLines/>
      <w:widowControl w:val="0"/>
      <w:tabs>
        <w:tab w:val="clear" w:pos="431"/>
        <w:tab w:val="right" w:pos="1021"/>
      </w:tabs>
      <w:autoSpaceDE w:val="0"/>
      <w:autoSpaceDN w:val="0"/>
      <w:spacing w:after="120" w:line="240" w:lineRule="exact"/>
      <w:ind w:left="1134" w:right="1134" w:hanging="1134"/>
      <w:jc w:val="left"/>
    </w:pPr>
    <w:rPr>
      <w:sz w:val="18"/>
      <w:szCs w:val="18"/>
    </w:rPr>
  </w:style>
  <w:style w:type="character" w:customStyle="1" w:styleId="NotedebasdepageCar">
    <w:name w:val="Note de bas de page Car"/>
    <w:aliases w:val="5_G Car,Footnote Text Char Char Char Char Char Car,Footnote Text Char Char Char Char Car,Footnote reference Car,FA Fu Car,Footnote Text Char Char Char Car,Footnote Reference1 Car,Footnote Expulsion Car, Char Car,Char Car,fn Car"/>
    <w:basedOn w:val="Policepardfaut"/>
    <w:link w:val="Notedebasdepage"/>
    <w:rsid w:val="00341EDB"/>
    <w:rPr>
      <w:rFonts w:ascii="Times New Roman" w:eastAsia="SimSun" w:hAnsi="Times New Roman" w:cs="Times New Roman"/>
      <w:kern w:val="0"/>
      <w:sz w:val="18"/>
      <w:szCs w:val="18"/>
    </w:rPr>
  </w:style>
  <w:style w:type="character" w:styleId="Appelnotedebasdep">
    <w:name w:val="footnote reference"/>
    <w:aliases w:val="脚注引用 Char,4_G Char,(Dipl..."/>
    <w:basedOn w:val="Policepardfaut"/>
    <w:link w:val="1"/>
    <w:qFormat/>
    <w:rsid w:val="00341EDB"/>
    <w:rPr>
      <w:rFonts w:ascii="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2">
    <w:name w:val="目录段页次"/>
    <w:basedOn w:val="Normal"/>
    <w:qFormat/>
    <w:rsid w:val="00341EDB"/>
    <w:pPr>
      <w:tabs>
        <w:tab w:val="clear" w:pos="431"/>
        <w:tab w:val="right" w:pos="851"/>
        <w:tab w:val="left" w:pos="1134"/>
        <w:tab w:val="left" w:pos="1565"/>
        <w:tab w:val="right" w:leader="dot" w:pos="7655"/>
        <w:tab w:val="right" w:pos="8789"/>
        <w:tab w:val="right" w:pos="9554"/>
      </w:tabs>
      <w:spacing w:after="120"/>
      <w:ind w:left="1134" w:right="3119" w:hanging="1134"/>
      <w:jc w:val="left"/>
    </w:pPr>
  </w:style>
  <w:style w:type="paragraph" w:customStyle="1" w:styleId="a3">
    <w:name w:val="目录页次"/>
    <w:basedOn w:val="Normal"/>
    <w:qFormat/>
    <w:rsid w:val="00341EDB"/>
    <w:pPr>
      <w:tabs>
        <w:tab w:val="clear" w:pos="431"/>
        <w:tab w:val="right" w:pos="851"/>
        <w:tab w:val="left" w:pos="1134"/>
        <w:tab w:val="left" w:pos="1565"/>
        <w:tab w:val="right" w:leader="dot" w:pos="8789"/>
        <w:tab w:val="right" w:pos="9554"/>
      </w:tabs>
      <w:spacing w:after="120"/>
      <w:ind w:left="1134" w:right="3119" w:hanging="1134"/>
      <w:jc w:val="left"/>
    </w:pPr>
  </w:style>
  <w:style w:type="paragraph" w:customStyle="1" w:styleId="a4">
    <w:name w:val="缩进正文"/>
    <w:basedOn w:val="Normal"/>
    <w:qFormat/>
    <w:rsid w:val="00341EDB"/>
    <w:pPr>
      <w:tabs>
        <w:tab w:val="left" w:pos="1134"/>
        <w:tab w:val="left" w:pos="1565"/>
        <w:tab w:val="left" w:pos="1996"/>
        <w:tab w:val="left" w:pos="2427"/>
      </w:tabs>
      <w:ind w:left="1565" w:right="1134"/>
      <w:jc w:val="left"/>
    </w:pPr>
    <w:rPr>
      <w:sz w:val="22"/>
    </w:rPr>
  </w:style>
  <w:style w:type="paragraph" w:styleId="Notedefin">
    <w:name w:val="endnote text"/>
    <w:basedOn w:val="Notedebasdepage"/>
    <w:link w:val="NotedefinCar"/>
    <w:qFormat/>
    <w:rsid w:val="00341EDB"/>
    <w:pPr>
      <w:keepLines w:val="0"/>
      <w:spacing w:after="0"/>
    </w:pPr>
  </w:style>
  <w:style w:type="character" w:customStyle="1" w:styleId="NotedefinCar">
    <w:name w:val="Note de fin Car"/>
    <w:basedOn w:val="Policepardfaut"/>
    <w:link w:val="Notedefin"/>
    <w:rsid w:val="00341EDB"/>
    <w:rPr>
      <w:rFonts w:ascii="Times New Roman" w:eastAsia="SimSun" w:hAnsi="Times New Roman" w:cs="Times New Roman"/>
      <w:kern w:val="0"/>
      <w:sz w:val="18"/>
      <w:szCs w:val="18"/>
    </w:rPr>
  </w:style>
  <w:style w:type="character" w:styleId="Appeldenotedefin">
    <w:name w:val="endnote reference"/>
    <w:basedOn w:val="Appelnotedebasdep"/>
    <w:qFormat/>
    <w:rsid w:val="00341EDB"/>
    <w:rPr>
      <w:rFonts w:ascii="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5">
    <w:name w:val="悬挂"/>
    <w:basedOn w:val="Normal"/>
    <w:qFormat/>
    <w:rsid w:val="00341EDB"/>
    <w:pPr>
      <w:tabs>
        <w:tab w:val="left" w:pos="1134"/>
        <w:tab w:val="left" w:pos="1565"/>
        <w:tab w:val="left" w:pos="1996"/>
        <w:tab w:val="left" w:pos="2427"/>
      </w:tabs>
      <w:spacing w:after="120"/>
      <w:ind w:left="1565" w:right="1134" w:hanging="431"/>
      <w:jc w:val="left"/>
    </w:pPr>
  </w:style>
  <w:style w:type="paragraph" w:styleId="Pieddepage">
    <w:name w:val="footer"/>
    <w:basedOn w:val="Normal"/>
    <w:link w:val="PieddepageCar"/>
    <w:uiPriority w:val="99"/>
    <w:qFormat/>
    <w:rsid w:val="00341EDB"/>
    <w:pPr>
      <w:spacing w:line="240" w:lineRule="auto"/>
      <w:jc w:val="left"/>
    </w:pPr>
    <w:rPr>
      <w:rFonts w:eastAsia="Times New Roman"/>
      <w:sz w:val="16"/>
      <w:szCs w:val="16"/>
      <w:lang w:val="en-GB" w:eastAsia="en-US"/>
    </w:rPr>
  </w:style>
  <w:style w:type="character" w:customStyle="1" w:styleId="PieddepageCar">
    <w:name w:val="Pied de page Car"/>
    <w:basedOn w:val="Policepardfaut"/>
    <w:link w:val="Pieddepage"/>
    <w:uiPriority w:val="99"/>
    <w:rsid w:val="00341EDB"/>
    <w:rPr>
      <w:rFonts w:ascii="Times New Roman" w:eastAsia="Times New Roman" w:hAnsi="Times New Roman" w:cs="Times New Roman"/>
      <w:kern w:val="0"/>
      <w:sz w:val="16"/>
      <w:szCs w:val="16"/>
      <w:lang w:val="en-GB" w:eastAsia="en-US"/>
    </w:rPr>
  </w:style>
  <w:style w:type="character" w:styleId="Numrodepage">
    <w:name w:val="page number"/>
    <w:basedOn w:val="Policepardfaut"/>
    <w:qFormat/>
    <w:rsid w:val="00341EDB"/>
    <w:rPr>
      <w:rFonts w:ascii="Times New Roman" w:hAnsi="Times New Roman"/>
      <w:b/>
      <w:i w:val="0"/>
      <w:caps w:val="0"/>
      <w:smallCaps w:val="0"/>
      <w:strike w:val="0"/>
      <w:dstrike w:val="0"/>
      <w:snapToGrid w:val="0"/>
      <w:vanish w:val="0"/>
      <w:spacing w:val="0"/>
      <w:kern w:val="0"/>
      <w:sz w:val="18"/>
      <w:vertAlign w:val="baseline"/>
      <w14:cntxtAlts w14:val="0"/>
    </w:rPr>
  </w:style>
  <w:style w:type="paragraph" w:styleId="En-tte">
    <w:name w:val="header"/>
    <w:basedOn w:val="Normal"/>
    <w:link w:val="En-tteCar"/>
    <w:qFormat/>
    <w:rsid w:val="00341EDB"/>
    <w:pPr>
      <w:pBdr>
        <w:bottom w:val="single" w:sz="4" w:space="4" w:color="auto"/>
      </w:pBdr>
      <w:tabs>
        <w:tab w:val="left" w:pos="992"/>
        <w:tab w:val="left" w:pos="5772"/>
        <w:tab w:val="left" w:pos="6634"/>
        <w:tab w:val="left" w:pos="7144"/>
        <w:tab w:val="left" w:pos="7655"/>
        <w:tab w:val="left" w:pos="8165"/>
      </w:tabs>
      <w:spacing w:line="240" w:lineRule="auto"/>
      <w:jc w:val="left"/>
    </w:pPr>
    <w:rPr>
      <w:rFonts w:eastAsia="Times New Roman"/>
      <w:b/>
      <w:snapToGrid w:val="0"/>
      <w:sz w:val="18"/>
      <w:szCs w:val="18"/>
      <w:lang w:val="en-GB" w:eastAsia="en-US"/>
    </w:rPr>
  </w:style>
  <w:style w:type="character" w:customStyle="1" w:styleId="En-tteCar">
    <w:name w:val="En-tête Car"/>
    <w:basedOn w:val="Policepardfaut"/>
    <w:link w:val="En-tte"/>
    <w:rsid w:val="00341EDB"/>
    <w:rPr>
      <w:rFonts w:ascii="Times New Roman" w:eastAsia="Times New Roman" w:hAnsi="Times New Roman" w:cs="Times New Roman"/>
      <w:b/>
      <w:snapToGrid w:val="0"/>
      <w:kern w:val="0"/>
      <w:sz w:val="18"/>
      <w:szCs w:val="18"/>
      <w:lang w:val="en-GB" w:eastAsia="en-US"/>
    </w:rPr>
  </w:style>
  <w:style w:type="paragraph" w:styleId="Textedebulles">
    <w:name w:val="Balloon Text"/>
    <w:basedOn w:val="Normal"/>
    <w:link w:val="TextedebullesCar"/>
    <w:uiPriority w:val="99"/>
    <w:semiHidden/>
    <w:unhideWhenUsed/>
    <w:rsid w:val="00AB517C"/>
    <w:pPr>
      <w:spacing w:line="240" w:lineRule="auto"/>
    </w:pPr>
    <w:rPr>
      <w:sz w:val="18"/>
      <w:szCs w:val="18"/>
    </w:rPr>
  </w:style>
  <w:style w:type="character" w:customStyle="1" w:styleId="TextedebullesCar">
    <w:name w:val="Texte de bulles Car"/>
    <w:basedOn w:val="Policepardfaut"/>
    <w:link w:val="Textedebulles"/>
    <w:uiPriority w:val="99"/>
    <w:semiHidden/>
    <w:rsid w:val="00AB517C"/>
    <w:rPr>
      <w:rFonts w:ascii="Times New Roman" w:eastAsia="SimSun" w:hAnsi="Times New Roman" w:cs="Times New Roman"/>
      <w:kern w:val="0"/>
      <w:sz w:val="18"/>
      <w:szCs w:val="18"/>
    </w:rPr>
  </w:style>
  <w:style w:type="paragraph" w:styleId="Date">
    <w:name w:val="Date"/>
    <w:basedOn w:val="Normal"/>
    <w:next w:val="Normal"/>
    <w:link w:val="DateCar"/>
    <w:uiPriority w:val="99"/>
    <w:semiHidden/>
    <w:unhideWhenUsed/>
    <w:rsid w:val="00315AA7"/>
  </w:style>
  <w:style w:type="character" w:customStyle="1" w:styleId="DateCar">
    <w:name w:val="Date Car"/>
    <w:basedOn w:val="Policepardfaut"/>
    <w:link w:val="Date"/>
    <w:uiPriority w:val="99"/>
    <w:semiHidden/>
    <w:rsid w:val="00315AA7"/>
    <w:rPr>
      <w:rFonts w:ascii="Times New Roman" w:eastAsia="SimSun" w:hAnsi="Times New Roman" w:cs="Times New Roman"/>
      <w:kern w:val="0"/>
      <w:szCs w:val="21"/>
    </w:rPr>
  </w:style>
  <w:style w:type="paragraph" w:customStyle="1" w:styleId="1">
    <w:name w:val="脚注引用1"/>
    <w:aliases w:val="4_G,fr,英文脚注引用,Appel note de bas de page Char,Texto de nota al pie Char,referencia nota al pie Char,FZ Char,a Footnote Reference Char,a Footnote text + MetaNormal-Roman Char,Appel note de bas de page Char1 Char Char Char Char Char Char"/>
    <w:basedOn w:val="Normal"/>
    <w:link w:val="Appelnotedebasdep"/>
    <w:qFormat/>
    <w:rsid w:val="007A5EF8"/>
    <w:pPr>
      <w:tabs>
        <w:tab w:val="clear" w:pos="431"/>
      </w:tabs>
      <w:overflowPunct/>
      <w:adjustRightInd/>
      <w:snapToGrid/>
      <w:spacing w:line="240" w:lineRule="auto"/>
      <w:jc w:val="left"/>
    </w:pPr>
    <w:rPr>
      <w:rFonts w:eastAsiaTheme="minorEastAsia" w:cstheme="minorBidi"/>
      <w:snapToGrid w:val="0"/>
      <w:color w:val="0000FF"/>
      <w:szCs w:val="22"/>
      <w:vertAlign w:val="superscript"/>
    </w:rPr>
  </w:style>
  <w:style w:type="character" w:styleId="Marquedecommentaire">
    <w:name w:val="annotation reference"/>
    <w:basedOn w:val="Policepardfaut"/>
    <w:uiPriority w:val="99"/>
    <w:semiHidden/>
    <w:unhideWhenUsed/>
    <w:rsid w:val="009D6BAB"/>
    <w:rPr>
      <w:sz w:val="21"/>
      <w:szCs w:val="21"/>
    </w:rPr>
  </w:style>
  <w:style w:type="paragraph" w:styleId="Commentaire">
    <w:name w:val="annotation text"/>
    <w:basedOn w:val="Normal"/>
    <w:link w:val="CommentaireCar"/>
    <w:uiPriority w:val="99"/>
    <w:semiHidden/>
    <w:unhideWhenUsed/>
    <w:rsid w:val="009D6BAB"/>
    <w:pPr>
      <w:jc w:val="left"/>
    </w:pPr>
  </w:style>
  <w:style w:type="character" w:customStyle="1" w:styleId="CommentaireCar">
    <w:name w:val="Commentaire Car"/>
    <w:basedOn w:val="Policepardfaut"/>
    <w:link w:val="Commentaire"/>
    <w:uiPriority w:val="99"/>
    <w:semiHidden/>
    <w:rsid w:val="009D6BAB"/>
    <w:rPr>
      <w:rFonts w:ascii="Times New Roman" w:eastAsia="SimSun" w:hAnsi="Times New Roman" w:cs="Times New Roman"/>
      <w:kern w:val="0"/>
      <w:szCs w:val="21"/>
    </w:rPr>
  </w:style>
  <w:style w:type="paragraph" w:styleId="Objetducommentaire">
    <w:name w:val="annotation subject"/>
    <w:basedOn w:val="Commentaire"/>
    <w:next w:val="Commentaire"/>
    <w:link w:val="ObjetducommentaireCar"/>
    <w:uiPriority w:val="99"/>
    <w:semiHidden/>
    <w:unhideWhenUsed/>
    <w:rsid w:val="009D6BAB"/>
    <w:rPr>
      <w:b/>
      <w:bCs/>
    </w:rPr>
  </w:style>
  <w:style w:type="character" w:customStyle="1" w:styleId="ObjetducommentaireCar">
    <w:name w:val="Objet du commentaire Car"/>
    <w:basedOn w:val="CommentaireCar"/>
    <w:link w:val="Objetducommentaire"/>
    <w:uiPriority w:val="99"/>
    <w:semiHidden/>
    <w:rsid w:val="009D6BAB"/>
    <w:rPr>
      <w:rFonts w:ascii="Times New Roman" w:eastAsia="SimSun" w:hAnsi="Times New Roman" w:cs="Times New Roman"/>
      <w:b/>
      <w:bCs/>
      <w:kern w:val="0"/>
      <w:szCs w:val="21"/>
    </w:rPr>
  </w:style>
  <w:style w:type="paragraph" w:styleId="Rvision">
    <w:name w:val="Revision"/>
    <w:hidden/>
    <w:uiPriority w:val="99"/>
    <w:semiHidden/>
    <w:rsid w:val="006B5CBC"/>
    <w:rPr>
      <w:rFonts w:ascii="Times New Roman" w:eastAsia="SimSun"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007543">
      <w:bodyDiv w:val="1"/>
      <w:marLeft w:val="0"/>
      <w:marRight w:val="0"/>
      <w:marTop w:val="0"/>
      <w:marBottom w:val="0"/>
      <w:divBdr>
        <w:top w:val="none" w:sz="0" w:space="0" w:color="auto"/>
        <w:left w:val="none" w:sz="0" w:space="0" w:color="auto"/>
        <w:bottom w:val="none" w:sz="0" w:space="0" w:color="auto"/>
        <w:right w:val="none" w:sz="0" w:space="0" w:color="auto"/>
      </w:divBdr>
    </w:div>
    <w:div w:id="446126483">
      <w:bodyDiv w:val="1"/>
      <w:marLeft w:val="0"/>
      <w:marRight w:val="0"/>
      <w:marTop w:val="0"/>
      <w:marBottom w:val="0"/>
      <w:divBdr>
        <w:top w:val="none" w:sz="0" w:space="0" w:color="auto"/>
        <w:left w:val="none" w:sz="0" w:space="0" w:color="auto"/>
        <w:bottom w:val="none" w:sz="0" w:space="0" w:color="auto"/>
        <w:right w:val="none" w:sz="0" w:space="0" w:color="auto"/>
      </w:divBdr>
    </w:div>
    <w:div w:id="155990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ohchr.org/SPdocs/CRPD/CVMembers/MariaSoledadCISTERNAS-REYES.doc" TargetMode="External"/><Relationship Id="rId13" Type="http://schemas.openxmlformats.org/officeDocument/2006/relationships/hyperlink" Target="http://undocs.org/ch/A/70/10" TargetMode="External"/><Relationship Id="rId18" Type="http://schemas.openxmlformats.org/officeDocument/2006/relationships/hyperlink" Target="https://documents-dds-ny.un.org/doc/UNDOC/GEN/G06/444/57/pdf/G0644457.pdf?OpenEleme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lo.org/dyn/natlex/docs/ELECTRONIC/95496/112458/F-1546437745/ECU95496.pdf" TargetMode="External"/><Relationship Id="rId7" Type="http://schemas.openxmlformats.org/officeDocument/2006/relationships/endnotes" Target="endnotes.xml"/><Relationship Id="rId12" Type="http://schemas.openxmlformats.org/officeDocument/2006/relationships/hyperlink" Target="http://undocs.org/A/70/10" TargetMode="External"/><Relationship Id="rId17" Type="http://schemas.openxmlformats.org/officeDocument/2006/relationships/hyperlink" Target="https://documents-dds-ny.un.org/doc/UNDOC/GEN/G04/438/07/pdf/G0443807.pdf?OpenEleme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ndocs.org/en/vol.%20II" TargetMode="External"/><Relationship Id="rId20" Type="http://schemas.openxmlformats.org/officeDocument/2006/relationships/hyperlink" Target="file:///H:\PEPS-Share\REFERENCES\2_2013_Constitutional_Court(Canada%20Campos)_v._Ecuado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docs.org/A/69/1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cuments-dds-ny.un.org/doc/UNDOC/GEN/G06/444/57/pdf/G0644457.pdf?OpenElement" TargetMode="External"/><Relationship Id="rId23" Type="http://schemas.openxmlformats.org/officeDocument/2006/relationships/hyperlink" Target="http://www.dof.gob.mx" TargetMode="External"/><Relationship Id="rId10" Type="http://schemas.openxmlformats.org/officeDocument/2006/relationships/hyperlink" Target="http://undocs.org/en/A/69/10" TargetMode="External"/><Relationship Id="rId19" Type="http://schemas.openxmlformats.org/officeDocument/2006/relationships/hyperlink" Target="file:///H:\PEPS-Share\REFERENCES\2_2013_Constitutional_Court(Canada%20Campos)_v._Ecuador.pdf" TargetMode="External"/><Relationship Id="rId4" Type="http://schemas.openxmlformats.org/officeDocument/2006/relationships/settings" Target="settings.xml"/><Relationship Id="rId9" Type="http://schemas.openxmlformats.org/officeDocument/2006/relationships/hyperlink" Target="http://www2.ohchr.org/SPdocs/CRPD/CVMembers/DamjanTATIC.doc" TargetMode="External"/><Relationship Id="rId14" Type="http://schemas.openxmlformats.org/officeDocument/2006/relationships/hyperlink" Target="http://undocs.org/en/A/59/40" TargetMode="External"/><Relationship Id="rId22" Type="http://schemas.openxmlformats.org/officeDocument/2006/relationships/hyperlink" Target="http://www.dof.gob.m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12FB9-5375-4D94-950E-760B8E3C2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2699</Words>
  <Characters>15386</Characters>
  <Application>Microsoft Office Word</Application>
  <DocSecurity>4</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Qi</dc:creator>
  <cp:keywords/>
  <dc:description/>
  <cp:lastModifiedBy>Dingling Li</cp:lastModifiedBy>
  <cp:revision>2</cp:revision>
  <cp:lastPrinted>2019-12-13T14:58:00Z</cp:lastPrinted>
  <dcterms:created xsi:type="dcterms:W3CDTF">2019-12-16T09:05:00Z</dcterms:created>
  <dcterms:modified xsi:type="dcterms:W3CDTF">2019-12-16T09:05:00Z</dcterms:modified>
</cp:coreProperties>
</file>