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20" w:rsidRPr="00DA5D20" w:rsidRDefault="00DA5D20" w:rsidP="00DA5D20">
      <w:pPr>
        <w:rPr>
          <w:rFonts w:asciiTheme="majorBidi" w:eastAsia="DengXian" w:hAnsiTheme="majorBidi" w:cstheme="majorBidi"/>
          <w:sz w:val="21"/>
          <w:szCs w:val="21"/>
          <w:u w:val="single"/>
        </w:rPr>
      </w:pPr>
      <w:bookmarkStart w:id="0" w:name="_GoBack"/>
      <w:bookmarkEnd w:id="0"/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2019</w:t>
      </w:r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年</w:t>
      </w:r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12</w:t>
      </w:r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月</w:t>
      </w:r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9</w:t>
      </w:r>
      <w:r w:rsidRPr="00DA5D20">
        <w:rPr>
          <w:rFonts w:asciiTheme="majorBidi" w:eastAsia="DengXian" w:hAnsiTheme="majorBidi" w:cstheme="majorBidi"/>
          <w:sz w:val="21"/>
          <w:szCs w:val="21"/>
          <w:u w:val="single"/>
        </w:rPr>
        <w:t>日</w:t>
      </w:r>
    </w:p>
    <w:p w:rsidR="00DA5D20" w:rsidRDefault="00DA5D20" w:rsidP="00DA5D20">
      <w:pPr>
        <w:rPr>
          <w:rFonts w:ascii="DengXian" w:eastAsia="DengXian" w:hAnsi="DengXian"/>
          <w:sz w:val="21"/>
          <w:szCs w:val="21"/>
        </w:rPr>
      </w:pPr>
    </w:p>
    <w:p w:rsidR="00DA5D20" w:rsidRPr="00DA5D20" w:rsidRDefault="00DA5D20" w:rsidP="00DA5D20">
      <w:pPr>
        <w:rPr>
          <w:rFonts w:ascii="DengXian" w:eastAsia="DengXian" w:hAnsi="DengXian"/>
          <w:sz w:val="21"/>
          <w:szCs w:val="21"/>
        </w:rPr>
      </w:pPr>
      <w:r>
        <w:rPr>
          <w:rFonts w:ascii="DengXian" w:eastAsia="DengXian" w:hAnsi="DengXian" w:hint="eastAsia"/>
          <w:sz w:val="21"/>
          <w:szCs w:val="21"/>
        </w:rPr>
        <w:t>刚收到文管部门通知，称正在谈判的决定草案中将出现</w:t>
      </w:r>
      <w:r w:rsidRPr="00DA5D20">
        <w:t>Santiago Network for Averting, Minimizing and Addressing Loss and Damage</w:t>
      </w:r>
      <w:r>
        <w:rPr>
          <w:rFonts w:ascii="宋体" w:hAnsi="宋体" w:hint="eastAsia"/>
        </w:rPr>
        <w:t>和</w:t>
      </w:r>
      <w:r w:rsidRPr="00DA5D20">
        <w:t>/</w:t>
      </w:r>
      <w:r>
        <w:rPr>
          <w:rFonts w:ascii="宋体" w:hAnsi="宋体" w:hint="eastAsia"/>
        </w:rPr>
        <w:t>或</w:t>
      </w:r>
      <w:r w:rsidRPr="00DA5D20">
        <w:t xml:space="preserve">Santiago Network for Addressing Loss and Damage </w:t>
      </w:r>
      <w:r>
        <w:rPr>
          <w:rFonts w:ascii="宋体" w:hAnsi="宋体" w:hint="eastAsia"/>
        </w:rPr>
        <w:t>这两个新术语</w:t>
      </w:r>
      <w:r>
        <w:rPr>
          <w:rFonts w:ascii="DengXian" w:eastAsia="DengXian" w:hAnsi="DengXian" w:hint="eastAsia"/>
          <w:sz w:val="21"/>
          <w:szCs w:val="21"/>
        </w:rPr>
        <w:t>。</w:t>
      </w:r>
    </w:p>
    <w:p w:rsidR="00DA5D20" w:rsidRPr="00DA5D20" w:rsidRDefault="00DA5D20" w:rsidP="00DA5D20">
      <w:pPr>
        <w:rPr>
          <w:rFonts w:ascii="DengXian" w:eastAsia="DengXian" w:hAnsi="DengXian"/>
          <w:sz w:val="21"/>
          <w:szCs w:val="21"/>
        </w:rPr>
      </w:pPr>
    </w:p>
    <w:p w:rsidR="00DA5D20" w:rsidRDefault="00DA5D20" w:rsidP="00DA5D20">
      <w:pPr>
        <w:rPr>
          <w:rFonts w:ascii="宋体" w:hAnsi="宋体"/>
        </w:rPr>
      </w:pPr>
      <w:r>
        <w:rPr>
          <w:rFonts w:ascii="DengXian" w:eastAsia="DengXian" w:hAnsi="DengXian" w:hint="eastAsia"/>
          <w:sz w:val="21"/>
          <w:szCs w:val="21"/>
        </w:rPr>
        <w:t>经与慧明商量，并参考了《巴黎协定》第八条第一款的中文译文，暂定这两个术语的中文译文分别为</w:t>
      </w:r>
      <w:r>
        <w:rPr>
          <w:rFonts w:ascii="宋体" w:hAnsi="宋体" w:hint="eastAsia"/>
        </w:rPr>
        <w:t xml:space="preserve"> “</w:t>
      </w:r>
      <w:r>
        <w:rPr>
          <w:rFonts w:ascii="宋体" w:hAnsi="宋体" w:hint="eastAsia"/>
          <w:color w:val="5B9BD5"/>
        </w:rPr>
        <w:t>避免、尽量减轻和处理损失和损害问题圣地亚哥网络</w:t>
      </w:r>
      <w:r>
        <w:rPr>
          <w:rFonts w:ascii="宋体" w:hAnsi="宋体" w:hint="eastAsia"/>
        </w:rPr>
        <w:t>”和“</w:t>
      </w:r>
      <w:r>
        <w:rPr>
          <w:rFonts w:ascii="宋体" w:hAnsi="宋体" w:hint="eastAsia"/>
          <w:color w:val="5B9BD5"/>
        </w:rPr>
        <w:t>处理损失和损害问题圣地亚哥网络</w:t>
      </w:r>
      <w:r>
        <w:rPr>
          <w:rFonts w:ascii="宋体" w:hAnsi="宋体" w:hint="eastAsia"/>
        </w:rPr>
        <w:t>”。</w:t>
      </w:r>
    </w:p>
    <w:p w:rsidR="00097B6C" w:rsidRDefault="00097B6C" w:rsidP="00DA5D20">
      <w:pPr>
        <w:rPr>
          <w:rFonts w:ascii="宋体" w:hAnsi="宋体"/>
        </w:rPr>
      </w:pPr>
    </w:p>
    <w:p w:rsidR="00097B6C" w:rsidRDefault="00097B6C" w:rsidP="00DA5D20">
      <w:pPr>
        <w:rPr>
          <w:rFonts w:ascii="宋体" w:hAnsi="宋体"/>
        </w:rPr>
      </w:pPr>
    </w:p>
    <w:p w:rsidR="00097B6C" w:rsidRDefault="00097B6C" w:rsidP="00DA5D20">
      <w:pPr>
        <w:rPr>
          <w:rFonts w:ascii="宋体" w:hAnsi="宋体"/>
        </w:rPr>
      </w:pPr>
    </w:p>
    <w:p w:rsidR="00DA5D20" w:rsidRDefault="00DA5D20" w:rsidP="00DA5D20">
      <w:pPr>
        <w:rPr>
          <w:rFonts w:ascii="宋体" w:hAnsi="宋体"/>
        </w:rPr>
      </w:pPr>
    </w:p>
    <w:p w:rsidR="00DA5D20" w:rsidRDefault="00DA5D20" w:rsidP="00DA5D20">
      <w:pPr>
        <w:rPr>
          <w:rFonts w:ascii="宋体" w:hAnsi="宋体"/>
        </w:rPr>
      </w:pPr>
    </w:p>
    <w:p w:rsidR="00DA5D20" w:rsidRDefault="00DA5D20" w:rsidP="00DA5D20">
      <w:pPr>
        <w:rPr>
          <w:rFonts w:ascii="宋体" w:hAnsi="宋体"/>
          <w:lang w:val="fr-CH"/>
        </w:rPr>
      </w:pPr>
    </w:p>
    <w:p w:rsidR="00B96D25" w:rsidRDefault="00B96D25" w:rsidP="00B70816">
      <w:pPr>
        <w:rPr>
          <w:lang w:val="fr-CH"/>
        </w:rPr>
      </w:pPr>
    </w:p>
    <w:p w:rsidR="00DA5D20" w:rsidRDefault="00DA5D20" w:rsidP="00B70816">
      <w:pPr>
        <w:rPr>
          <w:lang w:val="fr-CH"/>
        </w:rPr>
      </w:pPr>
    </w:p>
    <w:p w:rsidR="00DA5D20" w:rsidRPr="00DA5D20" w:rsidRDefault="00DA5D20" w:rsidP="00B70816">
      <w:pPr>
        <w:rPr>
          <w:lang w:val="fr-CH"/>
        </w:rPr>
      </w:pPr>
    </w:p>
    <w:sectPr w:rsidR="00DA5D20" w:rsidRPr="00DA5D20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20"/>
    <w:rsid w:val="00031378"/>
    <w:rsid w:val="000538FF"/>
    <w:rsid w:val="00080AA8"/>
    <w:rsid w:val="00097B6C"/>
    <w:rsid w:val="000E7EAB"/>
    <w:rsid w:val="00106F6F"/>
    <w:rsid w:val="00160BB2"/>
    <w:rsid w:val="00167CE6"/>
    <w:rsid w:val="00187054"/>
    <w:rsid w:val="001C65EF"/>
    <w:rsid w:val="001E31C9"/>
    <w:rsid w:val="001E43D8"/>
    <w:rsid w:val="001E518A"/>
    <w:rsid w:val="001F33E9"/>
    <w:rsid w:val="00202DEB"/>
    <w:rsid w:val="00234455"/>
    <w:rsid w:val="00292ED1"/>
    <w:rsid w:val="00293C41"/>
    <w:rsid w:val="00300C47"/>
    <w:rsid w:val="003170EC"/>
    <w:rsid w:val="00322EA3"/>
    <w:rsid w:val="00341EDB"/>
    <w:rsid w:val="003C5C4B"/>
    <w:rsid w:val="003D43DE"/>
    <w:rsid w:val="003D6693"/>
    <w:rsid w:val="00460699"/>
    <w:rsid w:val="00462455"/>
    <w:rsid w:val="00534217"/>
    <w:rsid w:val="00534AEE"/>
    <w:rsid w:val="00536B3E"/>
    <w:rsid w:val="005533BB"/>
    <w:rsid w:val="00595B29"/>
    <w:rsid w:val="005A42CD"/>
    <w:rsid w:val="00640C32"/>
    <w:rsid w:val="00645D43"/>
    <w:rsid w:val="006B504C"/>
    <w:rsid w:val="006D4C61"/>
    <w:rsid w:val="00710E8D"/>
    <w:rsid w:val="007B3C2C"/>
    <w:rsid w:val="007D77CA"/>
    <w:rsid w:val="007F1000"/>
    <w:rsid w:val="009B7385"/>
    <w:rsid w:val="009D253E"/>
    <w:rsid w:val="00A018F4"/>
    <w:rsid w:val="00A35CC4"/>
    <w:rsid w:val="00A54750"/>
    <w:rsid w:val="00A77CFC"/>
    <w:rsid w:val="00A92B8E"/>
    <w:rsid w:val="00AC163A"/>
    <w:rsid w:val="00B34445"/>
    <w:rsid w:val="00B3601F"/>
    <w:rsid w:val="00B70816"/>
    <w:rsid w:val="00B96D25"/>
    <w:rsid w:val="00BC223C"/>
    <w:rsid w:val="00BE1D71"/>
    <w:rsid w:val="00C05691"/>
    <w:rsid w:val="00C118F6"/>
    <w:rsid w:val="00C140AD"/>
    <w:rsid w:val="00C26F8E"/>
    <w:rsid w:val="00C27E78"/>
    <w:rsid w:val="00C46DC9"/>
    <w:rsid w:val="00C51DBA"/>
    <w:rsid w:val="00C66BCE"/>
    <w:rsid w:val="00D956D2"/>
    <w:rsid w:val="00DA5D20"/>
    <w:rsid w:val="00DB3D6E"/>
    <w:rsid w:val="00DC4721"/>
    <w:rsid w:val="00DD0927"/>
    <w:rsid w:val="00DD44A7"/>
    <w:rsid w:val="00E43081"/>
    <w:rsid w:val="00E70693"/>
    <w:rsid w:val="00E8720E"/>
    <w:rsid w:val="00F158C5"/>
    <w:rsid w:val="00F2515B"/>
    <w:rsid w:val="00F34FB2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8E5A8-2AB4-470B-AA16-A1C62B8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5D20"/>
    <w:rPr>
      <w:rFonts w:ascii="Calibri" w:eastAsia="宋体" w:hAnsi="Calibri" w:cs="Calibri"/>
      <w:kern w:val="0"/>
      <w:sz w:val="22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tabs>
        <w:tab w:val="left" w:pos="431"/>
      </w:tabs>
      <w:adjustRightInd w:val="0"/>
      <w:snapToGrid w:val="0"/>
      <w:spacing w:before="480" w:line="276" w:lineRule="auto"/>
      <w:outlineLvl w:val="0"/>
    </w:pPr>
    <w:rPr>
      <w:rFonts w:ascii="Times New Roman" w:eastAsia="Times New Roman" w:hAnsi="Times New Roman" w:cs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1"/>
    </w:pPr>
    <w:rPr>
      <w:rFonts w:ascii="Times New Roman" w:eastAsia="Times New Roman" w:hAnsi="Times New Roman" w:cs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2"/>
    </w:pPr>
    <w:rPr>
      <w:rFonts w:ascii="Times New Roman" w:eastAsia="Times New Roman" w:hAnsi="Times New Roman" w:cs="Times New Roman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3"/>
    </w:pPr>
    <w:rPr>
      <w:rFonts w:ascii="Times New Roman" w:eastAsia="Times New Roman" w:hAnsi="Times New Roman" w:cs="Times New Roman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4"/>
    </w:pPr>
    <w:rPr>
      <w:rFonts w:ascii="Times New Roman" w:eastAsia="Times New Roman" w:hAnsi="Times New Roman" w:cs="Times New Roman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5"/>
    </w:pPr>
    <w:rPr>
      <w:rFonts w:ascii="Times New Roman" w:eastAsia="Times New Roman" w:hAnsi="Times New Roman" w:cs="Times New Roman"/>
      <w:i/>
      <w:iCs/>
      <w:color w:val="1F4D78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6"/>
    </w:pPr>
    <w:rPr>
      <w:rFonts w:ascii="Times New Roman" w:eastAsia="Times New Roman" w:hAnsi="Times New Roman" w:cs="Times New Roman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7"/>
    </w:pPr>
    <w:rPr>
      <w:rFonts w:ascii="Times New Roman" w:eastAsia="Times New Roman" w:hAnsi="Times New Roman" w:cs="Times New Roman"/>
      <w:color w:val="5B9BD5" w:themeColor="accent1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tabs>
        <w:tab w:val="left" w:pos="431"/>
      </w:tabs>
      <w:adjustRightInd w:val="0"/>
      <w:snapToGrid w:val="0"/>
      <w:spacing w:before="200" w:line="276" w:lineRule="auto"/>
      <w:outlineLvl w:val="8"/>
    </w:pPr>
    <w:rPr>
      <w:rFonts w:ascii="Times New Roman" w:eastAsia="Times New Roman" w:hAnsi="Times New Roman" w:cs="Times New Roman"/>
      <w:i/>
      <w:iCs/>
      <w:color w:val="404040" w:themeColor="text1" w:themeTint="BF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240" w:line="440" w:lineRule="exact"/>
      <w:ind w:left="1134" w:right="1134" w:hanging="1134"/>
    </w:pPr>
    <w:rPr>
      <w:rFonts w:ascii="Times New Roman" w:eastAsia="黑体" w:hAnsi="Times New Roman" w:cs="Times New Roman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400" w:lineRule="exact"/>
      <w:ind w:left="1134" w:right="1134" w:hanging="1134"/>
    </w:pPr>
    <w:rPr>
      <w:rFonts w:ascii="Times New Roman" w:eastAsia="黑体" w:hAnsi="Times New Roman" w:cs="Times New Roman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360" w:after="240" w:line="320" w:lineRule="exact"/>
      <w:ind w:left="1134" w:right="1134" w:hanging="1134"/>
    </w:pPr>
    <w:rPr>
      <w:rFonts w:ascii="Times New Roman" w:eastAsia="黑体" w:hAnsi="Times New Roman" w:cs="Times New Roman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eastAsia="黑体" w:hAnsi="Times New Roman" w:cs="Times New Roman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eastAsia="楷体" w:hAnsi="Times New Roman" w:cs="Times New Roman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right" w:pos="851"/>
      </w:tabs>
      <w:overflowPunct w:val="0"/>
      <w:adjustRightInd w:val="0"/>
      <w:snapToGrid w:val="0"/>
      <w:spacing w:before="240" w:after="120" w:line="320" w:lineRule="exact"/>
      <w:ind w:left="1134" w:right="1134" w:hanging="1134"/>
    </w:pPr>
    <w:rPr>
      <w:rFonts w:ascii="Times New Roman" w:hAnsi="Times New Roman" w:cs="Times New Roman"/>
      <w:sz w:val="21"/>
      <w:szCs w:val="21"/>
    </w:r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134" w:right="1134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560" w:lineRule="exact"/>
      <w:ind w:left="1134" w:right="1134"/>
    </w:pPr>
    <w:rPr>
      <w:rFonts w:ascii="Times New Roman" w:eastAsia="黑体" w:hAnsi="Times New Roman" w:cs="Times New Roman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</w:pPr>
    <w:rPr>
      <w:rFonts w:ascii="Times New Roman" w:eastAsia="黑体" w:hAnsi="Times New Roman" w:cs="Times New Roman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300" w:lineRule="exact"/>
      <w:ind w:left="1134" w:right="1134"/>
    </w:pPr>
    <w:rPr>
      <w:rFonts w:ascii="Times New Roman" w:eastAsia="黑体" w:hAnsi="Times New Roman" w:cs="Times New Roman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tabs>
        <w:tab w:val="left" w:pos="431"/>
      </w:tabs>
      <w:overflowPunct w:val="0"/>
      <w:adjustRightInd w:val="0"/>
      <w:snapToGrid w:val="0"/>
      <w:spacing w:before="240" w:after="240" w:line="400" w:lineRule="exact"/>
      <w:ind w:left="1134" w:right="1134"/>
    </w:pPr>
    <w:rPr>
      <w:rFonts w:ascii="Times New Roman" w:eastAsia="黑体" w:hAnsi="Times New Roman" w:cs="Times New Roman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</w:r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</w:rPr>
  </w:style>
  <w:style w:type="paragraph" w:customStyle="1" w:styleId="DashGC">
    <w:name w:val="_Dash_GC"/>
    <w:basedOn w:val="a"/>
    <w:qFormat/>
    <w:rsid w:val="00341EDB"/>
    <w:pPr>
      <w:numPr>
        <w:numId w:val="3"/>
      </w:numPr>
      <w:tabs>
        <w:tab w:val="left" w:pos="431"/>
      </w:tabs>
      <w:overflowPunct w:val="0"/>
      <w:adjustRightInd w:val="0"/>
      <w:snapToGrid w:val="0"/>
      <w:spacing w:after="120" w:line="320" w:lineRule="exact"/>
      <w:ind w:right="1134"/>
    </w:pPr>
    <w:rPr>
      <w:rFonts w:ascii="Times New Roman" w:hAnsi="Times New Roman" w:cs="Times New Roman"/>
      <w:sz w:val="21"/>
      <w:szCs w:val="21"/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after="40" w:line="240" w:lineRule="atLeast"/>
      <w:ind w:right="113"/>
    </w:pPr>
    <w:rPr>
      <w:rFonts w:ascii="Times New Roman" w:hAnsi="Times New Roman" w:cs="Times New Roman"/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80" w:after="80" w:line="200" w:lineRule="exact"/>
      <w:ind w:right="113"/>
    </w:pPr>
    <w:rPr>
      <w:rFonts w:ascii="Times New Roman" w:eastAsia="楷体" w:hAnsi="Times New Roman" w:cs="Times New Roman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before="40" w:line="240" w:lineRule="atLeast"/>
      <w:ind w:right="113"/>
    </w:pPr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right" w:pos="1021"/>
      </w:tabs>
      <w:overflowPunct w:val="0"/>
      <w:autoSpaceDE w:val="0"/>
      <w:autoSpaceDN w:val="0"/>
      <w:adjustRightInd w:val="0"/>
      <w:snapToGrid w:val="0"/>
      <w:spacing w:after="120" w:line="240" w:lineRule="exact"/>
      <w:ind w:left="1134" w:right="1134" w:hanging="1134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</w:pPr>
    <w:rPr>
      <w:rFonts w:ascii="Times New Roman" w:hAnsi="Times New Roman" w:cs="Times New Roman"/>
      <w:sz w:val="21"/>
      <w:szCs w:val="21"/>
    </w:rPr>
  </w:style>
  <w:style w:type="paragraph" w:customStyle="1" w:styleId="ae">
    <w:name w:val="目录页次"/>
    <w:basedOn w:val="a"/>
    <w:qFormat/>
    <w:rsid w:val="00341EDB"/>
    <w:pPr>
      <w:tabs>
        <w:tab w:val="right" w:pos="851"/>
        <w:tab w:val="left" w:pos="1134"/>
        <w:tab w:val="left" w:pos="1565"/>
        <w:tab w:val="right" w:leader="dot" w:pos="8789"/>
        <w:tab w:val="right" w:pos="9554"/>
      </w:tabs>
      <w:overflowPunct w:val="0"/>
      <w:adjustRightInd w:val="0"/>
      <w:snapToGrid w:val="0"/>
      <w:spacing w:after="120" w:line="320" w:lineRule="exact"/>
      <w:ind w:left="1134" w:right="3119" w:hanging="1134"/>
    </w:pPr>
    <w:rPr>
      <w:rFonts w:ascii="Times New Roman" w:hAnsi="Times New Roman" w:cs="Times New Roman"/>
      <w:sz w:val="21"/>
      <w:szCs w:val="21"/>
    </w:rPr>
  </w:style>
  <w:style w:type="paragraph" w:customStyle="1" w:styleId="af">
    <w:name w:val="缩进正文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line="320" w:lineRule="exact"/>
      <w:ind w:left="1565" w:right="1134"/>
    </w:pPr>
    <w:rPr>
      <w:rFonts w:ascii="Times New Roman" w:hAnsi="Times New Roman" w:cs="Times New Roman"/>
      <w:szCs w:val="21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431"/>
        <w:tab w:val="left" w:pos="1134"/>
        <w:tab w:val="left" w:pos="1565"/>
        <w:tab w:val="left" w:pos="1996"/>
        <w:tab w:val="left" w:pos="2427"/>
      </w:tabs>
      <w:overflowPunct w:val="0"/>
      <w:adjustRightInd w:val="0"/>
      <w:snapToGrid w:val="0"/>
      <w:spacing w:after="120" w:line="320" w:lineRule="exact"/>
      <w:ind w:left="1565" w:right="1134" w:hanging="431"/>
    </w:pPr>
    <w:rPr>
      <w:rFonts w:ascii="Times New Roman" w:hAnsi="Times New Roman" w:cs="Times New Roman"/>
      <w:sz w:val="21"/>
      <w:szCs w:val="21"/>
    </w:rPr>
  </w:style>
  <w:style w:type="paragraph" w:styleId="af4">
    <w:name w:val="footer"/>
    <w:basedOn w:val="a"/>
    <w:link w:val="af5"/>
    <w:qFormat/>
    <w:rsid w:val="00341EDB"/>
    <w:pPr>
      <w:tabs>
        <w:tab w:val="left" w:pos="431"/>
      </w:tabs>
      <w:overflowPunct w:val="0"/>
      <w:adjustRightInd w:val="0"/>
      <w:snapToGrid w:val="0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431"/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overflowPunct w:val="0"/>
      <w:adjustRightInd w:val="0"/>
      <w:snapToGrid w:val="0"/>
    </w:pPr>
    <w:rPr>
      <w:rFonts w:ascii="Times New Roman" w:eastAsia="Times New Roman" w:hAnsi="Times New Roman" w:cs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A979-6BA1-4FAC-9A07-038F5D4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Jianjun Chen</dc:creator>
  <cp:keywords/>
  <dc:description/>
  <cp:lastModifiedBy>Jianjun Chen</cp:lastModifiedBy>
  <cp:revision>2</cp:revision>
  <dcterms:created xsi:type="dcterms:W3CDTF">2019-12-10T08:28:00Z</dcterms:created>
  <dcterms:modified xsi:type="dcterms:W3CDTF">2019-12-10T08:28:00Z</dcterms:modified>
</cp:coreProperties>
</file>