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335534" w:rsidRPr="00335534" w14:paraId="6F16F402" w14:textId="77777777" w:rsidTr="006F5AED">
        <w:trPr>
          <w:cantSplit/>
          <w:trHeight w:hRule="exact" w:val="851"/>
        </w:trPr>
        <w:tc>
          <w:tcPr>
            <w:tcW w:w="1276" w:type="dxa"/>
            <w:tcBorders>
              <w:bottom w:val="single" w:sz="4" w:space="0" w:color="auto"/>
            </w:tcBorders>
            <w:shd w:val="clear" w:color="auto" w:fill="auto"/>
            <w:vAlign w:val="bottom"/>
          </w:tcPr>
          <w:p w14:paraId="0DB53A2D" w14:textId="77777777" w:rsidR="00FF4E99" w:rsidRPr="00335534" w:rsidRDefault="00FF4E99" w:rsidP="006F5AED">
            <w:pPr>
              <w:pStyle w:val="SingleTxtG"/>
            </w:pPr>
          </w:p>
        </w:tc>
        <w:tc>
          <w:tcPr>
            <w:tcW w:w="2268" w:type="dxa"/>
            <w:tcBorders>
              <w:bottom w:val="single" w:sz="4" w:space="0" w:color="auto"/>
            </w:tcBorders>
            <w:shd w:val="clear" w:color="auto" w:fill="auto"/>
            <w:vAlign w:val="bottom"/>
          </w:tcPr>
          <w:p w14:paraId="7C858B17" w14:textId="77777777" w:rsidR="00FF4E99" w:rsidRPr="00335534" w:rsidRDefault="00185EED" w:rsidP="006F5AED">
            <w:pPr>
              <w:spacing w:after="80" w:line="300" w:lineRule="exact"/>
              <w:rPr>
                <w:rFonts w:eastAsia="黑体"/>
                <w:b/>
                <w:sz w:val="24"/>
                <w:szCs w:val="24"/>
              </w:rPr>
            </w:pPr>
            <w:r w:rsidRPr="00335534">
              <w:rPr>
                <w:rFonts w:eastAsia="黑体" w:hint="eastAsia"/>
                <w:sz w:val="28"/>
                <w:szCs w:val="28"/>
              </w:rPr>
              <w:t>联</w:t>
            </w:r>
            <w:r w:rsidRPr="00335534">
              <w:rPr>
                <w:rFonts w:eastAsia="黑体" w:hint="eastAsia"/>
                <w:sz w:val="28"/>
                <w:szCs w:val="28"/>
              </w:rPr>
              <w:t xml:space="preserve"> </w:t>
            </w:r>
            <w:r w:rsidRPr="00335534">
              <w:rPr>
                <w:rFonts w:eastAsia="黑体" w:hint="eastAsia"/>
                <w:sz w:val="28"/>
                <w:szCs w:val="28"/>
              </w:rPr>
              <w:t>合</w:t>
            </w:r>
            <w:r w:rsidRPr="00335534">
              <w:rPr>
                <w:rFonts w:eastAsia="黑体" w:hint="eastAsia"/>
                <w:sz w:val="28"/>
                <w:szCs w:val="28"/>
              </w:rPr>
              <w:t xml:space="preserve"> </w:t>
            </w:r>
            <w:r w:rsidRPr="00335534">
              <w:rPr>
                <w:rFonts w:eastAsia="黑体" w:hint="eastAsia"/>
                <w:sz w:val="28"/>
                <w:szCs w:val="28"/>
              </w:rPr>
              <w:t>国</w:t>
            </w:r>
          </w:p>
        </w:tc>
        <w:tc>
          <w:tcPr>
            <w:tcW w:w="6095" w:type="dxa"/>
            <w:gridSpan w:val="2"/>
            <w:tcBorders>
              <w:bottom w:val="single" w:sz="4" w:space="0" w:color="auto"/>
            </w:tcBorders>
            <w:shd w:val="clear" w:color="auto" w:fill="auto"/>
            <w:vAlign w:val="bottom"/>
          </w:tcPr>
          <w:p w14:paraId="2A35DAC8" w14:textId="77777777" w:rsidR="00FF4E99" w:rsidRPr="00335534" w:rsidRDefault="00FF4E99" w:rsidP="006F5AED">
            <w:pPr>
              <w:suppressAutoHyphens w:val="0"/>
              <w:spacing w:after="20"/>
              <w:jc w:val="right"/>
            </w:pPr>
          </w:p>
        </w:tc>
      </w:tr>
      <w:tr w:rsidR="00335534" w:rsidRPr="00335534" w14:paraId="76A1D1FB" w14:textId="77777777" w:rsidTr="006F5AED">
        <w:trPr>
          <w:cantSplit/>
          <w:trHeight w:hRule="exact" w:val="2835"/>
        </w:trPr>
        <w:tc>
          <w:tcPr>
            <w:tcW w:w="1276" w:type="dxa"/>
            <w:tcBorders>
              <w:top w:val="single" w:sz="4" w:space="0" w:color="auto"/>
              <w:bottom w:val="single" w:sz="12" w:space="0" w:color="auto"/>
            </w:tcBorders>
            <w:shd w:val="clear" w:color="auto" w:fill="auto"/>
          </w:tcPr>
          <w:p w14:paraId="5E9BEA42" w14:textId="77777777" w:rsidR="00FF4E99" w:rsidRPr="00335534" w:rsidRDefault="00B74984" w:rsidP="006F5AED">
            <w:pPr>
              <w:spacing w:before="120"/>
              <w:jc w:val="center"/>
            </w:pPr>
            <w:r w:rsidRPr="00335534">
              <w:rPr>
                <w:noProof/>
                <w:lang w:val="en-US" w:eastAsia="zh-CN"/>
              </w:rPr>
              <w:drawing>
                <wp:inline distT="0" distB="0" distL="0" distR="0" wp14:anchorId="1DCCBBB7" wp14:editId="524A1746">
                  <wp:extent cx="714375" cy="591185"/>
                  <wp:effectExtent l="0" t="0" r="9525" b="0"/>
                  <wp:docPr id="1" name="图片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1185"/>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14:paraId="1E76D7CC" w14:textId="77777777" w:rsidR="00FF4E99" w:rsidRPr="00335534" w:rsidRDefault="00185EED" w:rsidP="006F5AED">
            <w:pPr>
              <w:spacing w:before="120" w:line="380" w:lineRule="exact"/>
              <w:rPr>
                <w:rFonts w:eastAsia="黑体"/>
                <w:bCs/>
                <w:sz w:val="34"/>
                <w:szCs w:val="40"/>
                <w:lang w:val="fr-CH" w:eastAsia="zh-CN"/>
              </w:rPr>
            </w:pPr>
            <w:r w:rsidRPr="00335534">
              <w:rPr>
                <w:rFonts w:eastAsia="黑体" w:hint="eastAsia"/>
                <w:bCs/>
                <w:sz w:val="34"/>
                <w:szCs w:val="40"/>
                <w:lang w:eastAsia="zh-CN"/>
              </w:rPr>
              <w:t>消除对妇女一切形式歧视公约</w:t>
            </w:r>
          </w:p>
        </w:tc>
        <w:tc>
          <w:tcPr>
            <w:tcW w:w="2835" w:type="dxa"/>
            <w:tcBorders>
              <w:top w:val="single" w:sz="4" w:space="0" w:color="auto"/>
              <w:bottom w:val="single" w:sz="12" w:space="0" w:color="auto"/>
            </w:tcBorders>
            <w:shd w:val="clear" w:color="auto" w:fill="auto"/>
          </w:tcPr>
          <w:p w14:paraId="50415D36" w14:textId="77777777" w:rsidR="00FF4E99" w:rsidRPr="00335534" w:rsidRDefault="00FF4E99" w:rsidP="006F5AED">
            <w:pPr>
              <w:suppressAutoHyphens w:val="0"/>
              <w:rPr>
                <w:lang w:eastAsia="zh-CN"/>
              </w:rPr>
            </w:pPr>
          </w:p>
        </w:tc>
      </w:tr>
    </w:tbl>
    <w:p w14:paraId="39018391" w14:textId="77777777" w:rsidR="00185EED" w:rsidRPr="00335534" w:rsidRDefault="00185EED" w:rsidP="00185EED">
      <w:pPr>
        <w:spacing w:before="120"/>
        <w:rPr>
          <w:rFonts w:eastAsia="黑体"/>
          <w:bCs/>
          <w:sz w:val="24"/>
          <w:szCs w:val="24"/>
          <w:lang w:eastAsia="zh-CN"/>
        </w:rPr>
      </w:pPr>
      <w:r w:rsidRPr="00335534">
        <w:rPr>
          <w:rFonts w:eastAsia="黑体" w:hint="eastAsia"/>
          <w:bCs/>
          <w:sz w:val="24"/>
          <w:szCs w:val="24"/>
          <w:lang w:eastAsia="zh-CN"/>
        </w:rPr>
        <w:t>消除对妇女歧视委员会</w:t>
      </w:r>
    </w:p>
    <w:p w14:paraId="0A213569" w14:textId="77777777" w:rsidR="00185EED" w:rsidRPr="00335534" w:rsidRDefault="00866845" w:rsidP="00185EED">
      <w:pPr>
        <w:pStyle w:val="HChG"/>
        <w:rPr>
          <w:b w:val="0"/>
          <w:sz w:val="20"/>
          <w:lang w:eastAsia="zh-CN"/>
        </w:rPr>
      </w:pPr>
      <w:r w:rsidRPr="00335534">
        <w:rPr>
          <w:lang w:eastAsia="zh-CN"/>
        </w:rPr>
        <w:tab/>
      </w:r>
      <w:r w:rsidR="00185EED" w:rsidRPr="00335534">
        <w:rPr>
          <w:rFonts w:eastAsia="黑体" w:hint="eastAsia"/>
          <w:b w:val="0"/>
          <w:bCs/>
          <w:lang w:eastAsia="zh-CN"/>
        </w:rPr>
        <w:t>关于</w:t>
      </w:r>
      <w:r w:rsidR="00C52C82" w:rsidRPr="00335534">
        <w:rPr>
          <w:rFonts w:eastAsia="黑体" w:hint="eastAsia"/>
          <w:b w:val="0"/>
          <w:bCs/>
          <w:lang w:eastAsia="zh-CN"/>
        </w:rPr>
        <w:t>古巴</w:t>
      </w:r>
      <w:r w:rsidR="00185EED" w:rsidRPr="00335534">
        <w:rPr>
          <w:rFonts w:eastAsia="黑体" w:hint="eastAsia"/>
          <w:b w:val="0"/>
          <w:bCs/>
          <w:lang w:eastAsia="zh-CN"/>
        </w:rPr>
        <w:t>初次报告的结论性意见</w:t>
      </w:r>
      <w:r w:rsidR="00185EED" w:rsidRPr="00335534">
        <w:rPr>
          <w:rStyle w:val="ac"/>
          <w:b w:val="0"/>
          <w:sz w:val="20"/>
          <w:vertAlign w:val="baseline"/>
          <w:lang w:eastAsia="zh-CN"/>
        </w:rPr>
        <w:footnoteReference w:customMarkFollows="1" w:id="2"/>
        <w:t>*</w:t>
      </w:r>
    </w:p>
    <w:p w14:paraId="370AA78E" w14:textId="44DC8F16" w:rsidR="00C52C82" w:rsidRPr="00335534" w:rsidRDefault="00C52C82" w:rsidP="00C52C82">
      <w:pPr>
        <w:pStyle w:val="HChG"/>
        <w:rPr>
          <w:b w:val="0"/>
          <w:sz w:val="20"/>
          <w:lang w:eastAsia="zh-CN"/>
        </w:rPr>
      </w:pPr>
      <w:r w:rsidRPr="00335534">
        <w:rPr>
          <w:rFonts w:eastAsia="黑体" w:hint="eastAsia"/>
          <w:b w:val="0"/>
          <w:bCs/>
          <w:lang w:eastAsia="zh-CN"/>
        </w:rPr>
        <w:t>关于</w:t>
      </w:r>
      <w:r w:rsidR="00F269C7" w:rsidRPr="00335534">
        <w:rPr>
          <w:rFonts w:eastAsia="黑体" w:hint="eastAsia"/>
          <w:b w:val="0"/>
          <w:bCs/>
          <w:lang w:eastAsia="zh-CN"/>
        </w:rPr>
        <w:t>意大利</w:t>
      </w:r>
      <w:r w:rsidRPr="00335534">
        <w:rPr>
          <w:rFonts w:eastAsia="黑体" w:hint="eastAsia"/>
          <w:b w:val="0"/>
          <w:bCs/>
          <w:lang w:eastAsia="zh-CN"/>
        </w:rPr>
        <w:t>第二至第</w:t>
      </w:r>
      <w:r w:rsidR="005A71DC" w:rsidRPr="00335534">
        <w:rPr>
          <w:rFonts w:eastAsia="黑体" w:hint="eastAsia"/>
          <w:b w:val="0"/>
          <w:bCs/>
          <w:lang w:eastAsia="zh-CN"/>
        </w:rPr>
        <w:t>四</w:t>
      </w:r>
      <w:r w:rsidRPr="00335534">
        <w:rPr>
          <w:rFonts w:eastAsia="黑体" w:hint="eastAsia"/>
          <w:b w:val="0"/>
          <w:bCs/>
          <w:lang w:eastAsia="zh-CN"/>
        </w:rPr>
        <w:t>次合并定期报告的结论性意见</w:t>
      </w:r>
    </w:p>
    <w:p w14:paraId="2ECAC515" w14:textId="5C6A1C20" w:rsidR="00C52C82" w:rsidRPr="00335534" w:rsidRDefault="00C52C82" w:rsidP="008D68FA">
      <w:pPr>
        <w:pStyle w:val="HChG"/>
        <w:rPr>
          <w:lang w:eastAsia="zh-CN"/>
        </w:rPr>
      </w:pPr>
      <w:r w:rsidRPr="00335534">
        <w:rPr>
          <w:rFonts w:eastAsia="黑体" w:hint="eastAsia"/>
          <w:b w:val="0"/>
          <w:bCs/>
          <w:lang w:eastAsia="zh-CN"/>
        </w:rPr>
        <w:t>关于</w:t>
      </w:r>
      <w:r w:rsidR="00F269C7" w:rsidRPr="00335534">
        <w:rPr>
          <w:rFonts w:eastAsia="黑体" w:hint="eastAsia"/>
          <w:b w:val="0"/>
          <w:bCs/>
          <w:lang w:eastAsia="zh-CN"/>
        </w:rPr>
        <w:t>法国</w:t>
      </w:r>
      <w:r w:rsidRPr="00335534">
        <w:rPr>
          <w:rFonts w:eastAsia="黑体" w:hint="eastAsia"/>
          <w:b w:val="0"/>
          <w:bCs/>
          <w:lang w:eastAsia="zh-CN"/>
        </w:rPr>
        <w:t>第二次定期报告的结论性意见</w:t>
      </w:r>
    </w:p>
    <w:p w14:paraId="33F78FF2" w14:textId="3D2D47B4" w:rsidR="00D534C1" w:rsidRPr="00335534" w:rsidRDefault="00B42EA9" w:rsidP="00D534C1">
      <w:pPr>
        <w:pStyle w:val="SingleTxt"/>
        <w:rPr>
          <w:lang w:eastAsia="zh-CN"/>
        </w:rPr>
      </w:pPr>
      <w:r w:rsidRPr="00335534">
        <w:rPr>
          <w:rFonts w:eastAsia="宋体"/>
          <w:lang w:eastAsia="zh-CN"/>
        </w:rPr>
        <w:t>1.</w:t>
      </w:r>
      <w:r w:rsidRPr="00335534">
        <w:rPr>
          <w:rFonts w:eastAsia="宋体"/>
          <w:lang w:eastAsia="zh-CN"/>
        </w:rPr>
        <w:tab/>
      </w:r>
      <w:r w:rsidR="00D534C1" w:rsidRPr="00335534">
        <w:rPr>
          <w:rFonts w:hint="eastAsia"/>
          <w:lang w:eastAsia="zh-CN"/>
        </w:rPr>
        <w:t>委员会在</w:t>
      </w:r>
      <w:r w:rsidR="00D534C1" w:rsidRPr="00335534">
        <w:rPr>
          <w:rFonts w:hint="eastAsia"/>
          <w:lang w:eastAsia="zh-CN"/>
        </w:rPr>
        <w:t>2019</w:t>
      </w:r>
      <w:r w:rsidR="00D534C1" w:rsidRPr="00335534">
        <w:rPr>
          <w:rFonts w:hint="eastAsia"/>
          <w:lang w:eastAsia="zh-CN"/>
        </w:rPr>
        <w:t>年</w:t>
      </w:r>
      <w:r w:rsidR="00D534C1" w:rsidRPr="00335534">
        <w:rPr>
          <w:rFonts w:hint="eastAsia"/>
          <w:lang w:eastAsia="zh-CN"/>
        </w:rPr>
        <w:t>10</w:t>
      </w:r>
      <w:r w:rsidR="00D534C1" w:rsidRPr="00335534">
        <w:rPr>
          <w:rFonts w:hint="eastAsia"/>
          <w:lang w:eastAsia="zh-CN"/>
        </w:rPr>
        <w:t>月</w:t>
      </w:r>
      <w:r w:rsidR="00D534C1" w:rsidRPr="00335534">
        <w:rPr>
          <w:rFonts w:hint="eastAsia"/>
          <w:lang w:eastAsia="zh-CN"/>
        </w:rPr>
        <w:t>23</w:t>
      </w:r>
      <w:r w:rsidR="00D534C1" w:rsidRPr="00335534">
        <w:rPr>
          <w:rFonts w:hint="eastAsia"/>
          <w:lang w:eastAsia="zh-CN"/>
        </w:rPr>
        <w:t>日举行的第</w:t>
      </w:r>
      <w:r w:rsidR="00D534C1" w:rsidRPr="00335534">
        <w:rPr>
          <w:rFonts w:hint="eastAsia"/>
          <w:lang w:eastAsia="zh-CN"/>
        </w:rPr>
        <w:t>1722</w:t>
      </w:r>
      <w:r w:rsidR="002F49E1" w:rsidRPr="00335534">
        <w:rPr>
          <w:rFonts w:ascii="宋体" w:eastAsia="宋体" w:hAnsi="宋体" w:cs="宋体" w:hint="eastAsia"/>
          <w:lang w:eastAsia="zh-CN"/>
        </w:rPr>
        <w:t>次</w:t>
      </w:r>
      <w:r w:rsidR="00D534C1" w:rsidRPr="00335534">
        <w:rPr>
          <w:rFonts w:hint="eastAsia"/>
          <w:lang w:eastAsia="zh-CN"/>
        </w:rPr>
        <w:t>和</w:t>
      </w:r>
      <w:r w:rsidR="002F49E1" w:rsidRPr="00335534">
        <w:rPr>
          <w:rFonts w:ascii="宋体" w:eastAsia="宋体" w:hAnsi="宋体" w:cs="宋体" w:hint="eastAsia"/>
          <w:lang w:eastAsia="zh-CN"/>
        </w:rPr>
        <w:t>第</w:t>
      </w:r>
      <w:r w:rsidR="00D534C1" w:rsidRPr="00335534">
        <w:rPr>
          <w:rFonts w:hint="eastAsia"/>
          <w:lang w:eastAsia="zh-CN"/>
        </w:rPr>
        <w:t>1723</w:t>
      </w:r>
      <w:r w:rsidR="00D534C1" w:rsidRPr="00335534">
        <w:rPr>
          <w:rFonts w:hint="eastAsia"/>
          <w:lang w:eastAsia="zh-CN"/>
        </w:rPr>
        <w:t>次会议</w:t>
      </w:r>
      <w:r w:rsidR="00D534C1" w:rsidRPr="00335534">
        <w:rPr>
          <w:rFonts w:hint="eastAsia"/>
          <w:lang w:eastAsia="zh-CN"/>
        </w:rPr>
        <w:t>(</w:t>
      </w:r>
      <w:r w:rsidR="00D534C1" w:rsidRPr="00335534">
        <w:rPr>
          <w:rFonts w:hint="eastAsia"/>
          <w:lang w:eastAsia="zh-CN"/>
        </w:rPr>
        <w:t>见</w:t>
      </w:r>
      <w:hyperlink r:id="rId9" w:history="1">
        <w:r w:rsidR="00D534C1" w:rsidRPr="00335534">
          <w:rPr>
            <w:rStyle w:val="afb"/>
            <w:rFonts w:hint="eastAsia"/>
            <w:color w:val="auto"/>
            <w:u w:val="none"/>
            <w:lang w:eastAsia="zh-CN"/>
          </w:rPr>
          <w:t>CEDAW/C/</w:t>
        </w:r>
        <w:r w:rsidR="00D534C1" w:rsidRPr="00335534">
          <w:rPr>
            <w:rStyle w:val="afb"/>
            <w:color w:val="auto"/>
            <w:u w:val="none"/>
            <w:lang w:eastAsia="zh-CN"/>
          </w:rPr>
          <w:t xml:space="preserve"> </w:t>
        </w:r>
        <w:r w:rsidR="00D534C1" w:rsidRPr="00335534">
          <w:rPr>
            <w:rStyle w:val="afb"/>
            <w:rFonts w:hint="eastAsia"/>
            <w:color w:val="auto"/>
            <w:u w:val="none"/>
            <w:lang w:eastAsia="zh-CN"/>
          </w:rPr>
          <w:t>SR.1722</w:t>
        </w:r>
      </w:hyperlink>
      <w:r w:rsidR="00D534C1" w:rsidRPr="00335534">
        <w:rPr>
          <w:rFonts w:hint="eastAsia"/>
          <w:lang w:eastAsia="zh-CN"/>
        </w:rPr>
        <w:t>和</w:t>
      </w:r>
      <w:hyperlink r:id="rId10" w:history="1">
        <w:r w:rsidR="00D534C1" w:rsidRPr="00335534">
          <w:rPr>
            <w:rStyle w:val="afb"/>
            <w:rFonts w:hint="eastAsia"/>
            <w:color w:val="auto"/>
            <w:u w:val="none"/>
            <w:lang w:eastAsia="zh-CN"/>
          </w:rPr>
          <w:t>CEDAW/C/SR.1</w:t>
        </w:r>
        <w:bookmarkStart w:id="0" w:name="TmpSave"/>
        <w:bookmarkEnd w:id="0"/>
        <w:r w:rsidR="00D534C1" w:rsidRPr="00335534">
          <w:rPr>
            <w:rStyle w:val="afb"/>
            <w:rFonts w:hint="eastAsia"/>
            <w:color w:val="auto"/>
            <w:u w:val="none"/>
            <w:lang w:eastAsia="zh-CN"/>
          </w:rPr>
          <w:t>723</w:t>
        </w:r>
      </w:hyperlink>
      <w:r w:rsidR="00D534C1" w:rsidRPr="00335534">
        <w:rPr>
          <w:rFonts w:hint="eastAsia"/>
          <w:lang w:eastAsia="zh-CN"/>
        </w:rPr>
        <w:t>)</w:t>
      </w:r>
      <w:r w:rsidR="00D534C1" w:rsidRPr="00335534">
        <w:rPr>
          <w:rFonts w:hint="eastAsia"/>
          <w:lang w:eastAsia="zh-CN"/>
        </w:rPr>
        <w:t>上审议了安道尔</w:t>
      </w:r>
      <w:r w:rsidR="002F49E1" w:rsidRPr="00335534">
        <w:rPr>
          <w:rFonts w:ascii="宋体" w:eastAsia="宋体" w:hAnsi="宋体" w:cs="宋体" w:hint="eastAsia"/>
          <w:lang w:eastAsia="zh-CN"/>
        </w:rPr>
        <w:t>的</w:t>
      </w:r>
      <w:r w:rsidR="00D534C1" w:rsidRPr="00335534">
        <w:rPr>
          <w:rFonts w:hint="eastAsia"/>
          <w:lang w:eastAsia="zh-CN"/>
        </w:rPr>
        <w:t>第四次定期报告</w:t>
      </w:r>
      <w:r w:rsidR="00D534C1" w:rsidRPr="00335534">
        <w:rPr>
          <w:rFonts w:hint="eastAsia"/>
          <w:lang w:eastAsia="zh-CN"/>
        </w:rPr>
        <w:t>(</w:t>
      </w:r>
      <w:hyperlink r:id="rId11" w:history="1">
        <w:r w:rsidR="00D534C1" w:rsidRPr="00335534">
          <w:rPr>
            <w:rStyle w:val="afb"/>
            <w:rFonts w:hint="eastAsia"/>
            <w:color w:val="auto"/>
            <w:u w:val="none"/>
            <w:lang w:eastAsia="zh-CN"/>
          </w:rPr>
          <w:t>CEDAW/C/AND/4</w:t>
        </w:r>
      </w:hyperlink>
      <w:r w:rsidR="00D534C1" w:rsidRPr="00335534">
        <w:rPr>
          <w:rFonts w:hint="eastAsia"/>
          <w:lang w:eastAsia="zh-CN"/>
        </w:rPr>
        <w:t>)</w:t>
      </w:r>
      <w:r w:rsidR="00D534C1" w:rsidRPr="00335534">
        <w:rPr>
          <w:rFonts w:hint="eastAsia"/>
          <w:lang w:eastAsia="zh-CN"/>
        </w:rPr>
        <w:t>。</w:t>
      </w:r>
      <w:r w:rsidR="0010769A" w:rsidRPr="00335534">
        <w:rPr>
          <w:rFonts w:ascii="宋体" w:eastAsia="宋体" w:hAnsi="宋体" w:cs="宋体" w:hint="eastAsia"/>
          <w:lang w:eastAsia="zh-CN"/>
        </w:rPr>
        <w:t>会前工作组提出</w:t>
      </w:r>
      <w:r w:rsidR="00D534C1" w:rsidRPr="00335534">
        <w:rPr>
          <w:rFonts w:hint="eastAsia"/>
          <w:lang w:eastAsia="zh-CN"/>
        </w:rPr>
        <w:t>的</w:t>
      </w:r>
      <w:r w:rsidR="00424E6B">
        <w:rPr>
          <w:rFonts w:ascii="宋体" w:eastAsia="宋体" w:hAnsi="宋体" w:cs="宋体" w:hint="eastAsia"/>
          <w:lang w:eastAsia="zh-CN"/>
        </w:rPr>
        <w:t>议题和</w:t>
      </w:r>
      <w:r w:rsidR="00D534C1" w:rsidRPr="00335534">
        <w:rPr>
          <w:rFonts w:hint="eastAsia"/>
          <w:lang w:eastAsia="zh-CN"/>
        </w:rPr>
        <w:t>问题清单载于</w:t>
      </w:r>
      <w:hyperlink r:id="rId12" w:history="1">
        <w:r w:rsidR="00D534C1" w:rsidRPr="00335534">
          <w:rPr>
            <w:rStyle w:val="afb"/>
            <w:rFonts w:hint="eastAsia"/>
            <w:color w:val="auto"/>
            <w:u w:val="none"/>
            <w:lang w:eastAsia="zh-CN"/>
          </w:rPr>
          <w:t>CEDAW/C/AND/Q/4</w:t>
        </w:r>
      </w:hyperlink>
      <w:r w:rsidR="00F70322" w:rsidRPr="00335534">
        <w:rPr>
          <w:rStyle w:val="afb"/>
          <w:rFonts w:ascii="宋体" w:eastAsia="宋体" w:hAnsi="宋体" w:cs="宋体" w:hint="eastAsia"/>
          <w:color w:val="auto"/>
          <w:u w:val="none"/>
          <w:lang w:eastAsia="zh-CN"/>
        </w:rPr>
        <w:t>号文件</w:t>
      </w:r>
      <w:r w:rsidR="00D534C1" w:rsidRPr="00335534">
        <w:rPr>
          <w:rFonts w:hint="eastAsia"/>
          <w:lang w:eastAsia="zh-CN"/>
        </w:rPr>
        <w:t>，安道尔的答复载于</w:t>
      </w:r>
      <w:hyperlink r:id="rId13" w:history="1">
        <w:r w:rsidR="00D534C1" w:rsidRPr="00335534">
          <w:rPr>
            <w:rStyle w:val="afb"/>
            <w:rFonts w:hint="eastAsia"/>
            <w:color w:val="auto"/>
            <w:u w:val="none"/>
            <w:lang w:eastAsia="zh-CN"/>
          </w:rPr>
          <w:t>CEDAW/C/AND/Q/4/Add.1</w:t>
        </w:r>
      </w:hyperlink>
      <w:r w:rsidR="00F70322" w:rsidRPr="00335534">
        <w:rPr>
          <w:rStyle w:val="afb"/>
          <w:rFonts w:ascii="宋体" w:eastAsia="宋体" w:hAnsi="宋体" w:cs="宋体" w:hint="eastAsia"/>
          <w:color w:val="auto"/>
          <w:u w:val="none"/>
          <w:lang w:eastAsia="zh-CN"/>
        </w:rPr>
        <w:t>号文件</w:t>
      </w:r>
      <w:r w:rsidR="00D534C1" w:rsidRPr="00335534">
        <w:rPr>
          <w:rFonts w:hint="eastAsia"/>
          <w:lang w:eastAsia="zh-CN"/>
        </w:rPr>
        <w:t>。</w:t>
      </w:r>
    </w:p>
    <w:p w14:paraId="3B59FE2C" w14:textId="5235BF54" w:rsidR="00D07370" w:rsidRPr="00335534" w:rsidRDefault="00B42EA9" w:rsidP="00937BFD">
      <w:pPr>
        <w:pStyle w:val="SingleTxt"/>
        <w:rPr>
          <w:rFonts w:eastAsia="宋体"/>
          <w:lang w:val="en-US" w:eastAsia="zh-CN"/>
        </w:rPr>
      </w:pPr>
      <w:r w:rsidRPr="00335534">
        <w:rPr>
          <w:rFonts w:eastAsia="宋体" w:hint="eastAsia"/>
          <w:lang w:eastAsia="zh-CN"/>
        </w:rPr>
        <w:t>委员会的</w:t>
      </w:r>
      <w:r w:rsidR="00424E6B">
        <w:rPr>
          <w:rFonts w:eastAsia="宋体" w:hint="eastAsia"/>
          <w:lang w:eastAsia="zh-CN"/>
        </w:rPr>
        <w:t>议题和</w:t>
      </w:r>
      <w:r w:rsidRPr="00335534">
        <w:rPr>
          <w:rFonts w:eastAsia="宋体" w:hint="eastAsia"/>
          <w:lang w:eastAsia="zh-CN"/>
        </w:rPr>
        <w:t>问题清单载于</w:t>
      </w:r>
      <w:r w:rsidRPr="00335534">
        <w:rPr>
          <w:rFonts w:eastAsia="宋体"/>
          <w:lang w:eastAsia="zh-CN"/>
        </w:rPr>
        <w:t>CEDAW/C/</w:t>
      </w:r>
      <w:r w:rsidR="00E05865" w:rsidRPr="00335534">
        <w:rPr>
          <w:rFonts w:eastAsia="宋体" w:hint="eastAsia"/>
          <w:lang w:eastAsia="zh-CN"/>
        </w:rPr>
        <w:t>FRA</w:t>
      </w:r>
      <w:r w:rsidRPr="00335534">
        <w:rPr>
          <w:rFonts w:eastAsia="宋体"/>
          <w:lang w:eastAsia="zh-CN"/>
        </w:rPr>
        <w:t>/Q/</w:t>
      </w:r>
      <w:r w:rsidR="00E05865" w:rsidRPr="00335534">
        <w:rPr>
          <w:rFonts w:eastAsia="宋体"/>
          <w:lang w:eastAsia="zh-CN"/>
        </w:rPr>
        <w:t>2</w:t>
      </w:r>
      <w:r w:rsidRPr="00335534">
        <w:rPr>
          <w:rFonts w:eastAsia="宋体" w:hint="eastAsia"/>
          <w:lang w:eastAsia="zh-CN"/>
        </w:rPr>
        <w:t>号文件，</w:t>
      </w:r>
      <w:r w:rsidR="00E05865" w:rsidRPr="00335534">
        <w:rPr>
          <w:rFonts w:eastAsia="宋体" w:hint="eastAsia"/>
          <w:lang w:eastAsia="zh-CN"/>
        </w:rPr>
        <w:t>法国</w:t>
      </w:r>
      <w:r w:rsidRPr="00335534">
        <w:rPr>
          <w:rFonts w:eastAsia="宋体" w:hint="eastAsia"/>
          <w:lang w:eastAsia="zh-CN"/>
        </w:rPr>
        <w:t>的答复载于</w:t>
      </w:r>
      <w:r w:rsidRPr="00335534">
        <w:rPr>
          <w:rFonts w:eastAsia="宋体"/>
          <w:lang w:eastAsia="zh-CN"/>
        </w:rPr>
        <w:t>CEDAW/C/</w:t>
      </w:r>
      <w:r w:rsidR="00E05865" w:rsidRPr="00335534">
        <w:rPr>
          <w:rFonts w:eastAsia="宋体" w:hint="eastAsia"/>
          <w:lang w:eastAsia="zh-CN"/>
        </w:rPr>
        <w:t>FRA</w:t>
      </w:r>
      <w:r w:rsidRPr="00335534">
        <w:rPr>
          <w:rFonts w:eastAsia="宋体"/>
          <w:lang w:eastAsia="zh-CN"/>
        </w:rPr>
        <w:t>/Q/</w:t>
      </w:r>
      <w:r w:rsidR="00E05865" w:rsidRPr="00335534">
        <w:rPr>
          <w:rFonts w:eastAsia="宋体"/>
          <w:lang w:eastAsia="zh-CN"/>
        </w:rPr>
        <w:t>2</w:t>
      </w:r>
      <w:r w:rsidRPr="00335534">
        <w:rPr>
          <w:rFonts w:eastAsia="宋体"/>
          <w:lang w:eastAsia="zh-CN"/>
        </w:rPr>
        <w:t>/Add.1</w:t>
      </w:r>
      <w:r w:rsidRPr="00335534">
        <w:rPr>
          <w:rFonts w:eastAsia="宋体" w:hint="eastAsia"/>
          <w:lang w:eastAsia="zh-CN"/>
        </w:rPr>
        <w:t>号文件。</w:t>
      </w:r>
    </w:p>
    <w:p w14:paraId="0678ADDD" w14:textId="77777777" w:rsidR="00804A93" w:rsidRPr="00335534" w:rsidRDefault="00D07370" w:rsidP="00804A93">
      <w:pPr>
        <w:pStyle w:val="H1"/>
        <w:ind w:right="1260"/>
        <w:rPr>
          <w:rFonts w:eastAsia="黑体"/>
          <w:b w:val="0"/>
          <w:bCs/>
          <w:lang w:eastAsia="zh-CN"/>
        </w:rPr>
      </w:pPr>
      <w:r w:rsidRPr="00335534">
        <w:rPr>
          <w:lang w:eastAsia="zh-CN"/>
        </w:rPr>
        <w:tab/>
      </w:r>
      <w:r w:rsidR="00B42EA9" w:rsidRPr="00335534">
        <w:rPr>
          <w:rFonts w:eastAsia="黑体"/>
          <w:b w:val="0"/>
          <w:bCs/>
          <w:lang w:eastAsia="zh-CN"/>
        </w:rPr>
        <w:t>A.</w:t>
      </w:r>
      <w:r w:rsidR="00B42EA9" w:rsidRPr="00335534">
        <w:rPr>
          <w:rFonts w:eastAsia="黑体"/>
          <w:b w:val="0"/>
          <w:bCs/>
          <w:lang w:eastAsia="zh-CN"/>
        </w:rPr>
        <w:tab/>
      </w:r>
      <w:r w:rsidR="00B42EA9" w:rsidRPr="00335534">
        <w:rPr>
          <w:rFonts w:eastAsia="黑体" w:hint="eastAsia"/>
          <w:b w:val="0"/>
          <w:bCs/>
          <w:lang w:eastAsia="zh-CN"/>
        </w:rPr>
        <w:t>导言</w:t>
      </w:r>
    </w:p>
    <w:p w14:paraId="5EB29C86" w14:textId="77777777" w:rsidR="00804A93" w:rsidRPr="00335534" w:rsidRDefault="00804A93" w:rsidP="00804A93">
      <w:pPr>
        <w:pStyle w:val="SingleTxt"/>
        <w:spacing w:after="0" w:line="120" w:lineRule="exact"/>
        <w:rPr>
          <w:sz w:val="10"/>
          <w:lang w:eastAsia="zh-CN"/>
        </w:rPr>
      </w:pPr>
    </w:p>
    <w:p w14:paraId="052BA516" w14:textId="77777777" w:rsidR="00B42EA9" w:rsidRPr="00335534" w:rsidRDefault="00B42EA9" w:rsidP="00804A93">
      <w:pPr>
        <w:pStyle w:val="SingleTxt"/>
        <w:rPr>
          <w:lang w:eastAsia="zh-CN"/>
        </w:rPr>
      </w:pPr>
      <w:r w:rsidRPr="00335534">
        <w:rPr>
          <w:lang w:eastAsia="zh-CN"/>
        </w:rPr>
        <w:t>2.</w:t>
      </w:r>
      <w:r w:rsidRPr="00335534">
        <w:rPr>
          <w:lang w:eastAsia="zh-CN"/>
        </w:rPr>
        <w:tab/>
      </w:r>
      <w:r w:rsidRPr="00335534">
        <w:rPr>
          <w:rFonts w:eastAsia="宋体" w:hint="eastAsia"/>
          <w:lang w:eastAsia="zh-CN"/>
        </w:rPr>
        <w:t>委员会感谢缔约国</w:t>
      </w:r>
      <w:r w:rsidRPr="00335534">
        <w:rPr>
          <w:rFonts w:hint="eastAsia"/>
          <w:lang w:eastAsia="zh-CN"/>
        </w:rPr>
        <w:t>提交第</w:t>
      </w:r>
      <w:r w:rsidR="00E810C5" w:rsidRPr="00335534">
        <w:rPr>
          <w:rFonts w:ascii="宋体" w:eastAsia="宋体" w:hAnsi="宋体" w:cs="宋体" w:hint="eastAsia"/>
          <w:lang w:eastAsia="zh-CN"/>
        </w:rPr>
        <w:t>五</w:t>
      </w:r>
      <w:r w:rsidRPr="00335534">
        <w:rPr>
          <w:rFonts w:hint="eastAsia"/>
          <w:lang w:eastAsia="zh-CN"/>
        </w:rPr>
        <w:t>次定期报告</w:t>
      </w:r>
      <w:r w:rsidRPr="00335534">
        <w:rPr>
          <w:rFonts w:eastAsia="宋体" w:hint="eastAsia"/>
          <w:lang w:eastAsia="zh-CN"/>
        </w:rPr>
        <w:t>。委员会还感谢缔约国对会前工作组提出的问题清单</w:t>
      </w:r>
      <w:r w:rsidR="002129FA" w:rsidRPr="00335534">
        <w:rPr>
          <w:rFonts w:eastAsia="宋体" w:hint="eastAsia"/>
          <w:lang w:eastAsia="zh-CN"/>
        </w:rPr>
        <w:t>作</w:t>
      </w:r>
      <w:r w:rsidRPr="00335534">
        <w:rPr>
          <w:rFonts w:eastAsia="宋体" w:hint="eastAsia"/>
          <w:lang w:eastAsia="zh-CN"/>
        </w:rPr>
        <w:t>出书面答复，并欢迎代表团</w:t>
      </w:r>
      <w:r w:rsidRPr="00335534">
        <w:rPr>
          <w:rFonts w:ascii="宋体" w:eastAsia="宋体" w:hAnsi="宋体" w:cs="宋体" w:hint="eastAsia"/>
          <w:lang w:eastAsia="zh-CN"/>
        </w:rPr>
        <w:t>在对话期间</w:t>
      </w:r>
      <w:r w:rsidR="000B4FFB" w:rsidRPr="00335534">
        <w:rPr>
          <w:rFonts w:ascii="宋体" w:eastAsia="宋体" w:hAnsi="宋体" w:cs="宋体" w:hint="eastAsia"/>
          <w:lang w:eastAsia="zh-CN"/>
        </w:rPr>
        <w:t>所作的</w:t>
      </w:r>
      <w:r w:rsidR="002129FA" w:rsidRPr="00335534">
        <w:rPr>
          <w:rFonts w:eastAsia="宋体" w:hint="eastAsia"/>
          <w:lang w:eastAsia="zh-CN"/>
        </w:rPr>
        <w:t>口头</w:t>
      </w:r>
      <w:r w:rsidRPr="00335534">
        <w:rPr>
          <w:rFonts w:eastAsia="宋体" w:hint="eastAsia"/>
          <w:lang w:eastAsia="zh-CN"/>
        </w:rPr>
        <w:t>介绍</w:t>
      </w:r>
      <w:r w:rsidR="000B4FFB" w:rsidRPr="00335534">
        <w:rPr>
          <w:rFonts w:eastAsia="宋体" w:hint="eastAsia"/>
          <w:lang w:eastAsia="zh-CN"/>
        </w:rPr>
        <w:t>和</w:t>
      </w:r>
      <w:r w:rsidR="002129FA" w:rsidRPr="00335534">
        <w:rPr>
          <w:rFonts w:ascii="宋体" w:eastAsia="宋体" w:hAnsi="宋体" w:cs="宋体" w:hint="eastAsia"/>
          <w:lang w:eastAsia="zh-CN"/>
        </w:rPr>
        <w:t>对</w:t>
      </w:r>
      <w:r w:rsidRPr="00335534">
        <w:rPr>
          <w:rFonts w:hint="eastAsia"/>
          <w:lang w:eastAsia="zh-CN"/>
        </w:rPr>
        <w:t>委员会口头提问</w:t>
      </w:r>
      <w:r w:rsidR="002129FA" w:rsidRPr="00335534">
        <w:rPr>
          <w:rFonts w:eastAsia="宋体" w:hint="eastAsia"/>
          <w:lang w:eastAsia="zh-CN"/>
        </w:rPr>
        <w:t>作</w:t>
      </w:r>
      <w:r w:rsidR="000B4FFB" w:rsidRPr="00335534">
        <w:rPr>
          <w:rFonts w:eastAsia="宋体" w:hint="eastAsia"/>
          <w:lang w:eastAsia="zh-CN"/>
        </w:rPr>
        <w:t>出的</w:t>
      </w:r>
      <w:r w:rsidRPr="00335534">
        <w:rPr>
          <w:rFonts w:ascii="宋体" w:eastAsia="宋体" w:hAnsi="宋体" w:cs="宋体" w:hint="eastAsia"/>
          <w:lang w:eastAsia="zh-CN"/>
        </w:rPr>
        <w:t>进一步说明</w:t>
      </w:r>
      <w:r w:rsidRPr="00335534">
        <w:rPr>
          <w:rFonts w:eastAsia="宋体" w:hint="eastAsia"/>
          <w:lang w:eastAsia="zh-CN"/>
        </w:rPr>
        <w:t>。</w:t>
      </w:r>
    </w:p>
    <w:p w14:paraId="7668FFC0" w14:textId="77777777" w:rsidR="00B42EA9" w:rsidRPr="00335534" w:rsidRDefault="00B42EA9" w:rsidP="002129FA">
      <w:pPr>
        <w:pStyle w:val="SingleTxt"/>
        <w:rPr>
          <w:rFonts w:eastAsia="宋体"/>
          <w:lang w:eastAsia="zh-CN"/>
        </w:rPr>
      </w:pPr>
      <w:r w:rsidRPr="00335534">
        <w:rPr>
          <w:lang w:eastAsia="zh-CN"/>
        </w:rPr>
        <w:tab/>
      </w:r>
      <w:r w:rsidRPr="00335534">
        <w:rPr>
          <w:rFonts w:eastAsia="宋体" w:hint="eastAsia"/>
          <w:lang w:eastAsia="zh-CN"/>
        </w:rPr>
        <w:t>委员会感谢缔约国</w:t>
      </w:r>
      <w:r w:rsidR="002129FA" w:rsidRPr="00335534">
        <w:rPr>
          <w:rFonts w:eastAsia="宋体" w:hint="eastAsia"/>
          <w:lang w:eastAsia="zh-CN"/>
        </w:rPr>
        <w:t>根据报告前问题清单</w:t>
      </w:r>
      <w:bookmarkStart w:id="1" w:name="_Hlk45793687"/>
      <w:r w:rsidR="002129FA" w:rsidRPr="00335534">
        <w:rPr>
          <w:rFonts w:ascii="宋体" w:eastAsia="宋体" w:hAnsi="宋体" w:hint="eastAsia"/>
          <w:lang w:eastAsia="zh-CN"/>
        </w:rPr>
        <w:t>（</w:t>
      </w:r>
      <w:r w:rsidR="00ED376C" w:rsidRPr="00335534">
        <w:rPr>
          <w:rFonts w:eastAsia="宋体" w:hint="eastAsia"/>
          <w:lang w:eastAsia="zh-CN"/>
        </w:rPr>
        <w:t>CEDAW/C/AND/Q</w:t>
      </w:r>
      <w:r w:rsidR="003D2F69" w:rsidRPr="00335534">
        <w:rPr>
          <w:rFonts w:eastAsia="宋体" w:hint="eastAsia"/>
          <w:lang w:eastAsia="zh-CN"/>
        </w:rPr>
        <w:t>PR</w:t>
      </w:r>
      <w:r w:rsidR="00ED376C" w:rsidRPr="00335534">
        <w:rPr>
          <w:rFonts w:eastAsia="宋体" w:hint="eastAsia"/>
          <w:lang w:eastAsia="zh-CN"/>
        </w:rPr>
        <w:t>/</w:t>
      </w:r>
      <w:r w:rsidR="00ED376C" w:rsidRPr="00335534">
        <w:rPr>
          <w:rFonts w:eastAsia="宋体"/>
          <w:lang w:eastAsia="zh-CN"/>
        </w:rPr>
        <w:t>4</w:t>
      </w:r>
      <w:r w:rsidR="002129FA" w:rsidRPr="00335534">
        <w:rPr>
          <w:rFonts w:ascii="宋体" w:eastAsia="宋体" w:hAnsi="宋体" w:hint="eastAsia"/>
          <w:lang w:eastAsia="zh-CN"/>
        </w:rPr>
        <w:t>）</w:t>
      </w:r>
      <w:bookmarkEnd w:id="1"/>
      <w:r w:rsidRPr="00335534">
        <w:rPr>
          <w:rFonts w:eastAsia="宋体" w:hint="eastAsia"/>
          <w:lang w:eastAsia="zh-CN"/>
        </w:rPr>
        <w:t>提交第</w:t>
      </w:r>
      <w:r w:rsidR="00ED376C" w:rsidRPr="00335534">
        <w:rPr>
          <w:rFonts w:eastAsia="宋体" w:hint="eastAsia"/>
          <w:lang w:eastAsia="zh-CN"/>
        </w:rPr>
        <w:t>四</w:t>
      </w:r>
      <w:r w:rsidRPr="00335534">
        <w:rPr>
          <w:rFonts w:eastAsia="宋体" w:hint="eastAsia"/>
          <w:lang w:eastAsia="zh-CN"/>
        </w:rPr>
        <w:t>次定期报告。委员会欢迎代表团</w:t>
      </w:r>
      <w:r w:rsidR="00186988" w:rsidRPr="00335534">
        <w:rPr>
          <w:rFonts w:ascii="宋体" w:eastAsia="宋体" w:hAnsi="宋体" w:cs="宋体" w:hint="eastAsia"/>
          <w:lang w:eastAsia="zh-CN"/>
        </w:rPr>
        <w:t>在对话期间所作的</w:t>
      </w:r>
      <w:r w:rsidR="00186988" w:rsidRPr="00335534">
        <w:rPr>
          <w:rFonts w:eastAsia="宋体" w:hint="eastAsia"/>
          <w:lang w:eastAsia="zh-CN"/>
        </w:rPr>
        <w:t>口头介绍和</w:t>
      </w:r>
      <w:r w:rsidR="00186988" w:rsidRPr="00335534">
        <w:rPr>
          <w:rFonts w:ascii="宋体" w:eastAsia="宋体" w:hAnsi="宋体" w:cs="宋体" w:hint="eastAsia"/>
          <w:lang w:eastAsia="zh-CN"/>
        </w:rPr>
        <w:t>对</w:t>
      </w:r>
      <w:r w:rsidR="00186988" w:rsidRPr="00335534">
        <w:rPr>
          <w:rFonts w:hint="eastAsia"/>
          <w:lang w:eastAsia="zh-CN"/>
        </w:rPr>
        <w:t>委员会口头提问</w:t>
      </w:r>
      <w:r w:rsidR="00186988" w:rsidRPr="00335534">
        <w:rPr>
          <w:rFonts w:eastAsia="宋体" w:hint="eastAsia"/>
          <w:lang w:eastAsia="zh-CN"/>
        </w:rPr>
        <w:t>作出的</w:t>
      </w:r>
      <w:r w:rsidR="00186988" w:rsidRPr="00335534">
        <w:rPr>
          <w:rFonts w:ascii="宋体" w:eastAsia="宋体" w:hAnsi="宋体" w:cs="宋体" w:hint="eastAsia"/>
          <w:lang w:eastAsia="zh-CN"/>
        </w:rPr>
        <w:t>进一步说明</w:t>
      </w:r>
      <w:r w:rsidR="002129FA" w:rsidRPr="00335534">
        <w:rPr>
          <w:rFonts w:eastAsia="宋体" w:hint="eastAsia"/>
          <w:lang w:eastAsia="zh-CN"/>
        </w:rPr>
        <w:t>。</w:t>
      </w:r>
    </w:p>
    <w:p w14:paraId="352862E2" w14:textId="77777777" w:rsidR="00D07370" w:rsidRPr="00335534" w:rsidRDefault="00B42EA9" w:rsidP="00937BFD">
      <w:pPr>
        <w:pStyle w:val="SingleTxt"/>
        <w:rPr>
          <w:rFonts w:eastAsia="宋体"/>
          <w:sz w:val="10"/>
          <w:lang w:val="en-US" w:eastAsia="zh-CN"/>
        </w:rPr>
      </w:pPr>
      <w:r w:rsidRPr="00335534">
        <w:rPr>
          <w:lang w:eastAsia="zh-CN"/>
        </w:rPr>
        <w:t xml:space="preserve">3. </w:t>
      </w:r>
      <w:r w:rsidRPr="00335534">
        <w:rPr>
          <w:rFonts w:eastAsia="宋体" w:hint="eastAsia"/>
          <w:lang w:eastAsia="zh-CN"/>
        </w:rPr>
        <w:t>委员会赞扬缔约国派出由</w:t>
      </w:r>
      <w:r w:rsidR="004634B0" w:rsidRPr="00335534">
        <w:rPr>
          <w:rFonts w:eastAsia="宋体" w:hint="eastAsia"/>
          <w:lang w:eastAsia="zh-CN"/>
        </w:rPr>
        <w:t>巴拉圭妇女部部长安娜·玛丽亚·巴伊阿尔迪</w:t>
      </w:r>
      <w:r w:rsidRPr="00335534">
        <w:rPr>
          <w:rFonts w:eastAsia="宋体" w:hint="eastAsia"/>
          <w:lang w:eastAsia="zh-CN"/>
        </w:rPr>
        <w:t>率领的高级别代表团。代表团成员还包括</w:t>
      </w:r>
      <w:r w:rsidR="004634B0" w:rsidRPr="00335534">
        <w:rPr>
          <w:rFonts w:ascii="宋体" w:eastAsia="宋体" w:hAnsi="宋体" w:hint="eastAsia"/>
          <w:lang w:eastAsia="zh-CN"/>
        </w:rPr>
        <w:t>来自妇女部、劳动、就业和社会保障部、教育和科学部、公共卫生和社会福利部、外交部</w:t>
      </w:r>
      <w:r w:rsidRPr="00335534">
        <w:rPr>
          <w:rFonts w:eastAsia="宋体" w:hint="eastAsia"/>
          <w:lang w:eastAsia="zh-CN"/>
        </w:rPr>
        <w:t>和</w:t>
      </w:r>
      <w:r w:rsidR="007E4B68" w:rsidRPr="00335534">
        <w:rPr>
          <w:rFonts w:eastAsia="宋体" w:hint="eastAsia"/>
          <w:lang w:eastAsia="zh-CN"/>
        </w:rPr>
        <w:t>巴拉圭</w:t>
      </w:r>
      <w:r w:rsidRPr="00335534">
        <w:rPr>
          <w:rFonts w:eastAsia="宋体" w:hint="eastAsia"/>
          <w:lang w:eastAsia="zh-CN"/>
        </w:rPr>
        <w:t>常驻联合国</w:t>
      </w:r>
      <w:r w:rsidR="00186988" w:rsidRPr="00335534">
        <w:rPr>
          <w:rFonts w:hint="eastAsia"/>
          <w:lang w:eastAsia="zh-CN"/>
        </w:rPr>
        <w:t>日内瓦</w:t>
      </w:r>
      <w:r w:rsidRPr="00335534">
        <w:rPr>
          <w:rFonts w:hint="eastAsia"/>
          <w:lang w:eastAsia="zh-CN"/>
        </w:rPr>
        <w:t>办事处和</w:t>
      </w:r>
      <w:r w:rsidR="00186988" w:rsidRPr="00335534">
        <w:rPr>
          <w:rFonts w:asciiTheme="minorEastAsia" w:eastAsiaTheme="minorEastAsia" w:hAnsiTheme="minorEastAsia" w:hint="eastAsia"/>
          <w:lang w:eastAsia="zh-CN"/>
        </w:rPr>
        <w:t>日内瓦</w:t>
      </w:r>
      <w:r w:rsidRPr="00335534">
        <w:rPr>
          <w:rFonts w:hint="eastAsia"/>
          <w:lang w:eastAsia="zh-CN"/>
        </w:rPr>
        <w:t>其他国际组织代表团</w:t>
      </w:r>
      <w:r w:rsidRPr="00335534">
        <w:rPr>
          <w:rFonts w:eastAsia="宋体" w:hint="eastAsia"/>
          <w:lang w:eastAsia="zh-CN"/>
        </w:rPr>
        <w:t>的代表。</w:t>
      </w:r>
    </w:p>
    <w:p w14:paraId="696654EF" w14:textId="77777777" w:rsidR="00B42EA9" w:rsidRPr="00335534" w:rsidRDefault="00D07370" w:rsidP="00937BFD">
      <w:pPr>
        <w:pStyle w:val="H1"/>
        <w:ind w:right="1260"/>
        <w:rPr>
          <w:rFonts w:ascii="宋体" w:eastAsia="黑体" w:hAnsi="宋体" w:cs="宋体"/>
          <w:b w:val="0"/>
          <w:bCs/>
          <w:lang w:eastAsia="zh-CN"/>
        </w:rPr>
      </w:pPr>
      <w:r w:rsidRPr="00335534">
        <w:rPr>
          <w:lang w:eastAsia="zh-CN"/>
        </w:rPr>
        <w:tab/>
      </w:r>
      <w:r w:rsidR="00B42EA9" w:rsidRPr="00335534">
        <w:rPr>
          <w:rFonts w:eastAsia="黑体"/>
          <w:b w:val="0"/>
          <w:bCs/>
          <w:lang w:eastAsia="zh-CN"/>
        </w:rPr>
        <w:t>B.</w:t>
      </w:r>
      <w:r w:rsidR="00B42EA9" w:rsidRPr="00335534">
        <w:rPr>
          <w:rFonts w:eastAsia="黑体"/>
          <w:b w:val="0"/>
          <w:bCs/>
          <w:lang w:eastAsia="zh-CN"/>
        </w:rPr>
        <w:tab/>
      </w:r>
      <w:r w:rsidR="00B42EA9" w:rsidRPr="00335534">
        <w:rPr>
          <w:rFonts w:ascii="宋体" w:eastAsia="黑体" w:hAnsi="宋体" w:cs="宋体" w:hint="eastAsia"/>
          <w:b w:val="0"/>
          <w:bCs/>
          <w:lang w:eastAsia="zh-CN"/>
        </w:rPr>
        <w:t>积极方面</w:t>
      </w:r>
    </w:p>
    <w:p w14:paraId="15D5570D" w14:textId="77777777" w:rsidR="00CA7C5D" w:rsidRPr="00335534" w:rsidRDefault="00CA7C5D" w:rsidP="00CA7C5D">
      <w:pPr>
        <w:pStyle w:val="SingleTxt"/>
        <w:rPr>
          <w:lang w:eastAsia="zh-CN"/>
        </w:rPr>
      </w:pPr>
    </w:p>
    <w:p w14:paraId="34795BB9" w14:textId="77777777" w:rsidR="009C2A87" w:rsidRPr="00335534" w:rsidRDefault="00CA7C5D" w:rsidP="009C2A87">
      <w:pPr>
        <w:pStyle w:val="SingleTxt"/>
        <w:rPr>
          <w:rFonts w:eastAsiaTheme="minorEastAsia"/>
          <w:lang w:eastAsia="zh-CN"/>
        </w:rPr>
      </w:pPr>
      <w:r w:rsidRPr="00335534">
        <w:rPr>
          <w:lang w:eastAsia="zh-CN"/>
        </w:rPr>
        <w:t xml:space="preserve">4. </w:t>
      </w:r>
      <w:r w:rsidRPr="00335534">
        <w:rPr>
          <w:rFonts w:hint="eastAsia"/>
          <w:lang w:eastAsia="zh-CN"/>
        </w:rPr>
        <w:t>委员会欢迎缔约国自</w:t>
      </w:r>
      <w:r w:rsidR="00D91303" w:rsidRPr="00335534">
        <w:rPr>
          <w:rFonts w:hint="eastAsia"/>
          <w:lang w:eastAsia="zh-CN"/>
        </w:rPr>
        <w:t>2004</w:t>
      </w:r>
      <w:r w:rsidR="00D91303" w:rsidRPr="00335534">
        <w:rPr>
          <w:rFonts w:hint="eastAsia"/>
          <w:lang w:eastAsia="zh-CN"/>
        </w:rPr>
        <w:t>年</w:t>
      </w:r>
      <w:r w:rsidRPr="00335534">
        <w:rPr>
          <w:rFonts w:hint="eastAsia"/>
          <w:lang w:eastAsia="zh-CN"/>
        </w:rPr>
        <w:t>《公约》对其生效以来在开展立法改革方面取得的进展，特别是通过了下列法律：</w:t>
      </w:r>
    </w:p>
    <w:p w14:paraId="2EC0A56B" w14:textId="77777777" w:rsidR="00CA7C5D" w:rsidRPr="00335534" w:rsidRDefault="00CA7C5D" w:rsidP="009C2A87">
      <w:pPr>
        <w:pStyle w:val="SingleTxt"/>
        <w:rPr>
          <w:rFonts w:eastAsiaTheme="minorEastAsia"/>
          <w:lang w:eastAsia="zh-CN"/>
        </w:rPr>
      </w:pPr>
      <w:r w:rsidRPr="00335534">
        <w:rPr>
          <w:rFonts w:hint="eastAsia"/>
          <w:lang w:eastAsia="zh-CN"/>
        </w:rPr>
        <w:lastRenderedPageBreak/>
        <w:t>委员会欢迎</w:t>
      </w:r>
      <w:r w:rsidR="00C20041" w:rsidRPr="00335534">
        <w:rPr>
          <w:rFonts w:eastAsiaTheme="minorEastAsia" w:hint="eastAsia"/>
          <w:lang w:eastAsia="zh-CN"/>
        </w:rPr>
        <w:t>缔约国</w:t>
      </w:r>
      <w:r w:rsidRPr="00335534">
        <w:rPr>
          <w:rFonts w:hint="eastAsia"/>
          <w:lang w:eastAsia="zh-CN"/>
        </w:rPr>
        <w:t>自</w:t>
      </w:r>
      <w:r w:rsidRPr="00335534">
        <w:rPr>
          <w:rFonts w:hint="eastAsia"/>
          <w:lang w:eastAsia="zh-CN"/>
        </w:rPr>
        <w:t>2004</w:t>
      </w:r>
      <w:r w:rsidRPr="00335534">
        <w:rPr>
          <w:rFonts w:hint="eastAsia"/>
          <w:lang w:eastAsia="zh-CN"/>
        </w:rPr>
        <w:t>年</w:t>
      </w:r>
      <w:r w:rsidR="00C20041" w:rsidRPr="00335534">
        <w:rPr>
          <w:rFonts w:ascii="宋体" w:eastAsia="宋体" w:hAnsi="宋体" w:cs="宋体" w:hint="eastAsia"/>
          <w:lang w:eastAsia="zh-CN"/>
        </w:rPr>
        <w:t>其</w:t>
      </w:r>
      <w:r w:rsidRPr="00335534">
        <w:rPr>
          <w:rFonts w:hint="eastAsia"/>
          <w:lang w:eastAsia="zh-CN"/>
        </w:rPr>
        <w:t>第三次定期报告</w:t>
      </w:r>
      <w:r w:rsidR="00C20041" w:rsidRPr="00335534">
        <w:rPr>
          <w:rFonts w:ascii="宋体" w:eastAsia="宋体" w:hAnsi="宋体" w:cs="宋体" w:hint="eastAsia"/>
          <w:lang w:eastAsia="zh-CN"/>
        </w:rPr>
        <w:t>接受审议</w:t>
      </w:r>
      <w:r w:rsidRPr="00335534">
        <w:rPr>
          <w:rFonts w:hint="eastAsia"/>
          <w:lang w:eastAsia="zh-CN"/>
        </w:rPr>
        <w:t>以来在开展立法改革方面取得的进展，特别是通过了</w:t>
      </w:r>
      <w:r w:rsidR="00D91303" w:rsidRPr="00335534">
        <w:rPr>
          <w:rFonts w:hint="eastAsia"/>
          <w:lang w:eastAsia="zh-CN"/>
        </w:rPr>
        <w:t>下列法律</w:t>
      </w:r>
      <w:r w:rsidRPr="00335534">
        <w:rPr>
          <w:rFonts w:hint="eastAsia"/>
          <w:lang w:eastAsia="zh-CN"/>
        </w:rPr>
        <w:t>：</w:t>
      </w:r>
    </w:p>
    <w:p w14:paraId="2F96D236" w14:textId="5D7C804D" w:rsidR="00D52284" w:rsidRPr="00335534" w:rsidRDefault="00D52284" w:rsidP="00D52284">
      <w:pPr>
        <w:pStyle w:val="SingleTxt"/>
        <w:rPr>
          <w:rFonts w:eastAsiaTheme="minorEastAsia"/>
          <w:lang w:eastAsia="zh-CN"/>
        </w:rPr>
      </w:pPr>
      <w:r w:rsidRPr="00335534">
        <w:rPr>
          <w:rFonts w:hint="eastAsia"/>
          <w:lang w:eastAsia="zh-CN"/>
        </w:rPr>
        <w:t>5.</w:t>
      </w:r>
      <w:r w:rsidRPr="00335534">
        <w:rPr>
          <w:rFonts w:hint="eastAsia"/>
          <w:lang w:eastAsia="zh-CN"/>
        </w:rPr>
        <w:tab/>
      </w:r>
      <w:r w:rsidRPr="00335534">
        <w:rPr>
          <w:rFonts w:hint="eastAsia"/>
          <w:lang w:eastAsia="zh-CN"/>
        </w:rPr>
        <w:t>委员会欢迎缔约国</w:t>
      </w:r>
      <w:r w:rsidR="002E45A3" w:rsidRPr="00335534">
        <w:rPr>
          <w:rFonts w:hint="eastAsia"/>
          <w:lang w:eastAsia="zh-CN"/>
        </w:rPr>
        <w:t>努力改进体制和政策框架，以加快消除对妇女的歧视，促进性别平等</w:t>
      </w:r>
      <w:r w:rsidR="002E45A3" w:rsidRPr="00335534">
        <w:rPr>
          <w:rFonts w:ascii="宋体" w:eastAsia="宋体" w:hAnsi="宋体" w:cs="宋体" w:hint="eastAsia"/>
          <w:lang w:eastAsia="zh-CN"/>
        </w:rPr>
        <w:t>，</w:t>
      </w:r>
      <w:r w:rsidRPr="00335534">
        <w:rPr>
          <w:rFonts w:hint="eastAsia"/>
          <w:lang w:eastAsia="zh-CN"/>
        </w:rPr>
        <w:t>例如</w:t>
      </w:r>
      <w:r w:rsidR="00424E6B">
        <w:rPr>
          <w:rFonts w:ascii="宋体" w:eastAsia="宋体" w:hAnsi="宋体" w:cs="宋体" w:hint="eastAsia"/>
          <w:lang w:eastAsia="zh-CN"/>
        </w:rPr>
        <w:t>采取</w:t>
      </w:r>
      <w:r w:rsidRPr="00335534">
        <w:rPr>
          <w:rFonts w:hint="eastAsia"/>
          <w:lang w:eastAsia="zh-CN"/>
        </w:rPr>
        <w:t>了</w:t>
      </w:r>
      <w:r w:rsidR="002E45A3" w:rsidRPr="00335534">
        <w:rPr>
          <w:rFonts w:ascii="宋体" w:eastAsia="宋体" w:hAnsi="宋体" w:cs="宋体" w:hint="eastAsia"/>
          <w:lang w:eastAsia="zh-CN"/>
        </w:rPr>
        <w:t>下列举措</w:t>
      </w:r>
      <w:r w:rsidRPr="00335534">
        <w:rPr>
          <w:rFonts w:hint="eastAsia"/>
          <w:lang w:eastAsia="zh-CN"/>
        </w:rPr>
        <w:t>：</w:t>
      </w:r>
    </w:p>
    <w:p w14:paraId="480B4160" w14:textId="77777777" w:rsidR="00A30345" w:rsidRPr="00335534" w:rsidRDefault="00A30345" w:rsidP="00D52284">
      <w:pPr>
        <w:pStyle w:val="SingleTxt"/>
        <w:rPr>
          <w:rFonts w:eastAsiaTheme="minorEastAsia"/>
          <w:lang w:eastAsia="zh-CN"/>
        </w:rPr>
      </w:pPr>
      <w:r w:rsidRPr="00335534">
        <w:rPr>
          <w:rFonts w:hint="eastAsia"/>
          <w:lang w:eastAsia="zh-CN"/>
        </w:rPr>
        <w:t>委员会欢迎缔约国努力改进体制和政策框架，以加快消除对妇女的歧视，促进性别平等，例如作出了下列努力：</w:t>
      </w:r>
    </w:p>
    <w:p w14:paraId="72D7DEF5" w14:textId="77777777" w:rsidR="00710A31" w:rsidRPr="00335534" w:rsidRDefault="00710A31" w:rsidP="000B17FA">
      <w:pPr>
        <w:pStyle w:val="H1"/>
        <w:ind w:right="1260"/>
        <w:rPr>
          <w:rFonts w:eastAsia="黑体"/>
          <w:b w:val="0"/>
          <w:bCs/>
          <w:lang w:eastAsia="zh-CN"/>
        </w:rPr>
      </w:pPr>
      <w:r w:rsidRPr="00335534">
        <w:rPr>
          <w:rFonts w:eastAsia="黑体" w:hint="eastAsia"/>
          <w:b w:val="0"/>
          <w:bCs/>
          <w:lang w:eastAsia="zh-CN"/>
        </w:rPr>
        <w:t>C.</w:t>
      </w:r>
      <w:r w:rsidRPr="00335534">
        <w:rPr>
          <w:rFonts w:eastAsia="黑体" w:hint="eastAsia"/>
          <w:b w:val="0"/>
          <w:bCs/>
          <w:lang w:eastAsia="zh-CN"/>
        </w:rPr>
        <w:tab/>
      </w:r>
      <w:r w:rsidRPr="00335534">
        <w:rPr>
          <w:rFonts w:eastAsia="黑体" w:hint="eastAsia"/>
          <w:b w:val="0"/>
          <w:bCs/>
          <w:lang w:eastAsia="zh-CN"/>
        </w:rPr>
        <w:t>可持续发展目标</w:t>
      </w:r>
    </w:p>
    <w:p w14:paraId="5E914A19" w14:textId="77777777" w:rsidR="000B17FA" w:rsidRPr="00335534" w:rsidRDefault="000B17FA" w:rsidP="000B17FA">
      <w:pPr>
        <w:pStyle w:val="SingleTxt"/>
        <w:rPr>
          <w:lang w:eastAsia="zh-CN"/>
        </w:rPr>
      </w:pPr>
    </w:p>
    <w:p w14:paraId="06D48CE8" w14:textId="63B82BB2" w:rsidR="007E5493" w:rsidRPr="00335534" w:rsidRDefault="00710A31" w:rsidP="00840CBE">
      <w:pPr>
        <w:pStyle w:val="SingleTxt"/>
        <w:rPr>
          <w:rFonts w:eastAsia="黑体"/>
          <w:lang w:eastAsia="zh-CN"/>
        </w:rPr>
      </w:pPr>
      <w:r w:rsidRPr="00335534">
        <w:rPr>
          <w:rFonts w:eastAsia="黑体"/>
          <w:lang w:eastAsia="zh-CN"/>
        </w:rPr>
        <w:t>6.</w:t>
      </w:r>
      <w:r w:rsidRPr="00335534">
        <w:rPr>
          <w:rFonts w:eastAsia="黑体"/>
          <w:lang w:eastAsia="zh-CN"/>
        </w:rPr>
        <w:tab/>
      </w:r>
      <w:r w:rsidR="007E5493" w:rsidRPr="00335534">
        <w:rPr>
          <w:rFonts w:eastAsia="黑体"/>
          <w:lang w:eastAsia="zh-CN"/>
        </w:rPr>
        <w:t>委员会欢迎国际社会对可持续发展目标的支持，并呼吁在执行《</w:t>
      </w:r>
      <w:r w:rsidR="007E5493" w:rsidRPr="00335534">
        <w:rPr>
          <w:rFonts w:eastAsia="黑体"/>
          <w:lang w:eastAsia="zh-CN"/>
        </w:rPr>
        <w:t>2030</w:t>
      </w:r>
      <w:r w:rsidR="007E5493" w:rsidRPr="00335534">
        <w:rPr>
          <w:rFonts w:eastAsia="黑体"/>
          <w:lang w:eastAsia="zh-CN"/>
        </w:rPr>
        <w:t>年可持续发展议程》的整个进程中，根据《公约》条款实现法律上</w:t>
      </w:r>
      <w:r w:rsidR="007E5493" w:rsidRPr="00335534">
        <w:rPr>
          <w:rFonts w:eastAsia="黑体"/>
          <w:lang w:eastAsia="zh-CN"/>
        </w:rPr>
        <w:t>(</w:t>
      </w:r>
      <w:r w:rsidR="007E5493" w:rsidRPr="00335534">
        <w:rPr>
          <w:rFonts w:eastAsia="黑体"/>
          <w:lang w:eastAsia="zh-CN"/>
        </w:rPr>
        <w:t>依法</w:t>
      </w:r>
      <w:r w:rsidR="007E5493" w:rsidRPr="00335534">
        <w:rPr>
          <w:rFonts w:eastAsia="黑体"/>
          <w:lang w:eastAsia="zh-CN"/>
        </w:rPr>
        <w:t>)</w:t>
      </w:r>
      <w:r w:rsidR="007E5493" w:rsidRPr="00335534">
        <w:rPr>
          <w:rFonts w:eastAsia="黑体"/>
          <w:lang w:eastAsia="zh-CN"/>
        </w:rPr>
        <w:t>和事实上</w:t>
      </w:r>
      <w:r w:rsidR="007E5493" w:rsidRPr="00335534">
        <w:rPr>
          <w:rFonts w:eastAsia="黑体"/>
          <w:lang w:eastAsia="zh-CN"/>
        </w:rPr>
        <w:t>(</w:t>
      </w:r>
      <w:r w:rsidR="007E5493" w:rsidRPr="00335534">
        <w:rPr>
          <w:rFonts w:eastAsia="黑体"/>
          <w:lang w:eastAsia="zh-CN"/>
        </w:rPr>
        <w:t>实质性</w:t>
      </w:r>
      <w:r w:rsidR="007E5493" w:rsidRPr="00335534">
        <w:rPr>
          <w:rFonts w:eastAsia="黑体"/>
          <w:lang w:eastAsia="zh-CN"/>
        </w:rPr>
        <w:t>)</w:t>
      </w:r>
      <w:r w:rsidR="007E5493" w:rsidRPr="00335534">
        <w:rPr>
          <w:rFonts w:eastAsia="黑体"/>
          <w:lang w:eastAsia="zh-CN"/>
        </w:rPr>
        <w:t>的性别平等。委员会回顾了目标</w:t>
      </w:r>
      <w:r w:rsidR="007E5493" w:rsidRPr="00335534">
        <w:rPr>
          <w:rFonts w:eastAsia="黑体"/>
          <w:lang w:eastAsia="zh-CN"/>
        </w:rPr>
        <w:t>5</w:t>
      </w:r>
      <w:r w:rsidR="009E3DB1" w:rsidRPr="00335534">
        <w:rPr>
          <w:rFonts w:eastAsia="黑体" w:hint="eastAsia"/>
          <w:lang w:eastAsia="zh-CN"/>
        </w:rPr>
        <w:t>的重要性，</w:t>
      </w:r>
      <w:r w:rsidR="007E5493" w:rsidRPr="00335534">
        <w:rPr>
          <w:rFonts w:eastAsia="黑体"/>
          <w:lang w:eastAsia="zh-CN"/>
        </w:rPr>
        <w:t>以及将平等和不歧视原则纳入所有</w:t>
      </w:r>
      <w:r w:rsidR="007E5493" w:rsidRPr="00335534">
        <w:rPr>
          <w:rFonts w:eastAsia="黑体"/>
          <w:lang w:eastAsia="zh-CN"/>
        </w:rPr>
        <w:t>17</w:t>
      </w:r>
      <w:r w:rsidR="007E5493" w:rsidRPr="00335534">
        <w:rPr>
          <w:rFonts w:eastAsia="黑体"/>
          <w:lang w:eastAsia="zh-CN"/>
        </w:rPr>
        <w:t>项目标主流的重要性。委员会敦促缔约国</w:t>
      </w:r>
      <w:r w:rsidR="00424E6B">
        <w:rPr>
          <w:rFonts w:eastAsia="黑体" w:hint="eastAsia"/>
          <w:lang w:eastAsia="zh-CN"/>
        </w:rPr>
        <w:t>承认</w:t>
      </w:r>
      <w:r w:rsidR="007E5493" w:rsidRPr="00335534">
        <w:rPr>
          <w:rFonts w:eastAsia="黑体"/>
          <w:lang w:eastAsia="zh-CN"/>
        </w:rPr>
        <w:t>妇女是缔约国实现可持续发展的推动力，并为此采取相关政策和战略。</w:t>
      </w:r>
    </w:p>
    <w:p w14:paraId="232E625F" w14:textId="77777777" w:rsidR="00710A31" w:rsidRPr="00335534" w:rsidRDefault="00710A31" w:rsidP="00D52284">
      <w:pPr>
        <w:pStyle w:val="SingleTxt"/>
        <w:rPr>
          <w:rFonts w:eastAsiaTheme="minorEastAsia"/>
          <w:lang w:eastAsia="zh-CN"/>
        </w:rPr>
      </w:pPr>
    </w:p>
    <w:p w14:paraId="458091EE" w14:textId="77777777" w:rsidR="00937BFD" w:rsidRPr="00335534" w:rsidRDefault="00B42EA9" w:rsidP="00937BFD">
      <w:pPr>
        <w:pStyle w:val="H1"/>
        <w:ind w:right="1260"/>
        <w:rPr>
          <w:rFonts w:eastAsia="黑体"/>
          <w:b w:val="0"/>
          <w:bCs/>
          <w:lang w:eastAsia="zh-CN"/>
        </w:rPr>
      </w:pPr>
      <w:r w:rsidRPr="00335534">
        <w:rPr>
          <w:rFonts w:eastAsia="黑体"/>
          <w:b w:val="0"/>
          <w:bCs/>
          <w:lang w:eastAsia="zh-CN"/>
        </w:rPr>
        <w:tab/>
      </w:r>
      <w:r w:rsidR="00710A31" w:rsidRPr="00335534">
        <w:rPr>
          <w:rFonts w:eastAsia="黑体" w:hint="eastAsia"/>
          <w:b w:val="0"/>
          <w:bCs/>
          <w:lang w:eastAsia="zh-CN"/>
        </w:rPr>
        <w:t>D</w:t>
      </w:r>
      <w:r w:rsidRPr="00335534">
        <w:rPr>
          <w:rFonts w:eastAsia="黑体"/>
          <w:b w:val="0"/>
          <w:bCs/>
          <w:lang w:eastAsia="zh-CN"/>
        </w:rPr>
        <w:t>.</w:t>
      </w:r>
      <w:r w:rsidRPr="00335534">
        <w:rPr>
          <w:rFonts w:eastAsia="黑体"/>
          <w:b w:val="0"/>
          <w:bCs/>
          <w:lang w:eastAsia="zh-CN"/>
        </w:rPr>
        <w:tab/>
      </w:r>
      <w:r w:rsidRPr="00335534">
        <w:rPr>
          <w:rFonts w:eastAsia="黑体" w:hint="eastAsia"/>
          <w:b w:val="0"/>
          <w:bCs/>
          <w:lang w:eastAsia="zh-CN"/>
        </w:rPr>
        <w:t>议会</w:t>
      </w:r>
    </w:p>
    <w:p w14:paraId="706B32DF" w14:textId="77777777" w:rsidR="00804A93" w:rsidRPr="00335534" w:rsidRDefault="00804A93" w:rsidP="00804A93">
      <w:pPr>
        <w:pStyle w:val="SingleTxt"/>
        <w:spacing w:after="0" w:line="120" w:lineRule="exact"/>
        <w:rPr>
          <w:sz w:val="10"/>
          <w:lang w:eastAsia="zh-CN"/>
        </w:rPr>
      </w:pPr>
    </w:p>
    <w:p w14:paraId="5B8B85ED" w14:textId="77777777" w:rsidR="00B42EA9" w:rsidRPr="00335534" w:rsidRDefault="00B42EA9" w:rsidP="00A7783C">
      <w:pPr>
        <w:pStyle w:val="SingleTxt"/>
        <w:rPr>
          <w:rFonts w:eastAsia="黑体"/>
          <w:lang w:eastAsia="zh-CN"/>
        </w:rPr>
      </w:pPr>
      <w:r w:rsidRPr="00335534">
        <w:rPr>
          <w:lang w:eastAsia="zh-CN"/>
        </w:rPr>
        <w:t>7.</w:t>
      </w:r>
      <w:r w:rsidRPr="00335534">
        <w:rPr>
          <w:lang w:eastAsia="zh-CN"/>
        </w:rPr>
        <w:tab/>
      </w:r>
      <w:r w:rsidRPr="00335534">
        <w:rPr>
          <w:rFonts w:eastAsia="黑体" w:hint="eastAsia"/>
          <w:lang w:eastAsia="zh-CN"/>
        </w:rPr>
        <w:t>委员会强调立法权在确保</w:t>
      </w:r>
      <w:r w:rsidR="00F92FD0" w:rsidRPr="00335534">
        <w:rPr>
          <w:rFonts w:eastAsia="黑体" w:hint="eastAsia"/>
          <w:lang w:eastAsia="zh-CN"/>
        </w:rPr>
        <w:t>《公约》得到</w:t>
      </w:r>
      <w:r w:rsidRPr="00335534">
        <w:rPr>
          <w:rFonts w:eastAsia="黑体" w:hint="eastAsia"/>
          <w:lang w:eastAsia="zh-CN"/>
        </w:rPr>
        <w:t>充分执行方面的关键作用（见</w:t>
      </w:r>
      <w:r w:rsidRPr="00335534">
        <w:rPr>
          <w:rFonts w:eastAsia="黑体" w:hint="eastAsia"/>
          <w:lang w:eastAsia="zh-CN"/>
        </w:rPr>
        <w:t>2010</w:t>
      </w:r>
      <w:r w:rsidRPr="00335534">
        <w:rPr>
          <w:rFonts w:eastAsia="黑体" w:hint="eastAsia"/>
          <w:lang w:eastAsia="zh-CN"/>
        </w:rPr>
        <w:t>年委员会第四十五届会议通过的关于委员会与议员关系的声明）。委员会请议会</w:t>
      </w:r>
      <w:r w:rsidR="00804A93" w:rsidRPr="00335534">
        <w:rPr>
          <w:rFonts w:eastAsia="黑体" w:hint="eastAsia"/>
          <w:lang w:eastAsia="zh-CN"/>
        </w:rPr>
        <w:t>依</w:t>
      </w:r>
      <w:r w:rsidRPr="00335534">
        <w:rPr>
          <w:rFonts w:eastAsia="黑体" w:hint="eastAsia"/>
          <w:lang w:eastAsia="zh-CN"/>
        </w:rPr>
        <w:t>照其授权，为从现在起到《公约》规定的下个报告期之前执行本结论性意见采取必要步骤。</w:t>
      </w:r>
    </w:p>
    <w:p w14:paraId="129DCB1D" w14:textId="77777777" w:rsidR="00204662" w:rsidRPr="00335534" w:rsidRDefault="00204662" w:rsidP="00A7783C">
      <w:pPr>
        <w:pStyle w:val="SingleTxt"/>
        <w:rPr>
          <w:rFonts w:eastAsia="黑体"/>
          <w:lang w:eastAsia="zh-CN"/>
        </w:rPr>
      </w:pPr>
      <w:r w:rsidRPr="00335534">
        <w:rPr>
          <w:rFonts w:eastAsia="黑体" w:hint="eastAsia"/>
          <w:lang w:eastAsia="zh-CN"/>
        </w:rPr>
        <w:t>委员会强调立法权在确保</w:t>
      </w:r>
      <w:r w:rsidR="00F92FD0" w:rsidRPr="00335534">
        <w:rPr>
          <w:rFonts w:eastAsia="黑体" w:hint="eastAsia"/>
          <w:lang w:eastAsia="zh-CN"/>
        </w:rPr>
        <w:t>《公约》得到</w:t>
      </w:r>
      <w:r w:rsidRPr="00335534">
        <w:rPr>
          <w:rFonts w:eastAsia="黑体" w:hint="eastAsia"/>
          <w:lang w:eastAsia="zh-CN"/>
        </w:rPr>
        <w:t>充分执行方面的关键作用（见</w:t>
      </w:r>
      <w:r w:rsidRPr="00335534">
        <w:rPr>
          <w:rFonts w:eastAsia="黑体" w:hint="eastAsia"/>
          <w:lang w:eastAsia="zh-CN"/>
        </w:rPr>
        <w:t>A/65/38</w:t>
      </w:r>
      <w:r w:rsidRPr="00335534">
        <w:rPr>
          <w:rFonts w:eastAsia="黑体" w:hint="eastAsia"/>
          <w:lang w:eastAsia="zh-CN"/>
        </w:rPr>
        <w:t>，第二部分，附件六）。</w:t>
      </w:r>
    </w:p>
    <w:p w14:paraId="4A85CE3C" w14:textId="77777777" w:rsidR="00204662" w:rsidRPr="00335534" w:rsidRDefault="00204662" w:rsidP="00A7783C">
      <w:pPr>
        <w:pStyle w:val="SingleTxt"/>
        <w:rPr>
          <w:rFonts w:eastAsia="黑体"/>
          <w:lang w:eastAsia="zh-CN"/>
        </w:rPr>
      </w:pPr>
      <w:r w:rsidRPr="00335534">
        <w:rPr>
          <w:rFonts w:eastAsia="黑体"/>
          <w:lang w:eastAsia="zh-CN"/>
        </w:rPr>
        <w:t xml:space="preserve"> </w:t>
      </w:r>
    </w:p>
    <w:p w14:paraId="0A459E34" w14:textId="77777777" w:rsidR="00B42EA9" w:rsidRPr="00335534" w:rsidRDefault="00C83BB7" w:rsidP="00937BFD">
      <w:pPr>
        <w:pStyle w:val="H1"/>
        <w:ind w:right="1260"/>
        <w:rPr>
          <w:rFonts w:eastAsia="黑体"/>
          <w:b w:val="0"/>
          <w:bCs/>
          <w:lang w:eastAsia="zh-CN"/>
        </w:rPr>
      </w:pPr>
      <w:r w:rsidRPr="00335534">
        <w:rPr>
          <w:lang w:eastAsia="zh-CN"/>
        </w:rPr>
        <w:tab/>
      </w:r>
      <w:r w:rsidR="00710A31" w:rsidRPr="00335534">
        <w:rPr>
          <w:rFonts w:eastAsia="黑体" w:hint="eastAsia"/>
          <w:b w:val="0"/>
          <w:bCs/>
          <w:lang w:eastAsia="zh-CN"/>
        </w:rPr>
        <w:t>E</w:t>
      </w:r>
      <w:r w:rsidR="00B42EA9" w:rsidRPr="00335534">
        <w:rPr>
          <w:rFonts w:eastAsia="黑体"/>
          <w:b w:val="0"/>
          <w:bCs/>
          <w:lang w:eastAsia="zh-CN"/>
        </w:rPr>
        <w:t>.</w:t>
      </w:r>
      <w:r w:rsidR="00B42EA9" w:rsidRPr="00335534">
        <w:rPr>
          <w:rFonts w:eastAsia="黑体"/>
          <w:b w:val="0"/>
          <w:bCs/>
          <w:lang w:eastAsia="zh-CN"/>
        </w:rPr>
        <w:tab/>
      </w:r>
      <w:r w:rsidR="00B42EA9" w:rsidRPr="00335534">
        <w:rPr>
          <w:rFonts w:eastAsia="黑体" w:hint="eastAsia"/>
          <w:b w:val="0"/>
          <w:bCs/>
          <w:lang w:eastAsia="zh-CN"/>
        </w:rPr>
        <w:t>关注的主要领域</w:t>
      </w:r>
      <w:r w:rsidR="00937BFD" w:rsidRPr="00335534">
        <w:rPr>
          <w:rFonts w:eastAsia="黑体" w:hint="eastAsia"/>
          <w:b w:val="0"/>
          <w:bCs/>
          <w:lang w:val="en-US" w:eastAsia="zh-CN"/>
        </w:rPr>
        <w:t>及</w:t>
      </w:r>
      <w:r w:rsidR="00B42EA9" w:rsidRPr="00335534">
        <w:rPr>
          <w:rFonts w:eastAsia="黑体" w:hint="eastAsia"/>
          <w:b w:val="0"/>
          <w:bCs/>
          <w:lang w:eastAsia="zh-CN"/>
        </w:rPr>
        <w:t>建议</w:t>
      </w:r>
    </w:p>
    <w:p w14:paraId="2BD2F288" w14:textId="77777777" w:rsidR="004B4486" w:rsidRPr="00335534" w:rsidRDefault="004B4486" w:rsidP="004B4486">
      <w:pPr>
        <w:pStyle w:val="SingleTxt"/>
        <w:rPr>
          <w:lang w:eastAsia="zh-CN"/>
        </w:rPr>
      </w:pPr>
    </w:p>
    <w:p w14:paraId="56AF0360" w14:textId="77777777" w:rsidR="004B4486" w:rsidRPr="00335534" w:rsidRDefault="004B4486" w:rsidP="004B4486">
      <w:pPr>
        <w:pStyle w:val="SingleTxt"/>
        <w:rPr>
          <w:rFonts w:eastAsia="黑体"/>
          <w:bCs/>
          <w:spacing w:val="2"/>
          <w:lang w:eastAsia="zh-CN"/>
        </w:rPr>
      </w:pPr>
      <w:r w:rsidRPr="00335534">
        <w:rPr>
          <w:rFonts w:eastAsia="黑体" w:hint="eastAsia"/>
          <w:bCs/>
          <w:spacing w:val="2"/>
          <w:lang w:eastAsia="zh-CN"/>
        </w:rPr>
        <w:t>《公约》及其《任择议定书》和委员会一般性建议的</w:t>
      </w:r>
      <w:r w:rsidR="00F76381" w:rsidRPr="00335534">
        <w:rPr>
          <w:rFonts w:eastAsia="黑体" w:hint="eastAsia"/>
          <w:bCs/>
          <w:spacing w:val="2"/>
          <w:lang w:eastAsia="zh-CN"/>
        </w:rPr>
        <w:t>受关注程度</w:t>
      </w:r>
    </w:p>
    <w:p w14:paraId="13216E04" w14:textId="77777777" w:rsidR="004B4486" w:rsidRPr="00335534" w:rsidRDefault="004B4486" w:rsidP="004B4486">
      <w:pPr>
        <w:pStyle w:val="SingleTxt"/>
        <w:rPr>
          <w:rFonts w:eastAsia="黑体"/>
          <w:bCs/>
          <w:spacing w:val="2"/>
          <w:lang w:eastAsia="zh-CN"/>
        </w:rPr>
      </w:pPr>
      <w:r w:rsidRPr="00335534">
        <w:rPr>
          <w:rFonts w:eastAsia="黑体" w:hint="eastAsia"/>
          <w:bCs/>
          <w:spacing w:val="2"/>
          <w:lang w:eastAsia="zh-CN"/>
        </w:rPr>
        <w:t>《公约》和委员会一般性</w:t>
      </w:r>
      <w:r w:rsidR="00F76381" w:rsidRPr="00335534">
        <w:rPr>
          <w:rFonts w:eastAsia="黑体" w:hint="eastAsia"/>
          <w:bCs/>
          <w:spacing w:val="2"/>
          <w:lang w:eastAsia="zh-CN"/>
        </w:rPr>
        <w:t>建议</w:t>
      </w:r>
      <w:r w:rsidRPr="00335534">
        <w:rPr>
          <w:rFonts w:eastAsia="黑体" w:hint="eastAsia"/>
          <w:bCs/>
          <w:spacing w:val="2"/>
          <w:lang w:eastAsia="zh-CN"/>
        </w:rPr>
        <w:t>的受关注程度</w:t>
      </w:r>
    </w:p>
    <w:p w14:paraId="048657C3" w14:textId="77777777" w:rsidR="00516B1B" w:rsidRPr="00335534" w:rsidRDefault="00D70C13" w:rsidP="00516B1B">
      <w:pPr>
        <w:pStyle w:val="SingleTxt"/>
        <w:rPr>
          <w:rFonts w:eastAsia="黑体"/>
          <w:bCs/>
          <w:spacing w:val="2"/>
          <w:lang w:eastAsia="zh-CN"/>
        </w:rPr>
      </w:pPr>
      <w:r w:rsidRPr="00335534">
        <w:rPr>
          <w:rFonts w:eastAsia="黑体" w:hint="eastAsia"/>
          <w:bCs/>
          <w:spacing w:val="2"/>
          <w:lang w:eastAsia="zh-CN"/>
        </w:rPr>
        <w:t>“</w:t>
      </w:r>
      <w:r w:rsidR="00516B1B" w:rsidRPr="00335534">
        <w:rPr>
          <w:rFonts w:eastAsia="黑体" w:hint="eastAsia"/>
          <w:bCs/>
          <w:spacing w:val="2"/>
          <w:lang w:eastAsia="zh-CN"/>
        </w:rPr>
        <w:t>对妇女</w:t>
      </w:r>
      <w:r w:rsidRPr="00335534">
        <w:rPr>
          <w:rFonts w:eastAsia="黑体" w:hint="eastAsia"/>
          <w:bCs/>
          <w:spacing w:val="2"/>
          <w:lang w:eastAsia="zh-CN"/>
        </w:rPr>
        <w:t>的</w:t>
      </w:r>
      <w:r w:rsidR="00516B1B" w:rsidRPr="00335534">
        <w:rPr>
          <w:rFonts w:eastAsia="黑体" w:hint="eastAsia"/>
          <w:bCs/>
          <w:spacing w:val="2"/>
          <w:lang w:eastAsia="zh-CN"/>
        </w:rPr>
        <w:t>歧视</w:t>
      </w:r>
      <w:r w:rsidRPr="00335534">
        <w:rPr>
          <w:rFonts w:eastAsia="黑体" w:hint="eastAsia"/>
          <w:bCs/>
          <w:spacing w:val="2"/>
          <w:lang w:eastAsia="zh-CN"/>
        </w:rPr>
        <w:t>”</w:t>
      </w:r>
      <w:r w:rsidR="00516B1B" w:rsidRPr="00335534">
        <w:rPr>
          <w:rFonts w:eastAsia="黑体" w:hint="eastAsia"/>
          <w:bCs/>
          <w:spacing w:val="2"/>
          <w:lang w:eastAsia="zh-CN"/>
        </w:rPr>
        <w:t>定义</w:t>
      </w:r>
    </w:p>
    <w:p w14:paraId="30E1922E" w14:textId="77777777" w:rsidR="00516B1B" w:rsidRPr="00335534" w:rsidRDefault="00516B1B" w:rsidP="00516B1B">
      <w:pPr>
        <w:pStyle w:val="SingleTxt"/>
        <w:rPr>
          <w:rFonts w:eastAsia="黑体"/>
          <w:bCs/>
          <w:spacing w:val="2"/>
          <w:lang w:eastAsia="zh-CN"/>
        </w:rPr>
      </w:pPr>
      <w:r w:rsidRPr="00335534">
        <w:rPr>
          <w:rFonts w:eastAsia="黑体" w:hint="eastAsia"/>
          <w:bCs/>
          <w:spacing w:val="2"/>
          <w:lang w:eastAsia="zh-CN"/>
        </w:rPr>
        <w:t>妇女诉诸司法的机会</w:t>
      </w:r>
    </w:p>
    <w:p w14:paraId="58B1CD58" w14:textId="77777777" w:rsidR="00516B1B" w:rsidRPr="00335534" w:rsidRDefault="00516B1B" w:rsidP="00516B1B">
      <w:pPr>
        <w:pStyle w:val="SingleTxt"/>
        <w:rPr>
          <w:rFonts w:eastAsia="黑体"/>
          <w:bCs/>
          <w:spacing w:val="2"/>
          <w:lang w:eastAsia="zh-CN"/>
        </w:rPr>
      </w:pPr>
      <w:r w:rsidRPr="00335534">
        <w:rPr>
          <w:rFonts w:eastAsia="黑体" w:hint="eastAsia"/>
          <w:bCs/>
          <w:spacing w:val="2"/>
          <w:lang w:eastAsia="zh-CN"/>
        </w:rPr>
        <w:t>提高妇女地位的国家机构</w:t>
      </w:r>
    </w:p>
    <w:p w14:paraId="381F929E" w14:textId="77777777" w:rsidR="00222B0D" w:rsidRPr="00335534" w:rsidRDefault="00222B0D" w:rsidP="00516B1B">
      <w:pPr>
        <w:pStyle w:val="SingleTxt"/>
        <w:rPr>
          <w:rFonts w:eastAsia="黑体"/>
          <w:bCs/>
          <w:spacing w:val="2"/>
          <w:lang w:eastAsia="zh-CN"/>
        </w:rPr>
      </w:pPr>
      <w:r w:rsidRPr="00335534">
        <w:rPr>
          <w:rFonts w:eastAsia="黑体" w:hint="eastAsia"/>
          <w:bCs/>
          <w:spacing w:val="2"/>
          <w:lang w:eastAsia="zh-CN"/>
        </w:rPr>
        <w:t>国家人权机构</w:t>
      </w:r>
    </w:p>
    <w:p w14:paraId="2E489596" w14:textId="77777777" w:rsidR="00222B0D" w:rsidRPr="00335534" w:rsidRDefault="00222B0D" w:rsidP="00516B1B">
      <w:pPr>
        <w:pStyle w:val="SingleTxt"/>
        <w:rPr>
          <w:rFonts w:eastAsia="黑体"/>
          <w:bCs/>
          <w:spacing w:val="2"/>
          <w:lang w:eastAsia="zh-CN"/>
        </w:rPr>
      </w:pPr>
      <w:r w:rsidRPr="00335534">
        <w:rPr>
          <w:rFonts w:eastAsia="黑体" w:hint="eastAsia"/>
          <w:bCs/>
          <w:spacing w:val="2"/>
          <w:lang w:eastAsia="zh-CN"/>
        </w:rPr>
        <w:t>民间社会组织</w:t>
      </w:r>
    </w:p>
    <w:p w14:paraId="319F5B55" w14:textId="77777777" w:rsidR="00222B0D" w:rsidRPr="00335534" w:rsidRDefault="00222B0D" w:rsidP="00516B1B">
      <w:pPr>
        <w:pStyle w:val="SingleTxt"/>
        <w:rPr>
          <w:rFonts w:eastAsia="黑体"/>
          <w:bCs/>
          <w:spacing w:val="2"/>
          <w:lang w:eastAsia="zh-CN"/>
        </w:rPr>
      </w:pPr>
      <w:r w:rsidRPr="00335534">
        <w:rPr>
          <w:rFonts w:eastAsia="黑体" w:hint="eastAsia"/>
          <w:bCs/>
          <w:spacing w:val="2"/>
          <w:lang w:eastAsia="zh-CN"/>
        </w:rPr>
        <w:t>暂行特别措施</w:t>
      </w:r>
    </w:p>
    <w:p w14:paraId="497F9C6D" w14:textId="77777777" w:rsidR="00222B0D" w:rsidRPr="00335534" w:rsidRDefault="00222B0D" w:rsidP="00516B1B">
      <w:pPr>
        <w:pStyle w:val="SingleTxt"/>
        <w:rPr>
          <w:rFonts w:eastAsia="黑体"/>
          <w:bCs/>
          <w:spacing w:val="2"/>
          <w:lang w:eastAsia="zh-CN"/>
        </w:rPr>
      </w:pPr>
      <w:r w:rsidRPr="00335534">
        <w:rPr>
          <w:rFonts w:eastAsia="黑体" w:hint="eastAsia"/>
          <w:bCs/>
          <w:spacing w:val="2"/>
          <w:lang w:eastAsia="zh-CN"/>
        </w:rPr>
        <w:t>定型观念和有害做法</w:t>
      </w:r>
    </w:p>
    <w:p w14:paraId="3FA0E58D" w14:textId="77777777" w:rsidR="00222B0D" w:rsidRPr="00335534" w:rsidRDefault="00222B0D" w:rsidP="00516B1B">
      <w:pPr>
        <w:pStyle w:val="SingleTxt"/>
        <w:rPr>
          <w:rFonts w:eastAsia="黑体"/>
          <w:bCs/>
          <w:spacing w:val="2"/>
          <w:lang w:eastAsia="zh-CN"/>
        </w:rPr>
      </w:pPr>
      <w:r w:rsidRPr="00335534">
        <w:rPr>
          <w:rFonts w:eastAsia="黑体" w:hint="eastAsia"/>
          <w:bCs/>
          <w:spacing w:val="2"/>
          <w:lang w:eastAsia="zh-CN"/>
        </w:rPr>
        <w:t>针对妇女的性别暴力</w:t>
      </w:r>
    </w:p>
    <w:p w14:paraId="1A9337E7" w14:textId="77777777" w:rsidR="00222B0D" w:rsidRPr="00335534" w:rsidRDefault="00222B0D" w:rsidP="00516B1B">
      <w:pPr>
        <w:pStyle w:val="SingleTxt"/>
        <w:rPr>
          <w:rFonts w:eastAsia="黑体"/>
          <w:bCs/>
          <w:spacing w:val="2"/>
          <w:lang w:eastAsia="zh-CN"/>
        </w:rPr>
      </w:pPr>
      <w:r w:rsidRPr="00335534">
        <w:rPr>
          <w:rFonts w:eastAsia="黑体" w:hint="eastAsia"/>
          <w:bCs/>
          <w:spacing w:val="2"/>
          <w:lang w:eastAsia="zh-CN"/>
        </w:rPr>
        <w:t>贩运人口和利用卖淫营利</w:t>
      </w:r>
    </w:p>
    <w:p w14:paraId="1CD45F0E" w14:textId="77777777" w:rsidR="00222B0D" w:rsidRPr="00335534" w:rsidRDefault="00222B0D" w:rsidP="00516B1B">
      <w:pPr>
        <w:pStyle w:val="SingleTxt"/>
        <w:rPr>
          <w:rFonts w:eastAsia="黑体"/>
          <w:bCs/>
          <w:spacing w:val="2"/>
          <w:lang w:eastAsia="zh-CN"/>
        </w:rPr>
      </w:pPr>
      <w:r w:rsidRPr="00335534">
        <w:rPr>
          <w:rFonts w:eastAsia="黑体" w:hint="eastAsia"/>
          <w:bCs/>
          <w:spacing w:val="2"/>
          <w:lang w:eastAsia="zh-CN"/>
        </w:rPr>
        <w:t>参与政治和公共生活</w:t>
      </w:r>
    </w:p>
    <w:p w14:paraId="1A4F502A" w14:textId="77777777" w:rsidR="00222B0D" w:rsidRPr="00335534" w:rsidRDefault="00222B0D" w:rsidP="00516B1B">
      <w:pPr>
        <w:pStyle w:val="SingleTxt"/>
        <w:rPr>
          <w:rFonts w:eastAsia="黑体"/>
          <w:bCs/>
          <w:spacing w:val="2"/>
          <w:lang w:eastAsia="zh-CN"/>
        </w:rPr>
      </w:pPr>
      <w:r w:rsidRPr="00335534">
        <w:rPr>
          <w:rFonts w:eastAsia="黑体" w:hint="eastAsia"/>
          <w:bCs/>
          <w:spacing w:val="2"/>
          <w:lang w:eastAsia="zh-CN"/>
        </w:rPr>
        <w:t>国籍</w:t>
      </w:r>
    </w:p>
    <w:p w14:paraId="6FC317F2" w14:textId="77777777" w:rsidR="00222B0D" w:rsidRPr="00335534" w:rsidRDefault="00222B0D" w:rsidP="00516B1B">
      <w:pPr>
        <w:pStyle w:val="SingleTxt"/>
        <w:rPr>
          <w:rFonts w:eastAsia="黑体"/>
          <w:bCs/>
          <w:spacing w:val="2"/>
          <w:lang w:eastAsia="zh-CN"/>
        </w:rPr>
      </w:pPr>
      <w:r w:rsidRPr="00335534">
        <w:rPr>
          <w:rFonts w:eastAsia="黑体" w:hint="eastAsia"/>
          <w:bCs/>
          <w:spacing w:val="2"/>
          <w:lang w:eastAsia="zh-CN"/>
        </w:rPr>
        <w:t>教育</w:t>
      </w:r>
    </w:p>
    <w:p w14:paraId="2A7AA410" w14:textId="77777777" w:rsidR="00222B0D" w:rsidRPr="00335534" w:rsidRDefault="00222B0D" w:rsidP="00516B1B">
      <w:pPr>
        <w:pStyle w:val="SingleTxt"/>
        <w:rPr>
          <w:rFonts w:eastAsia="黑体"/>
          <w:bCs/>
          <w:spacing w:val="2"/>
          <w:lang w:eastAsia="zh-CN"/>
        </w:rPr>
      </w:pPr>
      <w:r w:rsidRPr="00335534">
        <w:rPr>
          <w:rFonts w:eastAsia="黑体" w:hint="eastAsia"/>
          <w:bCs/>
          <w:spacing w:val="2"/>
          <w:lang w:eastAsia="zh-CN"/>
        </w:rPr>
        <w:t>就业</w:t>
      </w:r>
    </w:p>
    <w:p w14:paraId="3DF4CB1C" w14:textId="77777777" w:rsidR="00222B0D" w:rsidRPr="00335534" w:rsidRDefault="00222B0D" w:rsidP="00516B1B">
      <w:pPr>
        <w:pStyle w:val="SingleTxt"/>
        <w:rPr>
          <w:rFonts w:eastAsia="黑体"/>
          <w:bCs/>
          <w:spacing w:val="2"/>
          <w:lang w:eastAsia="zh-CN"/>
        </w:rPr>
      </w:pPr>
      <w:r w:rsidRPr="00335534">
        <w:rPr>
          <w:rFonts w:eastAsia="黑体" w:hint="eastAsia"/>
          <w:bCs/>
          <w:spacing w:val="2"/>
          <w:lang w:eastAsia="zh-CN"/>
        </w:rPr>
        <w:t>增强妇女经济权能</w:t>
      </w:r>
    </w:p>
    <w:p w14:paraId="7320CE15" w14:textId="77777777" w:rsidR="00222B0D" w:rsidRPr="00335534" w:rsidRDefault="00222B0D" w:rsidP="00516B1B">
      <w:pPr>
        <w:pStyle w:val="SingleTxt"/>
        <w:rPr>
          <w:rFonts w:eastAsia="黑体"/>
          <w:bCs/>
          <w:spacing w:val="2"/>
          <w:lang w:eastAsia="zh-CN"/>
        </w:rPr>
      </w:pPr>
      <w:r w:rsidRPr="00335534">
        <w:rPr>
          <w:rFonts w:eastAsia="黑体" w:hint="eastAsia"/>
          <w:bCs/>
          <w:spacing w:val="2"/>
          <w:lang w:eastAsia="zh-CN"/>
        </w:rPr>
        <w:lastRenderedPageBreak/>
        <w:t>健康</w:t>
      </w:r>
    </w:p>
    <w:p w14:paraId="4C8EDE75" w14:textId="77777777" w:rsidR="00222B0D" w:rsidRPr="00335534" w:rsidRDefault="00222B0D" w:rsidP="00516B1B">
      <w:pPr>
        <w:pStyle w:val="SingleTxt"/>
        <w:rPr>
          <w:rFonts w:eastAsia="黑体"/>
          <w:bCs/>
          <w:spacing w:val="2"/>
          <w:lang w:eastAsia="zh-CN"/>
        </w:rPr>
      </w:pPr>
      <w:r w:rsidRPr="00335534">
        <w:rPr>
          <w:rFonts w:eastAsia="黑体" w:hint="eastAsia"/>
          <w:bCs/>
          <w:spacing w:val="2"/>
          <w:lang w:eastAsia="zh-CN"/>
        </w:rPr>
        <w:t>气候变化和减少灾害风险</w:t>
      </w:r>
    </w:p>
    <w:p w14:paraId="1FF91ED3" w14:textId="77777777" w:rsidR="00222B0D" w:rsidRPr="00335534" w:rsidRDefault="00222B0D" w:rsidP="00516B1B">
      <w:pPr>
        <w:pStyle w:val="SingleTxt"/>
        <w:rPr>
          <w:rFonts w:eastAsia="黑体"/>
          <w:bCs/>
          <w:spacing w:val="2"/>
          <w:lang w:eastAsia="zh-CN"/>
        </w:rPr>
      </w:pPr>
      <w:r w:rsidRPr="00335534">
        <w:rPr>
          <w:rFonts w:eastAsia="黑体" w:hint="eastAsia"/>
          <w:bCs/>
          <w:spacing w:val="2"/>
          <w:lang w:eastAsia="zh-CN"/>
        </w:rPr>
        <w:t>农村妇女</w:t>
      </w:r>
    </w:p>
    <w:p w14:paraId="332042D8" w14:textId="77777777" w:rsidR="00222B0D" w:rsidRPr="00335534" w:rsidRDefault="00222B0D" w:rsidP="00516B1B">
      <w:pPr>
        <w:pStyle w:val="SingleTxt"/>
        <w:rPr>
          <w:rFonts w:eastAsia="黑体"/>
          <w:bCs/>
          <w:spacing w:val="2"/>
          <w:lang w:eastAsia="zh-CN"/>
        </w:rPr>
      </w:pPr>
      <w:r w:rsidRPr="00335534">
        <w:rPr>
          <w:rFonts w:eastAsia="黑体" w:hint="eastAsia"/>
          <w:bCs/>
          <w:spacing w:val="2"/>
          <w:lang w:eastAsia="zh-CN"/>
        </w:rPr>
        <w:t>妇女获得土地</w:t>
      </w:r>
    </w:p>
    <w:p w14:paraId="77B1292A" w14:textId="77777777" w:rsidR="00222B0D" w:rsidRPr="00335534" w:rsidRDefault="00222B0D" w:rsidP="00516B1B">
      <w:pPr>
        <w:pStyle w:val="SingleTxt"/>
        <w:rPr>
          <w:rFonts w:eastAsia="黑体"/>
          <w:bCs/>
          <w:spacing w:val="2"/>
          <w:lang w:eastAsia="zh-CN"/>
        </w:rPr>
      </w:pPr>
      <w:r w:rsidRPr="00335534">
        <w:rPr>
          <w:rFonts w:eastAsia="黑体" w:hint="eastAsia"/>
          <w:bCs/>
          <w:spacing w:val="2"/>
          <w:lang w:eastAsia="zh-CN"/>
        </w:rPr>
        <w:t>婚姻和家庭关系</w:t>
      </w:r>
    </w:p>
    <w:p w14:paraId="62852226" w14:textId="77777777" w:rsidR="00222B0D" w:rsidRPr="00335534" w:rsidRDefault="00222B0D" w:rsidP="00516B1B">
      <w:pPr>
        <w:pStyle w:val="SingleTxt"/>
        <w:rPr>
          <w:rFonts w:ascii="微软雅黑" w:eastAsia="微软雅黑" w:hAnsi="微软雅黑" w:cs="微软雅黑"/>
          <w:lang w:eastAsia="zh-CN"/>
        </w:rPr>
      </w:pPr>
      <w:r w:rsidRPr="00335534">
        <w:rPr>
          <w:rFonts w:eastAsia="黑体" w:hint="eastAsia"/>
          <w:bCs/>
          <w:spacing w:val="2"/>
          <w:lang w:eastAsia="zh-CN"/>
        </w:rPr>
        <w:t>数据收集和分析</w:t>
      </w:r>
    </w:p>
    <w:p w14:paraId="287BE93E" w14:textId="77777777" w:rsidR="00804A93" w:rsidRPr="00335534" w:rsidRDefault="00804A93" w:rsidP="00804A93">
      <w:pPr>
        <w:pStyle w:val="SingleTxt"/>
        <w:spacing w:after="0" w:line="120" w:lineRule="exact"/>
        <w:rPr>
          <w:sz w:val="10"/>
          <w:lang w:eastAsia="zh-CN"/>
        </w:rPr>
      </w:pPr>
    </w:p>
    <w:p w14:paraId="34AFB668" w14:textId="77777777" w:rsidR="00D07370" w:rsidRPr="00335534" w:rsidRDefault="00D07370" w:rsidP="00804A93">
      <w:pPr>
        <w:pStyle w:val="H23"/>
        <w:ind w:right="1260"/>
        <w:rPr>
          <w:rFonts w:eastAsia="黑体"/>
          <w:b w:val="0"/>
          <w:bCs/>
          <w:lang w:eastAsia="zh-CN"/>
        </w:rPr>
      </w:pPr>
      <w:r w:rsidRPr="00335534">
        <w:rPr>
          <w:lang w:eastAsia="zh-CN"/>
        </w:rPr>
        <w:tab/>
      </w:r>
      <w:r w:rsidRPr="00335534">
        <w:rPr>
          <w:lang w:eastAsia="zh-CN"/>
        </w:rPr>
        <w:tab/>
      </w:r>
      <w:r w:rsidR="00B42EA9" w:rsidRPr="00335534">
        <w:rPr>
          <w:rFonts w:eastAsia="黑体" w:hint="eastAsia"/>
          <w:b w:val="0"/>
          <w:bCs/>
          <w:lang w:eastAsia="zh-CN"/>
        </w:rPr>
        <w:t>《公约任择议定书》和《公约》第二十条第</w:t>
      </w:r>
      <w:r w:rsidR="00B42EA9" w:rsidRPr="00335534">
        <w:rPr>
          <w:rFonts w:eastAsia="黑体" w:hint="eastAsia"/>
          <w:b w:val="0"/>
          <w:bCs/>
          <w:lang w:eastAsia="zh-CN"/>
        </w:rPr>
        <w:t>1</w:t>
      </w:r>
      <w:r w:rsidR="00B42EA9" w:rsidRPr="00335534">
        <w:rPr>
          <w:rFonts w:eastAsia="黑体" w:hint="eastAsia"/>
          <w:b w:val="0"/>
          <w:bCs/>
          <w:lang w:eastAsia="zh-CN"/>
        </w:rPr>
        <w:t>款修正案</w:t>
      </w:r>
    </w:p>
    <w:p w14:paraId="53F5872D" w14:textId="77777777" w:rsidR="00D07370" w:rsidRPr="00335534" w:rsidRDefault="00D07370" w:rsidP="00D07370">
      <w:pPr>
        <w:pStyle w:val="SingleTxt"/>
        <w:spacing w:after="0" w:line="120" w:lineRule="exact"/>
        <w:rPr>
          <w:sz w:val="10"/>
          <w:lang w:eastAsia="zh-CN"/>
        </w:rPr>
      </w:pPr>
    </w:p>
    <w:p w14:paraId="0D4FA98F" w14:textId="77777777" w:rsidR="00804A93" w:rsidRPr="00335534" w:rsidRDefault="00B42EA9" w:rsidP="00804A93">
      <w:pPr>
        <w:pStyle w:val="SingleTxt"/>
        <w:rPr>
          <w:rFonts w:eastAsia="黑体"/>
          <w:lang w:eastAsia="zh-CN"/>
        </w:rPr>
      </w:pPr>
      <w:r w:rsidRPr="00335534">
        <w:rPr>
          <w:rFonts w:eastAsia="黑体"/>
          <w:lang w:eastAsia="zh-CN"/>
        </w:rPr>
        <w:t>42.</w:t>
      </w:r>
      <w:r w:rsidRPr="00335534">
        <w:rPr>
          <w:rFonts w:eastAsia="黑体"/>
          <w:lang w:eastAsia="zh-CN"/>
        </w:rPr>
        <w:tab/>
      </w:r>
      <w:r w:rsidRPr="00335534">
        <w:rPr>
          <w:rFonts w:eastAsia="黑体" w:hint="eastAsia"/>
          <w:lang w:eastAsia="zh-CN"/>
        </w:rPr>
        <w:t>委员会鼓励缔约国批准《公约任择议定书》并尽快接受关于委员会会议时间的《公约》第二十条第</w:t>
      </w:r>
      <w:r w:rsidRPr="00335534">
        <w:rPr>
          <w:rFonts w:eastAsia="黑体" w:hint="eastAsia"/>
          <w:lang w:eastAsia="zh-CN"/>
        </w:rPr>
        <w:t>1</w:t>
      </w:r>
      <w:r w:rsidRPr="00335534">
        <w:rPr>
          <w:rFonts w:eastAsia="黑体" w:hint="eastAsia"/>
          <w:lang w:eastAsia="zh-CN"/>
        </w:rPr>
        <w:t>款修正案。</w:t>
      </w:r>
    </w:p>
    <w:p w14:paraId="44288F1E" w14:textId="77777777" w:rsidR="00B42EA9" w:rsidRPr="00335534" w:rsidRDefault="00D07370" w:rsidP="00804A93">
      <w:pPr>
        <w:pStyle w:val="H23"/>
        <w:ind w:right="1260"/>
        <w:rPr>
          <w:rFonts w:eastAsia="黑体"/>
          <w:b w:val="0"/>
          <w:bCs/>
          <w:lang w:eastAsia="zh-CN"/>
        </w:rPr>
      </w:pPr>
      <w:r w:rsidRPr="00335534">
        <w:rPr>
          <w:lang w:eastAsia="zh-CN"/>
        </w:rPr>
        <w:tab/>
      </w:r>
      <w:r w:rsidRPr="00335534">
        <w:rPr>
          <w:lang w:eastAsia="zh-CN"/>
        </w:rPr>
        <w:tab/>
      </w:r>
      <w:r w:rsidR="00B42EA9" w:rsidRPr="00335534">
        <w:rPr>
          <w:rFonts w:eastAsia="黑体"/>
          <w:b w:val="0"/>
          <w:bCs/>
          <w:lang w:eastAsia="zh-CN"/>
        </w:rPr>
        <w:t>《北京宣言</w:t>
      </w:r>
      <w:r w:rsidR="00B42EA9" w:rsidRPr="00335534">
        <w:rPr>
          <w:rFonts w:eastAsia="黑体" w:hint="eastAsia"/>
          <w:b w:val="0"/>
          <w:bCs/>
          <w:lang w:eastAsia="zh-CN"/>
        </w:rPr>
        <w:t>》</w:t>
      </w:r>
      <w:r w:rsidR="00B42EA9" w:rsidRPr="00335534">
        <w:rPr>
          <w:rFonts w:eastAsia="黑体"/>
          <w:b w:val="0"/>
          <w:bCs/>
          <w:lang w:eastAsia="zh-CN"/>
        </w:rPr>
        <w:t>和</w:t>
      </w:r>
      <w:r w:rsidR="00B42EA9" w:rsidRPr="00335534">
        <w:rPr>
          <w:rFonts w:eastAsia="黑体" w:hint="eastAsia"/>
          <w:b w:val="0"/>
          <w:bCs/>
          <w:lang w:eastAsia="zh-CN"/>
        </w:rPr>
        <w:t>《</w:t>
      </w:r>
      <w:r w:rsidR="00B42EA9" w:rsidRPr="00335534">
        <w:rPr>
          <w:rFonts w:eastAsia="黑体"/>
          <w:b w:val="0"/>
          <w:bCs/>
          <w:lang w:eastAsia="zh-CN"/>
        </w:rPr>
        <w:t>行动纲</w:t>
      </w:r>
      <w:r w:rsidR="00B42EA9" w:rsidRPr="00335534">
        <w:rPr>
          <w:rFonts w:eastAsia="黑体" w:hint="eastAsia"/>
          <w:b w:val="0"/>
          <w:bCs/>
          <w:lang w:eastAsia="zh-CN"/>
        </w:rPr>
        <w:t>要</w:t>
      </w:r>
      <w:r w:rsidR="00B42EA9" w:rsidRPr="00335534">
        <w:rPr>
          <w:rFonts w:eastAsia="黑体"/>
          <w:b w:val="0"/>
          <w:bCs/>
          <w:lang w:eastAsia="zh-CN"/>
        </w:rPr>
        <w:t>》</w:t>
      </w:r>
    </w:p>
    <w:p w14:paraId="63074644" w14:textId="77777777" w:rsidR="00B42EA9" w:rsidRPr="00335534" w:rsidRDefault="00B42EA9" w:rsidP="00B42EA9">
      <w:pPr>
        <w:pStyle w:val="SingleTxt"/>
        <w:spacing w:after="0" w:line="120" w:lineRule="exact"/>
        <w:rPr>
          <w:sz w:val="10"/>
          <w:lang w:eastAsia="zh-CN"/>
        </w:rPr>
      </w:pPr>
    </w:p>
    <w:p w14:paraId="291F8CC6" w14:textId="33E2DC0C" w:rsidR="00D07370" w:rsidRPr="00335534" w:rsidRDefault="00B42EA9" w:rsidP="00804A93">
      <w:pPr>
        <w:pStyle w:val="SingleTxt"/>
        <w:rPr>
          <w:rFonts w:eastAsia="宋体"/>
          <w:b/>
          <w:lang w:eastAsia="zh-CN"/>
        </w:rPr>
      </w:pPr>
      <w:r w:rsidRPr="00335534">
        <w:rPr>
          <w:lang w:eastAsia="zh-CN"/>
        </w:rPr>
        <w:t>43.</w:t>
      </w:r>
      <w:r w:rsidRPr="00335534">
        <w:rPr>
          <w:lang w:eastAsia="zh-CN"/>
        </w:rPr>
        <w:tab/>
      </w:r>
      <w:r w:rsidRPr="00335534">
        <w:rPr>
          <w:rFonts w:eastAsia="黑体" w:hint="eastAsia"/>
          <w:lang w:eastAsia="zh-CN"/>
        </w:rPr>
        <w:t>委员会吁</w:t>
      </w:r>
      <w:r w:rsidR="00804A93" w:rsidRPr="00335534">
        <w:rPr>
          <w:rFonts w:eastAsia="黑体" w:hint="eastAsia"/>
          <w:lang w:eastAsia="zh-CN"/>
        </w:rPr>
        <w:t>请</w:t>
      </w:r>
      <w:r w:rsidRPr="00335534">
        <w:rPr>
          <w:rFonts w:eastAsia="黑体" w:hint="eastAsia"/>
          <w:lang w:eastAsia="zh-CN"/>
        </w:rPr>
        <w:t>缔约国在执行《公约》条款的</w:t>
      </w:r>
      <w:r w:rsidR="00590463">
        <w:rPr>
          <w:rFonts w:eastAsia="黑体" w:hint="eastAsia"/>
          <w:lang w:eastAsia="zh-CN"/>
        </w:rPr>
        <w:t>努力</w:t>
      </w:r>
      <w:r w:rsidRPr="00335534">
        <w:rPr>
          <w:rFonts w:eastAsia="黑体" w:hint="eastAsia"/>
          <w:lang w:eastAsia="zh-CN"/>
        </w:rPr>
        <w:t>中使用《北京宣言》和《行动纲要》。</w:t>
      </w:r>
    </w:p>
    <w:p w14:paraId="3A685B40" w14:textId="77777777" w:rsidR="00B42EA9" w:rsidRPr="00335534" w:rsidRDefault="00D07370" w:rsidP="00B42EA9">
      <w:pPr>
        <w:pStyle w:val="H23"/>
        <w:ind w:right="1260"/>
        <w:rPr>
          <w:rFonts w:eastAsia="黑体"/>
          <w:b w:val="0"/>
          <w:bCs/>
          <w:lang w:eastAsia="zh-CN"/>
        </w:rPr>
      </w:pPr>
      <w:r w:rsidRPr="00335534">
        <w:rPr>
          <w:lang w:eastAsia="zh-CN"/>
        </w:rPr>
        <w:tab/>
      </w:r>
      <w:r w:rsidRPr="00335534">
        <w:rPr>
          <w:lang w:eastAsia="zh-CN"/>
        </w:rPr>
        <w:tab/>
      </w:r>
      <w:r w:rsidR="00B42EA9" w:rsidRPr="00335534">
        <w:rPr>
          <w:rFonts w:eastAsia="黑体" w:hint="eastAsia"/>
          <w:b w:val="0"/>
          <w:bCs/>
          <w:lang w:eastAsia="zh-CN"/>
        </w:rPr>
        <w:t>《</w:t>
      </w:r>
      <w:r w:rsidR="00B42EA9" w:rsidRPr="00335534">
        <w:rPr>
          <w:rFonts w:eastAsia="黑体" w:hint="eastAsia"/>
          <w:b w:val="0"/>
          <w:bCs/>
          <w:lang w:eastAsia="zh-CN"/>
        </w:rPr>
        <w:t>2030</w:t>
      </w:r>
      <w:r w:rsidR="00B42EA9" w:rsidRPr="00335534">
        <w:rPr>
          <w:rFonts w:eastAsia="黑体" w:hint="eastAsia"/>
          <w:b w:val="0"/>
          <w:bCs/>
          <w:lang w:eastAsia="zh-CN"/>
        </w:rPr>
        <w:t>年可持续发展议程》</w:t>
      </w:r>
    </w:p>
    <w:p w14:paraId="50817F7D" w14:textId="77777777" w:rsidR="00B42EA9" w:rsidRPr="00335534" w:rsidRDefault="00B42EA9" w:rsidP="00B42EA9">
      <w:pPr>
        <w:pStyle w:val="SingleTxt"/>
        <w:spacing w:after="0" w:line="120" w:lineRule="exact"/>
        <w:rPr>
          <w:sz w:val="10"/>
          <w:lang w:eastAsia="zh-CN"/>
        </w:rPr>
      </w:pPr>
    </w:p>
    <w:p w14:paraId="1304C511" w14:textId="77777777" w:rsidR="00D07370" w:rsidRPr="00335534" w:rsidRDefault="00B42EA9" w:rsidP="00804A93">
      <w:pPr>
        <w:pStyle w:val="SingleTxt"/>
        <w:rPr>
          <w:sz w:val="10"/>
          <w:lang w:eastAsia="zh-CN"/>
        </w:rPr>
      </w:pPr>
      <w:r w:rsidRPr="00335534">
        <w:rPr>
          <w:lang w:eastAsia="zh-CN"/>
        </w:rPr>
        <w:t>44.</w:t>
      </w:r>
      <w:r w:rsidRPr="00335534">
        <w:rPr>
          <w:lang w:eastAsia="zh-CN"/>
        </w:rPr>
        <w:tab/>
      </w:r>
      <w:r w:rsidRPr="00335534">
        <w:rPr>
          <w:rFonts w:eastAsia="黑体" w:hint="eastAsia"/>
          <w:lang w:eastAsia="zh-CN"/>
        </w:rPr>
        <w:t>委员会</w:t>
      </w:r>
      <w:r w:rsidR="00804A93" w:rsidRPr="00335534">
        <w:rPr>
          <w:rFonts w:eastAsia="黑体" w:hint="eastAsia"/>
          <w:lang w:eastAsia="zh-CN"/>
        </w:rPr>
        <w:t>吁请</w:t>
      </w:r>
      <w:r w:rsidRPr="00335534">
        <w:rPr>
          <w:rFonts w:eastAsia="黑体" w:hint="eastAsia"/>
          <w:lang w:eastAsia="zh-CN"/>
        </w:rPr>
        <w:t>缔约国在执行《</w:t>
      </w:r>
      <w:r w:rsidRPr="00335534">
        <w:rPr>
          <w:rFonts w:eastAsia="黑体" w:hint="eastAsia"/>
          <w:lang w:eastAsia="zh-CN"/>
        </w:rPr>
        <w:t>2030</w:t>
      </w:r>
      <w:r w:rsidRPr="00335534">
        <w:rPr>
          <w:rFonts w:eastAsia="黑体" w:hint="eastAsia"/>
          <w:lang w:eastAsia="zh-CN"/>
        </w:rPr>
        <w:t>年可持续发展议程》的</w:t>
      </w:r>
      <w:r w:rsidR="00804A93" w:rsidRPr="00335534">
        <w:rPr>
          <w:rFonts w:eastAsia="黑体" w:hint="eastAsia"/>
          <w:lang w:eastAsia="zh-CN"/>
        </w:rPr>
        <w:t>整个</w:t>
      </w:r>
      <w:r w:rsidRPr="00335534">
        <w:rPr>
          <w:rFonts w:eastAsia="黑体" w:hint="eastAsia"/>
          <w:lang w:eastAsia="zh-CN"/>
        </w:rPr>
        <w:t>进程中，</w:t>
      </w:r>
      <w:r w:rsidR="00804A93" w:rsidRPr="00335534">
        <w:rPr>
          <w:rFonts w:eastAsia="黑体" w:hint="eastAsia"/>
          <w:lang w:eastAsia="zh-CN"/>
        </w:rPr>
        <w:t>根据</w:t>
      </w:r>
      <w:r w:rsidRPr="00335534">
        <w:rPr>
          <w:rFonts w:eastAsia="黑体" w:hint="eastAsia"/>
          <w:lang w:eastAsia="zh-CN"/>
        </w:rPr>
        <w:t>《公约》</w:t>
      </w:r>
      <w:r w:rsidR="006718A6" w:rsidRPr="00335534">
        <w:rPr>
          <w:rFonts w:eastAsia="黑体" w:hint="eastAsia"/>
          <w:lang w:eastAsia="zh-CN"/>
        </w:rPr>
        <w:t>条款</w:t>
      </w:r>
      <w:r w:rsidRPr="00335534">
        <w:rPr>
          <w:rFonts w:eastAsia="黑体" w:hint="eastAsia"/>
          <w:lang w:eastAsia="zh-CN"/>
        </w:rPr>
        <w:t>实现实质性的性别平等。</w:t>
      </w:r>
    </w:p>
    <w:p w14:paraId="3908CACF" w14:textId="77777777" w:rsidR="00B42EA9" w:rsidRPr="00335534" w:rsidRDefault="00D07370" w:rsidP="00B42EA9">
      <w:pPr>
        <w:pStyle w:val="H23"/>
        <w:ind w:right="1260"/>
        <w:rPr>
          <w:rFonts w:eastAsia="黑体"/>
          <w:b w:val="0"/>
          <w:bCs/>
          <w:lang w:eastAsia="zh-CN"/>
        </w:rPr>
      </w:pPr>
      <w:r w:rsidRPr="00335534">
        <w:rPr>
          <w:lang w:eastAsia="zh-CN"/>
        </w:rPr>
        <w:tab/>
      </w:r>
      <w:r w:rsidRPr="00335534">
        <w:rPr>
          <w:lang w:eastAsia="zh-CN"/>
        </w:rPr>
        <w:tab/>
      </w:r>
      <w:r w:rsidR="00B42EA9" w:rsidRPr="00335534">
        <w:rPr>
          <w:rFonts w:eastAsia="黑体" w:hint="eastAsia"/>
          <w:b w:val="0"/>
          <w:bCs/>
          <w:lang w:eastAsia="zh-CN"/>
        </w:rPr>
        <w:t>传播</w:t>
      </w:r>
    </w:p>
    <w:p w14:paraId="2159326E" w14:textId="77777777" w:rsidR="00B42EA9" w:rsidRPr="00335534" w:rsidRDefault="00B42EA9" w:rsidP="00B42EA9">
      <w:pPr>
        <w:pStyle w:val="SingleTxt"/>
        <w:keepNext/>
        <w:keepLines/>
        <w:spacing w:after="0" w:line="120" w:lineRule="exact"/>
        <w:rPr>
          <w:sz w:val="10"/>
          <w:lang w:eastAsia="zh-CN"/>
        </w:rPr>
      </w:pPr>
    </w:p>
    <w:p w14:paraId="75F06785" w14:textId="77777777" w:rsidR="00B42EA9" w:rsidRPr="00335534" w:rsidRDefault="00B42EA9" w:rsidP="00804A93">
      <w:pPr>
        <w:pStyle w:val="SingleTxt"/>
        <w:keepNext/>
        <w:keepLines/>
        <w:rPr>
          <w:rFonts w:eastAsia="黑体"/>
          <w:bCs/>
          <w:lang w:eastAsia="zh-CN"/>
        </w:rPr>
      </w:pPr>
      <w:r w:rsidRPr="00335534">
        <w:rPr>
          <w:lang w:eastAsia="zh-CN"/>
        </w:rPr>
        <w:t>45.</w:t>
      </w:r>
      <w:r w:rsidRPr="00335534">
        <w:rPr>
          <w:lang w:eastAsia="zh-CN"/>
        </w:rPr>
        <w:tab/>
      </w:r>
      <w:r w:rsidRPr="00335534">
        <w:rPr>
          <w:rFonts w:eastAsia="黑体" w:hint="eastAsia"/>
          <w:bCs/>
          <w:lang w:eastAsia="zh-CN"/>
        </w:rPr>
        <w:t>委员会请缔约国确保以官方语言向（国家、地区和地方）各级相关国家机构，尤其是</w:t>
      </w:r>
      <w:r w:rsidR="00804A93" w:rsidRPr="00335534">
        <w:rPr>
          <w:rFonts w:eastAsia="黑体" w:hint="eastAsia"/>
          <w:bCs/>
          <w:lang w:eastAsia="zh-CN"/>
        </w:rPr>
        <w:t>向</w:t>
      </w:r>
      <w:r w:rsidRPr="00335534">
        <w:rPr>
          <w:rFonts w:eastAsia="黑体" w:hint="eastAsia"/>
          <w:bCs/>
          <w:lang w:eastAsia="zh-CN"/>
        </w:rPr>
        <w:t>政府、</w:t>
      </w:r>
      <w:r w:rsidR="00804A93" w:rsidRPr="00335534">
        <w:rPr>
          <w:rFonts w:eastAsia="黑体" w:hint="eastAsia"/>
          <w:bCs/>
          <w:lang w:eastAsia="zh-CN"/>
        </w:rPr>
        <w:t>各</w:t>
      </w:r>
      <w:r w:rsidRPr="00335534">
        <w:rPr>
          <w:rFonts w:eastAsia="黑体" w:hint="eastAsia"/>
          <w:bCs/>
          <w:lang w:eastAsia="zh-CN"/>
        </w:rPr>
        <w:t>部委、议会和司法部门及时传播本结论性意见，使之得到充分落实。</w:t>
      </w:r>
    </w:p>
    <w:p w14:paraId="22C0570C" w14:textId="77777777" w:rsidR="00D07370" w:rsidRPr="00335534" w:rsidRDefault="00D07370" w:rsidP="00D07370">
      <w:pPr>
        <w:pStyle w:val="SingleTxt"/>
        <w:spacing w:after="0" w:line="120" w:lineRule="exact"/>
        <w:rPr>
          <w:sz w:val="10"/>
          <w:lang w:eastAsia="zh-CN"/>
        </w:rPr>
      </w:pPr>
    </w:p>
    <w:p w14:paraId="47D83968" w14:textId="77777777" w:rsidR="00B42EA9" w:rsidRPr="00335534" w:rsidRDefault="00D07370" w:rsidP="00B42EA9">
      <w:pPr>
        <w:pStyle w:val="H23"/>
        <w:ind w:right="1260"/>
        <w:rPr>
          <w:rFonts w:eastAsia="黑体"/>
          <w:b w:val="0"/>
          <w:bCs/>
          <w:lang w:eastAsia="zh-CN"/>
        </w:rPr>
      </w:pPr>
      <w:r w:rsidRPr="00335534">
        <w:rPr>
          <w:lang w:eastAsia="zh-CN"/>
        </w:rPr>
        <w:tab/>
      </w:r>
      <w:r w:rsidRPr="00335534">
        <w:rPr>
          <w:lang w:eastAsia="zh-CN"/>
        </w:rPr>
        <w:tab/>
      </w:r>
      <w:r w:rsidR="00B42EA9" w:rsidRPr="00335534">
        <w:rPr>
          <w:rFonts w:eastAsia="黑体" w:hint="eastAsia"/>
          <w:b w:val="0"/>
          <w:bCs/>
          <w:lang w:eastAsia="zh-CN"/>
        </w:rPr>
        <w:t>技术援助</w:t>
      </w:r>
    </w:p>
    <w:p w14:paraId="4D1F20A6" w14:textId="77777777" w:rsidR="00B42EA9" w:rsidRPr="00335534" w:rsidRDefault="00B42EA9" w:rsidP="00B42EA9">
      <w:pPr>
        <w:pStyle w:val="SingleTxt"/>
        <w:keepNext/>
        <w:keepLines/>
        <w:spacing w:after="0" w:line="120" w:lineRule="exact"/>
        <w:rPr>
          <w:sz w:val="10"/>
          <w:lang w:eastAsia="zh-CN"/>
        </w:rPr>
      </w:pPr>
    </w:p>
    <w:p w14:paraId="3E34604A" w14:textId="77777777" w:rsidR="00D07370" w:rsidRPr="00335534" w:rsidRDefault="00B42EA9" w:rsidP="00A7783C">
      <w:pPr>
        <w:pStyle w:val="SingleTxt"/>
        <w:keepNext/>
        <w:keepLines/>
        <w:rPr>
          <w:rFonts w:eastAsia="黑体"/>
          <w:bCs/>
          <w:lang w:eastAsia="zh-CN"/>
        </w:rPr>
      </w:pPr>
      <w:r w:rsidRPr="00335534">
        <w:rPr>
          <w:bCs/>
          <w:lang w:eastAsia="zh-CN"/>
        </w:rPr>
        <w:t>46.</w:t>
      </w:r>
      <w:r w:rsidRPr="00335534">
        <w:rPr>
          <w:b/>
          <w:lang w:eastAsia="zh-CN"/>
        </w:rPr>
        <w:tab/>
      </w:r>
      <w:r w:rsidRPr="00335534">
        <w:rPr>
          <w:rFonts w:eastAsia="黑体" w:hint="eastAsia"/>
          <w:bCs/>
          <w:lang w:eastAsia="zh-CN"/>
        </w:rPr>
        <w:t>委员会建议缔约国将《公约》的执行工作与本国的发展努力联系起来，并</w:t>
      </w:r>
      <w:r w:rsidR="00F9644B" w:rsidRPr="00335534">
        <w:rPr>
          <w:rFonts w:eastAsia="黑体" w:hint="eastAsia"/>
          <w:bCs/>
          <w:lang w:eastAsia="zh-CN"/>
        </w:rPr>
        <w:t>利用</w:t>
      </w:r>
      <w:r w:rsidRPr="00335534">
        <w:rPr>
          <w:rFonts w:eastAsia="黑体" w:hint="eastAsia"/>
          <w:bCs/>
          <w:lang w:eastAsia="zh-CN"/>
        </w:rPr>
        <w:t>这方面的区域或国际技术援助。</w:t>
      </w:r>
    </w:p>
    <w:p w14:paraId="7A5EC481" w14:textId="77777777" w:rsidR="00D07370" w:rsidRPr="00335534" w:rsidRDefault="00D07370" w:rsidP="00D07370">
      <w:pPr>
        <w:pStyle w:val="SingleTxt"/>
        <w:spacing w:after="0" w:line="120" w:lineRule="exact"/>
        <w:rPr>
          <w:sz w:val="10"/>
          <w:lang w:eastAsia="zh-CN"/>
        </w:rPr>
      </w:pPr>
    </w:p>
    <w:p w14:paraId="20A58FF6" w14:textId="77777777" w:rsidR="005C5D31" w:rsidRPr="00335534" w:rsidRDefault="00D07370" w:rsidP="005C5D31">
      <w:pPr>
        <w:pStyle w:val="H23"/>
        <w:ind w:right="1260"/>
        <w:rPr>
          <w:rFonts w:eastAsia="黑体"/>
          <w:b w:val="0"/>
          <w:bCs/>
          <w:lang w:eastAsia="zh-CN"/>
        </w:rPr>
      </w:pPr>
      <w:r w:rsidRPr="00335534">
        <w:rPr>
          <w:lang w:eastAsia="zh-CN"/>
        </w:rPr>
        <w:tab/>
      </w:r>
      <w:r w:rsidRPr="00335534">
        <w:rPr>
          <w:lang w:eastAsia="zh-CN"/>
        </w:rPr>
        <w:tab/>
      </w:r>
      <w:r w:rsidR="005C5D31" w:rsidRPr="00335534">
        <w:rPr>
          <w:rFonts w:eastAsia="黑体" w:hint="eastAsia"/>
          <w:b w:val="0"/>
          <w:bCs/>
          <w:lang w:eastAsia="zh-CN"/>
        </w:rPr>
        <w:t>批准其他条约</w:t>
      </w:r>
    </w:p>
    <w:p w14:paraId="0A909707" w14:textId="77777777" w:rsidR="005C5D31" w:rsidRPr="00335534" w:rsidRDefault="005C5D31" w:rsidP="005C5D31">
      <w:pPr>
        <w:pStyle w:val="SingleTxt"/>
        <w:spacing w:after="0" w:line="120" w:lineRule="exact"/>
        <w:rPr>
          <w:sz w:val="10"/>
          <w:lang w:eastAsia="zh-CN"/>
        </w:rPr>
      </w:pPr>
    </w:p>
    <w:p w14:paraId="67FEA608" w14:textId="77777777" w:rsidR="00D07370" w:rsidRPr="00335534" w:rsidRDefault="005C5D31" w:rsidP="0000638F">
      <w:pPr>
        <w:pStyle w:val="SingleTxt"/>
        <w:rPr>
          <w:rFonts w:eastAsia="宋体"/>
          <w:b/>
          <w:lang w:eastAsia="zh-CN"/>
        </w:rPr>
      </w:pPr>
      <w:r w:rsidRPr="00335534">
        <w:rPr>
          <w:lang w:eastAsia="zh-CN"/>
        </w:rPr>
        <w:t>47.</w:t>
      </w:r>
      <w:r w:rsidRPr="00335534">
        <w:rPr>
          <w:lang w:eastAsia="zh-CN"/>
        </w:rPr>
        <w:tab/>
      </w:r>
      <w:r w:rsidRPr="00335534">
        <w:rPr>
          <w:rFonts w:ascii="宋体" w:eastAsia="黑体" w:hAnsi="宋体" w:cs="宋体" w:hint="eastAsia"/>
          <w:lang w:eastAsia="zh-CN"/>
        </w:rPr>
        <w:t>委员会指出，缔约国</w:t>
      </w:r>
      <w:r w:rsidR="00A7783C" w:rsidRPr="00335534">
        <w:rPr>
          <w:rFonts w:ascii="宋体" w:eastAsia="黑体" w:hAnsi="宋体" w:cs="宋体" w:hint="eastAsia"/>
          <w:lang w:eastAsia="zh-CN"/>
        </w:rPr>
        <w:t>如</w:t>
      </w:r>
      <w:r w:rsidR="0000638F" w:rsidRPr="00335534">
        <w:rPr>
          <w:rFonts w:ascii="宋体" w:eastAsia="黑体" w:hAnsi="宋体" w:cs="宋体" w:hint="eastAsia"/>
          <w:lang w:eastAsia="zh-CN"/>
        </w:rPr>
        <w:t>能</w:t>
      </w:r>
      <w:r w:rsidRPr="00335534">
        <w:rPr>
          <w:rFonts w:ascii="宋体" w:eastAsia="黑体" w:hAnsi="宋体" w:cs="宋体" w:hint="eastAsia"/>
          <w:lang w:eastAsia="zh-CN"/>
        </w:rPr>
        <w:t>遵守九</w:t>
      </w:r>
      <w:r w:rsidR="0000638F" w:rsidRPr="00335534">
        <w:rPr>
          <w:rFonts w:ascii="宋体" w:eastAsia="黑体" w:hAnsi="宋体" w:cs="宋体" w:hint="eastAsia"/>
          <w:lang w:eastAsia="zh-CN"/>
        </w:rPr>
        <w:t>大</w:t>
      </w:r>
      <w:r w:rsidRPr="00335534">
        <w:rPr>
          <w:rFonts w:ascii="宋体" w:eastAsia="黑体" w:hAnsi="宋体" w:cs="宋体" w:hint="eastAsia"/>
          <w:lang w:eastAsia="zh-CN"/>
        </w:rPr>
        <w:t>国际人权文书</w:t>
      </w:r>
      <w:r w:rsidRPr="00335534">
        <w:rPr>
          <w:rStyle w:val="ac"/>
          <w:rFonts w:eastAsia="黑体"/>
          <w:lang w:eastAsia="zh-CN"/>
        </w:rPr>
        <w:footnoteReference w:id="3"/>
      </w:r>
      <w:r w:rsidR="00A7783C" w:rsidRPr="00335534">
        <w:rPr>
          <w:rFonts w:ascii="宋体" w:eastAsia="黑体" w:hAnsi="宋体" w:cs="宋体" w:hint="eastAsia"/>
          <w:lang w:eastAsia="zh-CN"/>
        </w:rPr>
        <w:t>，</w:t>
      </w:r>
      <w:r w:rsidR="0000638F" w:rsidRPr="00335534">
        <w:rPr>
          <w:rFonts w:ascii="宋体" w:eastAsia="黑体" w:hAnsi="宋体" w:cs="宋体" w:hint="eastAsia"/>
          <w:lang w:eastAsia="zh-CN"/>
        </w:rPr>
        <w:t>便</w:t>
      </w:r>
      <w:r w:rsidR="00F5264C" w:rsidRPr="00335534">
        <w:rPr>
          <w:rFonts w:ascii="宋体" w:eastAsia="黑体" w:hAnsi="宋体" w:cs="宋体" w:hint="eastAsia"/>
          <w:lang w:eastAsia="zh-CN"/>
        </w:rPr>
        <w:t>可以</w:t>
      </w:r>
      <w:r w:rsidRPr="00335534">
        <w:rPr>
          <w:rFonts w:ascii="宋体" w:eastAsia="黑体" w:hAnsi="宋体" w:cs="宋体" w:hint="eastAsia"/>
          <w:lang w:eastAsia="zh-CN"/>
        </w:rPr>
        <w:t>促进妇女在生活各方面享有人权和基本自由。</w:t>
      </w:r>
      <w:r w:rsidRPr="00335534">
        <w:rPr>
          <w:rFonts w:eastAsia="黑体" w:hint="eastAsia"/>
          <w:lang w:eastAsia="zh-CN"/>
        </w:rPr>
        <w:t>因此，委员会鼓励缔约国批准其尚未加入的</w:t>
      </w:r>
      <w:r w:rsidR="00A7783C" w:rsidRPr="00335534">
        <w:rPr>
          <w:rFonts w:eastAsia="黑体" w:hint="eastAsia"/>
          <w:lang w:eastAsia="zh-CN"/>
        </w:rPr>
        <w:t xml:space="preserve"> </w:t>
      </w:r>
      <w:r w:rsidR="00E0344F" w:rsidRPr="00335534">
        <w:rPr>
          <w:rFonts w:eastAsia="黑体" w:hint="eastAsia"/>
          <w:lang w:eastAsia="zh-CN"/>
        </w:rPr>
        <w:t>《消除对妇女一切形式歧视公约任择议定书》</w:t>
      </w:r>
      <w:r w:rsidRPr="00335534">
        <w:rPr>
          <w:rFonts w:eastAsia="黑体" w:hint="eastAsia"/>
          <w:lang w:eastAsia="zh-CN"/>
        </w:rPr>
        <w:t>。</w:t>
      </w:r>
    </w:p>
    <w:p w14:paraId="2F346D7B" w14:textId="77777777" w:rsidR="00D07370" w:rsidRPr="00335534" w:rsidRDefault="00D07370" w:rsidP="00D07370">
      <w:pPr>
        <w:pStyle w:val="SingleTxt"/>
        <w:spacing w:after="0" w:line="120" w:lineRule="exact"/>
        <w:rPr>
          <w:sz w:val="10"/>
          <w:lang w:eastAsia="zh-CN"/>
        </w:rPr>
      </w:pPr>
    </w:p>
    <w:p w14:paraId="0958C2BB" w14:textId="77777777" w:rsidR="005C5D31" w:rsidRPr="00335534" w:rsidRDefault="00D07370" w:rsidP="00A7783C">
      <w:pPr>
        <w:pStyle w:val="H23"/>
        <w:ind w:right="1260"/>
        <w:rPr>
          <w:rFonts w:eastAsia="黑体"/>
          <w:b w:val="0"/>
          <w:bCs/>
          <w:lang w:eastAsia="zh-CN"/>
        </w:rPr>
      </w:pPr>
      <w:r w:rsidRPr="00335534">
        <w:rPr>
          <w:lang w:eastAsia="zh-CN"/>
        </w:rPr>
        <w:tab/>
      </w:r>
      <w:r w:rsidRPr="00335534">
        <w:rPr>
          <w:lang w:eastAsia="zh-CN"/>
        </w:rPr>
        <w:tab/>
      </w:r>
      <w:r w:rsidR="00A7783C" w:rsidRPr="00335534">
        <w:rPr>
          <w:rFonts w:eastAsia="黑体" w:hint="eastAsia"/>
          <w:b w:val="0"/>
          <w:bCs/>
          <w:lang w:eastAsia="zh-CN"/>
        </w:rPr>
        <w:t>后续落实结论性意见</w:t>
      </w:r>
    </w:p>
    <w:p w14:paraId="2D333882" w14:textId="77777777" w:rsidR="005C5D31" w:rsidRPr="00335534" w:rsidRDefault="005C5D31" w:rsidP="005C5D31">
      <w:pPr>
        <w:pStyle w:val="SingleTxt"/>
        <w:spacing w:after="0" w:line="120" w:lineRule="exact"/>
        <w:rPr>
          <w:sz w:val="10"/>
          <w:lang w:eastAsia="zh-CN"/>
        </w:rPr>
      </w:pPr>
    </w:p>
    <w:p w14:paraId="210B8C06" w14:textId="7722DC64" w:rsidR="005C5D31" w:rsidRPr="00335534" w:rsidRDefault="005C5D31" w:rsidP="005C5D31">
      <w:pPr>
        <w:pStyle w:val="SingleTxt"/>
        <w:rPr>
          <w:lang w:eastAsia="zh-CN"/>
        </w:rPr>
      </w:pPr>
      <w:r w:rsidRPr="00335534">
        <w:rPr>
          <w:lang w:eastAsia="zh-CN"/>
        </w:rPr>
        <w:t>48.</w:t>
      </w:r>
      <w:r w:rsidRPr="00335534">
        <w:rPr>
          <w:lang w:eastAsia="zh-CN"/>
        </w:rPr>
        <w:tab/>
      </w:r>
      <w:r w:rsidRPr="00335534">
        <w:rPr>
          <w:rFonts w:eastAsia="黑体" w:hint="eastAsia"/>
          <w:bCs/>
          <w:lang w:eastAsia="zh-CN"/>
        </w:rPr>
        <w:t>委员会请缔约国在</w:t>
      </w:r>
      <w:r w:rsidR="006F41E8" w:rsidRPr="00335534">
        <w:rPr>
          <w:rFonts w:eastAsia="黑体" w:hint="eastAsia"/>
          <w:bCs/>
          <w:lang w:eastAsia="zh-CN"/>
        </w:rPr>
        <w:t>两</w:t>
      </w:r>
      <w:r w:rsidRPr="00335534">
        <w:rPr>
          <w:rFonts w:eastAsia="黑体" w:hint="eastAsia"/>
          <w:bCs/>
          <w:lang w:eastAsia="zh-CN"/>
        </w:rPr>
        <w:t>年内提供书面材料，说明为</w:t>
      </w:r>
      <w:r w:rsidR="00590463">
        <w:rPr>
          <w:rFonts w:eastAsia="黑体" w:hint="eastAsia"/>
          <w:bCs/>
          <w:lang w:eastAsia="zh-CN"/>
        </w:rPr>
        <w:t>落实</w:t>
      </w:r>
      <w:r w:rsidRPr="00335534">
        <w:rPr>
          <w:rFonts w:eastAsia="黑体" w:hint="eastAsia"/>
          <w:bCs/>
          <w:lang w:eastAsia="zh-CN"/>
        </w:rPr>
        <w:t>上文第</w:t>
      </w:r>
      <w:r w:rsidR="000E53AB" w:rsidRPr="00335534">
        <w:rPr>
          <w:rFonts w:eastAsia="黑体"/>
          <w:bCs/>
          <w:lang w:eastAsia="zh-CN"/>
        </w:rPr>
        <w:t>25</w:t>
      </w:r>
      <w:r w:rsidRPr="00335534">
        <w:rPr>
          <w:rFonts w:eastAsia="黑体" w:hint="eastAsia"/>
          <w:bCs/>
          <w:lang w:eastAsia="zh-CN"/>
        </w:rPr>
        <w:t>和</w:t>
      </w:r>
      <w:r w:rsidR="00A7783C" w:rsidRPr="00335534">
        <w:rPr>
          <w:rFonts w:eastAsia="黑体" w:hint="eastAsia"/>
          <w:bCs/>
          <w:lang w:eastAsia="zh-CN"/>
        </w:rPr>
        <w:t>第</w:t>
      </w:r>
      <w:r w:rsidR="000E53AB" w:rsidRPr="00335534">
        <w:rPr>
          <w:rFonts w:eastAsia="黑体"/>
          <w:bCs/>
          <w:lang w:eastAsia="zh-CN"/>
        </w:rPr>
        <w:t>28</w:t>
      </w:r>
      <w:r w:rsidRPr="00335534">
        <w:rPr>
          <w:rFonts w:eastAsia="黑体" w:hint="eastAsia"/>
          <w:bCs/>
          <w:lang w:eastAsia="zh-CN"/>
        </w:rPr>
        <w:t>段所载建议而采取的步骤。</w:t>
      </w:r>
    </w:p>
    <w:p w14:paraId="53078FE1" w14:textId="77777777" w:rsidR="00D07370" w:rsidRPr="00335534" w:rsidRDefault="00D07370" w:rsidP="00D07370">
      <w:pPr>
        <w:pStyle w:val="SingleTxt"/>
        <w:spacing w:after="0" w:line="120" w:lineRule="exact"/>
        <w:rPr>
          <w:sz w:val="10"/>
          <w:lang w:eastAsia="zh-CN"/>
        </w:rPr>
      </w:pPr>
    </w:p>
    <w:p w14:paraId="64279270" w14:textId="77777777" w:rsidR="005C5D31" w:rsidRPr="00335534" w:rsidRDefault="00D07370" w:rsidP="005C5D31">
      <w:pPr>
        <w:pStyle w:val="H23"/>
        <w:ind w:right="1260"/>
        <w:rPr>
          <w:rFonts w:eastAsia="黑体"/>
          <w:b w:val="0"/>
          <w:bCs/>
          <w:lang w:eastAsia="zh-CN"/>
        </w:rPr>
      </w:pPr>
      <w:r w:rsidRPr="00335534">
        <w:rPr>
          <w:lang w:eastAsia="zh-CN"/>
        </w:rPr>
        <w:tab/>
      </w:r>
      <w:r w:rsidRPr="00335534">
        <w:rPr>
          <w:lang w:eastAsia="zh-CN"/>
        </w:rPr>
        <w:tab/>
      </w:r>
      <w:r w:rsidR="005C5D31" w:rsidRPr="00335534">
        <w:rPr>
          <w:rFonts w:eastAsia="黑体" w:hint="eastAsia"/>
          <w:b w:val="0"/>
          <w:bCs/>
          <w:lang w:eastAsia="zh-CN"/>
        </w:rPr>
        <w:t>编写下次报告</w:t>
      </w:r>
    </w:p>
    <w:p w14:paraId="5D29BB83" w14:textId="77777777" w:rsidR="005C5D31" w:rsidRPr="00335534" w:rsidRDefault="005C5D31" w:rsidP="005C5D31">
      <w:pPr>
        <w:pStyle w:val="SingleTxt"/>
        <w:spacing w:after="0" w:line="120" w:lineRule="exact"/>
        <w:rPr>
          <w:sz w:val="10"/>
          <w:lang w:eastAsia="zh-CN"/>
        </w:rPr>
      </w:pPr>
    </w:p>
    <w:p w14:paraId="250B6EDA" w14:textId="77777777" w:rsidR="005C5D31" w:rsidRPr="00335534" w:rsidRDefault="005C5D31" w:rsidP="00F85100">
      <w:pPr>
        <w:pStyle w:val="SingleTxt"/>
        <w:rPr>
          <w:rFonts w:eastAsia="宋体"/>
          <w:lang w:val="en-US" w:eastAsia="zh-CN"/>
        </w:rPr>
      </w:pPr>
      <w:r w:rsidRPr="00335534">
        <w:rPr>
          <w:lang w:eastAsia="zh-CN"/>
        </w:rPr>
        <w:t>49.</w:t>
      </w:r>
      <w:r w:rsidRPr="00335534">
        <w:rPr>
          <w:lang w:eastAsia="zh-CN"/>
        </w:rPr>
        <w:tab/>
      </w:r>
      <w:r w:rsidRPr="00335534">
        <w:rPr>
          <w:rFonts w:eastAsia="黑体" w:hint="eastAsia"/>
          <w:lang w:eastAsia="zh-CN"/>
        </w:rPr>
        <w:t>委员会请缔约国于</w:t>
      </w:r>
      <w:r w:rsidR="0086267E" w:rsidRPr="00335534">
        <w:rPr>
          <w:rFonts w:eastAsia="黑体"/>
          <w:lang w:eastAsia="zh-CN"/>
        </w:rPr>
        <w:t>2024</w:t>
      </w:r>
      <w:r w:rsidRPr="00335534">
        <w:rPr>
          <w:rFonts w:eastAsia="黑体" w:hint="eastAsia"/>
          <w:lang w:eastAsia="zh-CN"/>
        </w:rPr>
        <w:t>年</w:t>
      </w:r>
      <w:r w:rsidR="0086267E" w:rsidRPr="00335534">
        <w:rPr>
          <w:rFonts w:eastAsia="黑体"/>
          <w:lang w:eastAsia="zh-CN"/>
        </w:rPr>
        <w:t>2</w:t>
      </w:r>
      <w:r w:rsidRPr="00335534">
        <w:rPr>
          <w:rFonts w:eastAsia="黑体" w:hint="eastAsia"/>
          <w:lang w:eastAsia="zh-CN"/>
        </w:rPr>
        <w:t>月提交其</w:t>
      </w:r>
      <w:r w:rsidRPr="00335534">
        <w:rPr>
          <w:rFonts w:eastAsia="黑体" w:hint="eastAsia"/>
          <w:lang w:eastAsia="ja-JP"/>
        </w:rPr>
        <w:t>第</w:t>
      </w:r>
      <w:r w:rsidR="0086267E" w:rsidRPr="00335534">
        <w:rPr>
          <w:rFonts w:eastAsia="黑体" w:hint="eastAsia"/>
          <w:lang w:eastAsia="zh-CN"/>
        </w:rPr>
        <w:t>四</w:t>
      </w:r>
      <w:r w:rsidRPr="00335534">
        <w:rPr>
          <w:rFonts w:eastAsia="黑体" w:hint="eastAsia"/>
          <w:lang w:eastAsia="ja-JP"/>
        </w:rPr>
        <w:t>次定期报告</w:t>
      </w:r>
      <w:r w:rsidRPr="00335534">
        <w:rPr>
          <w:rFonts w:eastAsia="黑体" w:hint="eastAsia"/>
          <w:lang w:val="en-US" w:eastAsia="zh-CN"/>
        </w:rPr>
        <w:t>。</w:t>
      </w:r>
      <w:r w:rsidR="00F85100" w:rsidRPr="00F85100">
        <w:rPr>
          <w:rFonts w:eastAsia="黑体" w:hint="eastAsia"/>
          <w:lang w:val="en-US" w:eastAsia="zh-CN"/>
        </w:rPr>
        <w:t>如果推迟提交，报告涵盖的时段应当顺延至提交之时</w:t>
      </w:r>
      <w:r w:rsidRPr="00335534">
        <w:rPr>
          <w:rFonts w:eastAsia="黑体" w:hint="eastAsia"/>
          <w:lang w:val="en-US" w:eastAsia="zh-CN"/>
        </w:rPr>
        <w:t>。</w:t>
      </w:r>
    </w:p>
    <w:p w14:paraId="42A86801" w14:textId="77777777" w:rsidR="00866845" w:rsidRPr="00335534" w:rsidRDefault="005C5D31" w:rsidP="00A7783C">
      <w:pPr>
        <w:pStyle w:val="SingleTxt"/>
        <w:rPr>
          <w:rFonts w:eastAsia="黑体"/>
          <w:bCs/>
          <w:lang w:eastAsia="zh-CN"/>
        </w:rPr>
      </w:pPr>
      <w:r w:rsidRPr="00335534">
        <w:rPr>
          <w:lang w:eastAsia="zh-CN"/>
        </w:rPr>
        <w:t>50.</w:t>
      </w:r>
      <w:r w:rsidRPr="00335534">
        <w:rPr>
          <w:lang w:eastAsia="zh-CN"/>
        </w:rPr>
        <w:tab/>
      </w:r>
      <w:r w:rsidRPr="00335534">
        <w:rPr>
          <w:rFonts w:eastAsia="黑体" w:hint="eastAsia"/>
          <w:bCs/>
          <w:lang w:eastAsia="zh-CN"/>
        </w:rPr>
        <w:t>委员会请缔约国遵守</w:t>
      </w:r>
      <w:r w:rsidRPr="00335534">
        <w:rPr>
          <w:rFonts w:ascii="宋体" w:eastAsia="黑体" w:hAnsi="宋体" w:cs="宋体" w:hint="eastAsia"/>
          <w:bCs/>
          <w:lang w:eastAsia="zh-CN"/>
        </w:rPr>
        <w:t>《包括共同核心文件和条约专要文件准则在内的根据国际人权条约提交报告的协调准则》</w:t>
      </w:r>
      <w:r w:rsidR="00A7783C" w:rsidRPr="00335534">
        <w:rPr>
          <w:rFonts w:eastAsia="黑体" w:hint="eastAsia"/>
          <w:bCs/>
          <w:lang w:eastAsia="zh-CN"/>
        </w:rPr>
        <w:t>（</w:t>
      </w:r>
      <w:r w:rsidRPr="00335534">
        <w:rPr>
          <w:rFonts w:eastAsia="黑体" w:hint="eastAsia"/>
          <w:bCs/>
          <w:lang w:eastAsia="zh-CN"/>
        </w:rPr>
        <w:t>见</w:t>
      </w:r>
      <w:r w:rsidRPr="00335534">
        <w:rPr>
          <w:rFonts w:eastAsia="黑体"/>
          <w:bCs/>
          <w:lang w:eastAsia="zh-CN"/>
        </w:rPr>
        <w:t>HRI/GEN/2/Rev.6</w:t>
      </w:r>
      <w:r w:rsidRPr="00335534">
        <w:rPr>
          <w:rFonts w:eastAsia="黑体" w:hint="eastAsia"/>
          <w:bCs/>
          <w:lang w:eastAsia="zh-CN"/>
        </w:rPr>
        <w:t>，第一章</w:t>
      </w:r>
      <w:r w:rsidR="00A7783C" w:rsidRPr="00335534">
        <w:rPr>
          <w:rFonts w:eastAsia="黑体" w:hint="eastAsia"/>
          <w:bCs/>
          <w:lang w:eastAsia="zh-CN"/>
        </w:rPr>
        <w:t>）</w:t>
      </w:r>
      <w:r w:rsidRPr="00335534">
        <w:rPr>
          <w:rFonts w:eastAsia="黑体" w:hint="eastAsia"/>
          <w:bCs/>
          <w:lang w:eastAsia="zh-CN"/>
        </w:rPr>
        <w:t>。</w:t>
      </w:r>
    </w:p>
    <w:p w14:paraId="51AABACA" w14:textId="77777777" w:rsidR="00C83BB7" w:rsidRPr="00335534" w:rsidRDefault="00C83BB7" w:rsidP="00033E93">
      <w:pPr>
        <w:pStyle w:val="SingleTxtG"/>
        <w:spacing w:before="240" w:after="0"/>
        <w:jc w:val="center"/>
        <w:rPr>
          <w:u w:val="single"/>
          <w:lang w:eastAsia="zh-CN"/>
        </w:rPr>
      </w:pPr>
      <w:r w:rsidRPr="00335534">
        <w:rPr>
          <w:u w:val="single"/>
          <w:lang w:eastAsia="zh-CN"/>
        </w:rPr>
        <w:lastRenderedPageBreak/>
        <w:tab/>
      </w:r>
      <w:r w:rsidRPr="00335534">
        <w:rPr>
          <w:u w:val="single"/>
          <w:lang w:eastAsia="zh-CN"/>
        </w:rPr>
        <w:tab/>
      </w:r>
      <w:r w:rsidRPr="00335534">
        <w:rPr>
          <w:u w:val="single"/>
          <w:lang w:eastAsia="zh-CN"/>
        </w:rPr>
        <w:tab/>
      </w:r>
    </w:p>
    <w:sectPr w:rsidR="00C83BB7" w:rsidRPr="00335534" w:rsidSect="00866845">
      <w:headerReference w:type="even" r:id="rId14"/>
      <w:headerReference w:type="default" r:id="rId15"/>
      <w:footerReference w:type="even" r:id="rId16"/>
      <w:footerReference w:type="default" r:id="rId17"/>
      <w:headerReference w:type="first" r:id="rId18"/>
      <w:footerReference w:type="first" r:id="rId19"/>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0AE043" w14:textId="77777777" w:rsidR="000F6FBC" w:rsidRDefault="000F6FBC"/>
  </w:endnote>
  <w:endnote w:type="continuationSeparator" w:id="0">
    <w:p w14:paraId="6BC58854" w14:textId="77777777" w:rsidR="000F6FBC" w:rsidRDefault="000F6FBC"/>
  </w:endnote>
  <w:endnote w:type="continuationNotice" w:id="1">
    <w:p w14:paraId="28046F86" w14:textId="77777777" w:rsidR="000F6FBC" w:rsidRDefault="000F6F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003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F17C1" w14:textId="4B70826C" w:rsidR="00866845" w:rsidRPr="00866845" w:rsidRDefault="00866845" w:rsidP="000A65DF">
    <w:pPr>
      <w:pStyle w:val="affd"/>
      <w:tabs>
        <w:tab w:val="right" w:pos="9598"/>
      </w:tabs>
    </w:pPr>
    <w:r w:rsidRPr="00866845">
      <w:rPr>
        <w:b/>
        <w:sz w:val="18"/>
      </w:rPr>
      <w:fldChar w:fldCharType="begin"/>
    </w:r>
    <w:r w:rsidRPr="00866845">
      <w:rPr>
        <w:b/>
        <w:sz w:val="18"/>
      </w:rPr>
      <w:instrText xml:space="preserve"> PAGE  \* MERGEFORMAT </w:instrText>
    </w:r>
    <w:r w:rsidRPr="00866845">
      <w:rPr>
        <w:b/>
        <w:sz w:val="18"/>
      </w:rPr>
      <w:fldChar w:fldCharType="separate"/>
    </w:r>
    <w:r w:rsidR="00164BD9">
      <w:rPr>
        <w:b/>
        <w:noProof/>
        <w:sz w:val="18"/>
      </w:rPr>
      <w:t>2</w:t>
    </w:r>
    <w:r w:rsidRPr="00866845">
      <w:rPr>
        <w:b/>
        <w:sz w:val="18"/>
      </w:rPr>
      <w:fldChar w:fldCharType="end"/>
    </w:r>
    <w:r>
      <w:rPr>
        <w:sz w:val="18"/>
      </w:rPr>
      <w:tab/>
    </w:r>
    <w:r>
      <w:t>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CD7B9" w14:textId="0B5C376F" w:rsidR="00866845" w:rsidRPr="00866845" w:rsidRDefault="00866845" w:rsidP="000A65DF">
    <w:pPr>
      <w:pStyle w:val="affd"/>
      <w:tabs>
        <w:tab w:val="right" w:pos="9598"/>
      </w:tabs>
      <w:rPr>
        <w:b/>
        <w:sz w:val="18"/>
      </w:rPr>
    </w:pPr>
    <w:r>
      <w:t>GE.</w:t>
    </w:r>
    <w:r>
      <w:tab/>
    </w:r>
    <w:r w:rsidRPr="00866845">
      <w:rPr>
        <w:b/>
        <w:sz w:val="18"/>
      </w:rPr>
      <w:fldChar w:fldCharType="begin"/>
    </w:r>
    <w:r w:rsidRPr="00866845">
      <w:rPr>
        <w:b/>
        <w:sz w:val="18"/>
      </w:rPr>
      <w:instrText xml:space="preserve"> PAGE  \* MERGEFORMAT </w:instrText>
    </w:r>
    <w:r w:rsidRPr="00866845">
      <w:rPr>
        <w:b/>
        <w:sz w:val="18"/>
      </w:rPr>
      <w:fldChar w:fldCharType="separate"/>
    </w:r>
    <w:r w:rsidR="00164BD9">
      <w:rPr>
        <w:b/>
        <w:noProof/>
        <w:sz w:val="18"/>
      </w:rPr>
      <w:t>3</w:t>
    </w:r>
    <w:r w:rsidRPr="00866845">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61C9F" w14:textId="77777777" w:rsidR="00F43C89" w:rsidRDefault="0082596C">
    <w:pPr>
      <w:pStyle w:val="affd"/>
    </w:pPr>
    <w:r>
      <w:rPr>
        <w:sz w:val="20"/>
      </w:rPr>
      <w:t>GE.</w:t>
    </w:r>
    <w:r w:rsidR="00B74984">
      <w:rPr>
        <w:noProof/>
        <w:lang w:val="en-US" w:eastAsia="zh-CN"/>
      </w:rPr>
      <w:drawing>
        <wp:anchor distT="0" distB="0" distL="114300" distR="114300" simplePos="0" relativeHeight="251657728" behindDoc="0" locked="1" layoutInCell="1" allowOverlap="1" wp14:anchorId="4953EA2C" wp14:editId="334B8462">
          <wp:simplePos x="0" y="0"/>
          <wp:positionH relativeFrom="column">
            <wp:posOffset>5148580</wp:posOffset>
          </wp:positionH>
          <wp:positionV relativeFrom="paragraph">
            <wp:posOffset>-108585</wp:posOffset>
          </wp:positionV>
          <wp:extent cx="930275" cy="230505"/>
          <wp:effectExtent l="0" t="0" r="3175" b="0"/>
          <wp:wrapNone/>
          <wp:docPr id="4" name="图片 4"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18811" w14:textId="77777777" w:rsidR="000F6FBC" w:rsidRDefault="000F6FBC">
      <w:pPr>
        <w:tabs>
          <w:tab w:val="right" w:pos="2155"/>
        </w:tabs>
        <w:spacing w:after="80"/>
        <w:ind w:left="680"/>
        <w:rPr>
          <w:u w:val="single"/>
        </w:rPr>
      </w:pPr>
      <w:r>
        <w:rPr>
          <w:u w:val="single"/>
        </w:rPr>
        <w:tab/>
      </w:r>
    </w:p>
  </w:footnote>
  <w:footnote w:type="continuationSeparator" w:id="0">
    <w:p w14:paraId="6CF19401" w14:textId="77777777" w:rsidR="000F6FBC" w:rsidRDefault="000F6FBC">
      <w:pPr>
        <w:tabs>
          <w:tab w:val="left" w:pos="2155"/>
        </w:tabs>
        <w:spacing w:after="80"/>
        <w:ind w:left="680"/>
        <w:rPr>
          <w:u w:val="single"/>
        </w:rPr>
      </w:pPr>
      <w:r>
        <w:rPr>
          <w:u w:val="single"/>
        </w:rPr>
        <w:tab/>
      </w:r>
    </w:p>
  </w:footnote>
  <w:footnote w:type="continuationNotice" w:id="1">
    <w:p w14:paraId="309BA427" w14:textId="77777777" w:rsidR="000F6FBC" w:rsidRDefault="000F6FBC"/>
  </w:footnote>
  <w:footnote w:id="2">
    <w:p w14:paraId="73227ABE" w14:textId="77777777" w:rsidR="00185EED" w:rsidRPr="00C23C5F" w:rsidRDefault="00185EED" w:rsidP="00C23C5F">
      <w:pPr>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before="100" w:line="240" w:lineRule="auto"/>
        <w:ind w:left="1267" w:right="1260" w:hanging="576"/>
        <w:rPr>
          <w:sz w:val="18"/>
          <w:lang w:eastAsia="zh-CN"/>
        </w:rPr>
      </w:pPr>
      <w:r>
        <w:tab/>
      </w:r>
      <w:r w:rsidRPr="002E1B36">
        <w:rPr>
          <w:rStyle w:val="ac"/>
          <w:sz w:val="20"/>
          <w:vertAlign w:val="baseline"/>
          <w:lang w:eastAsia="zh-CN"/>
        </w:rPr>
        <w:t>*</w:t>
      </w:r>
      <w:r>
        <w:rPr>
          <w:lang w:eastAsia="zh-CN"/>
        </w:rPr>
        <w:tab/>
      </w:r>
      <w:r w:rsidR="00C23C5F" w:rsidRPr="00D2255B">
        <w:rPr>
          <w:rFonts w:hint="eastAsia"/>
          <w:sz w:val="18"/>
          <w:lang w:eastAsia="zh-CN"/>
        </w:rPr>
        <w:t>委员会第七十四届会议</w:t>
      </w:r>
      <w:r w:rsidR="00C23C5F" w:rsidRPr="00D2255B">
        <w:rPr>
          <w:rFonts w:hint="eastAsia"/>
          <w:sz w:val="18"/>
          <w:lang w:eastAsia="zh-CN"/>
        </w:rPr>
        <w:t>(</w:t>
      </w:r>
      <w:r w:rsidR="00C23C5F" w:rsidRPr="00C735FB">
        <w:rPr>
          <w:rFonts w:hint="eastAsia"/>
          <w:sz w:val="18"/>
          <w:lang w:eastAsia="zh-CN"/>
        </w:rPr>
        <w:t>2019</w:t>
      </w:r>
      <w:r w:rsidR="00C23C5F" w:rsidRPr="00D2255B">
        <w:rPr>
          <w:rFonts w:hint="eastAsia"/>
          <w:sz w:val="18"/>
          <w:lang w:eastAsia="zh-CN"/>
        </w:rPr>
        <w:t>年</w:t>
      </w:r>
      <w:r w:rsidR="00C23C5F" w:rsidRPr="00C735FB">
        <w:rPr>
          <w:rFonts w:hint="eastAsia"/>
          <w:sz w:val="18"/>
          <w:lang w:eastAsia="zh-CN"/>
        </w:rPr>
        <w:t>10</w:t>
      </w:r>
      <w:r w:rsidR="00C23C5F" w:rsidRPr="00D2255B">
        <w:rPr>
          <w:rFonts w:hint="eastAsia"/>
          <w:sz w:val="18"/>
          <w:lang w:eastAsia="zh-CN"/>
        </w:rPr>
        <w:t>月</w:t>
      </w:r>
      <w:r w:rsidR="00C23C5F" w:rsidRPr="00C735FB">
        <w:rPr>
          <w:rFonts w:hint="eastAsia"/>
          <w:sz w:val="18"/>
          <w:lang w:eastAsia="zh-CN"/>
        </w:rPr>
        <w:t>21</w:t>
      </w:r>
      <w:r w:rsidR="00C23C5F" w:rsidRPr="00D2255B">
        <w:rPr>
          <w:rFonts w:hint="eastAsia"/>
          <w:sz w:val="18"/>
          <w:lang w:eastAsia="zh-CN"/>
        </w:rPr>
        <w:t>日至</w:t>
      </w:r>
      <w:r w:rsidR="00C23C5F" w:rsidRPr="00C735FB">
        <w:rPr>
          <w:rFonts w:hint="eastAsia"/>
          <w:sz w:val="18"/>
          <w:lang w:eastAsia="zh-CN"/>
        </w:rPr>
        <w:t>11</w:t>
      </w:r>
      <w:r w:rsidR="00C23C5F" w:rsidRPr="00D2255B">
        <w:rPr>
          <w:rFonts w:hint="eastAsia"/>
          <w:sz w:val="18"/>
          <w:lang w:eastAsia="zh-CN"/>
        </w:rPr>
        <w:t>月</w:t>
      </w:r>
      <w:r w:rsidR="00C23C5F" w:rsidRPr="00C735FB">
        <w:rPr>
          <w:rFonts w:hint="eastAsia"/>
          <w:sz w:val="18"/>
          <w:lang w:eastAsia="zh-CN"/>
        </w:rPr>
        <w:t>8</w:t>
      </w:r>
      <w:r w:rsidR="00C23C5F" w:rsidRPr="00D2255B">
        <w:rPr>
          <w:rFonts w:hint="eastAsia"/>
          <w:sz w:val="18"/>
          <w:lang w:eastAsia="zh-CN"/>
        </w:rPr>
        <w:t>日</w:t>
      </w:r>
      <w:r w:rsidR="00C23C5F" w:rsidRPr="00D2255B">
        <w:rPr>
          <w:rFonts w:hint="eastAsia"/>
          <w:sz w:val="18"/>
          <w:lang w:eastAsia="zh-CN"/>
        </w:rPr>
        <w:t>)</w:t>
      </w:r>
      <w:r w:rsidR="00C23C5F" w:rsidRPr="00D2255B">
        <w:rPr>
          <w:rFonts w:hint="eastAsia"/>
          <w:sz w:val="18"/>
          <w:lang w:eastAsia="zh-CN"/>
        </w:rPr>
        <w:t>通过。</w:t>
      </w:r>
    </w:p>
  </w:footnote>
  <w:footnote w:id="3">
    <w:p w14:paraId="41476F40" w14:textId="49A9A8C4" w:rsidR="005C5D31" w:rsidRDefault="005C5D31" w:rsidP="00F701DB">
      <w:pPr>
        <w:pStyle w:val="ad"/>
        <w:ind w:firstLine="0"/>
        <w:rPr>
          <w:lang w:eastAsia="zh-CN"/>
        </w:rPr>
      </w:pPr>
      <w:r>
        <w:rPr>
          <w:rStyle w:val="ac"/>
        </w:rPr>
        <w:footnoteRef/>
      </w:r>
      <w:r>
        <w:rPr>
          <w:lang w:eastAsia="zh-CN"/>
        </w:rPr>
        <w:t>《经济社会文化权利国际公约》、</w:t>
      </w:r>
      <w:r w:rsidR="00F701DB">
        <w:rPr>
          <w:lang w:eastAsia="zh-CN"/>
        </w:rPr>
        <w:t>《公民</w:t>
      </w:r>
      <w:r w:rsidR="00F701DB">
        <w:rPr>
          <w:rFonts w:hint="eastAsia"/>
          <w:lang w:eastAsia="zh-CN"/>
        </w:rPr>
        <w:t>及</w:t>
      </w:r>
      <w:r w:rsidR="00F701DB">
        <w:rPr>
          <w:lang w:eastAsia="zh-CN"/>
        </w:rPr>
        <w:t>政治权利国际公约》</w:t>
      </w:r>
      <w:r>
        <w:rPr>
          <w:lang w:eastAsia="zh-CN"/>
        </w:rPr>
        <w:t>、《消除一切形式种族歧视国际公约》、《消除对妇女一切形式歧视公约》、《禁止酷刑和其他残忍、不人道或有辱人格的待遇或处罚公约》、《儿童权利公约》、《保护所有移徙工人及其家庭成员权利国际公约》、《保护所有人免遭强迫失踪国际公约》</w:t>
      </w:r>
      <w:r>
        <w:rPr>
          <w:rFonts w:hint="eastAsia"/>
          <w:lang w:eastAsia="zh-CN"/>
        </w:rPr>
        <w:t>和</w:t>
      </w:r>
      <w:r>
        <w:rPr>
          <w:lang w:eastAsia="zh-CN"/>
        </w:rPr>
        <w:t>《残疾人权利公约》</w:t>
      </w:r>
      <w:r>
        <w:rPr>
          <w:rFonts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A84C3" w14:textId="77777777" w:rsidR="00016D85" w:rsidRDefault="00016D85">
    <w:pPr>
      <w:pStyle w:val="aff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87F2F" w14:textId="4D5315CC" w:rsidR="00866845" w:rsidRPr="00016D85" w:rsidRDefault="00866845" w:rsidP="00866845">
    <w:pPr>
      <w:pStyle w:val="affe"/>
      <w:jc w:val="right"/>
    </w:pPr>
    <w:bookmarkStart w:id="2" w:name="_GoBack"/>
    <w:r w:rsidRPr="00016D85">
      <w:t>CEDAW/C/</w:t>
    </w:r>
    <w:r w:rsidR="00016D85" w:rsidRPr="00016D85">
      <w:t>AND</w:t>
    </w:r>
    <w:r w:rsidRPr="00016D85">
      <w:t>/CO/</w:t>
    </w:r>
    <w:r w:rsidR="00016D85" w:rsidRPr="00016D85">
      <w:t>4</w:t>
    </w:r>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84DEA" w14:textId="77777777" w:rsidR="00016D85" w:rsidRDefault="00016D85">
    <w:pPr>
      <w:pStyle w:val="aff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AFEC36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57E679C2"/>
    <w:lvl w:ilvl="0" w:tplc="075A6416">
      <w:start w:val="1"/>
      <w:numFmt w:val="decimal"/>
      <w:pStyle w:val="ParaNoG"/>
      <w:lvlText w:val="%1."/>
      <w:lvlJc w:val="left"/>
      <w:pPr>
        <w:tabs>
          <w:tab w:val="num" w:pos="1494"/>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C05691"/>
    <w:multiLevelType w:val="singleLevel"/>
    <w:tmpl w:val="36084DBE"/>
    <w:lvl w:ilvl="0">
      <w:start w:val="1"/>
      <w:numFmt w:val="decimal"/>
      <w:lvlText w:val="%1."/>
      <w:lvlJc w:val="left"/>
      <w:pPr>
        <w:tabs>
          <w:tab w:val="num" w:pos="1440"/>
        </w:tabs>
        <w:ind w:left="1440" w:hanging="720"/>
      </w:pPr>
    </w:lvl>
  </w:abstractNum>
  <w:abstractNum w:abstractNumId="12" w15:restartNumberingAfterBreak="0">
    <w:nsid w:val="07521322"/>
    <w:multiLevelType w:val="multilevel"/>
    <w:tmpl w:val="04090023"/>
    <w:styleLink w:val="a1"/>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8CE72D2"/>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0AC26C62"/>
    <w:multiLevelType w:val="singleLevel"/>
    <w:tmpl w:val="561E0F3E"/>
    <w:lvl w:ilvl="0">
      <w:start w:val="1"/>
      <w:numFmt w:val="decimal"/>
      <w:lvlText w:val="%1."/>
      <w:lvlJc w:val="left"/>
      <w:pPr>
        <w:tabs>
          <w:tab w:val="num" w:pos="720"/>
        </w:tabs>
        <w:ind w:left="720" w:hanging="720"/>
      </w:pPr>
    </w:lvl>
  </w:abstractNum>
  <w:abstractNum w:abstractNumId="15" w15:restartNumberingAfterBreak="0">
    <w:nsid w:val="0C2069F6"/>
    <w:multiLevelType w:val="hybridMultilevel"/>
    <w:tmpl w:val="AD0A083E"/>
    <w:lvl w:ilvl="0" w:tplc="50A07FE0">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DD6575"/>
    <w:multiLevelType w:val="multilevel"/>
    <w:tmpl w:val="0409001D"/>
    <w:styleLink w:val="1111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70C549E"/>
    <w:multiLevelType w:val="singleLevel"/>
    <w:tmpl w:val="01325DD6"/>
    <w:lvl w:ilvl="0">
      <w:start w:val="1"/>
      <w:numFmt w:val="lowerLetter"/>
      <w:lvlText w:val="(%1)"/>
      <w:lvlJc w:val="left"/>
      <w:pPr>
        <w:tabs>
          <w:tab w:val="num" w:pos="720"/>
        </w:tabs>
        <w:ind w:left="720" w:hanging="720"/>
      </w:pPr>
    </w:lvl>
  </w:abstractNum>
  <w:abstractNum w:abstractNumId="18"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C222FB"/>
    <w:multiLevelType w:val="multilevel"/>
    <w:tmpl w:val="1E889F86"/>
    <w:lvl w:ilvl="0">
      <w:start w:val="1"/>
      <w:numFmt w:val="bullet"/>
      <w:lvlText w:val="•"/>
      <w:lvlJc w:val="left"/>
      <w:pPr>
        <w:tabs>
          <w:tab w:val="num" w:pos="1701"/>
        </w:tabs>
        <w:ind w:left="1701" w:hanging="17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1212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9431D71"/>
    <w:multiLevelType w:val="hybridMultilevel"/>
    <w:tmpl w:val="4B00A394"/>
    <w:lvl w:ilvl="0" w:tplc="F558ED82">
      <w:start w:val="1"/>
      <w:numFmt w:val="bullet"/>
      <w:lvlText w:val=""/>
      <w:lvlJc w:val="left"/>
      <w:pPr>
        <w:tabs>
          <w:tab w:val="num" w:pos="2345"/>
        </w:tabs>
        <w:ind w:left="2268"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3F49C6"/>
    <w:multiLevelType w:val="singleLevel"/>
    <w:tmpl w:val="720CB540"/>
    <w:lvl w:ilvl="0">
      <w:start w:val="1"/>
      <w:numFmt w:val="lowerRoman"/>
      <w:lvlText w:val="(%1)"/>
      <w:lvlJc w:val="right"/>
      <w:pPr>
        <w:tabs>
          <w:tab w:val="num" w:pos="2160"/>
        </w:tabs>
        <w:ind w:left="2160" w:hanging="516"/>
      </w:pPr>
    </w:lvl>
  </w:abstractNum>
  <w:abstractNum w:abstractNumId="23" w15:restartNumberingAfterBreak="0">
    <w:nsid w:val="2B645B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EE137A6"/>
    <w:multiLevelType w:val="hybridMultilevel"/>
    <w:tmpl w:val="32E840B0"/>
    <w:lvl w:ilvl="0" w:tplc="19D69D98">
      <w:start w:val="1"/>
      <w:numFmt w:val="bullet"/>
      <w:lvlText w:val=""/>
      <w:lvlJc w:val="left"/>
      <w:pPr>
        <w:tabs>
          <w:tab w:val="num" w:pos="1778"/>
        </w:tabs>
        <w:ind w:left="1701"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02A75A7"/>
    <w:multiLevelType w:val="singleLevel"/>
    <w:tmpl w:val="3496DD40"/>
    <w:lvl w:ilvl="0">
      <w:start w:val="1"/>
      <w:numFmt w:val="decimal"/>
      <w:lvlText w:val="(%1)"/>
      <w:lvlJc w:val="left"/>
      <w:pPr>
        <w:tabs>
          <w:tab w:val="num" w:pos="1440"/>
        </w:tabs>
        <w:ind w:left="1440" w:hanging="720"/>
      </w:pPr>
    </w:lvl>
  </w:abstractNum>
  <w:abstractNum w:abstractNumId="26"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6255761"/>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3CB061AB"/>
    <w:multiLevelType w:val="singleLevel"/>
    <w:tmpl w:val="11B83F58"/>
    <w:lvl w:ilvl="0">
      <w:start w:val="1"/>
      <w:numFmt w:val="decimal"/>
      <w:lvlText w:val="%1."/>
      <w:lvlJc w:val="left"/>
      <w:pPr>
        <w:tabs>
          <w:tab w:val="num" w:pos="1494"/>
        </w:tabs>
        <w:ind w:left="1133" w:firstLine="1"/>
      </w:pPr>
      <w:rPr>
        <w:rFonts w:hint="default"/>
      </w:rPr>
    </w:lvl>
  </w:abstractNum>
  <w:abstractNum w:abstractNumId="29" w15:restartNumberingAfterBreak="0">
    <w:nsid w:val="40221049"/>
    <w:multiLevelType w:val="singleLevel"/>
    <w:tmpl w:val="04D4B0C4"/>
    <w:lvl w:ilvl="0">
      <w:start w:val="1"/>
      <w:numFmt w:val="decimal"/>
      <w:lvlText w:val="%1."/>
      <w:lvlJc w:val="left"/>
      <w:pPr>
        <w:tabs>
          <w:tab w:val="num" w:pos="360"/>
        </w:tabs>
        <w:ind w:left="360" w:hanging="360"/>
      </w:pPr>
    </w:lvl>
  </w:abstractNum>
  <w:abstractNum w:abstractNumId="30" w15:restartNumberingAfterBreak="0">
    <w:nsid w:val="452D144C"/>
    <w:multiLevelType w:val="singleLevel"/>
    <w:tmpl w:val="7C4C0A7C"/>
    <w:lvl w:ilvl="0">
      <w:start w:val="1"/>
      <w:numFmt w:val="decimal"/>
      <w:lvlText w:val="(%1)"/>
      <w:lvlJc w:val="left"/>
      <w:pPr>
        <w:tabs>
          <w:tab w:val="num" w:pos="720"/>
        </w:tabs>
        <w:ind w:left="720" w:hanging="720"/>
      </w:pPr>
    </w:lvl>
  </w:abstractNum>
  <w:abstractNum w:abstractNumId="31" w15:restartNumberingAfterBreak="0">
    <w:nsid w:val="489F3657"/>
    <w:multiLevelType w:val="singleLevel"/>
    <w:tmpl w:val="2AB2508E"/>
    <w:lvl w:ilvl="0">
      <w:start w:val="1"/>
      <w:numFmt w:val="decimal"/>
      <w:lvlText w:val="%1."/>
      <w:lvlJc w:val="left"/>
      <w:pPr>
        <w:tabs>
          <w:tab w:val="num" w:pos="360"/>
        </w:tabs>
        <w:ind w:left="-1" w:firstLine="1"/>
      </w:pPr>
      <w:rPr>
        <w:rFonts w:hint="default"/>
      </w:rPr>
    </w:lvl>
  </w:abstractNum>
  <w:abstractNum w:abstractNumId="32" w15:restartNumberingAfterBreak="0">
    <w:nsid w:val="4EFA2598"/>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53034E71"/>
    <w:multiLevelType w:val="hybridMultilevel"/>
    <w:tmpl w:val="163C6DCC"/>
    <w:lvl w:ilvl="0" w:tplc="7148736E">
      <w:start w:val="1"/>
      <w:numFmt w:val="bullet"/>
      <w:lvlText w:val=""/>
      <w:lvlJc w:val="left"/>
      <w:pPr>
        <w:tabs>
          <w:tab w:val="num" w:pos="1778"/>
        </w:tabs>
        <w:ind w:left="1701"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15788D"/>
    <w:multiLevelType w:val="singleLevel"/>
    <w:tmpl w:val="9ECEEF0E"/>
    <w:lvl w:ilvl="0">
      <w:start w:val="1"/>
      <w:numFmt w:val="bullet"/>
      <w:lvlText w:val="-"/>
      <w:lvlJc w:val="left"/>
      <w:pPr>
        <w:tabs>
          <w:tab w:val="num" w:pos="360"/>
        </w:tabs>
        <w:ind w:left="360" w:hanging="360"/>
      </w:pPr>
      <w:rPr>
        <w:rFonts w:ascii="Times New Roman" w:hAnsi="Times New Roman" w:hint="default"/>
        <w:sz w:val="24"/>
      </w:rPr>
    </w:lvl>
  </w:abstractNum>
  <w:abstractNum w:abstractNumId="35" w15:restartNumberingAfterBreak="0">
    <w:nsid w:val="5DBD60B6"/>
    <w:multiLevelType w:val="multilevel"/>
    <w:tmpl w:val="56E2A324"/>
    <w:lvl w:ilvl="0">
      <w:start w:val="1"/>
      <w:numFmt w:val="bullet"/>
      <w:lvlText w:val="•"/>
      <w:lvlJc w:val="left"/>
      <w:pPr>
        <w:tabs>
          <w:tab w:val="num" w:pos="1701"/>
        </w:tabs>
        <w:ind w:left="1701" w:hanging="17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6677AE"/>
    <w:multiLevelType w:val="multilevel"/>
    <w:tmpl w:val="0409001F"/>
    <w:styleLink w:val="111111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15:restartNumberingAfterBreak="0">
    <w:nsid w:val="65D15DFE"/>
    <w:multiLevelType w:val="singleLevel"/>
    <w:tmpl w:val="475E6D3C"/>
    <w:lvl w:ilvl="0">
      <w:start w:val="1"/>
      <w:numFmt w:val="decimal"/>
      <w:lvlText w:val="%1."/>
      <w:lvlJc w:val="left"/>
      <w:pPr>
        <w:tabs>
          <w:tab w:val="num" w:pos="360"/>
        </w:tabs>
        <w:ind w:left="360" w:hanging="360"/>
      </w:pPr>
    </w:lvl>
  </w:abstractNum>
  <w:abstractNum w:abstractNumId="38" w15:restartNumberingAfterBreak="0">
    <w:nsid w:val="7541052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ACA643D"/>
    <w:multiLevelType w:val="singleLevel"/>
    <w:tmpl w:val="0409000F"/>
    <w:lvl w:ilvl="0">
      <w:start w:val="1"/>
      <w:numFmt w:val="decimal"/>
      <w:lvlText w:val="%1."/>
      <w:lvlJc w:val="left"/>
      <w:pPr>
        <w:tabs>
          <w:tab w:val="num" w:pos="360"/>
        </w:tabs>
        <w:ind w:left="360" w:hanging="360"/>
      </w:pPr>
    </w:lvl>
  </w:abstractNum>
  <w:abstractNum w:abstractNumId="40" w15:restartNumberingAfterBreak="0">
    <w:nsid w:val="7C9538FD"/>
    <w:multiLevelType w:val="hybridMultilevel"/>
    <w:tmpl w:val="038A2DC0"/>
    <w:lvl w:ilvl="0" w:tplc="A5265396">
      <w:start w:val="1"/>
      <w:numFmt w:val="none"/>
      <w:lvlText w:val="%1"/>
      <w:lvlJc w:val="left"/>
      <w:pPr>
        <w:tabs>
          <w:tab w:val="num" w:pos="1134"/>
        </w:tabs>
        <w:ind w:left="1134" w:hanging="397"/>
      </w:pPr>
      <w:rPr>
        <w:rFonts w:hint="default"/>
        <w:b/>
        <w:i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CF349BD"/>
    <w:multiLevelType w:val="singleLevel"/>
    <w:tmpl w:val="51D4BF5A"/>
    <w:lvl w:ilvl="0">
      <w:start w:val="1"/>
      <w:numFmt w:val="lowerRoman"/>
      <w:lvlText w:val="(%1)"/>
      <w:lvlJc w:val="right"/>
      <w:pPr>
        <w:tabs>
          <w:tab w:val="num" w:pos="1440"/>
        </w:tabs>
        <w:ind w:left="1440" w:hanging="589"/>
      </w:pPr>
      <w:rPr>
        <w:rFonts w:hint="default"/>
      </w:rPr>
    </w:lvl>
  </w:abstractNum>
  <w:abstractNum w:abstractNumId="42" w15:restartNumberingAfterBreak="0">
    <w:nsid w:val="7DBF6B58"/>
    <w:multiLevelType w:val="singleLevel"/>
    <w:tmpl w:val="0409000F"/>
    <w:lvl w:ilvl="0">
      <w:start w:val="1"/>
      <w:numFmt w:val="decimal"/>
      <w:lvlText w:val="%1."/>
      <w:lvlJc w:val="left"/>
      <w:pPr>
        <w:tabs>
          <w:tab w:val="num" w:pos="360"/>
        </w:tabs>
        <w:ind w:left="360" w:hanging="360"/>
      </w:pPr>
    </w:lvl>
  </w:abstractNum>
  <w:num w:numId="1">
    <w:abstractNumId w:val="41"/>
  </w:num>
  <w:num w:numId="2">
    <w:abstractNumId w:val="22"/>
  </w:num>
  <w:num w:numId="3">
    <w:abstractNumId w:val="41"/>
  </w:num>
  <w:num w:numId="4">
    <w:abstractNumId w:val="22"/>
  </w:num>
  <w:num w:numId="5">
    <w:abstractNumId w:val="13"/>
  </w:num>
  <w:num w:numId="6">
    <w:abstractNumId w:val="27"/>
  </w:num>
  <w:num w:numId="7">
    <w:abstractNumId w:val="29"/>
  </w:num>
  <w:num w:numId="8">
    <w:abstractNumId w:val="39"/>
  </w:num>
  <w:num w:numId="9">
    <w:abstractNumId w:val="32"/>
  </w:num>
  <w:num w:numId="10">
    <w:abstractNumId w:val="42"/>
  </w:num>
  <w:num w:numId="11">
    <w:abstractNumId w:val="29"/>
  </w:num>
  <w:num w:numId="12">
    <w:abstractNumId w:val="31"/>
  </w:num>
  <w:num w:numId="13">
    <w:abstractNumId w:val="31"/>
  </w:num>
  <w:num w:numId="14">
    <w:abstractNumId w:val="37"/>
  </w:num>
  <w:num w:numId="15">
    <w:abstractNumId w:val="28"/>
  </w:num>
  <w:num w:numId="16">
    <w:abstractNumId w:val="28"/>
  </w:num>
  <w:num w:numId="17">
    <w:abstractNumId w:val="41"/>
  </w:num>
  <w:num w:numId="18">
    <w:abstractNumId w:val="22"/>
  </w:num>
  <w:num w:numId="19">
    <w:abstractNumId w:val="1"/>
  </w:num>
  <w:num w:numId="20">
    <w:abstractNumId w:val="0"/>
  </w:num>
  <w:num w:numId="21">
    <w:abstractNumId w:val="25"/>
  </w:num>
  <w:num w:numId="22">
    <w:abstractNumId w:val="11"/>
  </w:num>
  <w:num w:numId="23">
    <w:abstractNumId w:val="17"/>
  </w:num>
  <w:num w:numId="24">
    <w:abstractNumId w:val="14"/>
  </w:num>
  <w:num w:numId="25">
    <w:abstractNumId w:val="30"/>
  </w:num>
  <w:num w:numId="26">
    <w:abstractNumId w:val="34"/>
  </w:num>
  <w:num w:numId="27">
    <w:abstractNumId w:val="2"/>
  </w:num>
  <w:num w:numId="28">
    <w:abstractNumId w:val="3"/>
  </w:num>
  <w:num w:numId="29">
    <w:abstractNumId w:val="8"/>
  </w:num>
  <w:num w:numId="30">
    <w:abstractNumId w:val="9"/>
  </w:num>
  <w:num w:numId="31">
    <w:abstractNumId w:val="7"/>
  </w:num>
  <w:num w:numId="32">
    <w:abstractNumId w:val="6"/>
  </w:num>
  <w:num w:numId="33">
    <w:abstractNumId w:val="5"/>
  </w:num>
  <w:num w:numId="34">
    <w:abstractNumId w:val="4"/>
  </w:num>
  <w:num w:numId="35">
    <w:abstractNumId w:val="15"/>
  </w:num>
  <w:num w:numId="36">
    <w:abstractNumId w:val="40"/>
  </w:num>
  <w:num w:numId="37">
    <w:abstractNumId w:val="24"/>
  </w:num>
  <w:num w:numId="38">
    <w:abstractNumId w:val="21"/>
  </w:num>
  <w:num w:numId="39">
    <w:abstractNumId w:val="33"/>
  </w:num>
  <w:num w:numId="40">
    <w:abstractNumId w:val="26"/>
  </w:num>
  <w:num w:numId="41">
    <w:abstractNumId w:val="18"/>
  </w:num>
  <w:num w:numId="42">
    <w:abstractNumId w:val="10"/>
  </w:num>
  <w:num w:numId="43">
    <w:abstractNumId w:val="23"/>
  </w:num>
  <w:num w:numId="44">
    <w:abstractNumId w:val="20"/>
  </w:num>
  <w:num w:numId="45">
    <w:abstractNumId w:val="35"/>
  </w:num>
  <w:num w:numId="46">
    <w:abstractNumId w:val="19"/>
  </w:num>
  <w:num w:numId="47">
    <w:abstractNumId w:val="38"/>
  </w:num>
  <w:num w:numId="48">
    <w:abstractNumId w:val="36"/>
  </w:num>
  <w:num w:numId="49">
    <w:abstractNumId w:val="16"/>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bordersDoNotSurroundHeader/>
  <w:bordersDoNotSurroundFooter/>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zh-CN" w:vendorID="64" w:dllVersion="5"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5601"/>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3C89"/>
    <w:rsid w:val="0000638F"/>
    <w:rsid w:val="00016D85"/>
    <w:rsid w:val="00026B45"/>
    <w:rsid w:val="00033E93"/>
    <w:rsid w:val="000A65DF"/>
    <w:rsid w:val="000B17FA"/>
    <w:rsid w:val="000B4FFB"/>
    <w:rsid w:val="000E53AB"/>
    <w:rsid w:val="000F6FBC"/>
    <w:rsid w:val="001072EB"/>
    <w:rsid w:val="0010769A"/>
    <w:rsid w:val="00116E25"/>
    <w:rsid w:val="00145094"/>
    <w:rsid w:val="00164BD9"/>
    <w:rsid w:val="00185EED"/>
    <w:rsid w:val="00186988"/>
    <w:rsid w:val="001C66D4"/>
    <w:rsid w:val="00204662"/>
    <w:rsid w:val="002129FA"/>
    <w:rsid w:val="00222B0D"/>
    <w:rsid w:val="00256CC2"/>
    <w:rsid w:val="00277703"/>
    <w:rsid w:val="002E45A3"/>
    <w:rsid w:val="002E6632"/>
    <w:rsid w:val="002F30A7"/>
    <w:rsid w:val="002F49E1"/>
    <w:rsid w:val="00335534"/>
    <w:rsid w:val="00346357"/>
    <w:rsid w:val="00367C44"/>
    <w:rsid w:val="00372451"/>
    <w:rsid w:val="003864DB"/>
    <w:rsid w:val="00397F6C"/>
    <w:rsid w:val="003A1C6C"/>
    <w:rsid w:val="003B5CBC"/>
    <w:rsid w:val="003C52EA"/>
    <w:rsid w:val="003C7209"/>
    <w:rsid w:val="003D2F69"/>
    <w:rsid w:val="004112CF"/>
    <w:rsid w:val="00424E6B"/>
    <w:rsid w:val="004634B0"/>
    <w:rsid w:val="00491B30"/>
    <w:rsid w:val="004A0F1B"/>
    <w:rsid w:val="004B4486"/>
    <w:rsid w:val="004D3795"/>
    <w:rsid w:val="00516B1B"/>
    <w:rsid w:val="00553E94"/>
    <w:rsid w:val="00590463"/>
    <w:rsid w:val="005920C2"/>
    <w:rsid w:val="005A36B6"/>
    <w:rsid w:val="005A71DC"/>
    <w:rsid w:val="005C5D31"/>
    <w:rsid w:val="00607369"/>
    <w:rsid w:val="00616C9B"/>
    <w:rsid w:val="00626B74"/>
    <w:rsid w:val="0063564F"/>
    <w:rsid w:val="006718A6"/>
    <w:rsid w:val="006C31B3"/>
    <w:rsid w:val="006F41E8"/>
    <w:rsid w:val="006F5AED"/>
    <w:rsid w:val="006F76C3"/>
    <w:rsid w:val="00710A31"/>
    <w:rsid w:val="00710BA2"/>
    <w:rsid w:val="00713E7B"/>
    <w:rsid w:val="00722070"/>
    <w:rsid w:val="00746074"/>
    <w:rsid w:val="007602B4"/>
    <w:rsid w:val="0078460F"/>
    <w:rsid w:val="007936BF"/>
    <w:rsid w:val="007E4B68"/>
    <w:rsid w:val="007E5493"/>
    <w:rsid w:val="00804A93"/>
    <w:rsid w:val="00815DF2"/>
    <w:rsid w:val="0082596C"/>
    <w:rsid w:val="00840CBE"/>
    <w:rsid w:val="00851C55"/>
    <w:rsid w:val="0086267E"/>
    <w:rsid w:val="00866845"/>
    <w:rsid w:val="00876627"/>
    <w:rsid w:val="00880F1D"/>
    <w:rsid w:val="008951D5"/>
    <w:rsid w:val="008A3936"/>
    <w:rsid w:val="008D68FA"/>
    <w:rsid w:val="0091752A"/>
    <w:rsid w:val="00921E49"/>
    <w:rsid w:val="00937BFD"/>
    <w:rsid w:val="00950851"/>
    <w:rsid w:val="00965414"/>
    <w:rsid w:val="00980550"/>
    <w:rsid w:val="009A3974"/>
    <w:rsid w:val="009B3621"/>
    <w:rsid w:val="009B6F1D"/>
    <w:rsid w:val="009C2A87"/>
    <w:rsid w:val="009D0B32"/>
    <w:rsid w:val="009E3DB1"/>
    <w:rsid w:val="00A03DF8"/>
    <w:rsid w:val="00A30345"/>
    <w:rsid w:val="00A7783C"/>
    <w:rsid w:val="00A86C38"/>
    <w:rsid w:val="00AA1BC2"/>
    <w:rsid w:val="00AC4472"/>
    <w:rsid w:val="00B24468"/>
    <w:rsid w:val="00B400C4"/>
    <w:rsid w:val="00B42EA9"/>
    <w:rsid w:val="00B74984"/>
    <w:rsid w:val="00B977B5"/>
    <w:rsid w:val="00BA28A0"/>
    <w:rsid w:val="00BD1A13"/>
    <w:rsid w:val="00C20041"/>
    <w:rsid w:val="00C2174A"/>
    <w:rsid w:val="00C23C5F"/>
    <w:rsid w:val="00C52C82"/>
    <w:rsid w:val="00C74BCF"/>
    <w:rsid w:val="00C83BB7"/>
    <w:rsid w:val="00C93C19"/>
    <w:rsid w:val="00CA4FBB"/>
    <w:rsid w:val="00CA7C5D"/>
    <w:rsid w:val="00CF3ECA"/>
    <w:rsid w:val="00D07370"/>
    <w:rsid w:val="00D52284"/>
    <w:rsid w:val="00D534C1"/>
    <w:rsid w:val="00D70C13"/>
    <w:rsid w:val="00D91303"/>
    <w:rsid w:val="00E0344F"/>
    <w:rsid w:val="00E05865"/>
    <w:rsid w:val="00E810C5"/>
    <w:rsid w:val="00EA4E27"/>
    <w:rsid w:val="00EA5F17"/>
    <w:rsid w:val="00EB0BB5"/>
    <w:rsid w:val="00ED376C"/>
    <w:rsid w:val="00F269C7"/>
    <w:rsid w:val="00F27EBD"/>
    <w:rsid w:val="00F43C89"/>
    <w:rsid w:val="00F5264C"/>
    <w:rsid w:val="00F701DB"/>
    <w:rsid w:val="00F70322"/>
    <w:rsid w:val="00F76381"/>
    <w:rsid w:val="00F85100"/>
    <w:rsid w:val="00F92FD0"/>
    <w:rsid w:val="00F95848"/>
    <w:rsid w:val="00F9644B"/>
    <w:rsid w:val="00F97749"/>
    <w:rsid w:val="00FD22BC"/>
    <w:rsid w:val="00FD5BD6"/>
    <w:rsid w:val="00FF4E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42B59564"/>
  <w15:docId w15:val="{01778F82-E0FB-4259-A5C6-68084D77F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2">
    <w:name w:val="Normal"/>
    <w:qFormat/>
    <w:pPr>
      <w:suppressAutoHyphens/>
      <w:spacing w:line="240" w:lineRule="atLeast"/>
    </w:pPr>
    <w:rPr>
      <w:lang w:val="en-GB" w:eastAsia="en-US"/>
    </w:rPr>
  </w:style>
  <w:style w:type="paragraph" w:styleId="1">
    <w:name w:val="heading 1"/>
    <w:aliases w:val="Table_G"/>
    <w:basedOn w:val="SingleTxtG"/>
    <w:next w:val="SingleTxtG"/>
    <w:qFormat/>
    <w:pPr>
      <w:spacing w:after="0" w:line="240" w:lineRule="auto"/>
      <w:ind w:right="0"/>
      <w:jc w:val="left"/>
      <w:outlineLvl w:val="0"/>
    </w:pPr>
  </w:style>
  <w:style w:type="paragraph" w:styleId="21">
    <w:name w:val="heading 2"/>
    <w:basedOn w:val="a2"/>
    <w:next w:val="a2"/>
    <w:qFormat/>
    <w:pPr>
      <w:spacing w:line="240" w:lineRule="auto"/>
      <w:outlineLvl w:val="1"/>
    </w:pPr>
  </w:style>
  <w:style w:type="paragraph" w:styleId="31">
    <w:name w:val="heading 3"/>
    <w:basedOn w:val="a2"/>
    <w:next w:val="a2"/>
    <w:qFormat/>
    <w:pPr>
      <w:spacing w:line="240" w:lineRule="auto"/>
      <w:outlineLvl w:val="2"/>
    </w:pPr>
  </w:style>
  <w:style w:type="paragraph" w:styleId="41">
    <w:name w:val="heading 4"/>
    <w:basedOn w:val="a2"/>
    <w:next w:val="a2"/>
    <w:qFormat/>
    <w:pPr>
      <w:spacing w:line="240" w:lineRule="auto"/>
      <w:outlineLvl w:val="3"/>
    </w:pPr>
  </w:style>
  <w:style w:type="paragraph" w:styleId="51">
    <w:name w:val="heading 5"/>
    <w:basedOn w:val="a2"/>
    <w:next w:val="a2"/>
    <w:qFormat/>
    <w:pPr>
      <w:spacing w:line="240" w:lineRule="auto"/>
      <w:outlineLvl w:val="4"/>
    </w:pPr>
  </w:style>
  <w:style w:type="paragraph" w:styleId="6">
    <w:name w:val="heading 6"/>
    <w:basedOn w:val="a2"/>
    <w:next w:val="a2"/>
    <w:qFormat/>
    <w:pPr>
      <w:spacing w:line="240" w:lineRule="auto"/>
      <w:outlineLvl w:val="5"/>
    </w:pPr>
  </w:style>
  <w:style w:type="paragraph" w:styleId="7">
    <w:name w:val="heading 7"/>
    <w:basedOn w:val="a2"/>
    <w:next w:val="a2"/>
    <w:qFormat/>
    <w:pPr>
      <w:spacing w:line="240" w:lineRule="auto"/>
      <w:outlineLvl w:val="6"/>
    </w:pPr>
  </w:style>
  <w:style w:type="paragraph" w:styleId="8">
    <w:name w:val="heading 8"/>
    <w:basedOn w:val="a2"/>
    <w:next w:val="a2"/>
    <w:qFormat/>
    <w:pPr>
      <w:spacing w:line="240" w:lineRule="auto"/>
      <w:outlineLvl w:val="7"/>
    </w:pPr>
  </w:style>
  <w:style w:type="paragraph" w:styleId="9">
    <w:name w:val="heading 9"/>
    <w:basedOn w:val="a2"/>
    <w:next w:val="a2"/>
    <w:qFormat/>
    <w:pPr>
      <w:spacing w:line="240" w:lineRule="auto"/>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MG">
    <w:name w:val="_ H __M_G"/>
    <w:basedOn w:val="a2"/>
    <w:next w:val="a2"/>
    <w:pPr>
      <w:keepNext/>
      <w:keepLines/>
      <w:tabs>
        <w:tab w:val="right" w:pos="851"/>
      </w:tabs>
      <w:spacing w:before="240" w:after="240" w:line="360" w:lineRule="exact"/>
      <w:ind w:left="1134" w:right="1134" w:hanging="1134"/>
    </w:pPr>
    <w:rPr>
      <w:b/>
      <w:sz w:val="34"/>
    </w:rPr>
  </w:style>
  <w:style w:type="paragraph" w:customStyle="1" w:styleId="HChG">
    <w:name w:val="_ H _Ch_G"/>
    <w:basedOn w:val="a2"/>
    <w:next w:val="a2"/>
    <w:pPr>
      <w:keepNext/>
      <w:keepLines/>
      <w:tabs>
        <w:tab w:val="right" w:pos="851"/>
      </w:tabs>
      <w:spacing w:before="360" w:after="240" w:line="300" w:lineRule="exact"/>
      <w:ind w:left="1134" w:right="1134" w:hanging="1134"/>
    </w:pPr>
    <w:rPr>
      <w:b/>
      <w:sz w:val="28"/>
    </w:rPr>
  </w:style>
  <w:style w:type="paragraph" w:customStyle="1" w:styleId="ParaNoG">
    <w:name w:val="_ParaNo._G"/>
    <w:basedOn w:val="SingleTxtG"/>
    <w:pPr>
      <w:numPr>
        <w:numId w:val="42"/>
      </w:numPr>
      <w:tabs>
        <w:tab w:val="clear" w:pos="1494"/>
      </w:tabs>
    </w:pPr>
  </w:style>
  <w:style w:type="paragraph" w:customStyle="1" w:styleId="SingleTxtG">
    <w:name w:val="_ Single Txt_G"/>
    <w:basedOn w:val="a2"/>
    <w:pPr>
      <w:spacing w:after="120"/>
      <w:ind w:left="1134" w:right="1134"/>
      <w:jc w:val="both"/>
    </w:pPr>
  </w:style>
  <w:style w:type="character" w:styleId="a6">
    <w:name w:val="page number"/>
    <w:aliases w:val="7_G"/>
    <w:rPr>
      <w:rFonts w:ascii="Times New Roman" w:hAnsi="Times New Roman"/>
      <w:b/>
      <w:sz w:val="18"/>
    </w:rPr>
  </w:style>
  <w:style w:type="paragraph" w:styleId="a7">
    <w:name w:val="Plain Text"/>
    <w:basedOn w:val="a2"/>
    <w:semiHidden/>
    <w:rPr>
      <w:rFonts w:cs="Courier New"/>
    </w:rPr>
  </w:style>
  <w:style w:type="paragraph" w:styleId="a8">
    <w:name w:val="Body Text"/>
    <w:basedOn w:val="a2"/>
    <w:next w:val="a2"/>
    <w:semiHidden/>
  </w:style>
  <w:style w:type="paragraph" w:styleId="a9">
    <w:name w:val="Body Text Indent"/>
    <w:basedOn w:val="a2"/>
    <w:semiHidden/>
    <w:pPr>
      <w:spacing w:after="120"/>
      <w:ind w:left="283"/>
    </w:pPr>
  </w:style>
  <w:style w:type="paragraph" w:styleId="aa">
    <w:name w:val="Block Text"/>
    <w:basedOn w:val="a2"/>
    <w:semiHidden/>
    <w:pPr>
      <w:ind w:left="1440" w:right="1440"/>
    </w:pPr>
  </w:style>
  <w:style w:type="paragraph" w:customStyle="1" w:styleId="SMG">
    <w:name w:val="__S_M_G"/>
    <w:basedOn w:val="a2"/>
    <w:next w:val="a2"/>
    <w:pPr>
      <w:keepNext/>
      <w:keepLines/>
      <w:spacing w:before="240" w:after="240" w:line="420" w:lineRule="exact"/>
      <w:ind w:left="1134" w:right="1134"/>
    </w:pPr>
    <w:rPr>
      <w:b/>
      <w:sz w:val="40"/>
    </w:rPr>
  </w:style>
  <w:style w:type="paragraph" w:customStyle="1" w:styleId="SLG">
    <w:name w:val="__S_L_G"/>
    <w:basedOn w:val="a2"/>
    <w:next w:val="a2"/>
    <w:pPr>
      <w:keepNext/>
      <w:keepLines/>
      <w:spacing w:before="240" w:after="240" w:line="580" w:lineRule="exact"/>
      <w:ind w:left="1134" w:right="1134"/>
    </w:pPr>
    <w:rPr>
      <w:b/>
      <w:sz w:val="56"/>
    </w:rPr>
  </w:style>
  <w:style w:type="paragraph" w:customStyle="1" w:styleId="SSG">
    <w:name w:val="__S_S_G"/>
    <w:basedOn w:val="a2"/>
    <w:next w:val="a2"/>
    <w:pPr>
      <w:keepNext/>
      <w:keepLines/>
      <w:spacing w:before="240" w:after="240" w:line="300" w:lineRule="exact"/>
      <w:ind w:left="1134" w:right="1134"/>
    </w:pPr>
    <w:rPr>
      <w:b/>
      <w:sz w:val="28"/>
    </w:rPr>
  </w:style>
  <w:style w:type="character" w:styleId="ab">
    <w:name w:val="endnote reference"/>
    <w:aliases w:val="1_G"/>
    <w:rPr>
      <w:rFonts w:ascii="Times New Roman" w:hAnsi="Times New Roman"/>
      <w:sz w:val="18"/>
      <w:vertAlign w:val="superscript"/>
    </w:rPr>
  </w:style>
  <w:style w:type="character" w:styleId="ac">
    <w:name w:val="footnote reference"/>
    <w:aliases w:val="4_G"/>
    <w:rPr>
      <w:rFonts w:ascii="Times New Roman" w:hAnsi="Times New Roman"/>
      <w:sz w:val="18"/>
      <w:vertAlign w:val="superscript"/>
    </w:rPr>
  </w:style>
  <w:style w:type="paragraph" w:styleId="ad">
    <w:name w:val="footnote text"/>
    <w:aliases w:val="5_G"/>
    <w:basedOn w:val="a2"/>
    <w:link w:val="ae"/>
    <w:pPr>
      <w:tabs>
        <w:tab w:val="right" w:pos="1021"/>
      </w:tabs>
      <w:spacing w:line="220" w:lineRule="exact"/>
      <w:ind w:left="1134" w:right="1134" w:hanging="1134"/>
    </w:pPr>
    <w:rPr>
      <w:sz w:val="18"/>
    </w:rPr>
  </w:style>
  <w:style w:type="paragraph" w:customStyle="1" w:styleId="XLargeG">
    <w:name w:val="__XLarge_G"/>
    <w:basedOn w:val="a2"/>
    <w:next w:val="a2"/>
    <w:pPr>
      <w:keepNext/>
      <w:keepLines/>
      <w:spacing w:before="240" w:after="240" w:line="420" w:lineRule="exact"/>
      <w:ind w:left="1134" w:right="1134"/>
    </w:pPr>
    <w:rPr>
      <w:b/>
      <w:sz w:val="40"/>
    </w:rPr>
  </w:style>
  <w:style w:type="paragraph" w:customStyle="1" w:styleId="Bullet1G">
    <w:name w:val="_Bullet 1_G"/>
    <w:basedOn w:val="a2"/>
    <w:pPr>
      <w:numPr>
        <w:numId w:val="40"/>
      </w:numPr>
      <w:spacing w:after="120"/>
      <w:ind w:right="1134"/>
      <w:jc w:val="both"/>
    </w:pPr>
  </w:style>
  <w:style w:type="paragraph" w:styleId="af">
    <w:name w:val="endnote text"/>
    <w:aliases w:val="2_G"/>
    <w:basedOn w:val="ad"/>
  </w:style>
  <w:style w:type="character" w:styleId="af0">
    <w:name w:val="annotation reference"/>
    <w:semiHidden/>
    <w:rPr>
      <w:sz w:val="6"/>
    </w:rPr>
  </w:style>
  <w:style w:type="paragraph" w:styleId="af1">
    <w:name w:val="annotation text"/>
    <w:basedOn w:val="a2"/>
    <w:link w:val="af2"/>
  </w:style>
  <w:style w:type="character" w:styleId="af3">
    <w:name w:val="line number"/>
    <w:semiHidden/>
    <w:rPr>
      <w:sz w:val="14"/>
    </w:rPr>
  </w:style>
  <w:style w:type="paragraph" w:customStyle="1" w:styleId="Bullet2G">
    <w:name w:val="_Bullet 2_G"/>
    <w:basedOn w:val="a2"/>
    <w:pPr>
      <w:numPr>
        <w:numId w:val="41"/>
      </w:numPr>
      <w:spacing w:after="120"/>
      <w:ind w:right="1134"/>
      <w:jc w:val="both"/>
    </w:pPr>
  </w:style>
  <w:style w:type="paragraph" w:customStyle="1" w:styleId="H1G">
    <w:name w:val="_ H_1_G"/>
    <w:basedOn w:val="a2"/>
    <w:next w:val="a2"/>
    <w:pPr>
      <w:keepNext/>
      <w:keepLines/>
      <w:tabs>
        <w:tab w:val="right" w:pos="851"/>
      </w:tabs>
      <w:spacing w:before="360" w:after="240" w:line="270" w:lineRule="exact"/>
      <w:ind w:left="1134" w:right="1134" w:hanging="1134"/>
    </w:pPr>
    <w:rPr>
      <w:b/>
      <w:sz w:val="24"/>
    </w:rPr>
  </w:style>
  <w:style w:type="paragraph" w:customStyle="1" w:styleId="H23G">
    <w:name w:val="_ H_2/3_G"/>
    <w:basedOn w:val="a2"/>
    <w:next w:val="a2"/>
    <w:pPr>
      <w:keepNext/>
      <w:keepLines/>
      <w:tabs>
        <w:tab w:val="right" w:pos="851"/>
      </w:tabs>
      <w:spacing w:before="240" w:after="120" w:line="240" w:lineRule="exact"/>
      <w:ind w:left="1134" w:right="1134" w:hanging="1134"/>
    </w:pPr>
    <w:rPr>
      <w:b/>
    </w:rPr>
  </w:style>
  <w:style w:type="paragraph" w:customStyle="1" w:styleId="H4G">
    <w:name w:val="_ H_4_G"/>
    <w:basedOn w:val="a2"/>
    <w:next w:val="a2"/>
    <w:pPr>
      <w:keepNext/>
      <w:keepLines/>
      <w:tabs>
        <w:tab w:val="right" w:pos="851"/>
      </w:tabs>
      <w:spacing w:before="240" w:after="120" w:line="240" w:lineRule="exact"/>
      <w:ind w:left="1134" w:right="1134" w:hanging="1134"/>
    </w:pPr>
    <w:rPr>
      <w:i/>
    </w:rPr>
  </w:style>
  <w:style w:type="paragraph" w:customStyle="1" w:styleId="H56G">
    <w:name w:val="_ H_5/6_G"/>
    <w:basedOn w:val="a2"/>
    <w:next w:val="a2"/>
    <w:pPr>
      <w:keepNext/>
      <w:keepLines/>
      <w:tabs>
        <w:tab w:val="right" w:pos="851"/>
      </w:tabs>
      <w:spacing w:before="240" w:after="120" w:line="240" w:lineRule="exact"/>
      <w:ind w:left="1134" w:right="1134" w:hanging="1134"/>
    </w:pPr>
  </w:style>
  <w:style w:type="numbering" w:styleId="1111110">
    <w:name w:val="Outline List 2"/>
    <w:basedOn w:val="a5"/>
    <w:semiHidden/>
    <w:pPr>
      <w:numPr>
        <w:numId w:val="48"/>
      </w:numPr>
    </w:pPr>
  </w:style>
  <w:style w:type="numbering" w:styleId="111111">
    <w:name w:val="Outline List 1"/>
    <w:basedOn w:val="a5"/>
    <w:semiHidden/>
    <w:pPr>
      <w:numPr>
        <w:numId w:val="49"/>
      </w:numPr>
    </w:pPr>
  </w:style>
  <w:style w:type="numbering" w:styleId="a1">
    <w:name w:val="Outline List 3"/>
    <w:basedOn w:val="a5"/>
    <w:semiHidden/>
    <w:pPr>
      <w:numPr>
        <w:numId w:val="50"/>
      </w:numPr>
    </w:pPr>
  </w:style>
  <w:style w:type="paragraph" w:styleId="22">
    <w:name w:val="Body Text 2"/>
    <w:basedOn w:val="a2"/>
    <w:semiHidden/>
    <w:pPr>
      <w:spacing w:after="120" w:line="480" w:lineRule="auto"/>
    </w:pPr>
  </w:style>
  <w:style w:type="paragraph" w:styleId="32">
    <w:name w:val="Body Text 3"/>
    <w:basedOn w:val="a2"/>
    <w:semiHidden/>
    <w:pPr>
      <w:spacing w:after="120"/>
    </w:pPr>
    <w:rPr>
      <w:sz w:val="16"/>
      <w:szCs w:val="16"/>
    </w:rPr>
  </w:style>
  <w:style w:type="paragraph" w:styleId="af4">
    <w:name w:val="Body Text First Indent"/>
    <w:basedOn w:val="a8"/>
    <w:semiHidden/>
    <w:pPr>
      <w:spacing w:after="120"/>
      <w:ind w:firstLine="210"/>
    </w:pPr>
  </w:style>
  <w:style w:type="paragraph" w:styleId="23">
    <w:name w:val="Body Text First Indent 2"/>
    <w:basedOn w:val="a9"/>
    <w:semiHidden/>
    <w:pPr>
      <w:ind w:firstLine="210"/>
    </w:pPr>
  </w:style>
  <w:style w:type="paragraph" w:styleId="24">
    <w:name w:val="Body Text Indent 2"/>
    <w:basedOn w:val="a2"/>
    <w:semiHidden/>
    <w:pPr>
      <w:spacing w:after="120" w:line="480" w:lineRule="auto"/>
      <w:ind w:left="283"/>
    </w:pPr>
  </w:style>
  <w:style w:type="paragraph" w:styleId="33">
    <w:name w:val="Body Text Indent 3"/>
    <w:basedOn w:val="a2"/>
    <w:semiHidden/>
    <w:pPr>
      <w:spacing w:after="120"/>
      <w:ind w:left="283"/>
    </w:pPr>
    <w:rPr>
      <w:sz w:val="16"/>
      <w:szCs w:val="16"/>
    </w:rPr>
  </w:style>
  <w:style w:type="paragraph" w:styleId="af5">
    <w:name w:val="Closing"/>
    <w:basedOn w:val="a2"/>
    <w:semiHidden/>
    <w:pPr>
      <w:ind w:left="4252"/>
    </w:pPr>
  </w:style>
  <w:style w:type="paragraph" w:styleId="af6">
    <w:name w:val="Date"/>
    <w:basedOn w:val="a2"/>
    <w:next w:val="a2"/>
    <w:semiHidden/>
  </w:style>
  <w:style w:type="paragraph" w:styleId="af7">
    <w:name w:val="E-mail Signature"/>
    <w:basedOn w:val="a2"/>
    <w:semiHidden/>
  </w:style>
  <w:style w:type="character" w:styleId="af8">
    <w:name w:val="Emphasis"/>
    <w:qFormat/>
    <w:rPr>
      <w:i/>
      <w:iCs/>
    </w:rPr>
  </w:style>
  <w:style w:type="paragraph" w:styleId="af9">
    <w:name w:val="envelope return"/>
    <w:basedOn w:val="a2"/>
    <w:semiHidden/>
    <w:rPr>
      <w:rFonts w:ascii="Arial" w:hAnsi="Arial" w:cs="Arial"/>
    </w:rPr>
  </w:style>
  <w:style w:type="character" w:styleId="afa">
    <w:name w:val="FollowedHyperlink"/>
    <w:semiHidden/>
    <w:rPr>
      <w:color w:val="800080"/>
      <w:u w:val="single"/>
    </w:rPr>
  </w:style>
  <w:style w:type="character" w:styleId="HTML">
    <w:name w:val="HTML Acronym"/>
    <w:basedOn w:val="a3"/>
    <w:semiHidden/>
  </w:style>
  <w:style w:type="paragraph" w:styleId="HTML0">
    <w:name w:val="HTML Address"/>
    <w:basedOn w:val="a2"/>
    <w:semiHidden/>
    <w:rPr>
      <w:i/>
      <w:iCs/>
    </w:rPr>
  </w:style>
  <w:style w:type="character" w:styleId="HTML1">
    <w:name w:val="HTML Cite"/>
    <w:semiHidden/>
    <w:rPr>
      <w:i/>
      <w:iCs/>
    </w:rPr>
  </w:style>
  <w:style w:type="character" w:styleId="HTML2">
    <w:name w:val="HTML Code"/>
    <w:semiHidden/>
    <w:rPr>
      <w:rFonts w:ascii="Courier New" w:hAnsi="Courier New" w:cs="Courier New"/>
      <w:sz w:val="20"/>
      <w:szCs w:val="20"/>
    </w:rPr>
  </w:style>
  <w:style w:type="character" w:styleId="HTML3">
    <w:name w:val="HTML Definition"/>
    <w:semiHidden/>
    <w:rPr>
      <w:i/>
      <w:iCs/>
    </w:rPr>
  </w:style>
  <w:style w:type="character" w:styleId="HTML4">
    <w:name w:val="HTML Keyboard"/>
    <w:semiHidden/>
    <w:rPr>
      <w:rFonts w:ascii="Courier New" w:hAnsi="Courier New" w:cs="Courier New"/>
      <w:sz w:val="20"/>
      <w:szCs w:val="20"/>
    </w:rPr>
  </w:style>
  <w:style w:type="paragraph" w:styleId="HTML5">
    <w:name w:val="HTML Preformatted"/>
    <w:basedOn w:val="a2"/>
    <w:semiHidden/>
    <w:rPr>
      <w:rFonts w:ascii="Courier New" w:hAnsi="Courier New" w:cs="Courier New"/>
    </w:rPr>
  </w:style>
  <w:style w:type="character" w:styleId="HTML6">
    <w:name w:val="HTML Sample"/>
    <w:semiHidden/>
    <w:rPr>
      <w:rFonts w:ascii="Courier New" w:hAnsi="Courier New" w:cs="Courier New"/>
    </w:rPr>
  </w:style>
  <w:style w:type="character" w:styleId="HTML7">
    <w:name w:val="HTML Typewriter"/>
    <w:semiHidden/>
    <w:rPr>
      <w:rFonts w:ascii="Courier New" w:hAnsi="Courier New" w:cs="Courier New"/>
      <w:sz w:val="20"/>
      <w:szCs w:val="20"/>
    </w:rPr>
  </w:style>
  <w:style w:type="character" w:styleId="HTML8">
    <w:name w:val="HTML Variable"/>
    <w:semiHidden/>
    <w:rPr>
      <w:i/>
      <w:iCs/>
    </w:rPr>
  </w:style>
  <w:style w:type="character" w:styleId="afb">
    <w:name w:val="Hyperlink"/>
    <w:semiHidden/>
    <w:rPr>
      <w:color w:val="0000FF"/>
      <w:u w:val="single"/>
    </w:rPr>
  </w:style>
  <w:style w:type="paragraph" w:styleId="afc">
    <w:name w:val="List"/>
    <w:basedOn w:val="a2"/>
    <w:semiHidden/>
    <w:pPr>
      <w:ind w:left="283" w:hanging="283"/>
    </w:pPr>
  </w:style>
  <w:style w:type="paragraph" w:styleId="25">
    <w:name w:val="List 2"/>
    <w:basedOn w:val="a2"/>
    <w:semiHidden/>
    <w:pPr>
      <w:ind w:left="566" w:hanging="283"/>
    </w:pPr>
  </w:style>
  <w:style w:type="paragraph" w:styleId="34">
    <w:name w:val="List 3"/>
    <w:basedOn w:val="a2"/>
    <w:semiHidden/>
    <w:pPr>
      <w:ind w:left="849" w:hanging="283"/>
    </w:pPr>
  </w:style>
  <w:style w:type="paragraph" w:styleId="42">
    <w:name w:val="List 4"/>
    <w:basedOn w:val="a2"/>
    <w:semiHidden/>
    <w:pPr>
      <w:ind w:left="1132" w:hanging="283"/>
    </w:pPr>
  </w:style>
  <w:style w:type="paragraph" w:styleId="52">
    <w:name w:val="List 5"/>
    <w:basedOn w:val="a2"/>
    <w:semiHidden/>
    <w:pPr>
      <w:ind w:left="1415" w:hanging="283"/>
    </w:pPr>
  </w:style>
  <w:style w:type="paragraph" w:styleId="a0">
    <w:name w:val="List Bullet"/>
    <w:basedOn w:val="a2"/>
    <w:semiHidden/>
    <w:pPr>
      <w:numPr>
        <w:numId w:val="30"/>
      </w:numPr>
    </w:pPr>
  </w:style>
  <w:style w:type="paragraph" w:styleId="20">
    <w:name w:val="List Bullet 2"/>
    <w:basedOn w:val="a2"/>
    <w:semiHidden/>
    <w:pPr>
      <w:numPr>
        <w:numId w:val="31"/>
      </w:numPr>
    </w:pPr>
  </w:style>
  <w:style w:type="paragraph" w:styleId="30">
    <w:name w:val="List Bullet 3"/>
    <w:basedOn w:val="a2"/>
    <w:semiHidden/>
    <w:pPr>
      <w:numPr>
        <w:numId w:val="32"/>
      </w:numPr>
    </w:pPr>
  </w:style>
  <w:style w:type="paragraph" w:styleId="40">
    <w:name w:val="List Bullet 4"/>
    <w:basedOn w:val="a2"/>
    <w:semiHidden/>
    <w:pPr>
      <w:numPr>
        <w:numId w:val="33"/>
      </w:numPr>
    </w:pPr>
  </w:style>
  <w:style w:type="paragraph" w:styleId="50">
    <w:name w:val="List Bullet 5"/>
    <w:basedOn w:val="a2"/>
    <w:semiHidden/>
    <w:pPr>
      <w:numPr>
        <w:numId w:val="34"/>
      </w:numPr>
    </w:pPr>
  </w:style>
  <w:style w:type="paragraph" w:styleId="afd">
    <w:name w:val="List Continue"/>
    <w:basedOn w:val="a2"/>
    <w:semiHidden/>
    <w:pPr>
      <w:spacing w:after="120"/>
      <w:ind w:left="283"/>
    </w:pPr>
  </w:style>
  <w:style w:type="paragraph" w:styleId="26">
    <w:name w:val="List Continue 2"/>
    <w:basedOn w:val="a2"/>
    <w:semiHidden/>
    <w:pPr>
      <w:spacing w:after="120"/>
      <w:ind w:left="566"/>
    </w:pPr>
  </w:style>
  <w:style w:type="paragraph" w:styleId="35">
    <w:name w:val="List Continue 3"/>
    <w:basedOn w:val="a2"/>
    <w:semiHidden/>
    <w:pPr>
      <w:spacing w:after="120"/>
      <w:ind w:left="849"/>
    </w:pPr>
  </w:style>
  <w:style w:type="paragraph" w:styleId="43">
    <w:name w:val="List Continue 4"/>
    <w:basedOn w:val="a2"/>
    <w:semiHidden/>
    <w:pPr>
      <w:spacing w:after="120"/>
      <w:ind w:left="1132"/>
    </w:pPr>
  </w:style>
  <w:style w:type="paragraph" w:styleId="53">
    <w:name w:val="List Continue 5"/>
    <w:basedOn w:val="a2"/>
    <w:semiHidden/>
    <w:pPr>
      <w:spacing w:after="120"/>
      <w:ind w:left="1415"/>
    </w:pPr>
  </w:style>
  <w:style w:type="paragraph" w:styleId="a">
    <w:name w:val="List Number"/>
    <w:basedOn w:val="a2"/>
    <w:semiHidden/>
    <w:pPr>
      <w:numPr>
        <w:numId w:val="29"/>
      </w:numPr>
    </w:pPr>
  </w:style>
  <w:style w:type="paragraph" w:styleId="2">
    <w:name w:val="List Number 2"/>
    <w:basedOn w:val="a2"/>
    <w:semiHidden/>
    <w:pPr>
      <w:numPr>
        <w:numId w:val="28"/>
      </w:numPr>
    </w:pPr>
  </w:style>
  <w:style w:type="paragraph" w:styleId="3">
    <w:name w:val="List Number 3"/>
    <w:basedOn w:val="a2"/>
    <w:semiHidden/>
    <w:pPr>
      <w:numPr>
        <w:numId w:val="27"/>
      </w:numPr>
    </w:pPr>
  </w:style>
  <w:style w:type="paragraph" w:styleId="4">
    <w:name w:val="List Number 4"/>
    <w:basedOn w:val="a2"/>
    <w:semiHidden/>
    <w:pPr>
      <w:numPr>
        <w:numId w:val="19"/>
      </w:numPr>
    </w:pPr>
  </w:style>
  <w:style w:type="paragraph" w:styleId="5">
    <w:name w:val="List Number 5"/>
    <w:basedOn w:val="a2"/>
    <w:semiHidden/>
    <w:pPr>
      <w:numPr>
        <w:numId w:val="20"/>
      </w:numPr>
    </w:pPr>
  </w:style>
  <w:style w:type="paragraph" w:styleId="afe">
    <w:name w:val="Message Header"/>
    <w:basedOn w:val="a2"/>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f">
    <w:name w:val="Normal (Web)"/>
    <w:basedOn w:val="a2"/>
    <w:semiHidden/>
    <w:rPr>
      <w:sz w:val="24"/>
      <w:szCs w:val="24"/>
    </w:rPr>
  </w:style>
  <w:style w:type="paragraph" w:styleId="aff0">
    <w:name w:val="Normal Indent"/>
    <w:basedOn w:val="a2"/>
    <w:semiHidden/>
    <w:pPr>
      <w:ind w:left="567"/>
    </w:pPr>
  </w:style>
  <w:style w:type="paragraph" w:styleId="aff1">
    <w:name w:val="Note Heading"/>
    <w:basedOn w:val="a2"/>
    <w:next w:val="a2"/>
    <w:semiHidden/>
  </w:style>
  <w:style w:type="paragraph" w:styleId="aff2">
    <w:name w:val="Salutation"/>
    <w:basedOn w:val="a2"/>
    <w:next w:val="a2"/>
    <w:semiHidden/>
  </w:style>
  <w:style w:type="paragraph" w:styleId="aff3">
    <w:name w:val="Signature"/>
    <w:basedOn w:val="a2"/>
    <w:semiHidden/>
    <w:pPr>
      <w:ind w:left="4252"/>
    </w:pPr>
  </w:style>
  <w:style w:type="character" w:styleId="aff4">
    <w:name w:val="Strong"/>
    <w:qFormat/>
    <w:rPr>
      <w:b/>
      <w:bCs/>
    </w:rPr>
  </w:style>
  <w:style w:type="paragraph" w:styleId="aff5">
    <w:name w:val="Subtitle"/>
    <w:basedOn w:val="a2"/>
    <w:qFormat/>
    <w:pPr>
      <w:spacing w:after="60"/>
      <w:jc w:val="center"/>
      <w:outlineLvl w:val="1"/>
    </w:pPr>
    <w:rPr>
      <w:rFonts w:ascii="Arial" w:hAnsi="Arial" w:cs="Arial"/>
      <w:sz w:val="24"/>
      <w:szCs w:val="24"/>
    </w:rPr>
  </w:style>
  <w:style w:type="table" w:styleId="10">
    <w:name w:val="Table 3D effects 1"/>
    <w:basedOn w:val="a4"/>
    <w:semiHidden/>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7">
    <w:name w:val="Table 3D effects 2"/>
    <w:basedOn w:val="a4"/>
    <w:semiHidden/>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3D effects 3"/>
    <w:basedOn w:val="a4"/>
    <w:semiHidden/>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Classic 1"/>
    <w:basedOn w:val="a4"/>
    <w:semiHidden/>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4"/>
    <w:semiHidden/>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4"/>
    <w:semiHidden/>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4"/>
    <w:semiHidden/>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Colorful 1"/>
    <w:basedOn w:val="a4"/>
    <w:semiHidden/>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9">
    <w:name w:val="Table Colorful 2"/>
    <w:basedOn w:val="a4"/>
    <w:semiHidden/>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4"/>
    <w:semiHidden/>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olumns 1"/>
    <w:basedOn w:val="a4"/>
    <w:semiHidden/>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olumns 2"/>
    <w:basedOn w:val="a4"/>
    <w:semiHidden/>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Columns 3"/>
    <w:basedOn w:val="a4"/>
    <w:semiHidden/>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4"/>
    <w:semiHidden/>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4"/>
    <w:semiHidden/>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6">
    <w:name w:val="Table Contemporary"/>
    <w:basedOn w:val="a4"/>
    <w:semiHidden/>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7">
    <w:name w:val="Table Elegant"/>
    <w:basedOn w:val="a4"/>
    <w:semiHidden/>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f8">
    <w:name w:val="Table Grid"/>
    <w:basedOn w:val="a4"/>
    <w:semiHidden/>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Grid 1"/>
    <w:basedOn w:val="a4"/>
    <w:semiHidden/>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b">
    <w:name w:val="Table Grid 2"/>
    <w:basedOn w:val="a4"/>
    <w:semiHidden/>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4"/>
    <w:semiHidden/>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4"/>
    <w:semiHidden/>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semiHidden/>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5">
    <w:name w:val="Table List 1"/>
    <w:basedOn w:val="a4"/>
    <w:semiHidden/>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List 2"/>
    <w:basedOn w:val="a4"/>
    <w:semiHidden/>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List 3"/>
    <w:basedOn w:val="a4"/>
    <w:semiHidden/>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4"/>
    <w:semiHidden/>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semiHidden/>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1">
    <w:name w:val="Table List 7"/>
    <w:basedOn w:val="a4"/>
    <w:semiHidden/>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9">
    <w:name w:val="Table Professional"/>
    <w:basedOn w:val="a4"/>
    <w:semiHidden/>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Simple 1"/>
    <w:basedOn w:val="a4"/>
    <w:semiHidden/>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d">
    <w:name w:val="Table Simple 2"/>
    <w:basedOn w:val="a4"/>
    <w:semiHidden/>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4"/>
    <w:semiHidden/>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Subtle 1"/>
    <w:basedOn w:val="a4"/>
    <w:semiHidden/>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4"/>
    <w:semiHidden/>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a">
    <w:name w:val="Table Theme"/>
    <w:basedOn w:val="a4"/>
    <w:semiHidden/>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8">
    <w:name w:val="Table Web 1"/>
    <w:basedOn w:val="a4"/>
    <w:semiHidden/>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
    <w:name w:val="Table Web 2"/>
    <w:basedOn w:val="a4"/>
    <w:semiHidden/>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d">
    <w:name w:val="Table Web 3"/>
    <w:basedOn w:val="a4"/>
    <w:semiHidden/>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b">
    <w:name w:val="Title"/>
    <w:basedOn w:val="a2"/>
    <w:qFormat/>
    <w:pPr>
      <w:spacing w:before="240" w:after="60"/>
      <w:jc w:val="center"/>
      <w:outlineLvl w:val="0"/>
    </w:pPr>
    <w:rPr>
      <w:rFonts w:ascii="Arial" w:hAnsi="Arial" w:cs="Arial"/>
      <w:b/>
      <w:bCs/>
      <w:kern w:val="28"/>
      <w:sz w:val="32"/>
      <w:szCs w:val="32"/>
    </w:rPr>
  </w:style>
  <w:style w:type="paragraph" w:styleId="affc">
    <w:name w:val="envelope address"/>
    <w:basedOn w:val="a2"/>
    <w:semiHidden/>
    <w:pPr>
      <w:framePr w:w="7920" w:h="1980" w:hRule="exact" w:hSpace="180" w:wrap="auto" w:hAnchor="page" w:xAlign="center" w:yAlign="bottom"/>
      <w:ind w:left="2880"/>
    </w:pPr>
    <w:rPr>
      <w:rFonts w:ascii="Arial" w:hAnsi="Arial" w:cs="Arial"/>
      <w:sz w:val="24"/>
      <w:szCs w:val="24"/>
    </w:rPr>
  </w:style>
  <w:style w:type="paragraph" w:styleId="affd">
    <w:name w:val="footer"/>
    <w:aliases w:val="3_G"/>
    <w:basedOn w:val="a2"/>
    <w:pPr>
      <w:spacing w:line="240" w:lineRule="auto"/>
    </w:pPr>
    <w:rPr>
      <w:sz w:val="16"/>
    </w:rPr>
  </w:style>
  <w:style w:type="paragraph" w:styleId="affe">
    <w:name w:val="header"/>
    <w:aliases w:val="6_G"/>
    <w:basedOn w:val="a2"/>
    <w:pPr>
      <w:pBdr>
        <w:bottom w:val="single" w:sz="4" w:space="4" w:color="auto"/>
      </w:pBdr>
      <w:spacing w:line="240" w:lineRule="auto"/>
    </w:pPr>
    <w:rPr>
      <w:b/>
      <w:sz w:val="18"/>
    </w:rPr>
  </w:style>
  <w:style w:type="paragraph" w:customStyle="1" w:styleId="H1">
    <w:name w:val="_ H_1"/>
    <w:basedOn w:val="a2"/>
    <w:next w:val="SingleTxt"/>
    <w:qFormat/>
    <w:rsid w:val="00D07370"/>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rFonts w:eastAsia="Calibri"/>
      <w:b/>
      <w:spacing w:val="4"/>
      <w:w w:val="103"/>
      <w:kern w:val="14"/>
      <w:sz w:val="24"/>
    </w:rPr>
  </w:style>
  <w:style w:type="paragraph" w:customStyle="1" w:styleId="H23">
    <w:name w:val="_ H_2/3"/>
    <w:basedOn w:val="H1"/>
    <w:next w:val="SingleTxt"/>
    <w:rsid w:val="00D07370"/>
    <w:pPr>
      <w:spacing w:line="240" w:lineRule="exact"/>
      <w:outlineLvl w:val="1"/>
    </w:pPr>
    <w:rPr>
      <w:spacing w:val="2"/>
      <w:sz w:val="20"/>
    </w:rPr>
  </w:style>
  <w:style w:type="paragraph" w:customStyle="1" w:styleId="SingleTxt">
    <w:name w:val="__Single Txt"/>
    <w:basedOn w:val="a2"/>
    <w:qFormat/>
    <w:rsid w:val="00D0737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rFonts w:eastAsia="Calibri"/>
      <w:spacing w:val="4"/>
      <w:w w:val="103"/>
      <w:kern w:val="14"/>
    </w:rPr>
  </w:style>
  <w:style w:type="character" w:customStyle="1" w:styleId="af2">
    <w:name w:val="批注文字 字符"/>
    <w:link w:val="af1"/>
    <w:rsid w:val="00D07370"/>
    <w:rPr>
      <w:lang w:val="en-GB" w:eastAsia="en-US"/>
    </w:rPr>
  </w:style>
  <w:style w:type="paragraph" w:styleId="afff">
    <w:name w:val="Balloon Text"/>
    <w:basedOn w:val="a2"/>
    <w:link w:val="afff0"/>
    <w:rsid w:val="00D07370"/>
    <w:pPr>
      <w:spacing w:line="240" w:lineRule="auto"/>
    </w:pPr>
    <w:rPr>
      <w:rFonts w:ascii="Tahoma" w:hAnsi="Tahoma" w:cs="Tahoma"/>
      <w:sz w:val="16"/>
      <w:szCs w:val="16"/>
    </w:rPr>
  </w:style>
  <w:style w:type="character" w:customStyle="1" w:styleId="afff0">
    <w:name w:val="批注框文本 字符"/>
    <w:link w:val="afff"/>
    <w:rsid w:val="00D07370"/>
    <w:rPr>
      <w:rFonts w:ascii="Tahoma" w:hAnsi="Tahoma" w:cs="Tahoma"/>
      <w:sz w:val="16"/>
      <w:szCs w:val="16"/>
      <w:lang w:val="en-GB" w:eastAsia="en-US"/>
    </w:rPr>
  </w:style>
  <w:style w:type="character" w:customStyle="1" w:styleId="ae">
    <w:name w:val="脚注文本 字符"/>
    <w:aliases w:val="5_G 字符"/>
    <w:basedOn w:val="a3"/>
    <w:link w:val="ad"/>
    <w:rsid w:val="00C52C82"/>
    <w:rPr>
      <w:sz w:val="18"/>
      <w:lang w:val="en-GB" w:eastAsia="en-US"/>
    </w:rPr>
  </w:style>
  <w:style w:type="paragraph" w:styleId="afff1">
    <w:name w:val="annotation subject"/>
    <w:basedOn w:val="af1"/>
    <w:next w:val="af1"/>
    <w:link w:val="afff2"/>
    <w:semiHidden/>
    <w:unhideWhenUsed/>
    <w:rsid w:val="0078460F"/>
    <w:rPr>
      <w:b/>
      <w:bCs/>
    </w:rPr>
  </w:style>
  <w:style w:type="character" w:customStyle="1" w:styleId="afff2">
    <w:name w:val="批注主题 字符"/>
    <w:basedOn w:val="af2"/>
    <w:link w:val="afff1"/>
    <w:semiHidden/>
    <w:rsid w:val="0078460F"/>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undocs.org/ch/CEDAW/C/AND/Q/4/Add.1"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ndocs.org/ch/CEDAW/C/AND/Q/4"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docs.org/ch/CEDAW/C/AND/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undocs.org/ch/CEDAW/C/SR.1723"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undocs.org/ch/CEDAW/C/SR.1722"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ADF9D-624B-4BAF-84BC-9D6F62CA7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366</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1363903</vt:lpstr>
    </vt:vector>
  </TitlesOfParts>
  <Company>CSD</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1363903</dc:title>
  <dc:subject>CEDAW/C/XXX/CO/Y</dc:subject>
  <dc:creator>Morris</dc:creator>
  <dc:description>Final</dc:description>
  <cp:lastModifiedBy>Bing Dai</cp:lastModifiedBy>
  <cp:revision>3</cp:revision>
  <cp:lastPrinted>2008-01-29T12:17:00Z</cp:lastPrinted>
  <dcterms:created xsi:type="dcterms:W3CDTF">2020-08-07T08:49:00Z</dcterms:created>
  <dcterms:modified xsi:type="dcterms:W3CDTF">2020-08-07T08:50:00Z</dcterms:modified>
</cp:coreProperties>
</file>