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D41A1E" w:rsidRPr="00D41A1E" w:rsidTr="004D07D3">
        <w:trPr>
          <w:cantSplit/>
          <w:trHeight w:hRule="exact" w:val="851"/>
        </w:trPr>
        <w:tc>
          <w:tcPr>
            <w:tcW w:w="1276" w:type="dxa"/>
            <w:tcBorders>
              <w:bottom w:val="single" w:sz="4" w:space="0" w:color="auto"/>
            </w:tcBorders>
            <w:vAlign w:val="bottom"/>
          </w:tcPr>
          <w:p w:rsidR="000175F8" w:rsidRPr="00D41A1E" w:rsidRDefault="000175F8" w:rsidP="004D07D3">
            <w:pPr>
              <w:pStyle w:val="SingleTxtG"/>
            </w:pPr>
          </w:p>
        </w:tc>
        <w:tc>
          <w:tcPr>
            <w:tcW w:w="2268" w:type="dxa"/>
            <w:tcBorders>
              <w:bottom w:val="single" w:sz="4" w:space="0" w:color="auto"/>
            </w:tcBorders>
            <w:vAlign w:val="bottom"/>
          </w:tcPr>
          <w:p w:rsidR="000175F8" w:rsidRPr="00D41A1E" w:rsidRDefault="000175F8" w:rsidP="004D07D3">
            <w:pPr>
              <w:spacing w:after="80" w:line="300" w:lineRule="exact"/>
              <w:rPr>
                <w:b/>
                <w:sz w:val="24"/>
                <w:szCs w:val="24"/>
              </w:rPr>
            </w:pPr>
            <w:r w:rsidRPr="00D41A1E">
              <w:rPr>
                <w:sz w:val="28"/>
                <w:szCs w:val="28"/>
              </w:rPr>
              <w:t>United Nations</w:t>
            </w:r>
          </w:p>
        </w:tc>
        <w:tc>
          <w:tcPr>
            <w:tcW w:w="6095" w:type="dxa"/>
            <w:gridSpan w:val="2"/>
            <w:tcBorders>
              <w:bottom w:val="single" w:sz="4" w:space="0" w:color="auto"/>
            </w:tcBorders>
            <w:vAlign w:val="bottom"/>
          </w:tcPr>
          <w:p w:rsidR="000175F8" w:rsidRPr="00D41A1E" w:rsidRDefault="000175F8" w:rsidP="0020573A">
            <w:pPr>
              <w:suppressAutoHyphens w:val="0"/>
              <w:spacing w:after="20"/>
              <w:jc w:val="right"/>
            </w:pPr>
          </w:p>
        </w:tc>
      </w:tr>
      <w:tr w:rsidR="00D41A1E" w:rsidRPr="00D41A1E" w:rsidTr="004D07D3">
        <w:trPr>
          <w:cantSplit/>
          <w:trHeight w:hRule="exact" w:val="2835"/>
        </w:trPr>
        <w:tc>
          <w:tcPr>
            <w:tcW w:w="1276" w:type="dxa"/>
            <w:tcBorders>
              <w:top w:val="single" w:sz="4" w:space="0" w:color="auto"/>
              <w:bottom w:val="single" w:sz="12" w:space="0" w:color="auto"/>
            </w:tcBorders>
          </w:tcPr>
          <w:p w:rsidR="000175F8" w:rsidRPr="00D41A1E" w:rsidRDefault="000175F8" w:rsidP="004D07D3">
            <w:pPr>
              <w:spacing w:before="120"/>
              <w:jc w:val="center"/>
            </w:pPr>
            <w:r w:rsidRPr="00D41A1E">
              <w:rPr>
                <w:noProof/>
                <w:lang w:val="en-US" w:eastAsia="zh-CN"/>
              </w:rPr>
              <w:drawing>
                <wp:inline distT="0" distB="0" distL="0" distR="0" wp14:anchorId="5FEAA2CF" wp14:editId="4774C20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0175F8" w:rsidRPr="00D41A1E" w:rsidRDefault="000175F8" w:rsidP="004D07D3">
            <w:pPr>
              <w:spacing w:before="120" w:line="380" w:lineRule="exact"/>
              <w:rPr>
                <w:b/>
                <w:sz w:val="34"/>
                <w:szCs w:val="40"/>
              </w:rPr>
            </w:pPr>
            <w:r w:rsidRPr="00D41A1E">
              <w:rPr>
                <w:b/>
                <w:sz w:val="34"/>
                <w:szCs w:val="40"/>
              </w:rPr>
              <w:t>Convention on the Elimination</w:t>
            </w:r>
            <w:r w:rsidRPr="00D41A1E">
              <w:rPr>
                <w:b/>
                <w:sz w:val="34"/>
                <w:szCs w:val="40"/>
              </w:rPr>
              <w:br/>
              <w:t>of All Forms of Discrimination</w:t>
            </w:r>
            <w:r w:rsidRPr="00D41A1E">
              <w:rPr>
                <w:b/>
                <w:sz w:val="34"/>
                <w:szCs w:val="40"/>
              </w:rPr>
              <w:br/>
              <w:t>against Women</w:t>
            </w:r>
          </w:p>
          <w:p w:rsidR="000175F8" w:rsidRPr="00D41A1E" w:rsidRDefault="000175F8" w:rsidP="004D07D3">
            <w:pPr>
              <w:spacing w:before="120" w:line="420" w:lineRule="exact"/>
            </w:pPr>
          </w:p>
        </w:tc>
        <w:tc>
          <w:tcPr>
            <w:tcW w:w="2835" w:type="dxa"/>
            <w:tcBorders>
              <w:top w:val="single" w:sz="4" w:space="0" w:color="auto"/>
              <w:bottom w:val="single" w:sz="12" w:space="0" w:color="auto"/>
            </w:tcBorders>
          </w:tcPr>
          <w:p w:rsidR="0020573A" w:rsidRPr="00D41A1E" w:rsidRDefault="0020573A" w:rsidP="0020573A">
            <w:pPr>
              <w:suppressAutoHyphens w:val="0"/>
            </w:pPr>
          </w:p>
        </w:tc>
      </w:tr>
    </w:tbl>
    <w:p w:rsidR="0020573A" w:rsidRPr="00D41A1E" w:rsidRDefault="0020573A" w:rsidP="0020573A">
      <w:pPr>
        <w:spacing w:before="120"/>
        <w:rPr>
          <w:b/>
          <w:sz w:val="24"/>
          <w:szCs w:val="24"/>
        </w:rPr>
      </w:pPr>
      <w:r w:rsidRPr="00D41A1E">
        <w:rPr>
          <w:b/>
          <w:sz w:val="24"/>
          <w:szCs w:val="24"/>
        </w:rPr>
        <w:t>Committee on the Elimination of</w:t>
      </w:r>
      <w:r w:rsidRPr="00D41A1E">
        <w:rPr>
          <w:b/>
          <w:sz w:val="24"/>
          <w:szCs w:val="24"/>
        </w:rPr>
        <w:br/>
        <w:t>Discrimination against Women</w:t>
      </w:r>
    </w:p>
    <w:p w:rsidR="0007080C" w:rsidRPr="00D41A1E" w:rsidRDefault="0020573A" w:rsidP="0020573A">
      <w:pPr>
        <w:pStyle w:val="HChG"/>
      </w:pPr>
      <w:r w:rsidRPr="00D41A1E">
        <w:tab/>
      </w:r>
      <w:r w:rsidR="00657E58" w:rsidRPr="00D41A1E">
        <w:t>Concluding observations on the initial report of Cuba</w:t>
      </w:r>
      <w:r w:rsidR="00650C1B" w:rsidRPr="00D41A1E">
        <w:rPr>
          <w:rStyle w:val="ac"/>
          <w:b w:val="0"/>
          <w:bCs/>
          <w:sz w:val="20"/>
          <w:vertAlign w:val="baseline"/>
        </w:rPr>
        <w:footnoteReference w:customMarkFollows="1" w:id="1"/>
        <w:t>*</w:t>
      </w:r>
    </w:p>
    <w:p w:rsidR="0007080C" w:rsidRPr="00D41A1E" w:rsidRDefault="00657E58" w:rsidP="0020573A">
      <w:pPr>
        <w:pStyle w:val="HChG"/>
      </w:pPr>
      <w:r w:rsidRPr="00D41A1E">
        <w:t xml:space="preserve">Concluding observations on the combined </w:t>
      </w:r>
      <w:r w:rsidR="0007080C" w:rsidRPr="00D41A1E">
        <w:rPr>
          <w:lang w:val="en-US"/>
        </w:rPr>
        <w:t xml:space="preserve">second </w:t>
      </w:r>
      <w:r w:rsidR="00AC7F46" w:rsidRPr="00D41A1E">
        <w:rPr>
          <w:rFonts w:hint="eastAsia"/>
        </w:rPr>
        <w:t>to</w:t>
      </w:r>
      <w:r w:rsidR="00AC7F46" w:rsidRPr="00D41A1E">
        <w:t xml:space="preserve"> </w:t>
      </w:r>
      <w:r w:rsidR="00AC7F46" w:rsidRPr="00D41A1E">
        <w:rPr>
          <w:rFonts w:hint="eastAsia"/>
        </w:rPr>
        <w:t>fourth</w:t>
      </w:r>
      <w:r w:rsidR="0007080C" w:rsidRPr="00D41A1E">
        <w:rPr>
          <w:lang w:val="en-US"/>
        </w:rPr>
        <w:t xml:space="preserve"> periodic reports </w:t>
      </w:r>
      <w:r w:rsidRPr="00D41A1E">
        <w:t xml:space="preserve">of </w:t>
      </w:r>
      <w:r w:rsidR="00863799" w:rsidRPr="00D41A1E">
        <w:rPr>
          <w:rFonts w:hint="eastAsia"/>
          <w:lang w:val="en-US"/>
        </w:rPr>
        <w:t>Italy</w:t>
      </w:r>
      <w:r w:rsidR="00650C1B" w:rsidRPr="00D41A1E">
        <w:rPr>
          <w:rStyle w:val="ac"/>
          <w:b w:val="0"/>
          <w:bCs/>
          <w:sz w:val="20"/>
          <w:vertAlign w:val="baseline"/>
        </w:rPr>
        <w:footnoteReference w:customMarkFollows="1" w:id="2"/>
        <w:t>*</w:t>
      </w:r>
    </w:p>
    <w:p w:rsidR="00657E58" w:rsidRPr="00D41A1E" w:rsidRDefault="0020573A" w:rsidP="00990E52">
      <w:pPr>
        <w:pStyle w:val="HChG"/>
      </w:pPr>
      <w:r w:rsidRPr="00D41A1E">
        <w:t xml:space="preserve">Concluding observations on the </w:t>
      </w:r>
      <w:r w:rsidR="0007080C" w:rsidRPr="00D41A1E">
        <w:rPr>
          <w:rFonts w:hint="eastAsia"/>
        </w:rPr>
        <w:t>second</w:t>
      </w:r>
      <w:r w:rsidR="0007080C" w:rsidRPr="00D41A1E">
        <w:t xml:space="preserve"> </w:t>
      </w:r>
      <w:r w:rsidRPr="00D41A1E">
        <w:t xml:space="preserve">periodic report of </w:t>
      </w:r>
      <w:r w:rsidR="00863799" w:rsidRPr="00D41A1E">
        <w:rPr>
          <w:rFonts w:hint="eastAsia"/>
        </w:rPr>
        <w:t>France</w:t>
      </w:r>
      <w:r w:rsidR="005A639C" w:rsidRPr="00D41A1E">
        <w:rPr>
          <w:rStyle w:val="ac"/>
          <w:b w:val="0"/>
          <w:bCs/>
          <w:sz w:val="20"/>
          <w:vertAlign w:val="baseline"/>
        </w:rPr>
        <w:footnoteReference w:customMarkFollows="1" w:id="3"/>
        <w:t>*</w:t>
      </w:r>
    </w:p>
    <w:p w:rsidR="003A3222" w:rsidRPr="00D41A1E" w:rsidRDefault="0020573A" w:rsidP="0020573A">
      <w:pPr>
        <w:pStyle w:val="SingleTxtG"/>
        <w:rPr>
          <w:rStyle w:val="af2"/>
          <w:color w:val="auto"/>
        </w:rPr>
      </w:pPr>
      <w:r w:rsidRPr="00D41A1E">
        <w:t>1.</w:t>
      </w:r>
      <w:r w:rsidRPr="00D41A1E">
        <w:tab/>
      </w:r>
      <w:r w:rsidR="003A3222" w:rsidRPr="00D41A1E">
        <w:t>The Committee considered the fourth periodic report of Andorra (</w:t>
      </w:r>
      <w:hyperlink r:id="rId9" w:history="1">
        <w:r w:rsidR="003A3222" w:rsidRPr="00D41A1E">
          <w:rPr>
            <w:rStyle w:val="af2"/>
            <w:color w:val="auto"/>
          </w:rPr>
          <w:t>CEDAW/C/AND/4</w:t>
        </w:r>
      </w:hyperlink>
      <w:r w:rsidR="003A3222" w:rsidRPr="00D41A1E">
        <w:t xml:space="preserve">) at its 1722nd and 1723rd meetings (see </w:t>
      </w:r>
      <w:hyperlink r:id="rId10" w:history="1">
        <w:r w:rsidR="003A3222" w:rsidRPr="00D41A1E">
          <w:rPr>
            <w:rStyle w:val="af2"/>
            <w:color w:val="auto"/>
          </w:rPr>
          <w:t>CEDAW/C/SR.1722</w:t>
        </w:r>
      </w:hyperlink>
      <w:r w:rsidR="003A3222" w:rsidRPr="00D41A1E">
        <w:t xml:space="preserve"> and </w:t>
      </w:r>
      <w:hyperlink r:id="rId11" w:history="1">
        <w:r w:rsidR="003A3222" w:rsidRPr="00D41A1E">
          <w:rPr>
            <w:rStyle w:val="af2"/>
            <w:color w:val="auto"/>
          </w:rPr>
          <w:t>CEDAW/C/SR.1723</w:t>
        </w:r>
      </w:hyperlink>
      <w:r w:rsidR="003A3222" w:rsidRPr="00D41A1E">
        <w:t xml:space="preserve">), held on 23 October 2019. The list of issues and questions raised by the pre-sessional working group is contained in </w:t>
      </w:r>
      <w:hyperlink r:id="rId12" w:history="1">
        <w:r w:rsidR="003A3222" w:rsidRPr="00D41A1E">
          <w:rPr>
            <w:rStyle w:val="af2"/>
            <w:color w:val="auto"/>
          </w:rPr>
          <w:t>CEDAW/C/AND/Q/4</w:t>
        </w:r>
      </w:hyperlink>
      <w:r w:rsidR="003A3222" w:rsidRPr="00D41A1E">
        <w:t xml:space="preserve">, and the responses of Andorra are contained in </w:t>
      </w:r>
      <w:hyperlink r:id="rId13" w:history="1">
        <w:r w:rsidR="003A3222" w:rsidRPr="00D41A1E">
          <w:rPr>
            <w:rStyle w:val="af2"/>
            <w:color w:val="auto"/>
          </w:rPr>
          <w:t>CEDAW/C/AND/Q/4/Add.1</w:t>
        </w:r>
      </w:hyperlink>
      <w:r w:rsidR="003A3222" w:rsidRPr="00D41A1E">
        <w:rPr>
          <w:rStyle w:val="af2"/>
          <w:color w:val="auto"/>
        </w:rPr>
        <w:t>.</w:t>
      </w:r>
    </w:p>
    <w:p w:rsidR="0020573A" w:rsidRPr="00D41A1E" w:rsidRDefault="0020573A" w:rsidP="0020573A">
      <w:pPr>
        <w:pStyle w:val="SingleTxtG"/>
      </w:pPr>
      <w:r w:rsidRPr="00D41A1E">
        <w:t>The Committee’s list of issues and questions is contained in CEDAW/C/</w:t>
      </w:r>
      <w:r w:rsidR="00CD521C" w:rsidRPr="00D41A1E">
        <w:rPr>
          <w:rFonts w:hint="eastAsia"/>
        </w:rPr>
        <w:t>FRA</w:t>
      </w:r>
      <w:r w:rsidRPr="00D41A1E">
        <w:t>/Q/</w:t>
      </w:r>
      <w:r w:rsidR="00CD521C" w:rsidRPr="00D41A1E">
        <w:t>2</w:t>
      </w:r>
      <w:r w:rsidR="00EA78D5" w:rsidRPr="00D41A1E">
        <w:t xml:space="preserve">, </w:t>
      </w:r>
      <w:r w:rsidRPr="00D41A1E">
        <w:t xml:space="preserve">and the responses of </w:t>
      </w:r>
      <w:r w:rsidR="00CD521C" w:rsidRPr="00D41A1E">
        <w:rPr>
          <w:rFonts w:hint="eastAsia"/>
        </w:rPr>
        <w:t>France</w:t>
      </w:r>
      <w:r w:rsidRPr="00D41A1E">
        <w:t xml:space="preserve"> are contained in CEDAW/C/</w:t>
      </w:r>
      <w:r w:rsidR="00CD521C" w:rsidRPr="00D41A1E">
        <w:rPr>
          <w:rFonts w:hint="eastAsia"/>
        </w:rPr>
        <w:t>FRA</w:t>
      </w:r>
      <w:r w:rsidRPr="00D41A1E">
        <w:t>/Q/</w:t>
      </w:r>
      <w:r w:rsidR="00CD521C" w:rsidRPr="00D41A1E">
        <w:t>2</w:t>
      </w:r>
      <w:r w:rsidRPr="00D41A1E">
        <w:t>/Add.1.</w:t>
      </w:r>
    </w:p>
    <w:p w:rsidR="0020573A" w:rsidRPr="00D41A1E" w:rsidRDefault="0020573A" w:rsidP="0020573A">
      <w:pPr>
        <w:pStyle w:val="H1G"/>
      </w:pPr>
      <w:r w:rsidRPr="00D41A1E">
        <w:tab/>
        <w:t>A.</w:t>
      </w:r>
      <w:r w:rsidRPr="00D41A1E">
        <w:tab/>
        <w:t>Introduction</w:t>
      </w:r>
    </w:p>
    <w:p w:rsidR="0020573A" w:rsidRPr="00D41A1E" w:rsidRDefault="0020573A" w:rsidP="0020573A">
      <w:pPr>
        <w:pStyle w:val="SingleTxtG"/>
      </w:pPr>
      <w:r w:rsidRPr="00D41A1E">
        <w:t>2.</w:t>
      </w:r>
      <w:r w:rsidRPr="00D41A1E">
        <w:tab/>
        <w:t xml:space="preserve">The Committee appreciates the submission by the State party of its </w:t>
      </w:r>
      <w:r w:rsidR="00E97C99" w:rsidRPr="00D41A1E">
        <w:rPr>
          <w:rFonts w:hint="eastAsia"/>
        </w:rPr>
        <w:t>fifth</w:t>
      </w:r>
      <w:r w:rsidRPr="00D41A1E">
        <w:t xml:space="preserve"> periodic report. It also appreciates the State party’s written replies to the list of issues and questions raised by the pre-sessional working group and welcomes the oral presentation by the delegation and the further clarifications provided in response to the questions posed orally by the Committee during the dialogue.</w:t>
      </w:r>
    </w:p>
    <w:p w:rsidR="0020573A" w:rsidRPr="00D41A1E" w:rsidRDefault="0020573A" w:rsidP="0020573A">
      <w:pPr>
        <w:pStyle w:val="SingleTxtG"/>
      </w:pPr>
      <w:r w:rsidRPr="00D41A1E">
        <w:tab/>
        <w:t xml:space="preserve">The Committee appreciates the submission by the State party of its </w:t>
      </w:r>
      <w:r w:rsidR="00D93645" w:rsidRPr="00D41A1E">
        <w:rPr>
          <w:rFonts w:hint="eastAsia"/>
        </w:rPr>
        <w:t>fourth</w:t>
      </w:r>
      <w:r w:rsidRPr="00D41A1E">
        <w:t xml:space="preserve"> periodic report, which was prepared in response to the list of issues prior to reporting (</w:t>
      </w:r>
      <w:r w:rsidR="00D93645" w:rsidRPr="00D41A1E">
        <w:t>CEDAW/C/AND/QPR/4</w:t>
      </w:r>
      <w:r w:rsidRPr="00D41A1E">
        <w:t>). It welcomes the oral presentation by the delegation and the further clarifications provided in response to the questions posed orally by the Committee during the dialogue.</w:t>
      </w:r>
    </w:p>
    <w:p w:rsidR="0020573A" w:rsidRPr="00D41A1E" w:rsidRDefault="001E56A6" w:rsidP="0020573A">
      <w:pPr>
        <w:pStyle w:val="SingleTxtG"/>
      </w:pPr>
      <w:r w:rsidRPr="00D41A1E">
        <w:t>3.</w:t>
      </w:r>
      <w:r w:rsidRPr="00D41A1E">
        <w:tab/>
      </w:r>
      <w:r w:rsidR="0020573A" w:rsidRPr="00D41A1E">
        <w:t xml:space="preserve">The Committee commends the State party’s high-level delegation, which was headed by </w:t>
      </w:r>
      <w:r w:rsidR="00D93645" w:rsidRPr="00D41A1E">
        <w:rPr>
          <w:rFonts w:hint="eastAsia"/>
        </w:rPr>
        <w:t>t</w:t>
      </w:r>
      <w:r w:rsidR="00D93645" w:rsidRPr="00D41A1E">
        <w:t>he Minister of Women of Paraguay, Ana María Baiardi</w:t>
      </w:r>
      <w:r w:rsidR="0020573A" w:rsidRPr="00D41A1E">
        <w:t xml:space="preserve">. The delegation also included representatives of </w:t>
      </w:r>
      <w:r w:rsidR="006B3569" w:rsidRPr="00D41A1E">
        <w:t>representatives of the Ministry of Women, the Ministry of Labour, Employment and Social Security, the Ministry of Education and Science, the Ministry of Public Health and Social Well-being, the Ministry for Foreign Affairs and the Permanent Mission of Paraguay to the United Nations Office and other international organizations in Geneva.</w:t>
      </w:r>
    </w:p>
    <w:p w:rsidR="005877DB" w:rsidRPr="00D41A1E" w:rsidRDefault="0020573A" w:rsidP="005877DB">
      <w:pPr>
        <w:pStyle w:val="H1G"/>
      </w:pPr>
      <w:r w:rsidRPr="00D41A1E">
        <w:lastRenderedPageBreak/>
        <w:tab/>
        <w:t>B.</w:t>
      </w:r>
      <w:r w:rsidRPr="00D41A1E">
        <w:tab/>
        <w:t xml:space="preserve">Positive aspects </w:t>
      </w:r>
    </w:p>
    <w:p w:rsidR="005877DB" w:rsidRPr="00D41A1E" w:rsidRDefault="005877DB" w:rsidP="005877DB">
      <w:pPr>
        <w:pStyle w:val="SingleTxtG"/>
      </w:pPr>
      <w:r w:rsidRPr="00D41A1E">
        <w:t>4.</w:t>
      </w:r>
      <w:r w:rsidRPr="00D41A1E">
        <w:tab/>
        <w:t>The Committee welcomes the progress achieved since the entry into force of the Convention for the State party in 2004 in undertaking legislative reforms, in particular the adoption of the following:</w:t>
      </w:r>
    </w:p>
    <w:p w:rsidR="00C20DAC" w:rsidRPr="00D41A1E" w:rsidRDefault="00C20DAC" w:rsidP="005877DB">
      <w:pPr>
        <w:pStyle w:val="SingleTxtG"/>
      </w:pPr>
      <w:r w:rsidRPr="00D41A1E">
        <w:t xml:space="preserve">            The Committee welcomes the progress achieved since the consideration in 2004 of the State party’s third periodic report in undertaking legislative reforms, in particular the adoption of the following:</w:t>
      </w:r>
    </w:p>
    <w:p w:rsidR="00C20DAC" w:rsidRPr="00D41A1E" w:rsidRDefault="00C20DAC" w:rsidP="005877DB">
      <w:pPr>
        <w:pStyle w:val="SingleTxtG"/>
      </w:pPr>
    </w:p>
    <w:p w:rsidR="00F81FFB" w:rsidRPr="00D41A1E" w:rsidRDefault="00C20DAC" w:rsidP="00F81FFB">
      <w:pPr>
        <w:pStyle w:val="SingleTxt"/>
      </w:pPr>
      <w:r w:rsidRPr="00D41A1E">
        <w:t>5.</w:t>
      </w:r>
      <w:r w:rsidR="00F81FFB" w:rsidRPr="00D41A1E">
        <w:t xml:space="preserve"> The Committee welcomes the State party’s efforts to improve its institutional and policy framework aimed at accelerating the elimination of discrimination against women and promoting gender equality, such as the adoption of the following:</w:t>
      </w:r>
    </w:p>
    <w:p w:rsidR="00C20DAC" w:rsidRPr="00D41A1E" w:rsidRDefault="00F81FFB" w:rsidP="005877DB">
      <w:pPr>
        <w:pStyle w:val="SingleTxtG"/>
      </w:pPr>
      <w:r w:rsidRPr="00D41A1E">
        <w:t xml:space="preserve">        The Committee welcomes the State party’s efforts to improve its institutional and policy framework aimed at accelerating the elimination of discrimination against women and promoting gender equality, such as the following:</w:t>
      </w:r>
    </w:p>
    <w:p w:rsidR="00C20DAC" w:rsidRPr="00D41A1E" w:rsidRDefault="00C20DAC" w:rsidP="000157F3">
      <w:pPr>
        <w:pStyle w:val="SingleTxt"/>
        <w:rPr>
          <w:b/>
          <w:bCs/>
        </w:rPr>
      </w:pPr>
    </w:p>
    <w:p w:rsidR="000157F3" w:rsidRPr="00D41A1E" w:rsidRDefault="000157F3" w:rsidP="000157F3">
      <w:pPr>
        <w:pStyle w:val="SingleTxt"/>
        <w:rPr>
          <w:b/>
          <w:bCs/>
        </w:rPr>
      </w:pPr>
      <w:r w:rsidRPr="00D41A1E">
        <w:rPr>
          <w:b/>
          <w:bCs/>
        </w:rPr>
        <w:t>C.</w:t>
      </w:r>
      <w:r w:rsidRPr="00D41A1E">
        <w:rPr>
          <w:b/>
          <w:bCs/>
        </w:rPr>
        <w:tab/>
        <w:t>Sustainable Development Goals</w:t>
      </w:r>
    </w:p>
    <w:p w:rsidR="000157F3" w:rsidRPr="00D41A1E" w:rsidRDefault="000157F3" w:rsidP="000157F3">
      <w:pPr>
        <w:pStyle w:val="SingleTxt"/>
        <w:spacing w:after="0" w:line="120" w:lineRule="exact"/>
        <w:rPr>
          <w:sz w:val="10"/>
        </w:rPr>
      </w:pPr>
    </w:p>
    <w:p w:rsidR="000157F3" w:rsidRPr="00D41A1E" w:rsidRDefault="000157F3" w:rsidP="000157F3">
      <w:pPr>
        <w:pStyle w:val="SingleTxt"/>
        <w:spacing w:after="0" w:line="120" w:lineRule="exact"/>
        <w:rPr>
          <w:sz w:val="10"/>
        </w:rPr>
      </w:pPr>
    </w:p>
    <w:p w:rsidR="000157F3" w:rsidRPr="00D41A1E" w:rsidRDefault="00534479" w:rsidP="000157F3">
      <w:pPr>
        <w:pStyle w:val="SingleTxt"/>
        <w:rPr>
          <w:b/>
          <w:bCs/>
        </w:rPr>
      </w:pPr>
      <w:r w:rsidRPr="00D41A1E">
        <w:t>6</w:t>
      </w:r>
      <w:r w:rsidR="000157F3" w:rsidRPr="00D41A1E">
        <w:t>.</w:t>
      </w:r>
      <w:r w:rsidR="000157F3" w:rsidRPr="00D41A1E">
        <w:tab/>
      </w:r>
      <w:r w:rsidR="000157F3" w:rsidRPr="00D41A1E">
        <w:rPr>
          <w:b/>
          <w:bCs/>
        </w:rPr>
        <w:t>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women as the driving force of the sustainable development of the State party and to adopt relevant policies and strategies to that effect.</w:t>
      </w:r>
    </w:p>
    <w:p w:rsidR="000157F3" w:rsidRPr="00D41A1E" w:rsidRDefault="000157F3" w:rsidP="005877DB">
      <w:pPr>
        <w:pStyle w:val="SingleTxtG"/>
      </w:pPr>
    </w:p>
    <w:p w:rsidR="0020573A" w:rsidRPr="00D41A1E" w:rsidRDefault="0020573A" w:rsidP="0020573A">
      <w:pPr>
        <w:pStyle w:val="H1G"/>
      </w:pPr>
      <w:r w:rsidRPr="00D41A1E">
        <w:tab/>
      </w:r>
      <w:r w:rsidR="000157F3" w:rsidRPr="00D41A1E">
        <w:rPr>
          <w:rFonts w:hint="eastAsia"/>
        </w:rPr>
        <w:t>D</w:t>
      </w:r>
      <w:r w:rsidRPr="00D41A1E">
        <w:t>.</w:t>
      </w:r>
      <w:r w:rsidRPr="00D41A1E">
        <w:tab/>
        <w:t>Parliament</w:t>
      </w:r>
    </w:p>
    <w:p w:rsidR="0020573A" w:rsidRPr="00D41A1E" w:rsidRDefault="0020573A" w:rsidP="0020573A">
      <w:pPr>
        <w:pStyle w:val="SingleTxtG"/>
        <w:rPr>
          <w:b/>
          <w:bCs/>
        </w:rPr>
      </w:pPr>
      <w:r w:rsidRPr="00D41A1E">
        <w:t>7.</w:t>
      </w:r>
      <w:r w:rsidRPr="00D41A1E">
        <w:tab/>
      </w:r>
      <w:r w:rsidRPr="00D41A1E">
        <w:rPr>
          <w:b/>
          <w:bCs/>
        </w:rPr>
        <w:t>The Committee stresses the crucial role of the legislative power in ensuring the full implementation of the Convention (see the statement by the Committee on its relationship with parliamentarians, adopted at the forty-fifth session, in 2010). It invites Parliament, in line with its mandate, to take the necessary steps regarding the implementation of the present concluding observations between now and the next reporting period under the Convention.</w:t>
      </w:r>
    </w:p>
    <w:p w:rsidR="00644DE4" w:rsidRPr="00D41A1E" w:rsidRDefault="00644DE4" w:rsidP="0020573A">
      <w:pPr>
        <w:pStyle w:val="SingleTxtG"/>
        <w:rPr>
          <w:b/>
          <w:bCs/>
        </w:rPr>
      </w:pPr>
      <w:r w:rsidRPr="00D41A1E">
        <w:rPr>
          <w:b/>
          <w:bCs/>
        </w:rPr>
        <w:t xml:space="preserve">The Committee stresses the crucial role of the legislative power in ensuring the full implementation of the Convention (see </w:t>
      </w:r>
      <w:hyperlink r:id="rId14" w:history="1">
        <w:r w:rsidRPr="00D41A1E">
          <w:rPr>
            <w:rStyle w:val="af2"/>
            <w:b/>
            <w:bCs/>
            <w:color w:val="auto"/>
          </w:rPr>
          <w:t>A/65/38</w:t>
        </w:r>
      </w:hyperlink>
      <w:r w:rsidRPr="00D41A1E">
        <w:rPr>
          <w:b/>
          <w:bCs/>
        </w:rPr>
        <w:t>, part two, annex VI).</w:t>
      </w:r>
    </w:p>
    <w:p w:rsidR="0022307F" w:rsidRPr="00D41A1E" w:rsidRDefault="0020573A" w:rsidP="0022307F">
      <w:pPr>
        <w:pStyle w:val="H1G"/>
      </w:pPr>
      <w:r w:rsidRPr="00D41A1E">
        <w:tab/>
      </w:r>
      <w:r w:rsidR="000157F3" w:rsidRPr="00D41A1E">
        <w:rPr>
          <w:rFonts w:hint="eastAsia"/>
        </w:rPr>
        <w:t>E</w:t>
      </w:r>
      <w:r w:rsidRPr="00D41A1E">
        <w:t>.</w:t>
      </w:r>
      <w:r w:rsidRPr="00D41A1E">
        <w:tab/>
        <w:t xml:space="preserve">Principal areas of concern and recommendations </w:t>
      </w:r>
    </w:p>
    <w:p w:rsidR="00093FB4" w:rsidRPr="00D41A1E" w:rsidRDefault="00093FB4" w:rsidP="00FC07E3">
      <w:pPr>
        <w:spacing w:before="120"/>
        <w:ind w:left="1134"/>
        <w:rPr>
          <w:b/>
        </w:rPr>
      </w:pPr>
      <w:r w:rsidRPr="00D41A1E">
        <w:rPr>
          <w:b/>
        </w:rPr>
        <w:t>Visibility of the Convention, the Optional Protocol thereto and the Committee's general recommendations</w:t>
      </w:r>
    </w:p>
    <w:p w:rsidR="003060DB" w:rsidRPr="00D41A1E" w:rsidRDefault="00093FB4" w:rsidP="00FC07E3">
      <w:pPr>
        <w:spacing w:before="120"/>
        <w:ind w:left="1134"/>
        <w:rPr>
          <w:b/>
        </w:rPr>
      </w:pPr>
      <w:r w:rsidRPr="00D41A1E">
        <w:rPr>
          <w:b/>
        </w:rPr>
        <w:t>Visibility of the Convention and the Committee’s general recommendations</w:t>
      </w:r>
    </w:p>
    <w:p w:rsidR="00FC07E3" w:rsidRPr="00D41A1E" w:rsidRDefault="00CA44D7" w:rsidP="00FC07E3">
      <w:pPr>
        <w:spacing w:before="120"/>
        <w:ind w:left="1134"/>
        <w:rPr>
          <w:b/>
        </w:rPr>
      </w:pPr>
      <w:r w:rsidRPr="00D41A1E">
        <w:rPr>
          <w:b/>
        </w:rPr>
        <w:t>Definition of discrimination against wome</w:t>
      </w:r>
      <w:r w:rsidR="00FC07E3" w:rsidRPr="00D41A1E">
        <w:rPr>
          <w:rFonts w:hint="eastAsia"/>
          <w:b/>
        </w:rPr>
        <w:t>n</w:t>
      </w:r>
    </w:p>
    <w:p w:rsidR="00CA44D7" w:rsidRPr="00D41A1E" w:rsidRDefault="00CA44D7" w:rsidP="00FC07E3">
      <w:pPr>
        <w:spacing w:before="120"/>
        <w:ind w:left="1134"/>
        <w:rPr>
          <w:b/>
        </w:rPr>
      </w:pPr>
      <w:r w:rsidRPr="00D41A1E">
        <w:rPr>
          <w:b/>
        </w:rPr>
        <w:t>Women’s access to justice</w:t>
      </w:r>
    </w:p>
    <w:p w:rsidR="00917184" w:rsidRPr="00D41A1E" w:rsidRDefault="00917184" w:rsidP="00FC07E3">
      <w:pPr>
        <w:spacing w:before="120"/>
        <w:ind w:left="1134"/>
        <w:rPr>
          <w:b/>
        </w:rPr>
      </w:pPr>
      <w:r w:rsidRPr="00D41A1E">
        <w:rPr>
          <w:b/>
        </w:rPr>
        <w:t>National machinery for the advancement of women</w:t>
      </w:r>
    </w:p>
    <w:p w:rsidR="0016162E" w:rsidRPr="00D41A1E" w:rsidRDefault="0016162E" w:rsidP="00FC07E3">
      <w:pPr>
        <w:spacing w:before="120"/>
        <w:ind w:left="1134"/>
        <w:rPr>
          <w:b/>
        </w:rPr>
      </w:pPr>
      <w:r w:rsidRPr="00D41A1E">
        <w:rPr>
          <w:b/>
        </w:rPr>
        <w:t>National human rights institution</w:t>
      </w:r>
    </w:p>
    <w:p w:rsidR="0016162E" w:rsidRPr="00D41A1E" w:rsidRDefault="0016162E" w:rsidP="00FC07E3">
      <w:pPr>
        <w:spacing w:before="120"/>
        <w:ind w:left="1134"/>
        <w:rPr>
          <w:b/>
        </w:rPr>
      </w:pPr>
      <w:r w:rsidRPr="00D41A1E">
        <w:rPr>
          <w:b/>
        </w:rPr>
        <w:t>Civil society organizations</w:t>
      </w:r>
    </w:p>
    <w:p w:rsidR="0016162E" w:rsidRPr="00D41A1E" w:rsidRDefault="0016162E" w:rsidP="00FC07E3">
      <w:pPr>
        <w:spacing w:before="120"/>
        <w:ind w:left="1134"/>
        <w:rPr>
          <w:b/>
        </w:rPr>
      </w:pPr>
      <w:r w:rsidRPr="00D41A1E">
        <w:rPr>
          <w:b/>
        </w:rPr>
        <w:t>Temporary special measures</w:t>
      </w:r>
    </w:p>
    <w:p w:rsidR="0016162E" w:rsidRPr="00D41A1E" w:rsidRDefault="0016162E" w:rsidP="00FC07E3">
      <w:pPr>
        <w:spacing w:before="120"/>
        <w:ind w:left="1134"/>
        <w:rPr>
          <w:b/>
        </w:rPr>
      </w:pPr>
      <w:r w:rsidRPr="00D41A1E">
        <w:rPr>
          <w:b/>
        </w:rPr>
        <w:t>Stereotypes and harmful practices</w:t>
      </w:r>
    </w:p>
    <w:p w:rsidR="0016162E" w:rsidRPr="00D41A1E" w:rsidRDefault="0016162E" w:rsidP="00FC07E3">
      <w:pPr>
        <w:spacing w:before="120"/>
        <w:ind w:left="1134"/>
        <w:rPr>
          <w:b/>
        </w:rPr>
      </w:pPr>
      <w:r w:rsidRPr="00D41A1E">
        <w:rPr>
          <w:b/>
        </w:rPr>
        <w:t>Gender-based violence against women</w:t>
      </w:r>
    </w:p>
    <w:p w:rsidR="0016162E" w:rsidRPr="00D41A1E" w:rsidRDefault="0016162E" w:rsidP="00FC07E3">
      <w:pPr>
        <w:spacing w:before="120"/>
        <w:ind w:left="1134"/>
        <w:rPr>
          <w:b/>
        </w:rPr>
      </w:pPr>
      <w:r w:rsidRPr="00D41A1E">
        <w:rPr>
          <w:b/>
        </w:rPr>
        <w:t>Trafficking and exploitation of prostitution</w:t>
      </w:r>
    </w:p>
    <w:p w:rsidR="0016162E" w:rsidRPr="00D41A1E" w:rsidRDefault="0016162E" w:rsidP="00FC07E3">
      <w:pPr>
        <w:spacing w:before="120"/>
        <w:ind w:left="1134"/>
        <w:rPr>
          <w:b/>
        </w:rPr>
      </w:pPr>
      <w:r w:rsidRPr="00D41A1E">
        <w:rPr>
          <w:b/>
        </w:rPr>
        <w:t>Participation in political and public life</w:t>
      </w:r>
    </w:p>
    <w:p w:rsidR="0016162E" w:rsidRPr="00D41A1E" w:rsidRDefault="0016162E" w:rsidP="00FC07E3">
      <w:pPr>
        <w:spacing w:before="120"/>
        <w:ind w:left="1134"/>
        <w:rPr>
          <w:b/>
        </w:rPr>
      </w:pPr>
      <w:r w:rsidRPr="00D41A1E">
        <w:rPr>
          <w:b/>
        </w:rPr>
        <w:t>Nationality</w:t>
      </w:r>
    </w:p>
    <w:p w:rsidR="0016162E" w:rsidRPr="00D41A1E" w:rsidRDefault="0016162E" w:rsidP="00FC07E3">
      <w:pPr>
        <w:spacing w:before="120"/>
        <w:ind w:left="1134"/>
        <w:rPr>
          <w:b/>
        </w:rPr>
      </w:pPr>
      <w:r w:rsidRPr="00D41A1E">
        <w:rPr>
          <w:b/>
        </w:rPr>
        <w:t>Education</w:t>
      </w:r>
    </w:p>
    <w:p w:rsidR="0016162E" w:rsidRPr="00D41A1E" w:rsidRDefault="0016162E" w:rsidP="00FC07E3">
      <w:pPr>
        <w:spacing w:before="120"/>
        <w:ind w:left="1134"/>
        <w:rPr>
          <w:b/>
        </w:rPr>
      </w:pPr>
      <w:r w:rsidRPr="00D41A1E">
        <w:rPr>
          <w:rFonts w:hint="eastAsia"/>
          <w:b/>
        </w:rPr>
        <w:t>Employment</w:t>
      </w:r>
    </w:p>
    <w:p w:rsidR="007E585A" w:rsidRPr="00D41A1E" w:rsidRDefault="007E585A" w:rsidP="00FC07E3">
      <w:pPr>
        <w:spacing w:before="120"/>
        <w:ind w:left="1134"/>
        <w:rPr>
          <w:b/>
        </w:rPr>
      </w:pPr>
      <w:r w:rsidRPr="00D41A1E">
        <w:rPr>
          <w:b/>
        </w:rPr>
        <w:t>Economic empowerment of women</w:t>
      </w:r>
    </w:p>
    <w:p w:rsidR="007E585A" w:rsidRPr="00D41A1E" w:rsidRDefault="007E585A" w:rsidP="00FC07E3">
      <w:pPr>
        <w:spacing w:before="120"/>
        <w:ind w:left="1134"/>
        <w:rPr>
          <w:b/>
        </w:rPr>
      </w:pPr>
      <w:r w:rsidRPr="00D41A1E">
        <w:rPr>
          <w:rFonts w:hint="eastAsia"/>
          <w:b/>
        </w:rPr>
        <w:t>Health</w:t>
      </w:r>
    </w:p>
    <w:p w:rsidR="007E585A" w:rsidRPr="00D41A1E" w:rsidRDefault="007E585A" w:rsidP="00FC07E3">
      <w:pPr>
        <w:spacing w:before="120"/>
        <w:ind w:left="1134"/>
        <w:rPr>
          <w:b/>
        </w:rPr>
      </w:pPr>
      <w:r w:rsidRPr="00D41A1E">
        <w:rPr>
          <w:b/>
        </w:rPr>
        <w:t>Climate change and disaster risk reduction</w:t>
      </w:r>
    </w:p>
    <w:p w:rsidR="007E585A" w:rsidRPr="00D41A1E" w:rsidRDefault="007E585A" w:rsidP="00FC07E3">
      <w:pPr>
        <w:spacing w:before="120"/>
        <w:ind w:left="1134"/>
        <w:rPr>
          <w:b/>
        </w:rPr>
      </w:pPr>
      <w:r w:rsidRPr="00D41A1E">
        <w:rPr>
          <w:rFonts w:hint="eastAsia"/>
          <w:b/>
        </w:rPr>
        <w:t>Rural</w:t>
      </w:r>
      <w:r w:rsidRPr="00D41A1E">
        <w:rPr>
          <w:b/>
        </w:rPr>
        <w:t xml:space="preserve"> </w:t>
      </w:r>
      <w:r w:rsidR="00FE32B2" w:rsidRPr="00D41A1E">
        <w:rPr>
          <w:rFonts w:asciiTheme="minorEastAsia" w:eastAsiaTheme="minorEastAsia" w:hAnsiTheme="minorEastAsia" w:hint="eastAsia"/>
          <w:b/>
          <w:lang w:eastAsia="zh-CN"/>
        </w:rPr>
        <w:t>w</w:t>
      </w:r>
      <w:r w:rsidRPr="00D41A1E">
        <w:rPr>
          <w:rFonts w:hint="eastAsia"/>
          <w:b/>
        </w:rPr>
        <w:t>omen</w:t>
      </w:r>
    </w:p>
    <w:p w:rsidR="007E585A" w:rsidRPr="00D41A1E" w:rsidRDefault="007E585A" w:rsidP="00FC07E3">
      <w:pPr>
        <w:spacing w:before="120"/>
        <w:ind w:left="1134"/>
        <w:rPr>
          <w:b/>
        </w:rPr>
      </w:pPr>
      <w:r w:rsidRPr="00D41A1E">
        <w:rPr>
          <w:b/>
        </w:rPr>
        <w:t>Women’s access to land</w:t>
      </w:r>
    </w:p>
    <w:p w:rsidR="007E585A" w:rsidRPr="00D41A1E" w:rsidRDefault="007E585A" w:rsidP="00FC07E3">
      <w:pPr>
        <w:spacing w:before="120"/>
        <w:ind w:left="1134"/>
        <w:rPr>
          <w:b/>
        </w:rPr>
      </w:pPr>
      <w:r w:rsidRPr="00D41A1E">
        <w:rPr>
          <w:b/>
        </w:rPr>
        <w:t>Marriage and family relations</w:t>
      </w:r>
    </w:p>
    <w:p w:rsidR="00CA44D7" w:rsidRPr="00D41A1E" w:rsidRDefault="007E585A" w:rsidP="00FC07E3">
      <w:pPr>
        <w:spacing w:before="120"/>
        <w:ind w:left="1134"/>
        <w:rPr>
          <w:b/>
        </w:rPr>
      </w:pPr>
      <w:r w:rsidRPr="00D41A1E">
        <w:rPr>
          <w:b/>
        </w:rPr>
        <w:t>Data collection and analysis</w:t>
      </w:r>
      <w:r w:rsidR="00CA44D7" w:rsidRPr="00D41A1E">
        <w:rPr>
          <w:b/>
        </w:rPr>
        <w:t xml:space="preserve">              </w:t>
      </w:r>
    </w:p>
    <w:p w:rsidR="0022307F" w:rsidRPr="00D41A1E" w:rsidRDefault="0020573A" w:rsidP="004D2539">
      <w:pPr>
        <w:spacing w:before="120"/>
        <w:ind w:left="1134"/>
        <w:rPr>
          <w:b/>
        </w:rPr>
      </w:pPr>
      <w:r w:rsidRPr="00D41A1E">
        <w:rPr>
          <w:b/>
        </w:rPr>
        <w:t>Optional Protocol to the Convention and amendment to ar</w:t>
      </w:r>
      <w:r w:rsidR="0022307F" w:rsidRPr="00D41A1E">
        <w:rPr>
          <w:b/>
        </w:rPr>
        <w:t>ticle 20 (1) of the Convention</w:t>
      </w:r>
    </w:p>
    <w:p w:rsidR="004D2539" w:rsidRPr="00D41A1E" w:rsidRDefault="004D2539" w:rsidP="0020573A">
      <w:pPr>
        <w:pStyle w:val="SingleTxtG"/>
      </w:pPr>
    </w:p>
    <w:p w:rsidR="0022307F" w:rsidRPr="00D41A1E" w:rsidRDefault="0020573A" w:rsidP="0020573A">
      <w:pPr>
        <w:pStyle w:val="SingleTxtG"/>
        <w:rPr>
          <w:b/>
          <w:bCs/>
        </w:rPr>
      </w:pPr>
      <w:r w:rsidRPr="00D41A1E">
        <w:t>42.</w:t>
      </w:r>
      <w:r w:rsidRPr="00D41A1E">
        <w:tab/>
      </w:r>
      <w:r w:rsidRPr="00D41A1E">
        <w:rPr>
          <w:b/>
          <w:bCs/>
        </w:rPr>
        <w:t>The Committee encourages the State party to ratify the Optional Protocol to the Convention and to accept, as soon as possible, the amendment to article 20 (1) of the Convention concerning the meeting time of the Committee.</w:t>
      </w:r>
    </w:p>
    <w:p w:rsidR="0022307F" w:rsidRPr="00D41A1E" w:rsidRDefault="0020573A" w:rsidP="0022307F">
      <w:pPr>
        <w:pStyle w:val="H23G"/>
      </w:pPr>
      <w:r w:rsidRPr="00D41A1E">
        <w:tab/>
      </w:r>
      <w:r w:rsidRPr="00D41A1E">
        <w:tab/>
        <w:t xml:space="preserve">Beijing Declaration and Platform for Action </w:t>
      </w:r>
    </w:p>
    <w:p w:rsidR="0022307F" w:rsidRPr="00D41A1E" w:rsidRDefault="0020573A" w:rsidP="0020573A">
      <w:pPr>
        <w:pStyle w:val="SingleTxtG"/>
        <w:rPr>
          <w:b/>
          <w:bCs/>
        </w:rPr>
      </w:pPr>
      <w:r w:rsidRPr="00D41A1E">
        <w:t>43.</w:t>
      </w:r>
      <w:r w:rsidRPr="00D41A1E">
        <w:tab/>
      </w:r>
      <w:r w:rsidRPr="00D41A1E">
        <w:rPr>
          <w:b/>
          <w:bCs/>
        </w:rPr>
        <w:t>The Committee calls upon the State party to use the Beijing Declaration and Platform for Action in its efforts to implement the provisions of the Convention.</w:t>
      </w:r>
    </w:p>
    <w:p w:rsidR="0022307F" w:rsidRPr="00D41A1E" w:rsidRDefault="0020573A" w:rsidP="0022307F">
      <w:pPr>
        <w:pStyle w:val="H23G"/>
      </w:pPr>
      <w:r w:rsidRPr="00D41A1E">
        <w:tab/>
      </w:r>
      <w:r w:rsidRPr="00D41A1E">
        <w:tab/>
        <w:t xml:space="preserve">2030 Agenda for Sustainable Development </w:t>
      </w:r>
    </w:p>
    <w:p w:rsidR="0022307F" w:rsidRPr="00D41A1E" w:rsidRDefault="0020573A" w:rsidP="0020573A">
      <w:pPr>
        <w:pStyle w:val="SingleTxtG"/>
        <w:rPr>
          <w:b/>
          <w:bCs/>
        </w:rPr>
      </w:pPr>
      <w:r w:rsidRPr="00D41A1E">
        <w:t>44.</w:t>
      </w:r>
      <w:r w:rsidRPr="00D41A1E">
        <w:tab/>
      </w:r>
      <w:r w:rsidRPr="00D41A1E">
        <w:rPr>
          <w:b/>
          <w:bCs/>
        </w:rPr>
        <w:t>The Committee calls for the realization of substantive gender equality, in accordance with the provisions of the Convention, throughout the process of implementation of the 2030 Agenda for Sustainable Development.</w:t>
      </w:r>
    </w:p>
    <w:p w:rsidR="0022307F" w:rsidRPr="00D41A1E" w:rsidRDefault="0020573A" w:rsidP="0022307F">
      <w:pPr>
        <w:pStyle w:val="H23G"/>
      </w:pPr>
      <w:r w:rsidRPr="00D41A1E">
        <w:tab/>
      </w:r>
      <w:r w:rsidRPr="00D41A1E">
        <w:tab/>
        <w:t>Dissemination</w:t>
      </w:r>
    </w:p>
    <w:p w:rsidR="0022307F" w:rsidRPr="00D41A1E" w:rsidRDefault="0020573A" w:rsidP="0020573A">
      <w:pPr>
        <w:pStyle w:val="SingleTxtG"/>
        <w:rPr>
          <w:b/>
          <w:bCs/>
        </w:rPr>
      </w:pPr>
      <w:r w:rsidRPr="00D41A1E">
        <w:t>45.</w:t>
      </w:r>
      <w:r w:rsidRPr="00D41A1E">
        <w:tab/>
      </w:r>
      <w:r w:rsidRPr="00D41A1E">
        <w:rPr>
          <w:b/>
          <w:bCs/>
        </w:rPr>
        <w:t>The Committee requests the State party to ensure the timely dissemination of the present concluding observations, in the official languages of the State party, to the relevant State institutions at all levels (national, regional and local), in particular to the Government, the ministries, Parliament and the judiciary, to enable their full implementation.</w:t>
      </w:r>
    </w:p>
    <w:p w:rsidR="0022307F" w:rsidRPr="00D41A1E" w:rsidRDefault="0020573A" w:rsidP="0022307F">
      <w:pPr>
        <w:pStyle w:val="H23G"/>
      </w:pPr>
      <w:r w:rsidRPr="00D41A1E">
        <w:tab/>
      </w:r>
      <w:r w:rsidRPr="00D41A1E">
        <w:tab/>
        <w:t>Technical assistance</w:t>
      </w:r>
    </w:p>
    <w:p w:rsidR="0022307F" w:rsidRPr="00D41A1E" w:rsidRDefault="0020573A" w:rsidP="0020573A">
      <w:pPr>
        <w:pStyle w:val="SingleTxtG"/>
        <w:rPr>
          <w:b/>
          <w:bCs/>
        </w:rPr>
      </w:pPr>
      <w:r w:rsidRPr="00D41A1E">
        <w:t>46.</w:t>
      </w:r>
      <w:r w:rsidRPr="00D41A1E">
        <w:tab/>
      </w:r>
      <w:r w:rsidRPr="00D41A1E">
        <w:rPr>
          <w:b/>
          <w:bCs/>
        </w:rPr>
        <w:t>The Committee recommends that the State party link the implementation of the Convention to its development efforts and that it avail itself of regional or international technical assistance in this respect.</w:t>
      </w:r>
    </w:p>
    <w:p w:rsidR="0022307F" w:rsidRPr="00D41A1E" w:rsidRDefault="0020573A" w:rsidP="0022307F">
      <w:pPr>
        <w:pStyle w:val="H23G"/>
      </w:pPr>
      <w:r w:rsidRPr="00D41A1E">
        <w:tab/>
      </w:r>
      <w:r w:rsidRPr="00D41A1E">
        <w:tab/>
        <w:t>Ratification of other treaties</w:t>
      </w:r>
    </w:p>
    <w:p w:rsidR="0022307F" w:rsidRPr="00D41A1E" w:rsidRDefault="0020573A" w:rsidP="00C477BF">
      <w:pPr>
        <w:pStyle w:val="SingleTxtG"/>
        <w:rPr>
          <w:b/>
          <w:bCs/>
        </w:rPr>
      </w:pPr>
      <w:r w:rsidRPr="00D41A1E">
        <w:t>47.</w:t>
      </w:r>
      <w:r w:rsidRPr="00D41A1E">
        <w:tab/>
      </w:r>
      <w:r w:rsidRPr="00D41A1E">
        <w:rPr>
          <w:b/>
          <w:bCs/>
        </w:rPr>
        <w:t xml:space="preserve">The Committee notes that the adherence of the State party to the nine major international human rights </w:t>
      </w:r>
      <w:r w:rsidR="0022307F" w:rsidRPr="00D41A1E">
        <w:rPr>
          <w:b/>
          <w:bCs/>
        </w:rPr>
        <w:t>instruments</w:t>
      </w:r>
      <w:r w:rsidR="0022307F" w:rsidRPr="00D41A1E">
        <w:rPr>
          <w:rStyle w:val="ac"/>
        </w:rPr>
        <w:footnoteReference w:id="4"/>
      </w:r>
      <w:r w:rsidR="0022307F" w:rsidRPr="00D41A1E">
        <w:rPr>
          <w:b/>
          <w:bCs/>
        </w:rPr>
        <w:t xml:space="preserve"> would</w:t>
      </w:r>
      <w:r w:rsidRPr="00D41A1E">
        <w:rPr>
          <w:b/>
          <w:bCs/>
        </w:rPr>
        <w:t xml:space="preserve"> enhance the enjoyment by women of their human rights and fundamental freedoms in all aspects of life. The Committee therefore encourages the State party to ratify </w:t>
      </w:r>
      <w:r w:rsidR="00673946" w:rsidRPr="00D41A1E">
        <w:rPr>
          <w:b/>
          <w:bCs/>
        </w:rPr>
        <w:t>the Optional Protocol to the Convention on the Elimination of All Forms of Discrimination against Women</w:t>
      </w:r>
      <w:r w:rsidR="00673946" w:rsidRPr="00D41A1E">
        <w:rPr>
          <w:rFonts w:hint="eastAsia"/>
          <w:b/>
          <w:bCs/>
        </w:rPr>
        <w:t>，</w:t>
      </w:r>
      <w:r w:rsidRPr="00D41A1E">
        <w:rPr>
          <w:b/>
          <w:bCs/>
        </w:rPr>
        <w:t>to which it is not yet a party.</w:t>
      </w:r>
    </w:p>
    <w:p w:rsidR="0022307F" w:rsidRPr="00D41A1E" w:rsidRDefault="0020573A" w:rsidP="00BE733E">
      <w:pPr>
        <w:pStyle w:val="H23G"/>
      </w:pPr>
      <w:bookmarkStart w:id="0" w:name="_GoBack"/>
      <w:bookmarkEnd w:id="0"/>
      <w:r w:rsidRPr="00D41A1E">
        <w:tab/>
      </w:r>
      <w:r w:rsidRPr="00D41A1E">
        <w:tab/>
        <w:t>Follow-up to the concluding observations</w:t>
      </w:r>
    </w:p>
    <w:p w:rsidR="0022307F" w:rsidRPr="00D41A1E" w:rsidRDefault="0020573A" w:rsidP="0020573A">
      <w:pPr>
        <w:pStyle w:val="SingleTxtG"/>
        <w:rPr>
          <w:b/>
          <w:bCs/>
        </w:rPr>
      </w:pPr>
      <w:r w:rsidRPr="00D41A1E">
        <w:t>48.</w:t>
      </w:r>
      <w:r w:rsidRPr="00D41A1E">
        <w:tab/>
      </w:r>
      <w:r w:rsidRPr="00D41A1E">
        <w:rPr>
          <w:b/>
          <w:bCs/>
        </w:rPr>
        <w:t xml:space="preserve">The Committee requests the State party to provide, within </w:t>
      </w:r>
      <w:r w:rsidR="00C5032E" w:rsidRPr="00D41A1E">
        <w:rPr>
          <w:b/>
          <w:bCs/>
        </w:rPr>
        <w:t>two years</w:t>
      </w:r>
      <w:r w:rsidRPr="00D41A1E">
        <w:rPr>
          <w:b/>
          <w:bCs/>
        </w:rPr>
        <w:t xml:space="preserve">, written information on the steps taken to implement the recommendations contained in paragraphs </w:t>
      </w:r>
      <w:r w:rsidR="00C5032E" w:rsidRPr="00D41A1E">
        <w:rPr>
          <w:b/>
          <w:bCs/>
        </w:rPr>
        <w:t>25</w:t>
      </w:r>
      <w:r w:rsidRPr="00D41A1E">
        <w:rPr>
          <w:b/>
          <w:bCs/>
        </w:rPr>
        <w:t xml:space="preserve"> and </w:t>
      </w:r>
      <w:r w:rsidR="00C5032E" w:rsidRPr="00D41A1E">
        <w:rPr>
          <w:b/>
          <w:bCs/>
        </w:rPr>
        <w:t>28</w:t>
      </w:r>
      <w:r w:rsidRPr="00D41A1E">
        <w:rPr>
          <w:b/>
          <w:bCs/>
        </w:rPr>
        <w:t xml:space="preserve"> above.</w:t>
      </w:r>
    </w:p>
    <w:p w:rsidR="0022307F" w:rsidRPr="00D41A1E" w:rsidRDefault="0020573A" w:rsidP="0022307F">
      <w:pPr>
        <w:pStyle w:val="H23G"/>
      </w:pPr>
      <w:r w:rsidRPr="00D41A1E">
        <w:tab/>
      </w:r>
      <w:r w:rsidRPr="00D41A1E">
        <w:tab/>
        <w:t xml:space="preserve">Preparation of the next report </w:t>
      </w:r>
    </w:p>
    <w:p w:rsidR="0020573A" w:rsidRPr="00D41A1E" w:rsidRDefault="0020573A" w:rsidP="0020573A">
      <w:pPr>
        <w:pStyle w:val="SingleTxtG"/>
        <w:rPr>
          <w:b/>
          <w:bCs/>
        </w:rPr>
      </w:pPr>
      <w:r w:rsidRPr="00D41A1E">
        <w:t>49.</w:t>
      </w:r>
      <w:r w:rsidRPr="00D41A1E">
        <w:tab/>
      </w:r>
      <w:r w:rsidRPr="00D41A1E">
        <w:rPr>
          <w:b/>
          <w:bCs/>
        </w:rPr>
        <w:t xml:space="preserve">The Committee invites the State party to submit its </w:t>
      </w:r>
      <w:r w:rsidR="005B64F9" w:rsidRPr="00D41A1E">
        <w:rPr>
          <w:rFonts w:hint="eastAsia"/>
          <w:b/>
          <w:bCs/>
        </w:rPr>
        <w:t>fourth</w:t>
      </w:r>
      <w:r w:rsidR="005B64F9" w:rsidRPr="00D41A1E">
        <w:rPr>
          <w:b/>
          <w:bCs/>
        </w:rPr>
        <w:t xml:space="preserve"> </w:t>
      </w:r>
      <w:r w:rsidRPr="00D41A1E">
        <w:rPr>
          <w:b/>
          <w:bCs/>
        </w:rPr>
        <w:t xml:space="preserve">periodic report in </w:t>
      </w:r>
      <w:r w:rsidR="005056AB" w:rsidRPr="00D41A1E">
        <w:rPr>
          <w:rFonts w:hint="eastAsia"/>
          <w:b/>
          <w:bCs/>
        </w:rPr>
        <w:t>February</w:t>
      </w:r>
      <w:r w:rsidR="005056AB" w:rsidRPr="00D41A1E">
        <w:rPr>
          <w:b/>
          <w:bCs/>
        </w:rPr>
        <w:t xml:space="preserve"> 2024</w:t>
      </w:r>
      <w:r w:rsidRPr="00D41A1E">
        <w:rPr>
          <w:b/>
          <w:bCs/>
        </w:rPr>
        <w:t>. In case of delay, the report should cover the entire period up to the time of its submission.</w:t>
      </w:r>
    </w:p>
    <w:p w:rsidR="00140870" w:rsidRPr="00D41A1E" w:rsidRDefault="0020573A" w:rsidP="0020573A">
      <w:pPr>
        <w:pStyle w:val="SingleTxtG"/>
      </w:pPr>
      <w:r w:rsidRPr="00D41A1E">
        <w:t>50.</w:t>
      </w:r>
      <w:r w:rsidRPr="00D41A1E">
        <w:tab/>
      </w:r>
      <w:r w:rsidRPr="00D41A1E">
        <w:rPr>
          <w:b/>
          <w:bCs/>
        </w:rPr>
        <w:t>The Committee requests the State party to follow the harmonized guidelines on reporting under the international human rights treaties, including guidelines on a common core document and treaty-specific documents (see HRI/GEN/2/Rev.6, chap. I).</w:t>
      </w:r>
    </w:p>
    <w:p w:rsidR="0020573A" w:rsidRPr="00D41A1E" w:rsidRDefault="0020573A" w:rsidP="0020573A">
      <w:pPr>
        <w:spacing w:before="240"/>
        <w:jc w:val="center"/>
        <w:rPr>
          <w:u w:val="single"/>
        </w:rPr>
      </w:pPr>
      <w:r w:rsidRPr="00D41A1E">
        <w:rPr>
          <w:u w:val="single"/>
        </w:rPr>
        <w:tab/>
      </w:r>
      <w:r w:rsidRPr="00D41A1E">
        <w:rPr>
          <w:u w:val="single"/>
        </w:rPr>
        <w:tab/>
      </w:r>
      <w:r w:rsidRPr="00D41A1E">
        <w:rPr>
          <w:u w:val="single"/>
        </w:rPr>
        <w:tab/>
      </w:r>
    </w:p>
    <w:sectPr w:rsidR="0020573A" w:rsidRPr="00D41A1E" w:rsidSect="0020573A">
      <w:headerReference w:type="even" r:id="rId15"/>
      <w:headerReference w:type="default" r:id="rId16"/>
      <w:footerReference w:type="even" r:id="rId17"/>
      <w:footerReference w:type="default" r:id="rId18"/>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28" w:rsidRPr="00FD7E0E" w:rsidRDefault="00334A28" w:rsidP="00FD7E0E">
      <w:pPr>
        <w:pStyle w:val="a5"/>
      </w:pPr>
    </w:p>
  </w:endnote>
  <w:endnote w:type="continuationSeparator" w:id="0">
    <w:p w:rsidR="00334A28" w:rsidRPr="00FD7E0E" w:rsidRDefault="00334A28" w:rsidP="00FD7E0E">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3A" w:rsidRPr="0020573A" w:rsidRDefault="0020573A" w:rsidP="007E2761">
    <w:pPr>
      <w:pStyle w:val="a5"/>
      <w:tabs>
        <w:tab w:val="right" w:pos="9598"/>
      </w:tabs>
    </w:pPr>
    <w:r w:rsidRPr="0020573A">
      <w:rPr>
        <w:b/>
        <w:sz w:val="18"/>
      </w:rPr>
      <w:fldChar w:fldCharType="begin"/>
    </w:r>
    <w:r w:rsidRPr="0020573A">
      <w:rPr>
        <w:b/>
        <w:sz w:val="18"/>
      </w:rPr>
      <w:instrText xml:space="preserve"> PAGE  \* MERGEFORMAT </w:instrText>
    </w:r>
    <w:r w:rsidRPr="0020573A">
      <w:rPr>
        <w:b/>
        <w:sz w:val="18"/>
      </w:rPr>
      <w:fldChar w:fldCharType="separate"/>
    </w:r>
    <w:r w:rsidR="002B04C8">
      <w:rPr>
        <w:b/>
        <w:noProof/>
        <w:sz w:val="18"/>
      </w:rPr>
      <w:t>4</w:t>
    </w:r>
    <w:r w:rsidRPr="0020573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3A" w:rsidRPr="0020573A" w:rsidRDefault="0020573A" w:rsidP="0020573A">
    <w:pPr>
      <w:pStyle w:val="a5"/>
      <w:tabs>
        <w:tab w:val="right" w:pos="9598"/>
      </w:tabs>
      <w:rPr>
        <w:b/>
        <w:sz w:val="18"/>
      </w:rPr>
    </w:pPr>
    <w:r>
      <w:tab/>
    </w:r>
    <w:r w:rsidRPr="0020573A">
      <w:rPr>
        <w:b/>
        <w:sz w:val="18"/>
      </w:rPr>
      <w:fldChar w:fldCharType="begin"/>
    </w:r>
    <w:r w:rsidRPr="0020573A">
      <w:rPr>
        <w:b/>
        <w:sz w:val="18"/>
      </w:rPr>
      <w:instrText xml:space="preserve"> PAGE  \* MERGEFORMAT </w:instrText>
    </w:r>
    <w:r w:rsidRPr="0020573A">
      <w:rPr>
        <w:b/>
        <w:sz w:val="18"/>
      </w:rPr>
      <w:fldChar w:fldCharType="separate"/>
    </w:r>
    <w:r w:rsidR="002B04C8">
      <w:rPr>
        <w:b/>
        <w:noProof/>
        <w:sz w:val="18"/>
      </w:rPr>
      <w:t>3</w:t>
    </w:r>
    <w:r w:rsidRPr="0020573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28" w:rsidRPr="00FD7E0E" w:rsidRDefault="00334A28" w:rsidP="00FD7E0E">
      <w:pPr>
        <w:tabs>
          <w:tab w:val="right" w:pos="2155"/>
        </w:tabs>
        <w:spacing w:after="80" w:line="240" w:lineRule="auto"/>
        <w:ind w:left="680"/>
      </w:pPr>
      <w:r>
        <w:rPr>
          <w:u w:val="single"/>
        </w:rPr>
        <w:tab/>
      </w:r>
    </w:p>
  </w:footnote>
  <w:footnote w:type="continuationSeparator" w:id="0">
    <w:p w:rsidR="00334A28" w:rsidRPr="00FD7E0E" w:rsidRDefault="00334A28" w:rsidP="00FD7E0E">
      <w:pPr>
        <w:tabs>
          <w:tab w:val="right" w:pos="2155"/>
        </w:tabs>
        <w:spacing w:after="80" w:line="240" w:lineRule="auto"/>
        <w:ind w:left="680"/>
      </w:pPr>
      <w:r>
        <w:rPr>
          <w:u w:val="single"/>
        </w:rPr>
        <w:tab/>
      </w:r>
    </w:p>
  </w:footnote>
  <w:footnote w:id="1">
    <w:p w:rsidR="00650C1B" w:rsidRPr="005A639C" w:rsidRDefault="00650C1B" w:rsidP="00650C1B">
      <w:pPr>
        <w:pStyle w:val="a8"/>
        <w:rPr>
          <w:lang w:val="en-US"/>
        </w:rPr>
      </w:pPr>
      <w:r>
        <w:rPr>
          <w:rStyle w:val="ac"/>
        </w:rPr>
        <w:tab/>
      </w:r>
      <w:r w:rsidRPr="005A639C">
        <w:rPr>
          <w:rStyle w:val="ac"/>
          <w:sz w:val="20"/>
          <w:vertAlign w:val="baseline"/>
        </w:rPr>
        <w:t>*</w:t>
      </w:r>
      <w:r>
        <w:rPr>
          <w:rStyle w:val="ac"/>
          <w:sz w:val="20"/>
          <w:vertAlign w:val="baseline"/>
        </w:rPr>
        <w:tab/>
      </w:r>
      <w:r w:rsidR="008C155A" w:rsidRPr="00BE10E9">
        <w:rPr>
          <w:spacing w:val="5"/>
          <w:w w:val="104"/>
          <w:sz w:val="17"/>
        </w:rPr>
        <w:t>Adopted by the Committee at its seventy-fourth session (21 October–8 November 2019).</w:t>
      </w:r>
    </w:p>
  </w:footnote>
  <w:footnote w:id="2">
    <w:p w:rsidR="00650C1B" w:rsidRPr="005A639C" w:rsidRDefault="00650C1B" w:rsidP="00650C1B">
      <w:pPr>
        <w:pStyle w:val="a8"/>
        <w:rPr>
          <w:lang w:val="en-US"/>
        </w:rPr>
      </w:pPr>
      <w:r>
        <w:rPr>
          <w:rStyle w:val="ac"/>
        </w:rPr>
        <w:tab/>
      </w:r>
      <w:r w:rsidRPr="005A639C">
        <w:rPr>
          <w:rStyle w:val="ac"/>
          <w:sz w:val="20"/>
          <w:vertAlign w:val="baseline"/>
        </w:rPr>
        <w:t>*</w:t>
      </w:r>
      <w:r>
        <w:rPr>
          <w:rStyle w:val="ac"/>
          <w:sz w:val="20"/>
          <w:vertAlign w:val="baseline"/>
        </w:rPr>
        <w:tab/>
      </w:r>
      <w:r w:rsidR="008C155A" w:rsidRPr="00BE10E9">
        <w:rPr>
          <w:spacing w:val="5"/>
          <w:w w:val="104"/>
          <w:sz w:val="17"/>
        </w:rPr>
        <w:t>Adopted by the Committee at its seventy-fourth session (21 October–8 November 2019).</w:t>
      </w:r>
    </w:p>
  </w:footnote>
  <w:footnote w:id="3">
    <w:p w:rsidR="005A639C" w:rsidRPr="005A639C" w:rsidRDefault="005A639C">
      <w:pPr>
        <w:pStyle w:val="a8"/>
        <w:rPr>
          <w:lang w:val="en-US"/>
        </w:rPr>
      </w:pPr>
      <w:r>
        <w:rPr>
          <w:rStyle w:val="ac"/>
        </w:rPr>
        <w:tab/>
      </w:r>
      <w:r w:rsidRPr="005A639C">
        <w:rPr>
          <w:rStyle w:val="ac"/>
          <w:sz w:val="20"/>
          <w:vertAlign w:val="baseline"/>
        </w:rPr>
        <w:t>*</w:t>
      </w:r>
      <w:r>
        <w:rPr>
          <w:rStyle w:val="ac"/>
          <w:sz w:val="20"/>
          <w:vertAlign w:val="baseline"/>
        </w:rPr>
        <w:tab/>
      </w:r>
      <w:r w:rsidR="008C155A" w:rsidRPr="00BE10E9">
        <w:rPr>
          <w:spacing w:val="5"/>
          <w:w w:val="104"/>
          <w:sz w:val="17"/>
        </w:rPr>
        <w:t>Adopted by the Committee at its seventy-fourth session (21 October–8 November 2019).</w:t>
      </w:r>
    </w:p>
  </w:footnote>
  <w:footnote w:id="4">
    <w:p w:rsidR="0022307F" w:rsidRPr="0022307F" w:rsidRDefault="0022307F" w:rsidP="0022307F">
      <w:pPr>
        <w:pStyle w:val="a8"/>
        <w:rPr>
          <w:lang w:val="en-US"/>
        </w:rPr>
      </w:pPr>
      <w:r>
        <w:tab/>
      </w:r>
      <w:r>
        <w:rPr>
          <w:rStyle w:val="ac"/>
        </w:rPr>
        <w:footnoteRef/>
      </w:r>
      <w:r>
        <w:tab/>
      </w:r>
      <w:r w:rsidRPr="0022307F">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3A" w:rsidRPr="0020573A" w:rsidRDefault="0020573A" w:rsidP="0020573A">
    <w:pPr>
      <w:pStyle w:val="a3"/>
    </w:pPr>
    <w:r w:rsidRPr="0020573A">
      <w:t>CEDAW/C/XXX/CO/Y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3A" w:rsidRPr="0020573A" w:rsidRDefault="0020573A" w:rsidP="0020573A">
    <w:pPr>
      <w:pStyle w:val="a3"/>
      <w:jc w:val="right"/>
    </w:pPr>
    <w:r w:rsidRPr="0020573A">
      <w:t>CEDAW/C/XXX/CO/Y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attachedTemplate r:id="rId1"/>
  <w:defaultTabStop w:val="567"/>
  <w:hyphenationZone w:val="425"/>
  <w:evenAndOddHeaders/>
  <w:characterSpacingControl w:val="doNotCompress"/>
  <w:hdrShapeDefaults>
    <o:shapedefaults v:ext="edit" spidmax="2252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4A28"/>
    <w:rsid w:val="000157F3"/>
    <w:rsid w:val="000175F8"/>
    <w:rsid w:val="00046E92"/>
    <w:rsid w:val="0007080C"/>
    <w:rsid w:val="00093FB4"/>
    <w:rsid w:val="000A3A24"/>
    <w:rsid w:val="00140870"/>
    <w:rsid w:val="00143E60"/>
    <w:rsid w:val="0016162E"/>
    <w:rsid w:val="001E56A6"/>
    <w:rsid w:val="00202B64"/>
    <w:rsid w:val="0020573A"/>
    <w:rsid w:val="00210D3C"/>
    <w:rsid w:val="0022307F"/>
    <w:rsid w:val="00247E2C"/>
    <w:rsid w:val="002773E5"/>
    <w:rsid w:val="00285E90"/>
    <w:rsid w:val="002B04C8"/>
    <w:rsid w:val="002D6C53"/>
    <w:rsid w:val="002F5595"/>
    <w:rsid w:val="003060DB"/>
    <w:rsid w:val="00334A28"/>
    <w:rsid w:val="00334F6A"/>
    <w:rsid w:val="0033699E"/>
    <w:rsid w:val="00342AC8"/>
    <w:rsid w:val="00381B0E"/>
    <w:rsid w:val="003A3222"/>
    <w:rsid w:val="003B4550"/>
    <w:rsid w:val="003D5CBF"/>
    <w:rsid w:val="00400D5B"/>
    <w:rsid w:val="00445DA7"/>
    <w:rsid w:val="00461253"/>
    <w:rsid w:val="00466FDF"/>
    <w:rsid w:val="00467B10"/>
    <w:rsid w:val="004B3903"/>
    <w:rsid w:val="004D2539"/>
    <w:rsid w:val="005042C2"/>
    <w:rsid w:val="005056AB"/>
    <w:rsid w:val="00534479"/>
    <w:rsid w:val="00554F8A"/>
    <w:rsid w:val="005877DB"/>
    <w:rsid w:val="005A639C"/>
    <w:rsid w:val="005B64F9"/>
    <w:rsid w:val="00612A83"/>
    <w:rsid w:val="00644DE4"/>
    <w:rsid w:val="00650C1B"/>
    <w:rsid w:val="00657E58"/>
    <w:rsid w:val="00671529"/>
    <w:rsid w:val="00673946"/>
    <w:rsid w:val="006B3569"/>
    <w:rsid w:val="006E38ED"/>
    <w:rsid w:val="007224F4"/>
    <w:rsid w:val="007268F9"/>
    <w:rsid w:val="007C52B0"/>
    <w:rsid w:val="007D6C24"/>
    <w:rsid w:val="007E2761"/>
    <w:rsid w:val="007E585A"/>
    <w:rsid w:val="00863799"/>
    <w:rsid w:val="008C155A"/>
    <w:rsid w:val="008D0073"/>
    <w:rsid w:val="00917184"/>
    <w:rsid w:val="009411B4"/>
    <w:rsid w:val="00950C47"/>
    <w:rsid w:val="00990E52"/>
    <w:rsid w:val="009D0139"/>
    <w:rsid w:val="009F5CDC"/>
    <w:rsid w:val="00A65DD5"/>
    <w:rsid w:val="00A775CF"/>
    <w:rsid w:val="00AC7F46"/>
    <w:rsid w:val="00B06045"/>
    <w:rsid w:val="00BE733E"/>
    <w:rsid w:val="00C20DAC"/>
    <w:rsid w:val="00C312F2"/>
    <w:rsid w:val="00C35A27"/>
    <w:rsid w:val="00C477BF"/>
    <w:rsid w:val="00C5032E"/>
    <w:rsid w:val="00C50A1F"/>
    <w:rsid w:val="00CA44D7"/>
    <w:rsid w:val="00CD521C"/>
    <w:rsid w:val="00D41A1E"/>
    <w:rsid w:val="00D71EA6"/>
    <w:rsid w:val="00D93645"/>
    <w:rsid w:val="00E02C2B"/>
    <w:rsid w:val="00E95583"/>
    <w:rsid w:val="00E97C99"/>
    <w:rsid w:val="00EA78D5"/>
    <w:rsid w:val="00ED6C48"/>
    <w:rsid w:val="00F170FE"/>
    <w:rsid w:val="00F56C31"/>
    <w:rsid w:val="00F65F5D"/>
    <w:rsid w:val="00F81FFB"/>
    <w:rsid w:val="00F86A3A"/>
    <w:rsid w:val="00FC07E3"/>
    <w:rsid w:val="00FD7E0E"/>
    <w:rsid w:val="00FE32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065B9A3-FD5F-4CFF-99C4-15B12C32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75F8"/>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0175F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175F8"/>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0175F8"/>
    <w:rPr>
      <w:rFonts w:ascii="Tahoma" w:eastAsia="Times New Roman" w:hAnsi="Tahoma" w:cs="Tahoma"/>
      <w:sz w:val="16"/>
      <w:szCs w:val="16"/>
      <w:lang w:eastAsia="en-US"/>
    </w:rPr>
  </w:style>
  <w:style w:type="character" w:styleId="af2">
    <w:name w:val="Hyperlink"/>
    <w:basedOn w:val="a0"/>
    <w:rsid w:val="003A3222"/>
    <w:rPr>
      <w:color w:val="0000FF"/>
      <w:u w:val="none"/>
    </w:rPr>
  </w:style>
  <w:style w:type="paragraph" w:customStyle="1" w:styleId="SingleTxt">
    <w:name w:val="__Single Txt"/>
    <w:basedOn w:val="a"/>
    <w:rsid w:val="00F81FF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H1">
    <w:name w:val="_ H_1"/>
    <w:basedOn w:val="a"/>
    <w:next w:val="SingleTxt"/>
    <w:rsid w:val="000157F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1032">
      <w:bodyDiv w:val="1"/>
      <w:marLeft w:val="0"/>
      <w:marRight w:val="0"/>
      <w:marTop w:val="0"/>
      <w:marBottom w:val="0"/>
      <w:divBdr>
        <w:top w:val="none" w:sz="0" w:space="0" w:color="auto"/>
        <w:left w:val="none" w:sz="0" w:space="0" w:color="auto"/>
        <w:bottom w:val="none" w:sz="0" w:space="0" w:color="auto"/>
        <w:right w:val="none" w:sz="0" w:space="0" w:color="auto"/>
      </w:divBdr>
    </w:div>
    <w:div w:id="621225738">
      <w:bodyDiv w:val="1"/>
      <w:marLeft w:val="0"/>
      <w:marRight w:val="0"/>
      <w:marTop w:val="0"/>
      <w:marBottom w:val="0"/>
      <w:divBdr>
        <w:top w:val="none" w:sz="0" w:space="0" w:color="auto"/>
        <w:left w:val="none" w:sz="0" w:space="0" w:color="auto"/>
        <w:bottom w:val="none" w:sz="0" w:space="0" w:color="auto"/>
        <w:right w:val="none" w:sz="0" w:space="0" w:color="auto"/>
      </w:divBdr>
    </w:div>
    <w:div w:id="853803165">
      <w:bodyDiv w:val="1"/>
      <w:marLeft w:val="0"/>
      <w:marRight w:val="0"/>
      <w:marTop w:val="0"/>
      <w:marBottom w:val="0"/>
      <w:divBdr>
        <w:top w:val="none" w:sz="0" w:space="0" w:color="auto"/>
        <w:left w:val="none" w:sz="0" w:space="0" w:color="auto"/>
        <w:bottom w:val="none" w:sz="0" w:space="0" w:color="auto"/>
        <w:right w:val="none" w:sz="0" w:space="0" w:color="auto"/>
      </w:divBdr>
    </w:div>
    <w:div w:id="985167353">
      <w:bodyDiv w:val="1"/>
      <w:marLeft w:val="0"/>
      <w:marRight w:val="0"/>
      <w:marTop w:val="0"/>
      <w:marBottom w:val="0"/>
      <w:divBdr>
        <w:top w:val="none" w:sz="0" w:space="0" w:color="auto"/>
        <w:left w:val="none" w:sz="0" w:space="0" w:color="auto"/>
        <w:bottom w:val="none" w:sz="0" w:space="0" w:color="auto"/>
        <w:right w:val="none" w:sz="0" w:space="0" w:color="auto"/>
      </w:divBdr>
    </w:div>
    <w:div w:id="1093628953">
      <w:bodyDiv w:val="1"/>
      <w:marLeft w:val="0"/>
      <w:marRight w:val="0"/>
      <w:marTop w:val="0"/>
      <w:marBottom w:val="0"/>
      <w:divBdr>
        <w:top w:val="none" w:sz="0" w:space="0" w:color="auto"/>
        <w:left w:val="none" w:sz="0" w:space="0" w:color="auto"/>
        <w:bottom w:val="none" w:sz="0" w:space="0" w:color="auto"/>
        <w:right w:val="none" w:sz="0" w:space="0" w:color="auto"/>
      </w:divBdr>
    </w:div>
    <w:div w:id="1164276262">
      <w:bodyDiv w:val="1"/>
      <w:marLeft w:val="0"/>
      <w:marRight w:val="0"/>
      <w:marTop w:val="0"/>
      <w:marBottom w:val="0"/>
      <w:divBdr>
        <w:top w:val="none" w:sz="0" w:space="0" w:color="auto"/>
        <w:left w:val="none" w:sz="0" w:space="0" w:color="auto"/>
        <w:bottom w:val="none" w:sz="0" w:space="0" w:color="auto"/>
        <w:right w:val="none" w:sz="0" w:space="0" w:color="auto"/>
      </w:divBdr>
    </w:div>
    <w:div w:id="1447314120">
      <w:bodyDiv w:val="1"/>
      <w:marLeft w:val="0"/>
      <w:marRight w:val="0"/>
      <w:marTop w:val="0"/>
      <w:marBottom w:val="0"/>
      <w:divBdr>
        <w:top w:val="none" w:sz="0" w:space="0" w:color="auto"/>
        <w:left w:val="none" w:sz="0" w:space="0" w:color="auto"/>
        <w:bottom w:val="none" w:sz="0" w:space="0" w:color="auto"/>
        <w:right w:val="none" w:sz="0" w:space="0" w:color="auto"/>
      </w:divBdr>
    </w:div>
    <w:div w:id="14629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undocs.org/en/CEDAW/C/AND/Q/4/Add.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en/CEDAW/C/AND/Q/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CEDAW/C/SR.17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docs.org/en/CEDAW/C/SR.17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en/CEDAW/C/AND/4" TargetMode="External"/><Relationship Id="rId14" Type="http://schemas.openxmlformats.org/officeDocument/2006/relationships/hyperlink" Target="https://undocs.org/en/A/65/38(su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DA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6B46-8D23-4CBC-BD34-84E381AE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CEDAW.dotm</Template>
  <TotalTime>0</TotalTime>
  <Pages>4</Pages>
  <Words>1244</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1703482</vt:lpstr>
    </vt:vector>
  </TitlesOfParts>
  <Company>DCM</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1703482</dc:title>
  <dc:subject>CEDAW/C/XXX/CO/Y</dc:subject>
  <dc:creator>Moses Okello</dc:creator>
  <cp:lastModifiedBy>Bing Dai</cp:lastModifiedBy>
  <cp:revision>2</cp:revision>
  <dcterms:created xsi:type="dcterms:W3CDTF">2020-08-07T08:48:00Z</dcterms:created>
  <dcterms:modified xsi:type="dcterms:W3CDTF">2020-08-07T08:48:00Z</dcterms:modified>
</cp:coreProperties>
</file>