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770755" w14:paraId="2FE20A09" w14:textId="77777777" w:rsidTr="0040017C">
        <w:trPr>
          <w:trHeight w:val="851"/>
        </w:trPr>
        <w:tc>
          <w:tcPr>
            <w:tcW w:w="1259" w:type="dxa"/>
            <w:tcBorders>
              <w:top w:val="nil"/>
              <w:left w:val="nil"/>
              <w:bottom w:val="single" w:sz="4" w:space="0" w:color="auto"/>
              <w:right w:val="nil"/>
            </w:tcBorders>
          </w:tcPr>
          <w:p w14:paraId="2F5387AD" w14:textId="77777777" w:rsidR="00E52109" w:rsidRPr="00770755" w:rsidRDefault="00E52109" w:rsidP="0040017C">
            <w:pPr>
              <w:pStyle w:val="HMG"/>
            </w:pPr>
          </w:p>
        </w:tc>
        <w:tc>
          <w:tcPr>
            <w:tcW w:w="2236" w:type="dxa"/>
            <w:tcBorders>
              <w:top w:val="nil"/>
              <w:left w:val="nil"/>
              <w:bottom w:val="single" w:sz="4" w:space="0" w:color="auto"/>
              <w:right w:val="nil"/>
            </w:tcBorders>
            <w:vAlign w:val="bottom"/>
          </w:tcPr>
          <w:p w14:paraId="3288B909" w14:textId="77777777" w:rsidR="00E52109" w:rsidRPr="00770755" w:rsidRDefault="00E52109" w:rsidP="0040017C">
            <w:pPr>
              <w:spacing w:after="80" w:line="300" w:lineRule="exact"/>
              <w:rPr>
                <w:sz w:val="28"/>
                <w:szCs w:val="28"/>
              </w:rPr>
            </w:pPr>
            <w:r w:rsidRPr="00770755">
              <w:rPr>
                <w:sz w:val="28"/>
                <w:szCs w:val="28"/>
              </w:rPr>
              <w:t>United Nations</w:t>
            </w:r>
          </w:p>
        </w:tc>
        <w:tc>
          <w:tcPr>
            <w:tcW w:w="6144" w:type="dxa"/>
            <w:gridSpan w:val="2"/>
            <w:tcBorders>
              <w:top w:val="nil"/>
              <w:left w:val="nil"/>
              <w:bottom w:val="single" w:sz="4" w:space="0" w:color="auto"/>
              <w:right w:val="nil"/>
            </w:tcBorders>
            <w:vAlign w:val="bottom"/>
          </w:tcPr>
          <w:p w14:paraId="422F6928" w14:textId="77777777" w:rsidR="00E52109" w:rsidRPr="00770755" w:rsidRDefault="00A37178" w:rsidP="007D79BF">
            <w:pPr>
              <w:spacing w:after="20" w:line="240" w:lineRule="atLeast"/>
              <w:jc w:val="right"/>
            </w:pPr>
            <w:r w:rsidRPr="00770755">
              <w:rPr>
                <w:sz w:val="40"/>
              </w:rPr>
              <w:t>A</w:t>
            </w:r>
            <w:r w:rsidRPr="00770755">
              <w:t>/HRC/WG.5/2</w:t>
            </w:r>
            <w:r w:rsidR="007D79BF" w:rsidRPr="00770755">
              <w:t>7</w:t>
            </w:r>
            <w:r w:rsidRPr="00770755">
              <w:t>/R.2</w:t>
            </w:r>
          </w:p>
        </w:tc>
      </w:tr>
      <w:tr w:rsidR="00E52109" w:rsidRPr="00770755" w14:paraId="7BCFBF67" w14:textId="77777777" w:rsidTr="0040017C">
        <w:trPr>
          <w:trHeight w:val="2835"/>
        </w:trPr>
        <w:tc>
          <w:tcPr>
            <w:tcW w:w="1259" w:type="dxa"/>
            <w:tcBorders>
              <w:top w:val="single" w:sz="4" w:space="0" w:color="auto"/>
              <w:left w:val="nil"/>
              <w:bottom w:val="single" w:sz="12" w:space="0" w:color="auto"/>
              <w:right w:val="nil"/>
            </w:tcBorders>
          </w:tcPr>
          <w:p w14:paraId="0DA7C155" w14:textId="77777777" w:rsidR="00E52109" w:rsidRPr="00770755" w:rsidRDefault="00E52109" w:rsidP="0040017C">
            <w:pPr>
              <w:spacing w:before="120"/>
              <w:jc w:val="center"/>
            </w:pPr>
            <w:r w:rsidRPr="00770755">
              <w:rPr>
                <w:noProof/>
                <w:lang w:val="en-US"/>
              </w:rPr>
              <w:drawing>
                <wp:inline distT="0" distB="0" distL="0" distR="0" wp14:anchorId="6D05E543" wp14:editId="1639370D">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77B086FC" w14:textId="77777777" w:rsidR="00E52109" w:rsidRPr="00770755" w:rsidRDefault="00E52109" w:rsidP="0040017C">
            <w:pPr>
              <w:spacing w:before="120" w:line="420" w:lineRule="exact"/>
              <w:rPr>
                <w:b/>
                <w:sz w:val="40"/>
                <w:szCs w:val="40"/>
              </w:rPr>
            </w:pPr>
            <w:r w:rsidRPr="00770755">
              <w:rPr>
                <w:b/>
                <w:sz w:val="40"/>
                <w:szCs w:val="40"/>
              </w:rPr>
              <w:t>General Assembly</w:t>
            </w:r>
          </w:p>
        </w:tc>
        <w:tc>
          <w:tcPr>
            <w:tcW w:w="2930" w:type="dxa"/>
            <w:tcBorders>
              <w:top w:val="single" w:sz="4" w:space="0" w:color="auto"/>
              <w:left w:val="nil"/>
              <w:bottom w:val="single" w:sz="12" w:space="0" w:color="auto"/>
              <w:right w:val="nil"/>
            </w:tcBorders>
          </w:tcPr>
          <w:p w14:paraId="4A3758B9" w14:textId="77777777" w:rsidR="00E52109" w:rsidRPr="00770755" w:rsidRDefault="00A37178" w:rsidP="00E15BE5">
            <w:pPr>
              <w:spacing w:before="240"/>
            </w:pPr>
            <w:r w:rsidRPr="00770755">
              <w:t>Distr.: Restricted</w:t>
            </w:r>
            <w:r w:rsidR="00E15BE5" w:rsidRPr="00770755">
              <w:rPr>
                <w:rStyle w:val="ac"/>
                <w:sz w:val="20"/>
                <w:vertAlign w:val="baseline"/>
              </w:rPr>
              <w:footnoteReference w:customMarkFollows="1" w:id="2"/>
              <w:t>*</w:t>
            </w:r>
          </w:p>
          <w:p w14:paraId="48538FB1" w14:textId="31F5EE91" w:rsidR="00A37178" w:rsidRPr="00770755" w:rsidRDefault="003B388B" w:rsidP="00A37178">
            <w:r>
              <w:t>1</w:t>
            </w:r>
            <w:r w:rsidR="00F31459">
              <w:t>2</w:t>
            </w:r>
            <w:r w:rsidR="004240B1" w:rsidRPr="00770755">
              <w:t xml:space="preserve"> March</w:t>
            </w:r>
            <w:r w:rsidR="007D79BF" w:rsidRPr="00770755">
              <w:t xml:space="preserve"> 2021</w:t>
            </w:r>
          </w:p>
          <w:p w14:paraId="48BC5503" w14:textId="77777777" w:rsidR="00A37178" w:rsidRPr="00770755" w:rsidRDefault="00A37178" w:rsidP="00A37178"/>
          <w:p w14:paraId="7C163A83" w14:textId="77777777" w:rsidR="00A37178" w:rsidRPr="00770755" w:rsidRDefault="00A37178" w:rsidP="00A37178">
            <w:pPr>
              <w:spacing w:line="240" w:lineRule="atLeast"/>
            </w:pPr>
            <w:r w:rsidRPr="00770755">
              <w:t>Original: English</w:t>
            </w:r>
          </w:p>
        </w:tc>
      </w:tr>
    </w:tbl>
    <w:p w14:paraId="6BEED085" w14:textId="77777777" w:rsidR="00EB0075" w:rsidRPr="00770755" w:rsidRDefault="00EB0075">
      <w:pPr>
        <w:spacing w:before="120"/>
        <w:rPr>
          <w:b/>
          <w:sz w:val="24"/>
          <w:szCs w:val="24"/>
        </w:rPr>
      </w:pPr>
      <w:r w:rsidRPr="00770755">
        <w:rPr>
          <w:b/>
          <w:sz w:val="24"/>
          <w:szCs w:val="24"/>
        </w:rPr>
        <w:t>Human Rights Council</w:t>
      </w:r>
    </w:p>
    <w:p w14:paraId="43C27321" w14:textId="77777777" w:rsidR="00EB0075" w:rsidRPr="00770755" w:rsidRDefault="00EB0075" w:rsidP="00EB0075">
      <w:pPr>
        <w:rPr>
          <w:b/>
          <w:bCs/>
        </w:rPr>
      </w:pPr>
      <w:r w:rsidRPr="00770755">
        <w:rPr>
          <w:b/>
          <w:bCs/>
        </w:rPr>
        <w:t xml:space="preserve">Complaint procedure </w:t>
      </w:r>
    </w:p>
    <w:p w14:paraId="15C799B9" w14:textId="77777777" w:rsidR="00EB0075" w:rsidRPr="00770755" w:rsidRDefault="00EB0075" w:rsidP="00EB0075">
      <w:pPr>
        <w:rPr>
          <w:b/>
          <w:bCs/>
        </w:rPr>
      </w:pPr>
      <w:r w:rsidRPr="00770755">
        <w:rPr>
          <w:b/>
          <w:bCs/>
        </w:rPr>
        <w:t>Working Group on Communications</w:t>
      </w:r>
    </w:p>
    <w:p w14:paraId="256114CB" w14:textId="77777777" w:rsidR="00EB0075" w:rsidRPr="00770755" w:rsidRDefault="00EB0075" w:rsidP="00EB0075">
      <w:pPr>
        <w:rPr>
          <w:b/>
          <w:bCs/>
        </w:rPr>
      </w:pPr>
      <w:r w:rsidRPr="00770755">
        <w:rPr>
          <w:b/>
          <w:bCs/>
        </w:rPr>
        <w:t>Twenty-</w:t>
      </w:r>
      <w:r w:rsidR="007D79BF" w:rsidRPr="00770755">
        <w:rPr>
          <w:b/>
          <w:bCs/>
        </w:rPr>
        <w:t>seventh</w:t>
      </w:r>
      <w:r w:rsidRPr="00770755">
        <w:rPr>
          <w:b/>
          <w:bCs/>
        </w:rPr>
        <w:t xml:space="preserve"> session</w:t>
      </w:r>
    </w:p>
    <w:p w14:paraId="18676745" w14:textId="77777777" w:rsidR="00EB0075" w:rsidRPr="00770755" w:rsidRDefault="007D79BF" w:rsidP="00EB0075">
      <w:r w:rsidRPr="00770755">
        <w:t>8</w:t>
      </w:r>
      <w:r w:rsidR="00EB0075" w:rsidRPr="00770755">
        <w:t>–</w:t>
      </w:r>
      <w:r w:rsidR="008B7700" w:rsidRPr="00770755">
        <w:t>1</w:t>
      </w:r>
      <w:r w:rsidRPr="00770755">
        <w:t>2</w:t>
      </w:r>
      <w:r w:rsidR="00EB0075" w:rsidRPr="00770755">
        <w:t xml:space="preserve"> </w:t>
      </w:r>
      <w:r w:rsidR="008B7700" w:rsidRPr="00770755">
        <w:t>February</w:t>
      </w:r>
      <w:r w:rsidR="00EB0075" w:rsidRPr="00770755">
        <w:t xml:space="preserve"> 20</w:t>
      </w:r>
      <w:r w:rsidR="008B7700" w:rsidRPr="00770755">
        <w:t>2</w:t>
      </w:r>
      <w:r w:rsidRPr="00770755">
        <w:t>1</w:t>
      </w:r>
    </w:p>
    <w:p w14:paraId="51F18C65" w14:textId="77777777" w:rsidR="00EB0075" w:rsidRPr="00770755" w:rsidRDefault="00EB0075" w:rsidP="00EB0075">
      <w:pPr>
        <w:pStyle w:val="HChG"/>
      </w:pPr>
      <w:r w:rsidRPr="00770755">
        <w:tab/>
      </w:r>
      <w:r w:rsidRPr="00770755">
        <w:tab/>
        <w:t>Report of the Working Group on Communications on its twenty-</w:t>
      </w:r>
      <w:r w:rsidR="007D79BF" w:rsidRPr="00770755">
        <w:t>seventh</w:t>
      </w:r>
      <w:r w:rsidRPr="00770755">
        <w:t xml:space="preserve"> session</w:t>
      </w:r>
    </w:p>
    <w:p w14:paraId="3AA3DFB9" w14:textId="77777777" w:rsidR="00EB0075" w:rsidRPr="00770755" w:rsidRDefault="00EB0075" w:rsidP="00EB0075">
      <w:pPr>
        <w:pStyle w:val="SingleTxtG"/>
      </w:pPr>
      <w:r w:rsidRPr="00770755">
        <w:rPr>
          <w:i/>
          <w:iCs/>
        </w:rPr>
        <w:t>Chair-Rapporteur</w:t>
      </w:r>
      <w:r w:rsidRPr="00770755">
        <w:t xml:space="preserve">: </w:t>
      </w:r>
      <w:r w:rsidR="007D79BF" w:rsidRPr="00770755">
        <w:t xml:space="preserve">Elizabeth </w:t>
      </w:r>
      <w:r w:rsidR="007D79BF" w:rsidRPr="00770755">
        <w:rPr>
          <w:b/>
        </w:rPr>
        <w:t>Salmón</w:t>
      </w:r>
    </w:p>
    <w:p w14:paraId="3BCA9EAA" w14:textId="77777777" w:rsidR="00EB0075" w:rsidRPr="00770755" w:rsidRDefault="00EB0075" w:rsidP="006E40B5">
      <w:pPr>
        <w:pStyle w:val="HChG"/>
      </w:pPr>
      <w:r w:rsidRPr="00770755">
        <w:br w:type="page"/>
      </w:r>
      <w:r w:rsidRPr="00770755">
        <w:lastRenderedPageBreak/>
        <w:tab/>
        <w:t>I.</w:t>
      </w:r>
      <w:r w:rsidRPr="00770755">
        <w:tab/>
        <w:t xml:space="preserve">Conduct of the </w:t>
      </w:r>
      <w:r w:rsidR="008B7700" w:rsidRPr="00770755">
        <w:t>twenty-</w:t>
      </w:r>
      <w:r w:rsidR="007D79BF" w:rsidRPr="00770755">
        <w:t>seventh</w:t>
      </w:r>
      <w:r w:rsidRPr="00770755">
        <w:t xml:space="preserve"> session</w:t>
      </w:r>
    </w:p>
    <w:p w14:paraId="6735AD28" w14:textId="014FED7E" w:rsidR="00EB0075" w:rsidRPr="00770755" w:rsidRDefault="00EB0075" w:rsidP="00EB0075">
      <w:pPr>
        <w:pStyle w:val="SingleTxtG"/>
      </w:pPr>
      <w:r w:rsidRPr="00770755">
        <w:t>1.</w:t>
      </w:r>
      <w:r w:rsidRPr="00770755">
        <w:tab/>
        <w:t xml:space="preserve">The Working Group on Communications of the complaint procedure of the Human Rights Council, established by the Council in its resolution 5/1 of 18 June 2007 and endorsed by the General Assembly in its resolution 62/219 of 22 December 2007, held its </w:t>
      </w:r>
      <w:r w:rsidR="008B7700" w:rsidRPr="00770755">
        <w:t>twenty-</w:t>
      </w:r>
      <w:r w:rsidR="007D79BF" w:rsidRPr="00770755">
        <w:t>seventh</w:t>
      </w:r>
      <w:r w:rsidRPr="00770755">
        <w:t xml:space="preserve"> session </w:t>
      </w:r>
      <w:r w:rsidR="007307B5" w:rsidRPr="00770755">
        <w:t xml:space="preserve">from 8 to 12 February 2021 </w:t>
      </w:r>
      <w:r w:rsidRPr="00770755">
        <w:t xml:space="preserve">at Palais </w:t>
      </w:r>
      <w:r w:rsidR="002402BE" w:rsidRPr="00770755">
        <w:t>des Nations</w:t>
      </w:r>
      <w:r w:rsidRPr="00770755">
        <w:t>, in Geneva,</w:t>
      </w:r>
      <w:r w:rsidR="007307B5" w:rsidRPr="00770755">
        <w:t xml:space="preserve"> and via the </w:t>
      </w:r>
      <w:r w:rsidR="00BE25BD" w:rsidRPr="00770755">
        <w:t xml:space="preserve">Interprefy </w:t>
      </w:r>
      <w:r w:rsidR="007307B5" w:rsidRPr="00770755">
        <w:t>virtual platform</w:t>
      </w:r>
      <w:r w:rsidR="004240B1" w:rsidRPr="00770755">
        <w:t>.</w:t>
      </w:r>
    </w:p>
    <w:p w14:paraId="1140C9BA" w14:textId="7256BEBB" w:rsidR="008B7700" w:rsidRPr="00770755" w:rsidRDefault="00EB0075" w:rsidP="00EB0075">
      <w:pPr>
        <w:pStyle w:val="SingleTxtG"/>
      </w:pPr>
      <w:r w:rsidRPr="00770755">
        <w:t>2.</w:t>
      </w:r>
      <w:r w:rsidRPr="00770755">
        <w:tab/>
        <w:t xml:space="preserve">The Working Group currently comprises the following members: </w:t>
      </w:r>
      <w:r w:rsidR="007D79BF" w:rsidRPr="00770755">
        <w:t>Ibrahim Abdulaziz Alsheddi, Alessio Bruni, Iurii Alexandrovich Kolesnikov, Mona Omar and Elizabeth Salmón</w:t>
      </w:r>
      <w:r w:rsidRPr="00770755">
        <w:t xml:space="preserve">. All members of the Working Group attended the meetings of the </w:t>
      </w:r>
      <w:r w:rsidR="008B7700" w:rsidRPr="00770755">
        <w:t>twenty-</w:t>
      </w:r>
      <w:r w:rsidR="007D79BF" w:rsidRPr="00770755">
        <w:t>seventh</w:t>
      </w:r>
      <w:r w:rsidRPr="00770755">
        <w:t xml:space="preserve"> session.</w:t>
      </w:r>
    </w:p>
    <w:p w14:paraId="7D879126" w14:textId="77777777" w:rsidR="00EB0075" w:rsidRPr="00770755" w:rsidRDefault="00EB0075" w:rsidP="00EB0075">
      <w:pPr>
        <w:pStyle w:val="SingleTxtG"/>
      </w:pPr>
      <w:r w:rsidRPr="00770755">
        <w:t>3.</w:t>
      </w:r>
      <w:r w:rsidRPr="00770755">
        <w:tab/>
        <w:t xml:space="preserve">The </w:t>
      </w:r>
      <w:r w:rsidR="008B7700" w:rsidRPr="00770755">
        <w:t>twenty-</w:t>
      </w:r>
      <w:r w:rsidR="007D79BF" w:rsidRPr="00770755">
        <w:t>seventh</w:t>
      </w:r>
      <w:r w:rsidRPr="00770755">
        <w:t xml:space="preserve"> session of the Working Group was opened on </w:t>
      </w:r>
      <w:r w:rsidR="007D79BF" w:rsidRPr="00770755">
        <w:t>8</w:t>
      </w:r>
      <w:r w:rsidR="008B7700" w:rsidRPr="00770755">
        <w:t xml:space="preserve"> February 202</w:t>
      </w:r>
      <w:r w:rsidR="007D79BF" w:rsidRPr="00770755">
        <w:t>1</w:t>
      </w:r>
      <w:r w:rsidRPr="00770755">
        <w:t xml:space="preserve"> by the </w:t>
      </w:r>
      <w:r w:rsidR="008B7700" w:rsidRPr="00770755">
        <w:t>Chief</w:t>
      </w:r>
      <w:r w:rsidRPr="00770755">
        <w:t xml:space="preserve"> of the Human Rights Council </w:t>
      </w:r>
      <w:r w:rsidR="008B7700" w:rsidRPr="00770755">
        <w:t>Branch</w:t>
      </w:r>
      <w:r w:rsidRPr="00770755">
        <w:t xml:space="preserve"> of the Office of the United Nations High Commissioner for Human Rights, on behalf of the Secretary-General.</w:t>
      </w:r>
    </w:p>
    <w:p w14:paraId="54D861EE" w14:textId="3E9817EA" w:rsidR="00EB0075" w:rsidRPr="00770755" w:rsidRDefault="00EB0075" w:rsidP="004240B1">
      <w:pPr>
        <w:pStyle w:val="SingleTxtG"/>
      </w:pPr>
      <w:r w:rsidRPr="00770755">
        <w:t>4.</w:t>
      </w:r>
      <w:r w:rsidRPr="00770755">
        <w:tab/>
        <w:t xml:space="preserve">The Working Group elected, by acclamation, </w:t>
      </w:r>
      <w:r w:rsidR="007D79BF" w:rsidRPr="00770755">
        <w:t>Ms</w:t>
      </w:r>
      <w:r w:rsidR="00A97AC7" w:rsidRPr="00770755">
        <w:t>.</w:t>
      </w:r>
      <w:r w:rsidR="007D79BF" w:rsidRPr="00770755">
        <w:t xml:space="preserve"> Salmón </w:t>
      </w:r>
      <w:r w:rsidRPr="00770755">
        <w:t>as its Chair-Rapporteur</w:t>
      </w:r>
      <w:r w:rsidR="002A589C" w:rsidRPr="00770755">
        <w:t xml:space="preserve"> and Ms</w:t>
      </w:r>
      <w:r w:rsidR="00A97AC7" w:rsidRPr="00770755">
        <w:t>.</w:t>
      </w:r>
      <w:r w:rsidR="002A589C" w:rsidRPr="00770755">
        <w:t xml:space="preserve"> Omar as its Vice-Chair</w:t>
      </w:r>
      <w:r w:rsidRPr="00770755">
        <w:t xml:space="preserve"> for the </w:t>
      </w:r>
      <w:r w:rsidR="008B7700" w:rsidRPr="00770755">
        <w:t>twenty-</w:t>
      </w:r>
      <w:r w:rsidR="007D79BF" w:rsidRPr="00770755">
        <w:t>seventh</w:t>
      </w:r>
      <w:r w:rsidRPr="00770755">
        <w:t xml:space="preserve"> session. It held a total of </w:t>
      </w:r>
      <w:r w:rsidR="007D79BF" w:rsidRPr="00770755">
        <w:t>five</w:t>
      </w:r>
      <w:r w:rsidRPr="00770755">
        <w:t xml:space="preserve"> meetings.</w:t>
      </w:r>
    </w:p>
    <w:p w14:paraId="0C31BC82" w14:textId="4412C043" w:rsidR="007D79BF" w:rsidRPr="00770755" w:rsidRDefault="00EB0075" w:rsidP="00477105">
      <w:pPr>
        <w:pStyle w:val="SingleTxtG"/>
      </w:pPr>
      <w:r w:rsidRPr="00770755">
        <w:t>5.</w:t>
      </w:r>
      <w:r w:rsidRPr="00770755">
        <w:tab/>
        <w:t xml:space="preserve">At its </w:t>
      </w:r>
      <w:r w:rsidR="008B7700" w:rsidRPr="00770755">
        <w:t>twenty-</w:t>
      </w:r>
      <w:r w:rsidR="007D79BF" w:rsidRPr="00770755">
        <w:t>seventh</w:t>
      </w:r>
      <w:r w:rsidRPr="00770755">
        <w:t xml:space="preserve"> session, the Working Group considered </w:t>
      </w:r>
      <w:r w:rsidR="00EE3932" w:rsidRPr="00770755">
        <w:t xml:space="preserve">the </w:t>
      </w:r>
      <w:r w:rsidRPr="00770755">
        <w:t>communications processed by the Chair-Rapporteur of its twenty-</w:t>
      </w:r>
      <w:r w:rsidR="007D79BF" w:rsidRPr="00770755">
        <w:t>sixth</w:t>
      </w:r>
      <w:r w:rsidRPr="00770755">
        <w:t xml:space="preserve"> session, together with the secretariat, between </w:t>
      </w:r>
      <w:r w:rsidR="007D79BF" w:rsidRPr="00770755">
        <w:t>November</w:t>
      </w:r>
      <w:r w:rsidR="00617276" w:rsidRPr="00770755">
        <w:t xml:space="preserve"> 2019</w:t>
      </w:r>
      <w:r w:rsidR="007D79BF" w:rsidRPr="00770755">
        <w:t xml:space="preserve"> and </w:t>
      </w:r>
      <w:r w:rsidR="0028538D" w:rsidRPr="00770755">
        <w:t>March</w:t>
      </w:r>
      <w:r w:rsidR="007D79BF" w:rsidRPr="00770755">
        <w:t xml:space="preserve"> 2020</w:t>
      </w:r>
      <w:r w:rsidRPr="00770755">
        <w:t xml:space="preserve">. The Chair-Rapporteur deemed admissible </w:t>
      </w:r>
      <w:r w:rsidR="007D79BF" w:rsidRPr="00770755">
        <w:t>one</w:t>
      </w:r>
      <w:r w:rsidRPr="00770755">
        <w:t xml:space="preserve"> new communication, relating to </w:t>
      </w:r>
      <w:r w:rsidR="007D79BF" w:rsidRPr="00770755">
        <w:t>Saudi Arabia, the United Arab Emirates and Yemen.</w:t>
      </w:r>
      <w:r w:rsidRPr="00770755">
        <w:t xml:space="preserve"> Pursuant to paragraph 94 of the annex to Council resolution 5/1, the admissible communication had been transmitted to the States concerned in order to obtain their views on the allegations of human rights violations. In addition to the new communication, the Working Group also considered </w:t>
      </w:r>
      <w:r w:rsidR="007D79BF" w:rsidRPr="00770755">
        <w:t>nine</w:t>
      </w:r>
      <w:r w:rsidRPr="00770755">
        <w:t xml:space="preserve"> communications</w:t>
      </w:r>
      <w:r w:rsidR="002F4D97" w:rsidRPr="00770755">
        <w:t>,</w:t>
      </w:r>
      <w:r w:rsidRPr="00770755">
        <w:t xml:space="preserve"> relating to </w:t>
      </w:r>
      <w:r w:rsidR="00477105">
        <w:rPr>
          <w:rFonts w:hint="eastAsia"/>
        </w:rPr>
        <w:t>C</w:t>
      </w:r>
      <w:r w:rsidR="00477105">
        <w:t xml:space="preserve">hile, </w:t>
      </w:r>
      <w:r w:rsidR="008B7700" w:rsidRPr="00770755">
        <w:t xml:space="preserve">Guatemala (two communications), </w:t>
      </w:r>
      <w:r w:rsidR="007D79BF" w:rsidRPr="00770755">
        <w:t xml:space="preserve">Japan (two communications), </w:t>
      </w:r>
      <w:r w:rsidR="008B7700" w:rsidRPr="00770755">
        <w:t>the Lao People</w:t>
      </w:r>
      <w:r w:rsidR="00EE3932" w:rsidRPr="00770755">
        <w:t>’</w:t>
      </w:r>
      <w:r w:rsidR="008B7700" w:rsidRPr="00770755">
        <w:t xml:space="preserve">s Democratic Republic </w:t>
      </w:r>
      <w:r w:rsidR="007D79BF" w:rsidRPr="00770755">
        <w:t>(two communications),</w:t>
      </w:r>
      <w:r w:rsidR="008B7700" w:rsidRPr="00770755">
        <w:t xml:space="preserve"> Pakistan</w:t>
      </w:r>
      <w:r w:rsidR="007D79BF" w:rsidRPr="00770755">
        <w:t xml:space="preserve"> and Turkey</w:t>
      </w:r>
      <w:r w:rsidRPr="00770755">
        <w:t>, which had been kept pending at its twenty-</w:t>
      </w:r>
      <w:r w:rsidR="007D79BF" w:rsidRPr="00770755">
        <w:t>sixth</w:t>
      </w:r>
      <w:r w:rsidRPr="00770755">
        <w:t xml:space="preserve"> session.</w:t>
      </w:r>
    </w:p>
    <w:p w14:paraId="6B1980EB" w14:textId="6EF2A426" w:rsidR="007D79BF" w:rsidRPr="00770755" w:rsidRDefault="00EB0075" w:rsidP="007D79BF">
      <w:pPr>
        <w:pStyle w:val="SingleTxtG"/>
      </w:pPr>
      <w:r w:rsidRPr="00770755">
        <w:t>6.</w:t>
      </w:r>
      <w:r w:rsidRPr="00770755">
        <w:tab/>
        <w:t xml:space="preserve">At its </w:t>
      </w:r>
      <w:r w:rsidR="008B7700" w:rsidRPr="00770755">
        <w:t>twenty-</w:t>
      </w:r>
      <w:r w:rsidR="007D79BF" w:rsidRPr="00770755">
        <w:t>seventh</w:t>
      </w:r>
      <w:r w:rsidRPr="00770755">
        <w:t xml:space="preserve"> session, the Working Group therefore had before it a total of </w:t>
      </w:r>
      <w:r w:rsidR="00EE3932" w:rsidRPr="00770755">
        <w:t xml:space="preserve">10 </w:t>
      </w:r>
      <w:r w:rsidRPr="00770755">
        <w:t xml:space="preserve">admissible communications relating to </w:t>
      </w:r>
      <w:r w:rsidR="007D79BF" w:rsidRPr="00770755">
        <w:t>nine</w:t>
      </w:r>
      <w:r w:rsidRPr="00770755">
        <w:t xml:space="preserve"> States. It had received replies relating to </w:t>
      </w:r>
      <w:r w:rsidR="007D79BF" w:rsidRPr="00770755">
        <w:t>10</w:t>
      </w:r>
      <w:r w:rsidRPr="00770755">
        <w:t xml:space="preserve"> communications. Additional information had been received from </w:t>
      </w:r>
      <w:r w:rsidR="007D79BF" w:rsidRPr="00770755">
        <w:t xml:space="preserve">the authors of communications concerning Japan, </w:t>
      </w:r>
      <w:r w:rsidR="002F4D97" w:rsidRPr="00770755">
        <w:t xml:space="preserve">the </w:t>
      </w:r>
      <w:r w:rsidR="007D79BF" w:rsidRPr="00770755">
        <w:t>Lao People’s Democratic Republic and Turkey.</w:t>
      </w:r>
    </w:p>
    <w:p w14:paraId="4C73B254" w14:textId="77777777" w:rsidR="00EB0075" w:rsidRPr="00770755" w:rsidRDefault="00EB0075" w:rsidP="00EB0075">
      <w:pPr>
        <w:pStyle w:val="SingleTxtG"/>
      </w:pPr>
      <w:r w:rsidRPr="00770755">
        <w:t>7.</w:t>
      </w:r>
      <w:r w:rsidRPr="00770755">
        <w:tab/>
        <w:t>As set out in paragraph 95 of the annex to Council resolutio</w:t>
      </w:r>
      <w:bookmarkStart w:id="0" w:name="_GoBack"/>
      <w:bookmarkEnd w:id="0"/>
      <w:r w:rsidRPr="00770755">
        <w:t>n 5/1, the Working Group was to decide on the admissibility of a communication and assess the merits of the allegations of human rights violations, including whether the communication alone, or in combination with other communications, appeared to reveal a consistent pattern of gross and reliably attested violations of human rights and fundamental freedoms. In dealing with the question of admissibility of communications, the Working Group applied the criteria set out in paragraphs 87 and 88 of the annex to Council resolution 5/1.</w:t>
      </w:r>
    </w:p>
    <w:p w14:paraId="0D8D1D35" w14:textId="70C1ADF1" w:rsidR="00EB0075" w:rsidRPr="00770755" w:rsidRDefault="00EB0075" w:rsidP="00EB0075">
      <w:pPr>
        <w:pStyle w:val="SingleTxtG"/>
      </w:pPr>
      <w:r w:rsidRPr="00770755">
        <w:t>8.</w:t>
      </w:r>
      <w:r w:rsidRPr="00770755">
        <w:tab/>
        <w:t xml:space="preserve">The Working Group worked in a spirit of consensus, which permitted it to adopt all </w:t>
      </w:r>
      <w:r w:rsidR="00297F27" w:rsidRPr="00770755">
        <w:t xml:space="preserve">but one of its </w:t>
      </w:r>
      <w:r w:rsidRPr="00770755">
        <w:t>decisions without a vote. The results of the deliberations and the decisions made are reflected in the pr</w:t>
      </w:r>
      <w:r w:rsidR="004240B1" w:rsidRPr="00770755">
        <w:t>esent report.</w:t>
      </w:r>
    </w:p>
    <w:p w14:paraId="79A621D0" w14:textId="6E1CFF17" w:rsidR="00EB0075" w:rsidRPr="00770755" w:rsidRDefault="00EB0075" w:rsidP="00EB0075">
      <w:pPr>
        <w:pStyle w:val="SingleTxtG"/>
      </w:pPr>
      <w:r w:rsidRPr="00770755">
        <w:t>9.</w:t>
      </w:r>
      <w:r w:rsidRPr="00770755">
        <w:tab/>
        <w:t>During the session,</w:t>
      </w:r>
      <w:r w:rsidR="00297F27" w:rsidRPr="00770755">
        <w:t xml:space="preserve"> the Working Group adopted a total of </w:t>
      </w:r>
      <w:r w:rsidR="00A21FB0" w:rsidRPr="00770755">
        <w:t>2,025</w:t>
      </w:r>
      <w:r w:rsidR="00297F27" w:rsidRPr="00770755">
        <w:t xml:space="preserve"> decisions. Decisions were taken on the one new communication and the nine communications kept under review at its twenty-sixth session, as well as on the </w:t>
      </w:r>
      <w:r w:rsidR="00A21FB0" w:rsidRPr="00770755">
        <w:t>2,015</w:t>
      </w:r>
      <w:r w:rsidR="00297F27" w:rsidRPr="00770755">
        <w:t xml:space="preserve"> communications deemed inadmissible. In particular, </w:t>
      </w:r>
      <w:r w:rsidRPr="00770755">
        <w:t xml:space="preserve">the Working Group decided to </w:t>
      </w:r>
      <w:r w:rsidR="001E4919" w:rsidRPr="00770755">
        <w:t xml:space="preserve">transmit one file relating to one State to the Working Group on Situations, to </w:t>
      </w:r>
      <w:r w:rsidRPr="00770755">
        <w:t xml:space="preserve">keep </w:t>
      </w:r>
      <w:r w:rsidR="001E4919" w:rsidRPr="00770755">
        <w:t>five</w:t>
      </w:r>
      <w:r w:rsidRPr="00770755">
        <w:t xml:space="preserve"> files relating to </w:t>
      </w:r>
      <w:r w:rsidR="001E4919" w:rsidRPr="00770755">
        <w:t>three</w:t>
      </w:r>
      <w:r w:rsidRPr="00770755">
        <w:t xml:space="preserve"> States </w:t>
      </w:r>
      <w:r w:rsidR="00C3465E" w:rsidRPr="00770755">
        <w:t xml:space="preserve">under review </w:t>
      </w:r>
      <w:r w:rsidRPr="00770755">
        <w:t xml:space="preserve">until its next session and to discontinue </w:t>
      </w:r>
      <w:r w:rsidR="001E4919" w:rsidRPr="00770755">
        <w:t>four</w:t>
      </w:r>
      <w:r w:rsidRPr="00770755">
        <w:t xml:space="preserve"> file</w:t>
      </w:r>
      <w:r w:rsidR="001E4919" w:rsidRPr="00770755">
        <w:t>s</w:t>
      </w:r>
      <w:r w:rsidRPr="00770755">
        <w:t xml:space="preserve"> relating to </w:t>
      </w:r>
      <w:r w:rsidR="001E4919" w:rsidRPr="00770755">
        <w:t>six</w:t>
      </w:r>
      <w:r w:rsidRPr="00770755">
        <w:t xml:space="preserve"> State</w:t>
      </w:r>
      <w:r w:rsidR="001E4919" w:rsidRPr="00770755">
        <w:t>s</w:t>
      </w:r>
      <w:r w:rsidR="004240B1" w:rsidRPr="00770755">
        <w:t>.</w:t>
      </w:r>
    </w:p>
    <w:p w14:paraId="756C252A" w14:textId="77777777" w:rsidR="00EB0075" w:rsidRPr="00770755" w:rsidRDefault="00EB0075" w:rsidP="004240B1">
      <w:pPr>
        <w:pStyle w:val="HChG"/>
      </w:pPr>
      <w:r w:rsidRPr="00770755">
        <w:tab/>
        <w:t>II.</w:t>
      </w:r>
      <w:r w:rsidRPr="00770755">
        <w:tab/>
        <w:t>Decisions of the Working Group on Communications</w:t>
      </w:r>
    </w:p>
    <w:p w14:paraId="50DABF28" w14:textId="52547516" w:rsidR="00EB0075" w:rsidRPr="00770755" w:rsidRDefault="00EB0075" w:rsidP="009435AE">
      <w:pPr>
        <w:pStyle w:val="H1G"/>
      </w:pPr>
      <w:r w:rsidRPr="00770755">
        <w:tab/>
        <w:t>A.</w:t>
      </w:r>
      <w:r w:rsidRPr="00770755">
        <w:tab/>
        <w:t>Communication transmitted to the Working Group on Situations</w:t>
      </w:r>
    </w:p>
    <w:p w14:paraId="72E447F5" w14:textId="04E0027A" w:rsidR="0036785B" w:rsidRPr="00770755" w:rsidRDefault="0036785B" w:rsidP="00695AC1">
      <w:pPr>
        <w:pStyle w:val="SingleTxtG"/>
      </w:pPr>
      <w:r w:rsidRPr="00770755">
        <w:t>10.</w:t>
      </w:r>
      <w:r w:rsidRPr="00770755">
        <w:tab/>
        <w:t xml:space="preserve">The Working Group decided to </w:t>
      </w:r>
      <w:r w:rsidR="00D434EE" w:rsidRPr="00770755">
        <w:t>transmit</w:t>
      </w:r>
      <w:r w:rsidRPr="00770755">
        <w:t xml:space="preserve"> to the Working Group on Situations</w:t>
      </w:r>
      <w:r w:rsidR="007307B5" w:rsidRPr="00770755">
        <w:t xml:space="preserve"> the communication below</w:t>
      </w:r>
      <w:r w:rsidRPr="00770755">
        <w:t>.</w:t>
      </w:r>
    </w:p>
    <w:p w14:paraId="0043D3BF" w14:textId="77777777" w:rsidR="00E32A14" w:rsidRPr="00770755" w:rsidRDefault="00E32A14" w:rsidP="00E32A14">
      <w:pPr>
        <w:pStyle w:val="H23G"/>
      </w:pPr>
      <w:r w:rsidRPr="00770755">
        <w:tab/>
      </w:r>
      <w:r w:rsidRPr="00770755">
        <w:tab/>
        <w:t>Turkey</w:t>
      </w:r>
    </w:p>
    <w:tbl>
      <w:tblPr>
        <w:tblW w:w="7370" w:type="dxa"/>
        <w:tblInd w:w="1134" w:type="dxa"/>
        <w:tblLayout w:type="fixed"/>
        <w:tblCellMar>
          <w:left w:w="0" w:type="dxa"/>
          <w:right w:w="0" w:type="dxa"/>
        </w:tblCellMar>
        <w:tblLook w:val="01E0" w:firstRow="1" w:lastRow="1" w:firstColumn="1" w:lastColumn="1" w:noHBand="0" w:noVBand="0"/>
      </w:tblPr>
      <w:tblGrid>
        <w:gridCol w:w="1480"/>
        <w:gridCol w:w="3092"/>
        <w:gridCol w:w="2798"/>
      </w:tblGrid>
      <w:tr w:rsidR="003133E6" w:rsidRPr="00770755" w14:paraId="02B3A0C6" w14:textId="77777777" w:rsidTr="000A6A8E">
        <w:trPr>
          <w:tblHeader/>
        </w:trPr>
        <w:tc>
          <w:tcPr>
            <w:tcW w:w="1480" w:type="dxa"/>
            <w:tcBorders>
              <w:top w:val="single" w:sz="4" w:space="0" w:color="auto"/>
              <w:bottom w:val="single" w:sz="12" w:space="0" w:color="auto"/>
            </w:tcBorders>
            <w:shd w:val="clear" w:color="auto" w:fill="auto"/>
            <w:vAlign w:val="bottom"/>
          </w:tcPr>
          <w:p w14:paraId="451F0181" w14:textId="77777777" w:rsidR="00E32A14" w:rsidRPr="00770755" w:rsidRDefault="00E32A14" w:rsidP="000A6A8E">
            <w:pPr>
              <w:spacing w:before="80" w:after="80" w:line="200" w:lineRule="exact"/>
              <w:ind w:right="113"/>
              <w:rPr>
                <w:i/>
                <w:sz w:val="16"/>
              </w:rPr>
            </w:pPr>
            <w:r w:rsidRPr="00770755">
              <w:rPr>
                <w:i/>
                <w:sz w:val="16"/>
              </w:rPr>
              <w:t>Communication No.</w:t>
            </w:r>
          </w:p>
        </w:tc>
        <w:tc>
          <w:tcPr>
            <w:tcW w:w="3092" w:type="dxa"/>
            <w:tcBorders>
              <w:top w:val="single" w:sz="4" w:space="0" w:color="auto"/>
              <w:bottom w:val="single" w:sz="12" w:space="0" w:color="auto"/>
            </w:tcBorders>
            <w:shd w:val="clear" w:color="auto" w:fill="auto"/>
            <w:vAlign w:val="bottom"/>
          </w:tcPr>
          <w:p w14:paraId="518997C4" w14:textId="77777777" w:rsidR="00E32A14" w:rsidRPr="00770755" w:rsidRDefault="00E32A14" w:rsidP="000A6A8E">
            <w:pPr>
              <w:spacing w:before="80" w:after="80" w:line="200" w:lineRule="exact"/>
              <w:ind w:right="113"/>
              <w:rPr>
                <w:i/>
                <w:sz w:val="16"/>
              </w:rPr>
            </w:pPr>
            <w:r w:rsidRPr="00770755">
              <w:rPr>
                <w:i/>
                <w:sz w:val="16"/>
              </w:rPr>
              <w:t>Government reply</w:t>
            </w:r>
          </w:p>
        </w:tc>
        <w:tc>
          <w:tcPr>
            <w:tcW w:w="2798" w:type="dxa"/>
            <w:tcBorders>
              <w:top w:val="single" w:sz="4" w:space="0" w:color="auto"/>
              <w:bottom w:val="single" w:sz="12" w:space="0" w:color="auto"/>
            </w:tcBorders>
            <w:shd w:val="clear" w:color="auto" w:fill="auto"/>
            <w:vAlign w:val="bottom"/>
          </w:tcPr>
          <w:p w14:paraId="269023A1" w14:textId="77777777" w:rsidR="00E32A14" w:rsidRPr="00770755" w:rsidRDefault="00E32A14" w:rsidP="000A6A8E">
            <w:pPr>
              <w:spacing w:before="80" w:after="80" w:line="200" w:lineRule="exact"/>
              <w:ind w:right="113"/>
              <w:rPr>
                <w:i/>
                <w:sz w:val="16"/>
              </w:rPr>
            </w:pPr>
            <w:r w:rsidRPr="00770755">
              <w:rPr>
                <w:i/>
                <w:sz w:val="16"/>
              </w:rPr>
              <w:t>Additional information</w:t>
            </w:r>
          </w:p>
        </w:tc>
      </w:tr>
      <w:tr w:rsidR="000A6A8E" w:rsidRPr="00770755" w14:paraId="20E3E90C" w14:textId="77777777" w:rsidTr="000A6A8E">
        <w:trPr>
          <w:trHeight w:hRule="exact" w:val="113"/>
          <w:tblHeader/>
        </w:trPr>
        <w:tc>
          <w:tcPr>
            <w:tcW w:w="1480" w:type="dxa"/>
            <w:tcBorders>
              <w:top w:val="single" w:sz="12" w:space="0" w:color="auto"/>
            </w:tcBorders>
            <w:shd w:val="clear" w:color="auto" w:fill="auto"/>
          </w:tcPr>
          <w:p w14:paraId="1DE5C3DD" w14:textId="77777777" w:rsidR="000A6A8E" w:rsidRPr="00770755" w:rsidRDefault="000A6A8E" w:rsidP="000A6A8E">
            <w:pPr>
              <w:spacing w:before="40" w:after="120" w:line="240" w:lineRule="atLeast"/>
              <w:ind w:right="113"/>
            </w:pPr>
          </w:p>
        </w:tc>
        <w:tc>
          <w:tcPr>
            <w:tcW w:w="3092" w:type="dxa"/>
            <w:tcBorders>
              <w:top w:val="single" w:sz="12" w:space="0" w:color="auto"/>
            </w:tcBorders>
            <w:shd w:val="clear" w:color="auto" w:fill="auto"/>
          </w:tcPr>
          <w:p w14:paraId="1297AB76" w14:textId="77777777" w:rsidR="000A6A8E" w:rsidRPr="00770755" w:rsidRDefault="000A6A8E" w:rsidP="000A6A8E">
            <w:pPr>
              <w:spacing w:before="40" w:after="120" w:line="240" w:lineRule="atLeast"/>
              <w:ind w:right="113"/>
            </w:pPr>
          </w:p>
        </w:tc>
        <w:tc>
          <w:tcPr>
            <w:tcW w:w="2798" w:type="dxa"/>
            <w:tcBorders>
              <w:top w:val="single" w:sz="12" w:space="0" w:color="auto"/>
            </w:tcBorders>
            <w:shd w:val="clear" w:color="auto" w:fill="auto"/>
          </w:tcPr>
          <w:p w14:paraId="5F998DDB" w14:textId="77777777" w:rsidR="000A6A8E" w:rsidRPr="00770755" w:rsidRDefault="000A6A8E" w:rsidP="000A6A8E">
            <w:pPr>
              <w:spacing w:before="40" w:after="120" w:line="240" w:lineRule="atLeast"/>
              <w:ind w:right="113"/>
            </w:pPr>
          </w:p>
        </w:tc>
      </w:tr>
      <w:tr w:rsidR="003133E6" w:rsidRPr="00770755" w14:paraId="5B52E514" w14:textId="77777777" w:rsidTr="000A6A8E">
        <w:trPr>
          <w:tblHeader/>
        </w:trPr>
        <w:tc>
          <w:tcPr>
            <w:tcW w:w="1480" w:type="dxa"/>
            <w:tcBorders>
              <w:bottom w:val="single" w:sz="12" w:space="0" w:color="auto"/>
            </w:tcBorders>
            <w:shd w:val="clear" w:color="auto" w:fill="auto"/>
          </w:tcPr>
          <w:p w14:paraId="402B71C5" w14:textId="77777777" w:rsidR="00E32A14" w:rsidRPr="00770755" w:rsidRDefault="00E32A14" w:rsidP="000A6A8E">
            <w:pPr>
              <w:spacing w:before="40" w:after="120" w:line="240" w:lineRule="atLeast"/>
              <w:ind w:right="113"/>
            </w:pPr>
            <w:r w:rsidRPr="00770755">
              <w:rPr>
                <w:rFonts w:eastAsia="Calibri"/>
              </w:rPr>
              <w:t>2019/7 (254)</w:t>
            </w:r>
          </w:p>
        </w:tc>
        <w:tc>
          <w:tcPr>
            <w:tcW w:w="3092" w:type="dxa"/>
            <w:tcBorders>
              <w:bottom w:val="single" w:sz="12" w:space="0" w:color="auto"/>
            </w:tcBorders>
            <w:shd w:val="clear" w:color="auto" w:fill="auto"/>
          </w:tcPr>
          <w:p w14:paraId="5DB861FE" w14:textId="77777777" w:rsidR="00E32A14" w:rsidRPr="00770755" w:rsidRDefault="00E32A14" w:rsidP="000A6A8E">
            <w:pPr>
              <w:spacing w:before="40" w:after="120" w:line="240" w:lineRule="atLeast"/>
              <w:ind w:right="113"/>
              <w:rPr>
                <w:rFonts w:eastAsia="Calibri"/>
              </w:rPr>
            </w:pPr>
            <w:r w:rsidRPr="00770755">
              <w:rPr>
                <w:rFonts w:eastAsia="Calibri"/>
              </w:rPr>
              <w:t>3 February 2021</w:t>
            </w:r>
          </w:p>
          <w:p w14:paraId="6D3209E1" w14:textId="77777777" w:rsidR="00E32A14" w:rsidRPr="00770755" w:rsidRDefault="00E32A14" w:rsidP="000A6A8E">
            <w:pPr>
              <w:spacing w:before="40" w:after="120" w:line="240" w:lineRule="atLeast"/>
              <w:ind w:right="113"/>
              <w:rPr>
                <w:rFonts w:eastAsia="Calibri"/>
              </w:rPr>
            </w:pPr>
            <w:r w:rsidRPr="00770755">
              <w:rPr>
                <w:rFonts w:eastAsia="Calibri"/>
              </w:rPr>
              <w:t>21 November 2019</w:t>
            </w:r>
            <w:r w:rsidRPr="00770755">
              <w:t xml:space="preserve"> </w:t>
            </w:r>
            <w:r w:rsidRPr="00770755">
              <w:rPr>
                <w:rFonts w:eastAsia="Calibri"/>
              </w:rPr>
              <w:t>(</w:t>
            </w:r>
            <w:r w:rsidRPr="00770755">
              <w:t>request for an extension)</w:t>
            </w:r>
          </w:p>
        </w:tc>
        <w:tc>
          <w:tcPr>
            <w:tcW w:w="2798" w:type="dxa"/>
            <w:tcBorders>
              <w:bottom w:val="single" w:sz="12" w:space="0" w:color="auto"/>
            </w:tcBorders>
            <w:shd w:val="clear" w:color="auto" w:fill="auto"/>
          </w:tcPr>
          <w:p w14:paraId="33B1E590" w14:textId="77777777" w:rsidR="00E32A14" w:rsidRPr="00770755" w:rsidRDefault="00E32A14" w:rsidP="000A6A8E">
            <w:pPr>
              <w:spacing w:before="40" w:after="120" w:line="240" w:lineRule="atLeast"/>
              <w:ind w:right="113"/>
              <w:rPr>
                <w:rFonts w:eastAsia="Times New Roman"/>
              </w:rPr>
            </w:pPr>
            <w:r w:rsidRPr="00770755">
              <w:rPr>
                <w:rFonts w:eastAsia="Times New Roman"/>
              </w:rPr>
              <w:t>16 November 2020 (received from the author of the communication)</w:t>
            </w:r>
          </w:p>
          <w:p w14:paraId="4AC0A3A6" w14:textId="7C70170E" w:rsidR="00E32A14" w:rsidRPr="00770755" w:rsidRDefault="00E32A14" w:rsidP="000A6A8E">
            <w:pPr>
              <w:spacing w:before="40" w:after="120" w:line="240" w:lineRule="atLeast"/>
              <w:ind w:right="113"/>
              <w:rPr>
                <w:rFonts w:eastAsia="Times New Roman"/>
              </w:rPr>
            </w:pPr>
          </w:p>
        </w:tc>
      </w:tr>
    </w:tbl>
    <w:p w14:paraId="55B168AD" w14:textId="751535F7" w:rsidR="00E32A14" w:rsidRPr="00770755" w:rsidRDefault="00A0166E" w:rsidP="000B625C">
      <w:pPr>
        <w:pStyle w:val="SingleTxtG"/>
        <w:spacing w:before="120"/>
      </w:pPr>
      <w:r w:rsidRPr="00770755">
        <w:t>1</w:t>
      </w:r>
      <w:r w:rsidR="00E32A14" w:rsidRPr="00770755">
        <w:t>3.</w:t>
      </w:r>
      <w:r w:rsidR="00E32A14" w:rsidRPr="00770755">
        <w:tab/>
        <w:t xml:space="preserve">In its consideration of the admissibility of the communication in accordance with the annex to </w:t>
      </w:r>
      <w:r w:rsidR="00010FDB" w:rsidRPr="00770755">
        <w:t xml:space="preserve">Human Rights </w:t>
      </w:r>
      <w:r w:rsidR="00E32A14" w:rsidRPr="00770755">
        <w:t xml:space="preserve">Council resolution 5/1 and in the light of the documentation provided, the Working Group decided </w:t>
      </w:r>
      <w:r w:rsidR="0030388C" w:rsidRPr="00770755">
        <w:t>that</w:t>
      </w:r>
      <w:r w:rsidR="00E32A14" w:rsidRPr="00770755">
        <w:t>:</w:t>
      </w:r>
    </w:p>
    <w:p w14:paraId="12099E80" w14:textId="779195FE" w:rsidR="00E32A14" w:rsidRPr="00770755" w:rsidRDefault="00E32A14" w:rsidP="00E32A14">
      <w:pPr>
        <w:pStyle w:val="SingleTxtG"/>
        <w:spacing w:before="120"/>
        <w:ind w:firstLine="567"/>
      </w:pPr>
      <w:r w:rsidRPr="00770755">
        <w:t>(a)</w:t>
      </w:r>
      <w:r w:rsidRPr="00770755">
        <w:tab/>
        <w:t xml:space="preserve">Pursuant to paragraph 87 (a) of the annex to Council resolution 5/1, </w:t>
      </w:r>
      <w:r w:rsidR="0030388C" w:rsidRPr="00770755">
        <w:t xml:space="preserve">there was insufficient evidence to support the Government’s claim that </w:t>
      </w:r>
      <w:r w:rsidRPr="00770755">
        <w:t>the complaint was manifestly politically motivated</w:t>
      </w:r>
      <w:r w:rsidR="004240B1" w:rsidRPr="00770755">
        <w:t>;</w:t>
      </w:r>
    </w:p>
    <w:p w14:paraId="16124C53" w14:textId="70787378" w:rsidR="00E32A14" w:rsidRPr="00770755" w:rsidRDefault="00E32A14" w:rsidP="00E32A14">
      <w:pPr>
        <w:pStyle w:val="SingleTxtG"/>
        <w:spacing w:before="120"/>
        <w:ind w:firstLine="567"/>
      </w:pPr>
      <w:r w:rsidRPr="00770755">
        <w:t>(b)</w:t>
      </w:r>
      <w:r w:rsidRPr="00770755">
        <w:tab/>
      </w:r>
      <w:r w:rsidR="0030388C" w:rsidRPr="00770755">
        <w:t>In accordance with paragraph 87 (b) and (e) of the annex to Council resolution 5/1, t</w:t>
      </w:r>
      <w:r w:rsidRPr="00770755">
        <w:t>he communication contained a factual description of the alleged violations and was not exclusively based on reports disseminated by mass media;</w:t>
      </w:r>
    </w:p>
    <w:p w14:paraId="5706CBFD" w14:textId="3C42A466" w:rsidR="00E32A14" w:rsidRPr="00770755" w:rsidRDefault="004240B1" w:rsidP="00E32A14">
      <w:pPr>
        <w:pStyle w:val="SingleTxtG"/>
        <w:spacing w:before="120"/>
        <w:ind w:firstLine="567"/>
      </w:pPr>
      <w:r w:rsidRPr="00770755">
        <w:t>(c)</w:t>
      </w:r>
      <w:r w:rsidR="00E32A14" w:rsidRPr="00770755">
        <w:tab/>
      </w:r>
      <w:r w:rsidR="0030388C" w:rsidRPr="00770755">
        <w:t xml:space="preserve">The communication had, in accordance with </w:t>
      </w:r>
      <w:r w:rsidR="00E32A14" w:rsidRPr="00770755">
        <w:t>paragraph 87 (d) of the annex to Council resolution 5/1, been submitted by persons, acting in good faith in accordance with the principles of human rights, not resorting to politically motivated stands contrary to the provisions of the Charter of the United Nations, and claiming to have direct and reliable knowledge of the violations concerned</w:t>
      </w:r>
      <w:r w:rsidR="0030388C" w:rsidRPr="00770755">
        <w:t>;</w:t>
      </w:r>
      <w:r w:rsidR="00E32A14" w:rsidRPr="00770755">
        <w:t xml:space="preserve"> </w:t>
      </w:r>
      <w:r w:rsidR="0030388C" w:rsidRPr="00770755">
        <w:t>i</w:t>
      </w:r>
      <w:r w:rsidR="00E32A14" w:rsidRPr="00770755">
        <w:t>n any event, the Working Group recalled that reliably attested communications should not be inadmissible solely because the knowledge of the individual authors was second-hand, provided that they were accompanied by clear evidence;</w:t>
      </w:r>
    </w:p>
    <w:p w14:paraId="3ACC9FD2" w14:textId="4E4FAC5D" w:rsidR="00E32A14" w:rsidRPr="00770755" w:rsidRDefault="00E32A14" w:rsidP="00F31D5A">
      <w:pPr>
        <w:pStyle w:val="SingleTxtG"/>
        <w:spacing w:before="120"/>
        <w:ind w:firstLine="567"/>
      </w:pPr>
      <w:r w:rsidRPr="00770755">
        <w:t>(d)</w:t>
      </w:r>
      <w:r w:rsidRPr="00770755">
        <w:tab/>
        <w:t>The communication did not</w:t>
      </w:r>
      <w:r w:rsidR="0030388C" w:rsidRPr="00770755">
        <w:t>, in accordance with paragraph 87 (f) of the annex to Human Rights Council resolution 5/1,</w:t>
      </w:r>
      <w:r w:rsidRPr="00770755">
        <w:t xml:space="preserve"> refer to a case that appeared to reveal a consistent pattern of gross and reliably attested violations of human rights </w:t>
      </w:r>
      <w:r w:rsidR="0030388C" w:rsidRPr="00770755">
        <w:t xml:space="preserve">that was </w:t>
      </w:r>
      <w:r w:rsidRPr="00770755">
        <w:t>already being dealt with by a special procedure, a treaty body or other United Nations or similar regional complaints procedu</w:t>
      </w:r>
      <w:r w:rsidR="00F31D5A">
        <w:t>re in the field of human rights</w:t>
      </w:r>
      <w:r w:rsidRPr="00770755">
        <w:t>;</w:t>
      </w:r>
    </w:p>
    <w:p w14:paraId="571C1F3E" w14:textId="332CB5CF" w:rsidR="00E32A14" w:rsidRPr="00770755" w:rsidRDefault="00E32A14" w:rsidP="00E32A14">
      <w:pPr>
        <w:pStyle w:val="SingleTxtG"/>
        <w:spacing w:before="120"/>
        <w:ind w:firstLine="567"/>
      </w:pPr>
      <w:r w:rsidRPr="00770755">
        <w:t>(e)</w:t>
      </w:r>
      <w:r w:rsidRPr="00770755">
        <w:tab/>
        <w:t xml:space="preserve">In accordance with paragraph 87 (g) of the annex to Council resolution 5/1, there </w:t>
      </w:r>
      <w:r w:rsidR="00604D99" w:rsidRPr="00770755">
        <w:t xml:space="preserve">were </w:t>
      </w:r>
      <w:r w:rsidRPr="00770755">
        <w:t>reasonable grounds to believe that domestic remedies would be ineffective on account of the alleged dismissal of a large number of judges and prosecutors in the aftermath of the events described in the communication.</w:t>
      </w:r>
    </w:p>
    <w:p w14:paraId="6CE77333" w14:textId="26CABEC3" w:rsidR="00E32A14" w:rsidRPr="00770755" w:rsidRDefault="00A0166E" w:rsidP="00E32A14">
      <w:pPr>
        <w:pStyle w:val="SingleTxtG"/>
        <w:spacing w:before="120"/>
      </w:pPr>
      <w:r w:rsidRPr="00770755">
        <w:t>1</w:t>
      </w:r>
      <w:r w:rsidR="00E32A14" w:rsidRPr="00770755">
        <w:t>4.</w:t>
      </w:r>
      <w:r w:rsidR="00E32A14" w:rsidRPr="00770755">
        <w:tab/>
        <w:t>On the basis of its assessment of the admissibility criteria and the rejection of the objections raised by the Government, the Working Group concluded that the communication was admissible and met all the criteria set out in paragraph 87</w:t>
      </w:r>
      <w:r w:rsidR="000E6F81" w:rsidRPr="00770755">
        <w:t>, subparagraphs</w:t>
      </w:r>
      <w:r w:rsidR="00E32A14" w:rsidRPr="00770755">
        <w:t xml:space="preserve"> (a) to (g) of the annex to Human Rights Council resolution 5/1.</w:t>
      </w:r>
    </w:p>
    <w:p w14:paraId="063B5807" w14:textId="55478357" w:rsidR="00E32A14" w:rsidRPr="00770755" w:rsidRDefault="00A0166E" w:rsidP="00E32A14">
      <w:pPr>
        <w:pStyle w:val="SingleTxtG"/>
        <w:spacing w:before="120"/>
      </w:pPr>
      <w:r w:rsidRPr="00770755">
        <w:t>1</w:t>
      </w:r>
      <w:r w:rsidR="00E32A14" w:rsidRPr="00770755">
        <w:t>5.</w:t>
      </w:r>
      <w:r w:rsidR="00E32A14" w:rsidRPr="00770755">
        <w:tab/>
        <w:t>Considering the fact that the allegations referred to in the communication were of a serious nature and might reveal a consistent pattern of gross and reliably attested violations of human rights and fundamental freedoms, the Working Group decided to refer the communication to the Working Group on Situations, and to recommend that the latter, in its di</w:t>
      </w:r>
      <w:r w:rsidR="004240B1" w:rsidRPr="00770755">
        <w:t>alogue with the Government:</w:t>
      </w:r>
    </w:p>
    <w:p w14:paraId="2DACB89F" w14:textId="734F8769" w:rsidR="00E32A14" w:rsidRPr="00770755" w:rsidRDefault="00E32A14" w:rsidP="00D24BBC">
      <w:pPr>
        <w:pStyle w:val="SingleTxtG"/>
        <w:spacing w:before="120"/>
        <w:ind w:firstLine="567"/>
      </w:pPr>
      <w:r w:rsidRPr="00770755">
        <w:t>(a)</w:t>
      </w:r>
      <w:r w:rsidRPr="00770755">
        <w:tab/>
        <w:t>Seek substantive and detailed information on the concrete measures taken</w:t>
      </w:r>
      <w:r w:rsidR="004240B1" w:rsidRPr="00770755">
        <w:t>;</w:t>
      </w:r>
    </w:p>
    <w:p w14:paraId="56336874" w14:textId="1B9B2A0D" w:rsidR="00E32A14" w:rsidRPr="00770755" w:rsidRDefault="00E32A14" w:rsidP="00E32A14">
      <w:pPr>
        <w:pStyle w:val="SingleTxtG"/>
        <w:spacing w:before="120"/>
        <w:ind w:firstLine="567"/>
      </w:pPr>
      <w:r w:rsidRPr="00770755">
        <w:t>(b)</w:t>
      </w:r>
      <w:r w:rsidRPr="00770755">
        <w:tab/>
        <w:t>Encourage the Government to cooperate fully with the special procedur</w:t>
      </w:r>
      <w:r w:rsidR="004240B1" w:rsidRPr="00770755">
        <w:t>es of the Human Rights Council.</w:t>
      </w:r>
    </w:p>
    <w:p w14:paraId="0D3B08EE" w14:textId="503FF19F" w:rsidR="00E32A14" w:rsidRPr="00770755" w:rsidRDefault="00A0166E" w:rsidP="00E32A14">
      <w:pPr>
        <w:pStyle w:val="SingleTxtG"/>
        <w:spacing w:before="120"/>
      </w:pPr>
      <w:r w:rsidRPr="00770755">
        <w:t>1</w:t>
      </w:r>
      <w:r w:rsidR="00E32A14" w:rsidRPr="00770755">
        <w:t>6.</w:t>
      </w:r>
      <w:r w:rsidR="00E32A14" w:rsidRPr="00770755">
        <w:tab/>
        <w:t>The Working Group adopted its decision by consensus.</w:t>
      </w:r>
    </w:p>
    <w:p w14:paraId="0FF2CB40" w14:textId="77777777" w:rsidR="00EB0075" w:rsidRPr="00770755" w:rsidRDefault="00EB0075" w:rsidP="003F6F34">
      <w:pPr>
        <w:pStyle w:val="H1G"/>
      </w:pPr>
      <w:r w:rsidRPr="00770755">
        <w:tab/>
        <w:t>B.</w:t>
      </w:r>
      <w:r w:rsidRPr="00770755">
        <w:tab/>
        <w:t>Communications kept under review</w:t>
      </w:r>
    </w:p>
    <w:p w14:paraId="706BFE42" w14:textId="0741CEA1" w:rsidR="00EB0075" w:rsidRPr="00770755" w:rsidRDefault="00A0166E" w:rsidP="00EB0075">
      <w:pPr>
        <w:pStyle w:val="SingleTxtG"/>
      </w:pPr>
      <w:r w:rsidRPr="00770755">
        <w:t>17</w:t>
      </w:r>
      <w:r w:rsidR="00EB0075" w:rsidRPr="00770755">
        <w:t>.</w:t>
      </w:r>
      <w:r w:rsidR="00EB0075" w:rsidRPr="00770755">
        <w:tab/>
        <w:t>The Working Group decided to keep under review the communications listed below (</w:t>
      </w:r>
      <w:r w:rsidR="00695AC1" w:rsidRPr="00770755">
        <w:t>nine</w:t>
      </w:r>
      <w:r w:rsidR="00EB0075" w:rsidRPr="00770755">
        <w:t xml:space="preserve"> files relating to </w:t>
      </w:r>
      <w:r w:rsidR="00695AC1" w:rsidRPr="00770755">
        <w:t>six</w:t>
      </w:r>
      <w:r w:rsidR="00EB0075" w:rsidRPr="00770755">
        <w:t xml:space="preserve"> States) until its next session.</w:t>
      </w:r>
    </w:p>
    <w:p w14:paraId="76D9E9C5" w14:textId="0220380D" w:rsidR="0082558E" w:rsidRPr="00770755" w:rsidRDefault="0082558E" w:rsidP="00D24BBC">
      <w:pPr>
        <w:pStyle w:val="H23G"/>
      </w:pPr>
      <w:r w:rsidRPr="00770755">
        <w:tab/>
      </w:r>
    </w:p>
    <w:p w14:paraId="20EA15A4" w14:textId="580B7D50" w:rsidR="0082558E" w:rsidRPr="00770755" w:rsidRDefault="00A0166E" w:rsidP="0082558E">
      <w:pPr>
        <w:pStyle w:val="SingleTxtG"/>
      </w:pPr>
      <w:r w:rsidRPr="00770755">
        <w:t>19</w:t>
      </w:r>
      <w:r w:rsidR="0082558E" w:rsidRPr="00770755">
        <w:t>.</w:t>
      </w:r>
      <w:r w:rsidR="0082558E" w:rsidRPr="00770755">
        <w:tab/>
        <w:t>The Working Group took note of the new reply submitted by the Government of Guatemala on 18 May 2020, and expressed its appreciation for the cooperation of the Government with the complaint procedure.</w:t>
      </w:r>
    </w:p>
    <w:p w14:paraId="4F4CFDC8" w14:textId="1BD65EDB" w:rsidR="0082558E" w:rsidRPr="00770755" w:rsidRDefault="00A0166E" w:rsidP="00222107">
      <w:pPr>
        <w:pStyle w:val="SingleTxtG"/>
      </w:pPr>
      <w:r w:rsidRPr="00770755">
        <w:t>20</w:t>
      </w:r>
      <w:r w:rsidR="0082558E" w:rsidRPr="00770755">
        <w:t>.</w:t>
      </w:r>
      <w:r w:rsidR="0082558E" w:rsidRPr="00770755">
        <w:tab/>
        <w:t>The Working Group decided to keep the case under review until its next session and, with a view to continuing its constructive dialogue with the Government of Guatemala, to request the Government to provide, no later than three months after the notification of the present decision by the secretariat substantive and detailed information.</w:t>
      </w:r>
    </w:p>
    <w:p w14:paraId="2B41DEC2" w14:textId="3D046B49" w:rsidR="00E32A14" w:rsidRPr="00770755" w:rsidRDefault="00E32A14" w:rsidP="009F0BAD">
      <w:pPr>
        <w:pStyle w:val="H23G"/>
      </w:pPr>
      <w:r w:rsidRPr="00770755">
        <w:tab/>
      </w:r>
    </w:p>
    <w:p w14:paraId="190B928B" w14:textId="7B0F9AEC" w:rsidR="00E32A14" w:rsidRPr="00770755" w:rsidRDefault="00A0166E" w:rsidP="00E32A14">
      <w:pPr>
        <w:pStyle w:val="SingleTxtG"/>
      </w:pPr>
      <w:r w:rsidRPr="00770755">
        <w:t>27</w:t>
      </w:r>
      <w:r w:rsidR="00E32A14" w:rsidRPr="00770755">
        <w:t>.</w:t>
      </w:r>
      <w:r w:rsidR="00E32A14" w:rsidRPr="00770755">
        <w:tab/>
        <w:t xml:space="preserve">The Working Group took note of the replies submitted by the Government of Japan on 18 June 2020 and 5 February 2021, and expressed its appreciation for the cooperation of the Government with the complaint procedure. The Working Group considered, however, that a number of aspects contained in the communication and in its replies could be clarified further by the Government. It also noted with concern the Government’s reiterated position that it </w:t>
      </w:r>
      <w:r w:rsidR="00A97C10" w:rsidRPr="00770755">
        <w:t xml:space="preserve">was </w:t>
      </w:r>
      <w:r w:rsidR="00E32A14" w:rsidRPr="00770755">
        <w:t>unable to provide information on the individual cases included in the communication in light of the protection of privacy and in accordance with relevant domestic laws. In this regard, the Working Group recalled the confidential nature of the complaint procedure pursuant to paragraph 86 of the a</w:t>
      </w:r>
      <w:r w:rsidR="003133E6" w:rsidRPr="00770755">
        <w:t xml:space="preserve">nnex </w:t>
      </w:r>
      <w:r w:rsidR="00A97C10" w:rsidRPr="00770755">
        <w:t xml:space="preserve">to Human Rights </w:t>
      </w:r>
      <w:r w:rsidR="003133E6" w:rsidRPr="00770755">
        <w:t>Council resolution 5/1.</w:t>
      </w:r>
    </w:p>
    <w:p w14:paraId="6C019EB5" w14:textId="3765DB6B" w:rsidR="00E32A14" w:rsidRPr="00770755" w:rsidRDefault="00A0166E" w:rsidP="00E32A14">
      <w:pPr>
        <w:pStyle w:val="SingleTxtG"/>
      </w:pPr>
      <w:r w:rsidRPr="00770755">
        <w:t>28</w:t>
      </w:r>
      <w:r w:rsidR="00E32A14" w:rsidRPr="00770755">
        <w:t>.</w:t>
      </w:r>
      <w:r w:rsidR="00E32A14" w:rsidRPr="00770755">
        <w:tab/>
        <w:t xml:space="preserve">In </w:t>
      </w:r>
      <w:r w:rsidR="00866DA5" w:rsidRPr="00770755">
        <w:t xml:space="preserve">the </w:t>
      </w:r>
      <w:r w:rsidR="00E32A14" w:rsidRPr="00770755">
        <w:t xml:space="preserve">light of the above considerations, the Working Group decided to keep the communication under review until its next session and to request the Government to provide substantive and detailed </w:t>
      </w:r>
      <w:r w:rsidR="004A1881">
        <w:t xml:space="preserve">updated </w:t>
      </w:r>
      <w:r w:rsidR="00E32A14" w:rsidRPr="00770755">
        <w:t>information, no later than three months after the notification of the present decision by the secretariat, on:</w:t>
      </w:r>
    </w:p>
    <w:p w14:paraId="598738B7" w14:textId="77777777" w:rsidR="00EB0075" w:rsidRPr="00770755" w:rsidRDefault="003B11BC" w:rsidP="002C127F">
      <w:pPr>
        <w:pStyle w:val="H1G"/>
      </w:pPr>
      <w:r w:rsidRPr="00770755">
        <w:tab/>
      </w:r>
      <w:r w:rsidR="00EB0075" w:rsidRPr="00770755">
        <w:t>C.</w:t>
      </w:r>
      <w:r w:rsidR="00EB0075" w:rsidRPr="00770755">
        <w:tab/>
        <w:t xml:space="preserve">Discontinued communications </w:t>
      </w:r>
    </w:p>
    <w:p w14:paraId="4028DE1F" w14:textId="7F7F1E7B" w:rsidR="004C351F" w:rsidRPr="00770755" w:rsidRDefault="00A0166E" w:rsidP="004C351F">
      <w:pPr>
        <w:pStyle w:val="SingleTxtG"/>
      </w:pPr>
      <w:r w:rsidRPr="00770755">
        <w:t>4</w:t>
      </w:r>
      <w:r w:rsidR="00FC0C0B" w:rsidRPr="00770755">
        <w:t>1</w:t>
      </w:r>
      <w:r w:rsidR="00EB0075" w:rsidRPr="00770755">
        <w:t>.</w:t>
      </w:r>
      <w:r w:rsidR="00EB0075" w:rsidRPr="00770755">
        <w:tab/>
        <w:t>The Working Group decided to discontinue consideration of the communication</w:t>
      </w:r>
      <w:r w:rsidR="002C127F" w:rsidRPr="00770755">
        <w:t>s</w:t>
      </w:r>
      <w:r w:rsidR="004240B1" w:rsidRPr="00770755">
        <w:t xml:space="preserve"> listed below.</w:t>
      </w:r>
    </w:p>
    <w:p w14:paraId="735CD107" w14:textId="4EA11DF6" w:rsidR="0082558E" w:rsidRPr="00770755" w:rsidRDefault="004C351F" w:rsidP="001B6CC3">
      <w:pPr>
        <w:pStyle w:val="H23G"/>
      </w:pPr>
      <w:r w:rsidRPr="00770755">
        <w:tab/>
      </w:r>
    </w:p>
    <w:p w14:paraId="4ACBEE81" w14:textId="7B852EA8" w:rsidR="0082558E" w:rsidRPr="00770755" w:rsidRDefault="00A0166E" w:rsidP="0082558E">
      <w:pPr>
        <w:pStyle w:val="SingleTxtG"/>
      </w:pPr>
      <w:r w:rsidRPr="00770755">
        <w:t>4</w:t>
      </w:r>
      <w:r w:rsidR="00FC0C0B" w:rsidRPr="00770755">
        <w:t>9</w:t>
      </w:r>
      <w:r w:rsidR="0082558E" w:rsidRPr="00770755">
        <w:t>.</w:t>
      </w:r>
      <w:r w:rsidR="0082558E" w:rsidRPr="00770755">
        <w:rPr>
          <w:i/>
        </w:rPr>
        <w:tab/>
      </w:r>
      <w:r w:rsidR="0082558E" w:rsidRPr="00770755">
        <w:t xml:space="preserve">The Working Group considered the admissibility of the communication in accordance with the annex </w:t>
      </w:r>
      <w:r w:rsidR="00E86B7F" w:rsidRPr="00770755">
        <w:t xml:space="preserve">to Human Rights Council </w:t>
      </w:r>
      <w:r w:rsidR="0082558E" w:rsidRPr="00770755">
        <w:t xml:space="preserve">Council resolution 5/1 and in the light of the documentation provided. </w:t>
      </w:r>
      <w:r w:rsidR="00E86B7F" w:rsidRPr="00770755">
        <w:t>T</w:t>
      </w:r>
      <w:r w:rsidR="0082558E" w:rsidRPr="00770755">
        <w:t>he Working Group found that the communication might be politically motivated, considering the language used in the complaint and in the additional information provided by the complainant on 17 September 2020.</w:t>
      </w:r>
    </w:p>
    <w:p w14:paraId="0C89B989" w14:textId="34C1519A" w:rsidR="0082558E" w:rsidRPr="00770755" w:rsidRDefault="00FC0C0B" w:rsidP="0082558E">
      <w:pPr>
        <w:pStyle w:val="SingleTxtG"/>
      </w:pPr>
      <w:r w:rsidRPr="00770755">
        <w:t>50</w:t>
      </w:r>
      <w:r w:rsidR="0082558E" w:rsidRPr="00770755">
        <w:t>.</w:t>
      </w:r>
      <w:r w:rsidR="0082558E" w:rsidRPr="00770755">
        <w:tab/>
        <w:t>The Working Group accordingly decided to discontinue its consideration of the</w:t>
      </w:r>
      <w:r w:rsidR="004240B1" w:rsidRPr="00770755">
        <w:t xml:space="preserve"> communication.</w:t>
      </w:r>
    </w:p>
    <w:p w14:paraId="601C5F34" w14:textId="1DFADDEA" w:rsidR="004C351F" w:rsidRPr="00770755" w:rsidRDefault="00A0166E" w:rsidP="004C351F">
      <w:pPr>
        <w:pStyle w:val="SingleTxtG"/>
        <w:rPr>
          <w:b/>
          <w:highlight w:val="yellow"/>
        </w:rPr>
      </w:pPr>
      <w:r w:rsidRPr="00770755">
        <w:t>5</w:t>
      </w:r>
      <w:r w:rsidR="00FC0C0B" w:rsidRPr="00770755">
        <w:t>1</w:t>
      </w:r>
      <w:r w:rsidR="0082558E" w:rsidRPr="00770755">
        <w:t>.</w:t>
      </w:r>
      <w:r w:rsidR="0082558E" w:rsidRPr="00770755">
        <w:tab/>
        <w:t>The Working Group adopted its decision by consensus.</w:t>
      </w:r>
    </w:p>
    <w:p w14:paraId="002F07A3" w14:textId="11DC5A9A" w:rsidR="004C351F" w:rsidRPr="00770755" w:rsidRDefault="004C351F" w:rsidP="001B6CC3">
      <w:pPr>
        <w:pStyle w:val="H23G"/>
      </w:pPr>
      <w:r w:rsidRPr="00770755">
        <w:tab/>
      </w:r>
    </w:p>
    <w:p w14:paraId="4B664B9C" w14:textId="77777777" w:rsidR="00EB0075" w:rsidRPr="00770755" w:rsidRDefault="00EB0075" w:rsidP="00D319B5">
      <w:pPr>
        <w:pStyle w:val="HChG"/>
      </w:pPr>
      <w:r w:rsidRPr="00770755">
        <w:tab/>
        <w:t>III.</w:t>
      </w:r>
      <w:r w:rsidRPr="00770755">
        <w:tab/>
        <w:t>Government cooperation</w:t>
      </w:r>
    </w:p>
    <w:p w14:paraId="2E6F6B5A" w14:textId="209795A9" w:rsidR="00EB0075" w:rsidRPr="00770755" w:rsidRDefault="00A0166E" w:rsidP="00EB0075">
      <w:pPr>
        <w:pStyle w:val="SingleTxtG"/>
      </w:pPr>
      <w:r w:rsidRPr="00770755">
        <w:t>6</w:t>
      </w:r>
      <w:r w:rsidR="007270B4" w:rsidRPr="00770755">
        <w:t>4</w:t>
      </w:r>
      <w:r w:rsidR="00EB0075" w:rsidRPr="00770755">
        <w:t>.</w:t>
      </w:r>
      <w:r w:rsidR="00EB0075" w:rsidRPr="00770755">
        <w:tab/>
        <w:t xml:space="preserve">The Working Group noted that it had received replies to </w:t>
      </w:r>
      <w:r w:rsidR="006D19AC" w:rsidRPr="00770755">
        <w:t>all</w:t>
      </w:r>
      <w:r w:rsidR="00C96361" w:rsidRPr="00770755">
        <w:t xml:space="preserve"> </w:t>
      </w:r>
      <w:r w:rsidR="00EB0075" w:rsidRPr="00770755">
        <w:t>communications for which it had requested information. It expressed its appreciation to the Governments that had provided detailed and comprehensive replies within the time frame provided for in Council resolution 5/1. In that connection, it stressed that such cooperation was necessary for the proper functioning of the bodies entrusted with the implementation of the complaint procedure, as established by the Council in paragraphs 85 to 109 of the annex to its resolution 5/1. The Working Group encouraged Governments to address all allegations raised in the communications and to submit substantive replies on the allegations as soon as possible following the request made by the Working Group in order to allow for the timely and efficient processing of communica</w:t>
      </w:r>
      <w:r w:rsidR="003133E6" w:rsidRPr="00770755">
        <w:t>tions.</w:t>
      </w:r>
    </w:p>
    <w:p w14:paraId="037620B5" w14:textId="77777777" w:rsidR="00EB0075" w:rsidRPr="00770755" w:rsidRDefault="00EB0075" w:rsidP="00D319B5">
      <w:pPr>
        <w:pStyle w:val="HChG"/>
      </w:pPr>
      <w:r w:rsidRPr="00770755">
        <w:tab/>
        <w:t>IV.</w:t>
      </w:r>
      <w:r w:rsidRPr="00770755">
        <w:tab/>
        <w:t>Implementation of decisions</w:t>
      </w:r>
    </w:p>
    <w:p w14:paraId="65D17E64" w14:textId="4FD12377" w:rsidR="00EB0075" w:rsidRPr="00770755" w:rsidRDefault="00A0166E" w:rsidP="00D319B5">
      <w:pPr>
        <w:pStyle w:val="H1G"/>
      </w:pPr>
      <w:r w:rsidRPr="00770755">
        <w:tab/>
        <w:t>A.</w:t>
      </w:r>
      <w:r w:rsidRPr="00770755">
        <w:tab/>
        <w:t>Communication transmitted to the Working Group on Situations</w:t>
      </w:r>
    </w:p>
    <w:p w14:paraId="53B741D6" w14:textId="76AACA2E" w:rsidR="00A0166E" w:rsidRPr="00770755" w:rsidRDefault="00A0166E" w:rsidP="00A0166E">
      <w:pPr>
        <w:pStyle w:val="SingleTxtG"/>
      </w:pPr>
      <w:r w:rsidRPr="00770755">
        <w:t>6</w:t>
      </w:r>
      <w:r w:rsidR="007270B4" w:rsidRPr="00770755">
        <w:t>5</w:t>
      </w:r>
      <w:r w:rsidRPr="00770755">
        <w:t>.</w:t>
      </w:r>
      <w:r w:rsidRPr="00770755">
        <w:tab/>
        <w:t xml:space="preserve">Pursuant to paragraph 106 of the annex to </w:t>
      </w:r>
      <w:r w:rsidR="007557F0" w:rsidRPr="00770755">
        <w:t xml:space="preserve">Human Rights </w:t>
      </w:r>
      <w:r w:rsidRPr="00770755">
        <w:t>Council resolution 5/1, the secretariat will inform the Government of Turkey and the author of the communication of the relevant decision made by the Working Group on Communications</w:t>
      </w:r>
      <w:r w:rsidR="00500F3E" w:rsidRPr="00770755">
        <w:t>.</w:t>
      </w:r>
      <w:r w:rsidRPr="00770755">
        <w:t xml:space="preserve"> </w:t>
      </w:r>
      <w:r w:rsidR="00500F3E" w:rsidRPr="00770755">
        <w:t>T</w:t>
      </w:r>
      <w:r w:rsidRPr="00770755">
        <w:t xml:space="preserve">he communication will </w:t>
      </w:r>
      <w:r w:rsidR="00500F3E" w:rsidRPr="00770755">
        <w:t xml:space="preserve">subsequently </w:t>
      </w:r>
      <w:r w:rsidRPr="00770755">
        <w:t>be transmitted to the Working Group on Situations, as reflected in the present document.</w:t>
      </w:r>
    </w:p>
    <w:p w14:paraId="534A6D98" w14:textId="6B3379AC" w:rsidR="00A0166E" w:rsidRPr="00770755" w:rsidRDefault="00A0166E" w:rsidP="00A0166E">
      <w:pPr>
        <w:pStyle w:val="H1G"/>
      </w:pPr>
      <w:r w:rsidRPr="00770755">
        <w:tab/>
        <w:t>B.</w:t>
      </w:r>
      <w:r w:rsidRPr="00770755">
        <w:tab/>
        <w:t>Decisions to k</w:t>
      </w:r>
      <w:r w:rsidR="003133E6" w:rsidRPr="00770755">
        <w:t>eep communications under review</w:t>
      </w:r>
    </w:p>
    <w:p w14:paraId="30EABCD6" w14:textId="111B3156" w:rsidR="00EB0075" w:rsidRPr="00770755" w:rsidRDefault="003335DF" w:rsidP="00EB0075">
      <w:pPr>
        <w:pStyle w:val="SingleTxtG"/>
      </w:pPr>
      <w:r w:rsidRPr="00770755">
        <w:t>6</w:t>
      </w:r>
      <w:r w:rsidR="007270B4" w:rsidRPr="00770755">
        <w:t>6</w:t>
      </w:r>
      <w:r w:rsidR="00EB0075" w:rsidRPr="00770755">
        <w:t>.</w:t>
      </w:r>
      <w:r w:rsidR="00EB0075" w:rsidRPr="00770755">
        <w:tab/>
        <w:t xml:space="preserve">The secretariat will inform the Governments of </w:t>
      </w:r>
      <w:r w:rsidR="0036785B" w:rsidRPr="00770755">
        <w:t>Guatemala</w:t>
      </w:r>
      <w:r w:rsidR="00930811" w:rsidRPr="00770755">
        <w:t xml:space="preserve"> (two communications)</w:t>
      </w:r>
      <w:r w:rsidR="0036785B" w:rsidRPr="00770755">
        <w:t>, Japan</w:t>
      </w:r>
      <w:r w:rsidR="009F2892" w:rsidRPr="00770755">
        <w:t xml:space="preserve"> and</w:t>
      </w:r>
      <w:r w:rsidR="0036785B" w:rsidRPr="00770755">
        <w:t xml:space="preserve"> the Lao People’s Democratic Republic</w:t>
      </w:r>
      <w:r w:rsidR="00873752" w:rsidRPr="00770755">
        <w:t xml:space="preserve"> (two communications)</w:t>
      </w:r>
      <w:r w:rsidR="00500F3E" w:rsidRPr="00770755">
        <w:t>,</w:t>
      </w:r>
      <w:r w:rsidR="009F2892" w:rsidRPr="00770755">
        <w:t xml:space="preserve"> </w:t>
      </w:r>
      <w:r w:rsidR="00EB0075" w:rsidRPr="00770755">
        <w:t xml:space="preserve">and the authors of the communications, of the decision made by the Working Group to keep </w:t>
      </w:r>
      <w:r w:rsidR="00500F3E" w:rsidRPr="00770755">
        <w:t xml:space="preserve">the </w:t>
      </w:r>
      <w:r w:rsidR="00EB0075" w:rsidRPr="00770755">
        <w:t>communications relating to those States under review until its next session, as reflected in the present document, and of the reasons underlying that decision.</w:t>
      </w:r>
    </w:p>
    <w:p w14:paraId="385B36E8" w14:textId="5B2B6225" w:rsidR="00EB0075" w:rsidRPr="00770755" w:rsidRDefault="00EB0075" w:rsidP="00D319B5">
      <w:pPr>
        <w:pStyle w:val="H1G"/>
      </w:pPr>
      <w:r w:rsidRPr="00770755">
        <w:tab/>
      </w:r>
      <w:r w:rsidR="00A0166E" w:rsidRPr="00770755">
        <w:t>C</w:t>
      </w:r>
      <w:r w:rsidRPr="00770755">
        <w:t>.</w:t>
      </w:r>
      <w:r w:rsidRPr="00770755">
        <w:tab/>
        <w:t>Decision to discontinue consideration of communications</w:t>
      </w:r>
    </w:p>
    <w:p w14:paraId="1E5641F8" w14:textId="74571A71" w:rsidR="00EB0075" w:rsidRPr="00770755" w:rsidRDefault="003335DF" w:rsidP="0072311C">
      <w:pPr>
        <w:pStyle w:val="SingleTxtG"/>
      </w:pPr>
      <w:r w:rsidRPr="00770755">
        <w:t>6</w:t>
      </w:r>
      <w:r w:rsidR="007270B4" w:rsidRPr="00770755">
        <w:t>7</w:t>
      </w:r>
      <w:r w:rsidR="00EB0075" w:rsidRPr="00770755">
        <w:t>.</w:t>
      </w:r>
      <w:r w:rsidR="00EB0075" w:rsidRPr="00770755">
        <w:tab/>
        <w:t>The secretariat will inform the Government</w:t>
      </w:r>
      <w:r w:rsidR="009F2892" w:rsidRPr="00770755">
        <w:t>s</w:t>
      </w:r>
      <w:r w:rsidR="00EB0075" w:rsidRPr="00770755">
        <w:t xml:space="preserve"> of </w:t>
      </w:r>
      <w:r w:rsidR="009F2892" w:rsidRPr="00770755">
        <w:t xml:space="preserve">Japan, Pakistan, Saudi Arabia, the United Arab Emirates and Yemen, </w:t>
      </w:r>
      <w:r w:rsidR="00EB0075" w:rsidRPr="00770755">
        <w:t>and the author</w:t>
      </w:r>
      <w:r w:rsidR="009F2892" w:rsidRPr="00770755">
        <w:t>s</w:t>
      </w:r>
      <w:r w:rsidR="00EB0075" w:rsidRPr="00770755">
        <w:t xml:space="preserve"> of the communication</w:t>
      </w:r>
      <w:r w:rsidR="009F2892" w:rsidRPr="00770755">
        <w:t>s</w:t>
      </w:r>
      <w:r w:rsidR="00EB0075" w:rsidRPr="00770755">
        <w:t xml:space="preserve">, of the decision made by the Working Group to discontinue its consideration of </w:t>
      </w:r>
      <w:r w:rsidR="009F2892" w:rsidRPr="00770755">
        <w:t>those</w:t>
      </w:r>
      <w:r w:rsidR="00EB0075" w:rsidRPr="00770755">
        <w:t xml:space="preserve"> communication</w:t>
      </w:r>
      <w:r w:rsidR="009F2892" w:rsidRPr="00770755">
        <w:t>s</w:t>
      </w:r>
      <w:r w:rsidR="00EB0075" w:rsidRPr="00770755">
        <w:t>, as reflected in the present document, and of the reasons underlying that decision.</w:t>
      </w:r>
    </w:p>
    <w:p w14:paraId="6E2D78D8" w14:textId="77777777" w:rsidR="00B70E51" w:rsidRPr="00770755" w:rsidRDefault="00B70E51" w:rsidP="00B70E51">
      <w:pPr>
        <w:pStyle w:val="HChG"/>
      </w:pPr>
      <w:r w:rsidRPr="00770755">
        <w:tab/>
        <w:t>V.</w:t>
      </w:r>
      <w:r w:rsidRPr="00770755">
        <w:tab/>
        <w:t>Other issues</w:t>
      </w:r>
    </w:p>
    <w:p w14:paraId="60673A3C" w14:textId="52FBBBF6" w:rsidR="001E4919" w:rsidRPr="00770755" w:rsidRDefault="00A0166E" w:rsidP="001E4919">
      <w:pPr>
        <w:pStyle w:val="SingleTxtG"/>
      </w:pPr>
      <w:r w:rsidRPr="00770755">
        <w:t>6</w:t>
      </w:r>
      <w:r w:rsidR="007270B4" w:rsidRPr="00770755">
        <w:t>8</w:t>
      </w:r>
      <w:r w:rsidR="00B70E51" w:rsidRPr="00770755">
        <w:t>.</w:t>
      </w:r>
      <w:r w:rsidR="00B70E51" w:rsidRPr="00770755">
        <w:tab/>
        <w:t xml:space="preserve">During its session, the Working Group considered the overall functioning of the complaint procedure in the context of its methods of work, in accordance with paragraphs 86 and 90 of the annex to </w:t>
      </w:r>
      <w:r w:rsidR="00500F3E" w:rsidRPr="00770755">
        <w:t xml:space="preserve">Human Rights </w:t>
      </w:r>
      <w:r w:rsidR="00B70E51" w:rsidRPr="00770755">
        <w:t>Council resolution 5/1, including ways and means to increase the overall efficie</w:t>
      </w:r>
      <w:r w:rsidR="003133E6" w:rsidRPr="00770755">
        <w:t>ncy of the complaint procedure.</w:t>
      </w:r>
    </w:p>
    <w:p w14:paraId="413E6CBC" w14:textId="2DBC9599" w:rsidR="00B70E51" w:rsidRPr="00770755" w:rsidRDefault="007270B4" w:rsidP="001E4919">
      <w:pPr>
        <w:pStyle w:val="SingleTxtG"/>
      </w:pPr>
      <w:r w:rsidRPr="00770755">
        <w:t>69</w:t>
      </w:r>
      <w:r w:rsidR="001E4919" w:rsidRPr="00770755">
        <w:t>.</w:t>
      </w:r>
      <w:r w:rsidR="001E4919" w:rsidRPr="00770755">
        <w:tab/>
        <w:t xml:space="preserve">In </w:t>
      </w:r>
      <w:r w:rsidR="00500F3E" w:rsidRPr="00770755">
        <w:t xml:space="preserve">the </w:t>
      </w:r>
      <w:r w:rsidR="001E4919" w:rsidRPr="00770755">
        <w:t xml:space="preserve">light of the </w:t>
      </w:r>
      <w:r w:rsidR="00500F3E" w:rsidRPr="00770755">
        <w:t>coronavirus disease (</w:t>
      </w:r>
      <w:r w:rsidR="001E4919" w:rsidRPr="00770755">
        <w:t>COVID-19</w:t>
      </w:r>
      <w:r w:rsidR="00500F3E" w:rsidRPr="00770755">
        <w:t>)</w:t>
      </w:r>
      <w:r w:rsidR="001E4919" w:rsidRPr="00770755">
        <w:t xml:space="preserve"> pandemic, the members of the Working Group, for their </w:t>
      </w:r>
      <w:r w:rsidR="00500F3E" w:rsidRPr="00770755">
        <w:t xml:space="preserve">own </w:t>
      </w:r>
      <w:r w:rsidR="001E4919" w:rsidRPr="00770755">
        <w:t xml:space="preserve">safety and </w:t>
      </w:r>
      <w:r w:rsidR="00500F3E" w:rsidRPr="00770755">
        <w:t>that</w:t>
      </w:r>
      <w:r w:rsidR="001E4919" w:rsidRPr="00770755">
        <w:t xml:space="preserve"> of others, implemented the measures recommended by </w:t>
      </w:r>
      <w:r w:rsidR="00500F3E" w:rsidRPr="00770755">
        <w:t>the United Nations Office at Geneva</w:t>
      </w:r>
      <w:r w:rsidR="001E4919" w:rsidRPr="00770755">
        <w:t xml:space="preserve">, such as physical distancing at all times, the wearing of face-covering masks inside the premises and proper airflow in the meeting room. It also </w:t>
      </w:r>
      <w:r w:rsidR="00500F3E" w:rsidRPr="00770755">
        <w:t xml:space="preserve">resorted to on-screen </w:t>
      </w:r>
      <w:r w:rsidR="001E4919" w:rsidRPr="00770755">
        <w:t>projection of documents rather than distribut</w:t>
      </w:r>
      <w:r w:rsidR="00500F3E" w:rsidRPr="00770755">
        <w:t>e</w:t>
      </w:r>
      <w:r w:rsidR="001E4919" w:rsidRPr="00770755">
        <w:t xml:space="preserve"> printed materials in the meeting room. Furthermore, the Working Group adopted hybrid modalities in order to facilitate the participation of four of its members in the session, thereby minimizing any potential risk of infection.</w:t>
      </w:r>
    </w:p>
    <w:p w14:paraId="73FAE61E" w14:textId="77777777" w:rsidR="00EB0075" w:rsidRPr="00770755" w:rsidRDefault="00EB0075" w:rsidP="004E32A4">
      <w:pPr>
        <w:pStyle w:val="HChG"/>
      </w:pPr>
      <w:r w:rsidRPr="00770755">
        <w:tab/>
        <w:t>VI.</w:t>
      </w:r>
      <w:r w:rsidRPr="00770755">
        <w:tab/>
        <w:t>Adoption of the report</w:t>
      </w:r>
    </w:p>
    <w:p w14:paraId="7B5AF7BE" w14:textId="36C3C9ED" w:rsidR="00EB0075" w:rsidRPr="00770755" w:rsidRDefault="003335DF" w:rsidP="00EB0075">
      <w:pPr>
        <w:pStyle w:val="SingleTxtG"/>
      </w:pPr>
      <w:r w:rsidRPr="00770755">
        <w:t>7</w:t>
      </w:r>
      <w:r w:rsidR="007270B4" w:rsidRPr="00770755">
        <w:t>0</w:t>
      </w:r>
      <w:r w:rsidR="00EB0075" w:rsidRPr="00770755">
        <w:t>.</w:t>
      </w:r>
      <w:r w:rsidR="00EB0075" w:rsidRPr="00770755">
        <w:tab/>
        <w:t xml:space="preserve">The Working Group on Communications adopted its report unanimously at its </w:t>
      </w:r>
      <w:r w:rsidR="009F2892" w:rsidRPr="00770755">
        <w:t>fifth</w:t>
      </w:r>
      <w:r w:rsidR="003133E6" w:rsidRPr="00770755">
        <w:t xml:space="preserve"> meeting.</w:t>
      </w:r>
    </w:p>
    <w:p w14:paraId="6BDF351F" w14:textId="77777777" w:rsidR="004E32A4" w:rsidRPr="00770755" w:rsidRDefault="004E32A4" w:rsidP="004E32A4">
      <w:pPr>
        <w:pStyle w:val="SingleTxtG"/>
        <w:spacing w:before="240"/>
        <w:jc w:val="center"/>
        <w:rPr>
          <w:u w:val="single"/>
        </w:rPr>
      </w:pPr>
      <w:r w:rsidRPr="00770755">
        <w:rPr>
          <w:u w:val="single"/>
        </w:rPr>
        <w:tab/>
      </w:r>
      <w:r w:rsidRPr="00770755">
        <w:rPr>
          <w:u w:val="single"/>
        </w:rPr>
        <w:tab/>
      </w:r>
      <w:r w:rsidRPr="00770755">
        <w:rPr>
          <w:u w:val="single"/>
        </w:rPr>
        <w:tab/>
      </w:r>
      <w:r w:rsidR="00307F6C" w:rsidRPr="00770755">
        <w:rPr>
          <w:u w:val="single"/>
        </w:rPr>
        <w:tab/>
      </w:r>
    </w:p>
    <w:sectPr w:rsidR="004E32A4" w:rsidRPr="00770755" w:rsidSect="00CA1B04">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75C63" w14:textId="77777777" w:rsidR="000F6F10" w:rsidRPr="00C47B2E" w:rsidRDefault="000F6F10" w:rsidP="00C47B2E">
      <w:pPr>
        <w:pStyle w:val="a5"/>
      </w:pPr>
    </w:p>
  </w:endnote>
  <w:endnote w:type="continuationSeparator" w:id="0">
    <w:p w14:paraId="0E11B38B" w14:textId="77777777" w:rsidR="000F6F10" w:rsidRPr="00C47B2E" w:rsidRDefault="000F6F10" w:rsidP="00C47B2E">
      <w:pPr>
        <w:pStyle w:val="a5"/>
      </w:pPr>
    </w:p>
  </w:endnote>
  <w:endnote w:type="continuationNotice" w:id="1">
    <w:p w14:paraId="1A7F57BE" w14:textId="77777777" w:rsidR="000F6F10" w:rsidRPr="00C47B2E" w:rsidRDefault="000F6F10" w:rsidP="00C47B2E">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71EB6" w14:textId="51D39FD7" w:rsidR="007557F0" w:rsidRDefault="007557F0" w:rsidP="006E40B5">
    <w:pPr>
      <w:pStyle w:val="a5"/>
      <w:tabs>
        <w:tab w:val="right" w:pos="9638"/>
      </w:tabs>
    </w:pPr>
    <w:r w:rsidRPr="00A37178">
      <w:rPr>
        <w:b/>
        <w:bCs/>
        <w:sz w:val="18"/>
      </w:rPr>
      <w:fldChar w:fldCharType="begin"/>
    </w:r>
    <w:r w:rsidRPr="00A37178">
      <w:rPr>
        <w:b/>
        <w:bCs/>
        <w:sz w:val="18"/>
      </w:rPr>
      <w:instrText xml:space="preserve"> PAGE  \* MERGEFORMAT </w:instrText>
    </w:r>
    <w:r w:rsidRPr="00A37178">
      <w:rPr>
        <w:b/>
        <w:bCs/>
        <w:sz w:val="18"/>
      </w:rPr>
      <w:fldChar w:fldCharType="separate"/>
    </w:r>
    <w:r w:rsidR="00693EDF">
      <w:rPr>
        <w:b/>
        <w:bCs/>
        <w:noProof/>
        <w:sz w:val="18"/>
      </w:rPr>
      <w:t>2</w:t>
    </w:r>
    <w:r w:rsidRPr="00A3717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883C" w14:textId="23850177" w:rsidR="007557F0" w:rsidRDefault="007557F0" w:rsidP="00A37178">
    <w:pPr>
      <w:pStyle w:val="a5"/>
      <w:tabs>
        <w:tab w:val="right" w:pos="9638"/>
      </w:tabs>
    </w:pPr>
    <w:r>
      <w:tab/>
    </w:r>
    <w:r w:rsidRPr="00A37178">
      <w:rPr>
        <w:b/>
        <w:bCs/>
        <w:sz w:val="18"/>
      </w:rPr>
      <w:fldChar w:fldCharType="begin"/>
    </w:r>
    <w:r w:rsidRPr="00A37178">
      <w:rPr>
        <w:b/>
        <w:bCs/>
        <w:sz w:val="18"/>
      </w:rPr>
      <w:instrText xml:space="preserve"> PAGE  \* MERGEFORMAT </w:instrText>
    </w:r>
    <w:r w:rsidRPr="00A37178">
      <w:rPr>
        <w:b/>
        <w:bCs/>
        <w:sz w:val="18"/>
      </w:rPr>
      <w:fldChar w:fldCharType="separate"/>
    </w:r>
    <w:r w:rsidR="00693EDF">
      <w:rPr>
        <w:b/>
        <w:bCs/>
        <w:noProof/>
        <w:sz w:val="18"/>
      </w:rPr>
      <w:t>5</w:t>
    </w:r>
    <w:r w:rsidRPr="00A37178">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D142C" w14:textId="77777777" w:rsidR="000F6F10" w:rsidRPr="00C47B2E" w:rsidRDefault="000F6F10" w:rsidP="00C47B2E">
      <w:pPr>
        <w:tabs>
          <w:tab w:val="right" w:pos="2155"/>
        </w:tabs>
        <w:spacing w:after="80"/>
        <w:ind w:left="680"/>
      </w:pPr>
      <w:r>
        <w:rPr>
          <w:u w:val="single"/>
        </w:rPr>
        <w:tab/>
      </w:r>
    </w:p>
  </w:footnote>
  <w:footnote w:type="continuationSeparator" w:id="0">
    <w:p w14:paraId="56C1D0C4" w14:textId="77777777" w:rsidR="000F6F10" w:rsidRPr="00C47B2E" w:rsidRDefault="000F6F10" w:rsidP="005E716E">
      <w:pPr>
        <w:tabs>
          <w:tab w:val="right" w:pos="2155"/>
        </w:tabs>
        <w:spacing w:after="80"/>
        <w:ind w:left="680"/>
      </w:pPr>
      <w:r>
        <w:rPr>
          <w:u w:val="single"/>
        </w:rPr>
        <w:tab/>
      </w:r>
    </w:p>
  </w:footnote>
  <w:footnote w:type="continuationNotice" w:id="1">
    <w:p w14:paraId="241E6B15" w14:textId="77777777" w:rsidR="000F6F10" w:rsidRPr="00C47B2E" w:rsidRDefault="000F6F10" w:rsidP="00C47B2E">
      <w:pPr>
        <w:pStyle w:val="a5"/>
      </w:pPr>
    </w:p>
  </w:footnote>
  <w:footnote w:id="2">
    <w:p w14:paraId="1561E1E2" w14:textId="77777777" w:rsidR="007557F0" w:rsidRPr="00BD16E7" w:rsidRDefault="007557F0">
      <w:pPr>
        <w:pStyle w:val="a8"/>
      </w:pPr>
      <w:r>
        <w:rPr>
          <w:rStyle w:val="ac"/>
        </w:rPr>
        <w:tab/>
      </w:r>
      <w:r w:rsidRPr="00E15BE5">
        <w:rPr>
          <w:rStyle w:val="ac"/>
          <w:sz w:val="20"/>
          <w:vertAlign w:val="baseline"/>
        </w:rPr>
        <w:t>*</w:t>
      </w:r>
      <w:r>
        <w:rPr>
          <w:rStyle w:val="ac"/>
          <w:sz w:val="20"/>
          <w:vertAlign w:val="baseline"/>
        </w:rPr>
        <w:tab/>
      </w:r>
      <w:r>
        <w:t>All persons handling the present document are requested to respect and observe its confidential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B2153" w14:textId="77777777" w:rsidR="007557F0" w:rsidRDefault="007557F0" w:rsidP="00A37178">
    <w:pPr>
      <w:pStyle w:val="a3"/>
    </w:pPr>
    <w:r>
      <w:t>A/HRC/WG.5/27/R.2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EE77" w14:textId="77777777" w:rsidR="007557F0" w:rsidRDefault="007557F0" w:rsidP="00A37178">
    <w:pPr>
      <w:pStyle w:val="a3"/>
      <w:jc w:val="right"/>
    </w:pPr>
    <w:r>
      <w:t>A/HRC/WG.5/27/R.2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0"/>
  <w:attachedTemplate r:id="rId1"/>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AF"/>
    <w:rsid w:val="000002B1"/>
    <w:rsid w:val="00010FDB"/>
    <w:rsid w:val="00046E92"/>
    <w:rsid w:val="00063C90"/>
    <w:rsid w:val="00072607"/>
    <w:rsid w:val="000A0F2B"/>
    <w:rsid w:val="000A6A8E"/>
    <w:rsid w:val="000B625C"/>
    <w:rsid w:val="000C34C5"/>
    <w:rsid w:val="000E6F81"/>
    <w:rsid w:val="000F6F10"/>
    <w:rsid w:val="00101B98"/>
    <w:rsid w:val="00103843"/>
    <w:rsid w:val="00117946"/>
    <w:rsid w:val="00125A49"/>
    <w:rsid w:val="001714F9"/>
    <w:rsid w:val="00191F6D"/>
    <w:rsid w:val="00194E89"/>
    <w:rsid w:val="001A51A2"/>
    <w:rsid w:val="001B5ED1"/>
    <w:rsid w:val="001B6CC3"/>
    <w:rsid w:val="001E4919"/>
    <w:rsid w:val="001E7087"/>
    <w:rsid w:val="001F395C"/>
    <w:rsid w:val="00222107"/>
    <w:rsid w:val="002301D7"/>
    <w:rsid w:val="00233DC9"/>
    <w:rsid w:val="002402BE"/>
    <w:rsid w:val="00247E2C"/>
    <w:rsid w:val="00274248"/>
    <w:rsid w:val="00280E33"/>
    <w:rsid w:val="0028538D"/>
    <w:rsid w:val="00297F27"/>
    <w:rsid w:val="002A32CB"/>
    <w:rsid w:val="002A589C"/>
    <w:rsid w:val="002B2ACB"/>
    <w:rsid w:val="002B4808"/>
    <w:rsid w:val="002B6666"/>
    <w:rsid w:val="002C127F"/>
    <w:rsid w:val="002D6C53"/>
    <w:rsid w:val="002E0D73"/>
    <w:rsid w:val="002F4D97"/>
    <w:rsid w:val="002F5595"/>
    <w:rsid w:val="002F60ED"/>
    <w:rsid w:val="00301564"/>
    <w:rsid w:val="0030388C"/>
    <w:rsid w:val="00307F6C"/>
    <w:rsid w:val="003133E6"/>
    <w:rsid w:val="003335DF"/>
    <w:rsid w:val="00334F6A"/>
    <w:rsid w:val="00336ECA"/>
    <w:rsid w:val="00342AC8"/>
    <w:rsid w:val="0036785B"/>
    <w:rsid w:val="003A3AAF"/>
    <w:rsid w:val="003B11BC"/>
    <w:rsid w:val="003B2646"/>
    <w:rsid w:val="003B388B"/>
    <w:rsid w:val="003B4550"/>
    <w:rsid w:val="003F6F34"/>
    <w:rsid w:val="0040017C"/>
    <w:rsid w:val="004240B1"/>
    <w:rsid w:val="0045333D"/>
    <w:rsid w:val="00461253"/>
    <w:rsid w:val="00472990"/>
    <w:rsid w:val="00477105"/>
    <w:rsid w:val="004A1881"/>
    <w:rsid w:val="004A2814"/>
    <w:rsid w:val="004A62E2"/>
    <w:rsid w:val="004B2C1C"/>
    <w:rsid w:val="004B3D47"/>
    <w:rsid w:val="004C0622"/>
    <w:rsid w:val="004C351F"/>
    <w:rsid w:val="004D10F9"/>
    <w:rsid w:val="004E32A4"/>
    <w:rsid w:val="00500F3E"/>
    <w:rsid w:val="005042C2"/>
    <w:rsid w:val="00513613"/>
    <w:rsid w:val="00535C0C"/>
    <w:rsid w:val="005460AC"/>
    <w:rsid w:val="00557061"/>
    <w:rsid w:val="0058551E"/>
    <w:rsid w:val="005A2F5E"/>
    <w:rsid w:val="005B5AC4"/>
    <w:rsid w:val="005E395E"/>
    <w:rsid w:val="005E716E"/>
    <w:rsid w:val="00604D99"/>
    <w:rsid w:val="00617276"/>
    <w:rsid w:val="00671529"/>
    <w:rsid w:val="00682564"/>
    <w:rsid w:val="00687198"/>
    <w:rsid w:val="00693EDF"/>
    <w:rsid w:val="00695AC1"/>
    <w:rsid w:val="006B0212"/>
    <w:rsid w:val="006D19AC"/>
    <w:rsid w:val="006E40B5"/>
    <w:rsid w:val="0070489D"/>
    <w:rsid w:val="00715522"/>
    <w:rsid w:val="0072311C"/>
    <w:rsid w:val="007268F9"/>
    <w:rsid w:val="007270B4"/>
    <w:rsid w:val="007307B5"/>
    <w:rsid w:val="007537F7"/>
    <w:rsid w:val="007557F0"/>
    <w:rsid w:val="00770755"/>
    <w:rsid w:val="007716D5"/>
    <w:rsid w:val="007803DA"/>
    <w:rsid w:val="007842DE"/>
    <w:rsid w:val="007937F9"/>
    <w:rsid w:val="007B4600"/>
    <w:rsid w:val="007C278F"/>
    <w:rsid w:val="007C5048"/>
    <w:rsid w:val="007C52B0"/>
    <w:rsid w:val="007D4EF3"/>
    <w:rsid w:val="007D79BF"/>
    <w:rsid w:val="008010A0"/>
    <w:rsid w:val="008111EA"/>
    <w:rsid w:val="00814002"/>
    <w:rsid w:val="0082388F"/>
    <w:rsid w:val="0082558E"/>
    <w:rsid w:val="00861B4E"/>
    <w:rsid w:val="00866DA5"/>
    <w:rsid w:val="0087006F"/>
    <w:rsid w:val="00873752"/>
    <w:rsid w:val="0087568C"/>
    <w:rsid w:val="008926A8"/>
    <w:rsid w:val="0089646A"/>
    <w:rsid w:val="008A2208"/>
    <w:rsid w:val="008A3FE6"/>
    <w:rsid w:val="008A6E4D"/>
    <w:rsid w:val="008B7700"/>
    <w:rsid w:val="008F5C4B"/>
    <w:rsid w:val="00914BE9"/>
    <w:rsid w:val="00930811"/>
    <w:rsid w:val="00932F66"/>
    <w:rsid w:val="009411B4"/>
    <w:rsid w:val="00943378"/>
    <w:rsid w:val="009435AE"/>
    <w:rsid w:val="00977329"/>
    <w:rsid w:val="00981F9A"/>
    <w:rsid w:val="00986559"/>
    <w:rsid w:val="009D0139"/>
    <w:rsid w:val="009D717D"/>
    <w:rsid w:val="009F0BAD"/>
    <w:rsid w:val="009F2892"/>
    <w:rsid w:val="009F5CDC"/>
    <w:rsid w:val="009F6028"/>
    <w:rsid w:val="00A0166E"/>
    <w:rsid w:val="00A04B18"/>
    <w:rsid w:val="00A21FB0"/>
    <w:rsid w:val="00A37178"/>
    <w:rsid w:val="00A42CEA"/>
    <w:rsid w:val="00A56692"/>
    <w:rsid w:val="00A775CF"/>
    <w:rsid w:val="00A97AC7"/>
    <w:rsid w:val="00A97C10"/>
    <w:rsid w:val="00AE1F43"/>
    <w:rsid w:val="00AE4825"/>
    <w:rsid w:val="00B06045"/>
    <w:rsid w:val="00B2410D"/>
    <w:rsid w:val="00B26360"/>
    <w:rsid w:val="00B4097F"/>
    <w:rsid w:val="00B52EF4"/>
    <w:rsid w:val="00B5404E"/>
    <w:rsid w:val="00B640E5"/>
    <w:rsid w:val="00B6508D"/>
    <w:rsid w:val="00B70E51"/>
    <w:rsid w:val="00B7376F"/>
    <w:rsid w:val="00B77678"/>
    <w:rsid w:val="00B809AB"/>
    <w:rsid w:val="00B80C9A"/>
    <w:rsid w:val="00BD16E7"/>
    <w:rsid w:val="00BD7F6F"/>
    <w:rsid w:val="00BE25BD"/>
    <w:rsid w:val="00BF151C"/>
    <w:rsid w:val="00C03015"/>
    <w:rsid w:val="00C031C8"/>
    <w:rsid w:val="00C0358D"/>
    <w:rsid w:val="00C042FF"/>
    <w:rsid w:val="00C06ED8"/>
    <w:rsid w:val="00C1025C"/>
    <w:rsid w:val="00C10D98"/>
    <w:rsid w:val="00C1714F"/>
    <w:rsid w:val="00C3465E"/>
    <w:rsid w:val="00C35A27"/>
    <w:rsid w:val="00C47B2E"/>
    <w:rsid w:val="00C52D5F"/>
    <w:rsid w:val="00C7168B"/>
    <w:rsid w:val="00C96361"/>
    <w:rsid w:val="00CA1B04"/>
    <w:rsid w:val="00CB5889"/>
    <w:rsid w:val="00CC35FA"/>
    <w:rsid w:val="00CC77F8"/>
    <w:rsid w:val="00D06E76"/>
    <w:rsid w:val="00D16E71"/>
    <w:rsid w:val="00D24BBC"/>
    <w:rsid w:val="00D319B5"/>
    <w:rsid w:val="00D41C97"/>
    <w:rsid w:val="00D434EE"/>
    <w:rsid w:val="00D55CD6"/>
    <w:rsid w:val="00D615CF"/>
    <w:rsid w:val="00D6721F"/>
    <w:rsid w:val="00D84D54"/>
    <w:rsid w:val="00DA017C"/>
    <w:rsid w:val="00DA03EE"/>
    <w:rsid w:val="00DA083B"/>
    <w:rsid w:val="00DB10A9"/>
    <w:rsid w:val="00DD799D"/>
    <w:rsid w:val="00DE6E5D"/>
    <w:rsid w:val="00E02C2B"/>
    <w:rsid w:val="00E15BE5"/>
    <w:rsid w:val="00E3162E"/>
    <w:rsid w:val="00E32A14"/>
    <w:rsid w:val="00E33972"/>
    <w:rsid w:val="00E52109"/>
    <w:rsid w:val="00E71620"/>
    <w:rsid w:val="00E75317"/>
    <w:rsid w:val="00E86B7F"/>
    <w:rsid w:val="00EB0075"/>
    <w:rsid w:val="00ED6C48"/>
    <w:rsid w:val="00EE3932"/>
    <w:rsid w:val="00EE7FB3"/>
    <w:rsid w:val="00EF1C75"/>
    <w:rsid w:val="00EF6640"/>
    <w:rsid w:val="00F01FCF"/>
    <w:rsid w:val="00F31459"/>
    <w:rsid w:val="00F31D5A"/>
    <w:rsid w:val="00F34819"/>
    <w:rsid w:val="00F505BB"/>
    <w:rsid w:val="00F603E8"/>
    <w:rsid w:val="00F65F5D"/>
    <w:rsid w:val="00F6716F"/>
    <w:rsid w:val="00F86A3A"/>
    <w:rsid w:val="00FB32DE"/>
    <w:rsid w:val="00FC0C0B"/>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B6192F"/>
  <w15:docId w15:val="{A2735FA7-776A-4DF2-9240-411D027B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EB0075"/>
    <w:pPr>
      <w:spacing w:after="0" w:line="240" w:lineRule="auto"/>
    </w:pPr>
    <w:rPr>
      <w:rFonts w:ascii="Times New Roman" w:hAnsi="Times New Roman" w:cs="Times New Roman"/>
      <w:sz w:val="20"/>
      <w:szCs w:val="20"/>
    </w:rPr>
  </w:style>
  <w:style w:type="paragraph" w:styleId="1">
    <w:name w:val="heading 1"/>
    <w:aliases w:val="Table_G"/>
    <w:basedOn w:val="SingleTxtG"/>
    <w:next w:val="SingleTxtG"/>
    <w:link w:val="10"/>
    <w:rsid w:val="00EB0075"/>
    <w:pPr>
      <w:spacing w:after="0"/>
      <w:ind w:right="0"/>
      <w:jc w:val="left"/>
      <w:outlineLvl w:val="0"/>
    </w:pPr>
  </w:style>
  <w:style w:type="paragraph" w:styleId="2">
    <w:name w:val="heading 2"/>
    <w:basedOn w:val="a"/>
    <w:next w:val="a"/>
    <w:link w:val="20"/>
    <w:semiHidden/>
    <w:rsid w:val="00EB0075"/>
    <w:pPr>
      <w:outlineLvl w:val="1"/>
    </w:pPr>
  </w:style>
  <w:style w:type="paragraph" w:styleId="3">
    <w:name w:val="heading 3"/>
    <w:basedOn w:val="a"/>
    <w:next w:val="a"/>
    <w:link w:val="30"/>
    <w:semiHidden/>
    <w:rsid w:val="00EB0075"/>
    <w:pPr>
      <w:outlineLvl w:val="2"/>
    </w:pPr>
  </w:style>
  <w:style w:type="paragraph" w:styleId="4">
    <w:name w:val="heading 4"/>
    <w:basedOn w:val="a"/>
    <w:next w:val="a"/>
    <w:link w:val="40"/>
    <w:semiHidden/>
    <w:rsid w:val="00EB0075"/>
    <w:pPr>
      <w:outlineLvl w:val="3"/>
    </w:pPr>
  </w:style>
  <w:style w:type="paragraph" w:styleId="5">
    <w:name w:val="heading 5"/>
    <w:basedOn w:val="a"/>
    <w:next w:val="a"/>
    <w:link w:val="50"/>
    <w:semiHidden/>
    <w:rsid w:val="00EB0075"/>
    <w:pPr>
      <w:outlineLvl w:val="4"/>
    </w:pPr>
  </w:style>
  <w:style w:type="paragraph" w:styleId="6">
    <w:name w:val="heading 6"/>
    <w:basedOn w:val="a"/>
    <w:next w:val="a"/>
    <w:link w:val="60"/>
    <w:semiHidden/>
    <w:rsid w:val="00EB0075"/>
    <w:pPr>
      <w:outlineLvl w:val="5"/>
    </w:pPr>
  </w:style>
  <w:style w:type="paragraph" w:styleId="7">
    <w:name w:val="heading 7"/>
    <w:basedOn w:val="a"/>
    <w:next w:val="a"/>
    <w:link w:val="70"/>
    <w:semiHidden/>
    <w:rsid w:val="00EB0075"/>
    <w:pPr>
      <w:outlineLvl w:val="6"/>
    </w:pPr>
  </w:style>
  <w:style w:type="paragraph" w:styleId="8">
    <w:name w:val="heading 8"/>
    <w:basedOn w:val="a"/>
    <w:next w:val="a"/>
    <w:link w:val="80"/>
    <w:semiHidden/>
    <w:rsid w:val="00EB0075"/>
    <w:pPr>
      <w:outlineLvl w:val="7"/>
    </w:pPr>
  </w:style>
  <w:style w:type="paragraph" w:styleId="9">
    <w:name w:val="heading 9"/>
    <w:basedOn w:val="a"/>
    <w:next w:val="a"/>
    <w:link w:val="90"/>
    <w:semiHidden/>
    <w:rsid w:val="00EB007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EB0075"/>
    <w:pPr>
      <w:pBdr>
        <w:bottom w:val="single" w:sz="4" w:space="4" w:color="auto"/>
      </w:pBdr>
    </w:pPr>
    <w:rPr>
      <w:b/>
      <w:sz w:val="18"/>
    </w:rPr>
  </w:style>
  <w:style w:type="character" w:customStyle="1" w:styleId="a4">
    <w:name w:val="页眉 字符"/>
    <w:aliases w:val="6_G 字符"/>
    <w:basedOn w:val="a0"/>
    <w:link w:val="a3"/>
    <w:rsid w:val="00EB0075"/>
    <w:rPr>
      <w:rFonts w:ascii="Times New Roman" w:hAnsi="Times New Roman" w:cs="Times New Roman"/>
      <w:b/>
      <w:sz w:val="18"/>
      <w:szCs w:val="20"/>
    </w:rPr>
  </w:style>
  <w:style w:type="paragraph" w:styleId="a5">
    <w:name w:val="footer"/>
    <w:aliases w:val="3_G"/>
    <w:basedOn w:val="a"/>
    <w:link w:val="a6"/>
    <w:rsid w:val="00EB0075"/>
    <w:rPr>
      <w:sz w:val="16"/>
    </w:rPr>
  </w:style>
  <w:style w:type="character" w:customStyle="1" w:styleId="a6">
    <w:name w:val="页脚 字符"/>
    <w:aliases w:val="3_G 字符"/>
    <w:basedOn w:val="a0"/>
    <w:link w:val="a5"/>
    <w:rsid w:val="00EB0075"/>
    <w:rPr>
      <w:rFonts w:ascii="Times New Roman" w:hAnsi="Times New Roman" w:cs="Times New Roman"/>
      <w:sz w:val="16"/>
      <w:szCs w:val="20"/>
    </w:rPr>
  </w:style>
  <w:style w:type="paragraph" w:customStyle="1" w:styleId="HMG">
    <w:name w:val="_ H __M_G"/>
    <w:basedOn w:val="a"/>
    <w:next w:val="a"/>
    <w:rsid w:val="00EB0075"/>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qFormat/>
    <w:rsid w:val="00EB0075"/>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qFormat/>
    <w:rsid w:val="00EB0075"/>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qFormat/>
    <w:rsid w:val="00EB0075"/>
    <w:pPr>
      <w:keepNext/>
      <w:keepLines/>
      <w:tabs>
        <w:tab w:val="right" w:pos="851"/>
      </w:tabs>
      <w:spacing w:before="240" w:after="120" w:line="240" w:lineRule="exact"/>
      <w:ind w:left="1134" w:right="1134" w:hanging="1134"/>
    </w:pPr>
    <w:rPr>
      <w:b/>
    </w:rPr>
  </w:style>
  <w:style w:type="paragraph" w:customStyle="1" w:styleId="H4G">
    <w:name w:val="_ H_4_G"/>
    <w:basedOn w:val="a"/>
    <w:next w:val="a"/>
    <w:qFormat/>
    <w:rsid w:val="00EB0075"/>
    <w:pPr>
      <w:keepNext/>
      <w:keepLines/>
      <w:tabs>
        <w:tab w:val="right" w:pos="851"/>
      </w:tabs>
      <w:spacing w:before="240" w:after="120" w:line="240" w:lineRule="exact"/>
      <w:ind w:left="1134" w:right="1134" w:hanging="1134"/>
    </w:pPr>
    <w:rPr>
      <w:i/>
    </w:rPr>
  </w:style>
  <w:style w:type="paragraph" w:customStyle="1" w:styleId="H56G">
    <w:name w:val="_ H_5/6_G"/>
    <w:basedOn w:val="a"/>
    <w:next w:val="a"/>
    <w:qFormat/>
    <w:rsid w:val="00EB0075"/>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har"/>
    <w:qFormat/>
    <w:rsid w:val="00EB0075"/>
    <w:pPr>
      <w:spacing w:after="120" w:line="240" w:lineRule="atLeast"/>
      <w:ind w:left="1134" w:right="1134"/>
      <w:jc w:val="both"/>
    </w:pPr>
  </w:style>
  <w:style w:type="paragraph" w:customStyle="1" w:styleId="SLG">
    <w:name w:val="__S_L_G"/>
    <w:basedOn w:val="a"/>
    <w:next w:val="a"/>
    <w:rsid w:val="00EB0075"/>
    <w:pPr>
      <w:keepNext/>
      <w:keepLines/>
      <w:spacing w:before="240" w:after="240" w:line="580" w:lineRule="exact"/>
      <w:ind w:left="1134" w:right="1134"/>
    </w:pPr>
    <w:rPr>
      <w:b/>
      <w:sz w:val="56"/>
    </w:rPr>
  </w:style>
  <w:style w:type="paragraph" w:customStyle="1" w:styleId="SMG">
    <w:name w:val="__S_M_G"/>
    <w:basedOn w:val="a"/>
    <w:next w:val="a"/>
    <w:rsid w:val="00EB0075"/>
    <w:pPr>
      <w:keepNext/>
      <w:keepLines/>
      <w:spacing w:before="240" w:after="240" w:line="420" w:lineRule="exact"/>
      <w:ind w:left="1134" w:right="1134"/>
    </w:pPr>
    <w:rPr>
      <w:b/>
      <w:sz w:val="40"/>
    </w:rPr>
  </w:style>
  <w:style w:type="paragraph" w:customStyle="1" w:styleId="SSG">
    <w:name w:val="__S_S_G"/>
    <w:basedOn w:val="a"/>
    <w:next w:val="a"/>
    <w:rsid w:val="00EB0075"/>
    <w:pPr>
      <w:keepNext/>
      <w:keepLines/>
      <w:spacing w:before="240" w:after="240" w:line="300" w:lineRule="exact"/>
      <w:ind w:left="1134" w:right="1134"/>
    </w:pPr>
    <w:rPr>
      <w:b/>
      <w:sz w:val="28"/>
    </w:rPr>
  </w:style>
  <w:style w:type="paragraph" w:customStyle="1" w:styleId="XLargeG">
    <w:name w:val="__XLarge_G"/>
    <w:basedOn w:val="a"/>
    <w:next w:val="a"/>
    <w:rsid w:val="00EB0075"/>
    <w:pPr>
      <w:keepNext/>
      <w:keepLines/>
      <w:spacing w:before="240" w:after="240" w:line="420" w:lineRule="exact"/>
      <w:ind w:left="1134" w:right="1134"/>
    </w:pPr>
    <w:rPr>
      <w:b/>
      <w:sz w:val="40"/>
    </w:rPr>
  </w:style>
  <w:style w:type="paragraph" w:customStyle="1" w:styleId="Bullet1G">
    <w:name w:val="_Bullet 1_G"/>
    <w:basedOn w:val="a"/>
    <w:qFormat/>
    <w:rsid w:val="00EB0075"/>
    <w:pPr>
      <w:numPr>
        <w:numId w:val="12"/>
      </w:numPr>
      <w:spacing w:after="120"/>
      <w:ind w:right="1134"/>
      <w:jc w:val="both"/>
    </w:pPr>
  </w:style>
  <w:style w:type="paragraph" w:customStyle="1" w:styleId="Bullet2G">
    <w:name w:val="_Bullet 2_G"/>
    <w:basedOn w:val="a"/>
    <w:qFormat/>
    <w:rsid w:val="00EB0075"/>
    <w:pPr>
      <w:numPr>
        <w:numId w:val="13"/>
      </w:numPr>
      <w:spacing w:after="120"/>
      <w:ind w:right="1134"/>
      <w:jc w:val="both"/>
    </w:pPr>
  </w:style>
  <w:style w:type="paragraph" w:customStyle="1" w:styleId="ParaNoG">
    <w:name w:val="_ParaNo._G"/>
    <w:basedOn w:val="SingleTxtG"/>
    <w:rsid w:val="00EB0075"/>
    <w:pPr>
      <w:numPr>
        <w:numId w:val="14"/>
      </w:numPr>
    </w:pPr>
  </w:style>
  <w:style w:type="numbering" w:styleId="111111">
    <w:name w:val="Outline List 2"/>
    <w:basedOn w:val="a2"/>
    <w:semiHidden/>
    <w:rsid w:val="00EB0075"/>
    <w:pPr>
      <w:numPr>
        <w:numId w:val="15"/>
      </w:numPr>
    </w:pPr>
  </w:style>
  <w:style w:type="numbering" w:styleId="1111110">
    <w:name w:val="Outline List 1"/>
    <w:basedOn w:val="a2"/>
    <w:semiHidden/>
    <w:rsid w:val="00EB0075"/>
    <w:pPr>
      <w:numPr>
        <w:numId w:val="6"/>
      </w:numPr>
    </w:pPr>
  </w:style>
  <w:style w:type="character" w:styleId="a7">
    <w:name w:val="endnote reference"/>
    <w:aliases w:val="1_G"/>
    <w:rsid w:val="00EB0075"/>
    <w:rPr>
      <w:rFonts w:ascii="Times New Roman" w:hAnsi="Times New Roman"/>
      <w:sz w:val="18"/>
      <w:vertAlign w:val="superscript"/>
    </w:rPr>
  </w:style>
  <w:style w:type="paragraph" w:styleId="a8">
    <w:name w:val="footnote text"/>
    <w:aliases w:val="5_G"/>
    <w:basedOn w:val="a"/>
    <w:link w:val="a9"/>
    <w:qFormat/>
    <w:rsid w:val="00EB0075"/>
    <w:pPr>
      <w:tabs>
        <w:tab w:val="right" w:pos="1021"/>
      </w:tabs>
      <w:spacing w:line="220" w:lineRule="exact"/>
      <w:ind w:left="1134" w:right="1134" w:hanging="1134"/>
    </w:pPr>
    <w:rPr>
      <w:sz w:val="18"/>
    </w:rPr>
  </w:style>
  <w:style w:type="character" w:customStyle="1" w:styleId="a9">
    <w:name w:val="脚注文本 字符"/>
    <w:aliases w:val="5_G 字符"/>
    <w:basedOn w:val="a0"/>
    <w:link w:val="a8"/>
    <w:rsid w:val="00EB0075"/>
    <w:rPr>
      <w:rFonts w:ascii="Times New Roman" w:hAnsi="Times New Roman" w:cs="Times New Roman"/>
      <w:sz w:val="18"/>
      <w:szCs w:val="20"/>
    </w:rPr>
  </w:style>
  <w:style w:type="paragraph" w:styleId="aa">
    <w:name w:val="endnote text"/>
    <w:aliases w:val="2_G"/>
    <w:basedOn w:val="a8"/>
    <w:link w:val="ab"/>
    <w:rsid w:val="00EB0075"/>
  </w:style>
  <w:style w:type="character" w:customStyle="1" w:styleId="ab">
    <w:name w:val="尾注文本 字符"/>
    <w:aliases w:val="2_G 字符"/>
    <w:basedOn w:val="a0"/>
    <w:link w:val="aa"/>
    <w:rsid w:val="00EB0075"/>
    <w:rPr>
      <w:rFonts w:ascii="Times New Roman" w:hAnsi="Times New Roman" w:cs="Times New Roman"/>
      <w:sz w:val="18"/>
      <w:szCs w:val="20"/>
    </w:rPr>
  </w:style>
  <w:style w:type="character" w:styleId="ac">
    <w:name w:val="footnote reference"/>
    <w:aliases w:val="4_G"/>
    <w:qFormat/>
    <w:rsid w:val="00EB0075"/>
    <w:rPr>
      <w:rFonts w:ascii="Times New Roman" w:hAnsi="Times New Roman"/>
      <w:sz w:val="18"/>
      <w:vertAlign w:val="superscript"/>
    </w:rPr>
  </w:style>
  <w:style w:type="character" w:customStyle="1" w:styleId="10">
    <w:name w:val="标题 1 字符"/>
    <w:aliases w:val="Table_G 字符"/>
    <w:basedOn w:val="a0"/>
    <w:link w:val="1"/>
    <w:rsid w:val="00EB0075"/>
    <w:rPr>
      <w:rFonts w:ascii="Times New Roman" w:hAnsi="Times New Roman" w:cs="Times New Roman"/>
      <w:sz w:val="20"/>
      <w:szCs w:val="20"/>
    </w:rPr>
  </w:style>
  <w:style w:type="character" w:customStyle="1" w:styleId="20">
    <w:name w:val="标题 2 字符"/>
    <w:basedOn w:val="a0"/>
    <w:link w:val="2"/>
    <w:semiHidden/>
    <w:rsid w:val="00EB0075"/>
    <w:rPr>
      <w:rFonts w:ascii="Times New Roman" w:hAnsi="Times New Roman" w:cs="Times New Roman"/>
      <w:sz w:val="20"/>
      <w:szCs w:val="20"/>
    </w:rPr>
  </w:style>
  <w:style w:type="character" w:customStyle="1" w:styleId="30">
    <w:name w:val="标题 3 字符"/>
    <w:basedOn w:val="a0"/>
    <w:link w:val="3"/>
    <w:semiHidden/>
    <w:rsid w:val="00EB0075"/>
    <w:rPr>
      <w:rFonts w:ascii="Times New Roman" w:hAnsi="Times New Roman" w:cs="Times New Roman"/>
      <w:sz w:val="20"/>
      <w:szCs w:val="20"/>
    </w:rPr>
  </w:style>
  <w:style w:type="character" w:customStyle="1" w:styleId="40">
    <w:name w:val="标题 4 字符"/>
    <w:basedOn w:val="a0"/>
    <w:link w:val="4"/>
    <w:semiHidden/>
    <w:rsid w:val="00EB0075"/>
    <w:rPr>
      <w:rFonts w:ascii="Times New Roman" w:hAnsi="Times New Roman" w:cs="Times New Roman"/>
      <w:sz w:val="20"/>
      <w:szCs w:val="20"/>
    </w:rPr>
  </w:style>
  <w:style w:type="character" w:customStyle="1" w:styleId="50">
    <w:name w:val="标题 5 字符"/>
    <w:basedOn w:val="a0"/>
    <w:link w:val="5"/>
    <w:semiHidden/>
    <w:rsid w:val="00EB0075"/>
    <w:rPr>
      <w:rFonts w:ascii="Times New Roman" w:hAnsi="Times New Roman" w:cs="Times New Roman"/>
      <w:sz w:val="20"/>
      <w:szCs w:val="20"/>
    </w:rPr>
  </w:style>
  <w:style w:type="character" w:customStyle="1" w:styleId="60">
    <w:name w:val="标题 6 字符"/>
    <w:basedOn w:val="a0"/>
    <w:link w:val="6"/>
    <w:semiHidden/>
    <w:rsid w:val="00EB0075"/>
    <w:rPr>
      <w:rFonts w:ascii="Times New Roman" w:hAnsi="Times New Roman" w:cs="Times New Roman"/>
      <w:sz w:val="20"/>
      <w:szCs w:val="20"/>
    </w:rPr>
  </w:style>
  <w:style w:type="character" w:customStyle="1" w:styleId="70">
    <w:name w:val="标题 7 字符"/>
    <w:basedOn w:val="a0"/>
    <w:link w:val="7"/>
    <w:semiHidden/>
    <w:rsid w:val="00EB0075"/>
    <w:rPr>
      <w:rFonts w:ascii="Times New Roman" w:hAnsi="Times New Roman" w:cs="Times New Roman"/>
      <w:sz w:val="20"/>
      <w:szCs w:val="20"/>
    </w:rPr>
  </w:style>
  <w:style w:type="character" w:customStyle="1" w:styleId="80">
    <w:name w:val="标题 8 字符"/>
    <w:basedOn w:val="a0"/>
    <w:link w:val="8"/>
    <w:semiHidden/>
    <w:rsid w:val="00EB0075"/>
    <w:rPr>
      <w:rFonts w:ascii="Times New Roman" w:hAnsi="Times New Roman" w:cs="Times New Roman"/>
      <w:sz w:val="20"/>
      <w:szCs w:val="20"/>
    </w:rPr>
  </w:style>
  <w:style w:type="character" w:customStyle="1" w:styleId="90">
    <w:name w:val="标题 9 字符"/>
    <w:basedOn w:val="a0"/>
    <w:link w:val="9"/>
    <w:semiHidden/>
    <w:rsid w:val="00EB0075"/>
    <w:rPr>
      <w:rFonts w:ascii="Times New Roman" w:hAnsi="Times New Roman" w:cs="Times New Roman"/>
      <w:sz w:val="20"/>
      <w:szCs w:val="20"/>
    </w:rPr>
  </w:style>
  <w:style w:type="character" w:styleId="ad">
    <w:name w:val="page number"/>
    <w:aliases w:val="7_G"/>
    <w:rsid w:val="00EB0075"/>
    <w:rPr>
      <w:rFonts w:ascii="Times New Roman" w:hAnsi="Times New Roman"/>
      <w:b/>
      <w:sz w:val="18"/>
    </w:rPr>
  </w:style>
  <w:style w:type="character" w:styleId="ae">
    <w:name w:val="Book Title"/>
    <w:basedOn w:val="a0"/>
    <w:uiPriority w:val="33"/>
    <w:semiHidden/>
    <w:rsid w:val="007268F9"/>
    <w:rPr>
      <w:b/>
      <w:bCs/>
      <w:smallCaps/>
      <w:spacing w:val="5"/>
    </w:rPr>
  </w:style>
  <w:style w:type="paragraph" w:styleId="af">
    <w:name w:val="Balloon Text"/>
    <w:basedOn w:val="a"/>
    <w:link w:val="af0"/>
    <w:uiPriority w:val="99"/>
    <w:semiHidden/>
    <w:unhideWhenUsed/>
    <w:rsid w:val="00EB0075"/>
    <w:rPr>
      <w:rFonts w:ascii="Tahoma" w:hAnsi="Tahoma" w:cs="Tahoma"/>
      <w:sz w:val="16"/>
      <w:szCs w:val="16"/>
    </w:rPr>
  </w:style>
  <w:style w:type="character" w:customStyle="1" w:styleId="af0">
    <w:name w:val="批注框文本 字符"/>
    <w:basedOn w:val="a0"/>
    <w:link w:val="af"/>
    <w:uiPriority w:val="99"/>
    <w:semiHidden/>
    <w:rsid w:val="00EB0075"/>
    <w:rPr>
      <w:rFonts w:ascii="Tahoma" w:hAnsi="Tahoma" w:cs="Tahoma"/>
      <w:sz w:val="16"/>
      <w:szCs w:val="16"/>
    </w:rPr>
  </w:style>
  <w:style w:type="character" w:styleId="af1">
    <w:name w:val="Hyperlink"/>
    <w:unhideWhenUsed/>
    <w:rsid w:val="004A2814"/>
    <w:rPr>
      <w:color w:val="0000FF"/>
      <w:u w:val="none"/>
    </w:rPr>
  </w:style>
  <w:style w:type="table" w:styleId="af2">
    <w:name w:val="Table Grid"/>
    <w:basedOn w:val="a1"/>
    <w:rsid w:val="00EB007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singletxtg">
    <w:name w:val="gmail-singletxtg"/>
    <w:basedOn w:val="a"/>
    <w:rsid w:val="003B11BC"/>
    <w:pPr>
      <w:spacing w:before="100" w:beforeAutospacing="1" w:after="100" w:afterAutospacing="1"/>
    </w:pPr>
    <w:rPr>
      <w:rFonts w:eastAsia="Calibri"/>
      <w:sz w:val="24"/>
      <w:szCs w:val="24"/>
      <w:lang w:eastAsia="en-GB"/>
    </w:rPr>
  </w:style>
  <w:style w:type="paragraph" w:styleId="af3">
    <w:name w:val="List Paragraph"/>
    <w:basedOn w:val="a"/>
    <w:uiPriority w:val="34"/>
    <w:qFormat/>
    <w:rsid w:val="00DD799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SingleTxtGChar">
    <w:name w:val="_ Single Txt_G Char"/>
    <w:link w:val="SingleTxtG"/>
    <w:locked/>
    <w:rsid w:val="00695AC1"/>
    <w:rPr>
      <w:rFonts w:ascii="Times New Roman" w:hAnsi="Times New Roman" w:cs="Times New Roman"/>
      <w:sz w:val="20"/>
      <w:szCs w:val="20"/>
    </w:rPr>
  </w:style>
  <w:style w:type="character" w:styleId="af4">
    <w:name w:val="annotation reference"/>
    <w:basedOn w:val="a0"/>
    <w:uiPriority w:val="99"/>
    <w:semiHidden/>
    <w:unhideWhenUsed/>
    <w:rsid w:val="002402BE"/>
    <w:rPr>
      <w:sz w:val="16"/>
      <w:szCs w:val="16"/>
    </w:rPr>
  </w:style>
  <w:style w:type="paragraph" w:styleId="af5">
    <w:name w:val="annotation text"/>
    <w:basedOn w:val="a"/>
    <w:link w:val="af6"/>
    <w:uiPriority w:val="99"/>
    <w:semiHidden/>
    <w:unhideWhenUsed/>
    <w:rsid w:val="002402BE"/>
  </w:style>
  <w:style w:type="character" w:customStyle="1" w:styleId="af6">
    <w:name w:val="批注文字 字符"/>
    <w:basedOn w:val="a0"/>
    <w:link w:val="af5"/>
    <w:uiPriority w:val="99"/>
    <w:semiHidden/>
    <w:rsid w:val="002402BE"/>
    <w:rPr>
      <w:rFonts w:ascii="Times New Roman" w:hAnsi="Times New Roman" w:cs="Times New Roman"/>
      <w:sz w:val="20"/>
      <w:szCs w:val="20"/>
    </w:rPr>
  </w:style>
  <w:style w:type="paragraph" w:styleId="af7">
    <w:name w:val="annotation subject"/>
    <w:basedOn w:val="af5"/>
    <w:next w:val="af5"/>
    <w:link w:val="af8"/>
    <w:uiPriority w:val="99"/>
    <w:semiHidden/>
    <w:unhideWhenUsed/>
    <w:rsid w:val="002402BE"/>
    <w:rPr>
      <w:b/>
      <w:bCs/>
    </w:rPr>
  </w:style>
  <w:style w:type="character" w:customStyle="1" w:styleId="af8">
    <w:name w:val="批注主题 字符"/>
    <w:basedOn w:val="af6"/>
    <w:link w:val="af7"/>
    <w:uiPriority w:val="99"/>
    <w:semiHidden/>
    <w:rsid w:val="002402B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5120">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C4CBF-C20C-47D4-8C5B-A07704FF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5</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A/HRC/WG.5/25/R.2</vt:lpstr>
    </vt:vector>
  </TitlesOfParts>
  <Company>DCM</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A/HRC/WG.5/25/R.2</dc:title>
  <dc:subject>1914105</dc:subject>
  <dc:creator>AVT</dc:creator>
  <cp:keywords/>
  <dc:description/>
  <cp:lastModifiedBy>sen wang</cp:lastModifiedBy>
  <cp:revision>2</cp:revision>
  <cp:lastPrinted>2019-08-20T11:17:00Z</cp:lastPrinted>
  <dcterms:created xsi:type="dcterms:W3CDTF">2021-05-06T08:38:00Z</dcterms:created>
  <dcterms:modified xsi:type="dcterms:W3CDTF">2021-05-06T08:38:00Z</dcterms:modified>
</cp:coreProperties>
</file>