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C49D3" w14:textId="77777777" w:rsidR="001B163B" w:rsidRDefault="001B163B" w:rsidP="001B163B">
      <w:pPr>
        <w:jc w:val="center"/>
      </w:pPr>
      <w:r>
        <w:rPr>
          <w:rFonts w:hint="eastAsia"/>
        </w:rPr>
        <w:t>工商企业与人权专题下部分术语译法建议</w:t>
      </w:r>
    </w:p>
    <w:p w14:paraId="12B8D422" w14:textId="77777777" w:rsidR="001B163B" w:rsidRDefault="001B163B" w:rsidP="001B163B"/>
    <w:p w14:paraId="57AEE3D5" w14:textId="77777777" w:rsidR="007A56A1" w:rsidRDefault="001B163B" w:rsidP="001B163B"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abu</w:t>
      </w:r>
      <w:r>
        <w:t>ses</w:t>
      </w:r>
      <w:r w:rsidR="007A56A1">
        <w:t xml:space="preserve"> </w:t>
      </w:r>
      <w:r w:rsidR="007A56A1">
        <w:rPr>
          <w:rFonts w:hint="eastAsia"/>
        </w:rPr>
        <w:t>侵害，损害</w:t>
      </w:r>
    </w:p>
    <w:p w14:paraId="6B674728" w14:textId="77777777" w:rsidR="007A56A1" w:rsidRDefault="007A56A1" w:rsidP="001B163B"/>
    <w:p w14:paraId="7421AF22" w14:textId="77777777" w:rsidR="001B163B" w:rsidRDefault="001B163B" w:rsidP="001B163B">
      <w:r>
        <w:rPr>
          <w:rFonts w:hint="eastAsia"/>
        </w:rPr>
        <w:t>《</w:t>
      </w:r>
      <w:r w:rsidR="007A56A1">
        <w:rPr>
          <w:rFonts w:hint="eastAsia"/>
        </w:rPr>
        <w:t>工商企业与人权</w:t>
      </w:r>
      <w:r>
        <w:rPr>
          <w:rFonts w:hint="eastAsia"/>
        </w:rPr>
        <w:t>指导原则》英文本在提到与工商企业有关的损害人权行为时，通篇使用</w:t>
      </w:r>
      <w:r>
        <w:rPr>
          <w:rFonts w:hint="eastAsia"/>
        </w:rPr>
        <w:t>human rights abuses</w:t>
      </w:r>
      <w:r>
        <w:rPr>
          <w:rFonts w:hint="eastAsia"/>
        </w:rPr>
        <w:t>，只有一处提及国家违反人权时使用了</w:t>
      </w:r>
      <w:r>
        <w:rPr>
          <w:rFonts w:hint="eastAsia"/>
        </w:rPr>
        <w:t>violations</w:t>
      </w:r>
      <w:r>
        <w:rPr>
          <w:rFonts w:hint="eastAsia"/>
        </w:rPr>
        <w:t>一词，因为</w:t>
      </w:r>
      <w:r>
        <w:rPr>
          <w:rFonts w:hint="eastAsia"/>
        </w:rPr>
        <w:t>abuses</w:t>
      </w:r>
      <w:r>
        <w:rPr>
          <w:rFonts w:hint="eastAsia"/>
        </w:rPr>
        <w:t>有聚焦事实的意味，与</w:t>
      </w:r>
      <w:r>
        <w:rPr>
          <w:rFonts w:hint="eastAsia"/>
        </w:rPr>
        <w:t>violation</w:t>
      </w:r>
      <w:r>
        <w:rPr>
          <w:rFonts w:hint="eastAsia"/>
        </w:rPr>
        <w:t>或</w:t>
      </w:r>
      <w:r>
        <w:rPr>
          <w:rFonts w:hint="eastAsia"/>
        </w:rPr>
        <w:t>infringement</w:t>
      </w:r>
      <w:r>
        <w:rPr>
          <w:rFonts w:hint="eastAsia"/>
        </w:rPr>
        <w:t>有区别。从指导原则英文本的这一精神出发，中文本将“</w:t>
      </w:r>
      <w:r>
        <w:rPr>
          <w:rFonts w:hint="eastAsia"/>
        </w:rPr>
        <w:t>abuses</w:t>
      </w:r>
      <w:r>
        <w:rPr>
          <w:rFonts w:hint="eastAsia"/>
        </w:rPr>
        <w:t>”译为“侵犯”不太妥当，因“侵犯”隐含着对法律义务的违反，此处的“</w:t>
      </w:r>
      <w:r>
        <w:rPr>
          <w:rFonts w:hint="eastAsia"/>
        </w:rPr>
        <w:t>abuses</w:t>
      </w:r>
      <w:r>
        <w:rPr>
          <w:rFonts w:hint="eastAsia"/>
        </w:rPr>
        <w:t>”宜译为“侵害”或“损害”。这一点希望大家特别留意。</w:t>
      </w:r>
    </w:p>
    <w:p w14:paraId="4B4890E1" w14:textId="77777777" w:rsidR="001B163B" w:rsidRDefault="001B163B" w:rsidP="001B163B"/>
    <w:p w14:paraId="39EAE660" w14:textId="77777777" w:rsidR="001B163B" w:rsidRDefault="001B163B" w:rsidP="001B163B">
      <w:r>
        <w:rPr>
          <w:rFonts w:hint="eastAsia"/>
        </w:rPr>
        <w:t>例句</w:t>
      </w:r>
      <w:r>
        <w:rPr>
          <w:rFonts w:hint="eastAsia"/>
        </w:rPr>
        <w:t>1</w:t>
      </w:r>
    </w:p>
    <w:p w14:paraId="0394B42A" w14:textId="77777777" w:rsidR="001B163B" w:rsidRDefault="001B163B" w:rsidP="001B163B">
      <w:r>
        <w:t xml:space="preserve">States must protect against human rights </w:t>
      </w:r>
      <w:r w:rsidRPr="009575DA">
        <w:rPr>
          <w:color w:val="FF0000"/>
        </w:rPr>
        <w:t>abuse</w:t>
      </w:r>
      <w:r>
        <w:t xml:space="preserve"> within their territory and/or jurisdiction by third parties, including business enterprises. </w:t>
      </w:r>
    </w:p>
    <w:p w14:paraId="7AD06713" w14:textId="77777777" w:rsidR="001B163B" w:rsidRDefault="001B163B" w:rsidP="001B163B">
      <w:r>
        <w:rPr>
          <w:rFonts w:hint="eastAsia"/>
        </w:rPr>
        <w:t>国家必须保护在其领土和</w:t>
      </w:r>
      <w:r>
        <w:rPr>
          <w:rFonts w:hint="eastAsia"/>
        </w:rPr>
        <w:t>/</w:t>
      </w:r>
      <w:r>
        <w:rPr>
          <w:rFonts w:hint="eastAsia"/>
        </w:rPr>
        <w:t>或管辖范围内人权不受第三方，包括工商企业</w:t>
      </w:r>
      <w:r w:rsidRPr="009575DA">
        <w:rPr>
          <w:rFonts w:hint="eastAsia"/>
          <w:color w:val="FF0000"/>
        </w:rPr>
        <w:t>侵害</w:t>
      </w:r>
      <w:r>
        <w:rPr>
          <w:rFonts w:hint="eastAsia"/>
        </w:rPr>
        <w:t>。</w:t>
      </w:r>
    </w:p>
    <w:p w14:paraId="280F5078" w14:textId="77777777" w:rsidR="001B163B" w:rsidRDefault="001B163B" w:rsidP="001B163B"/>
    <w:p w14:paraId="6E8EDC24" w14:textId="77777777" w:rsidR="001B163B" w:rsidRDefault="001B163B" w:rsidP="001B163B">
      <w:r>
        <w:rPr>
          <w:rFonts w:hint="eastAsia"/>
        </w:rPr>
        <w:t>例句</w:t>
      </w:r>
      <w:r>
        <w:rPr>
          <w:rFonts w:hint="eastAsia"/>
        </w:rPr>
        <w:t>2</w:t>
      </w:r>
    </w:p>
    <w:p w14:paraId="79A03507" w14:textId="77777777" w:rsidR="001B163B" w:rsidRDefault="001B163B" w:rsidP="001B163B">
      <w:r>
        <w:t xml:space="preserve">Within these parameters some human rights treaty bodies recommend that home States take steps to prevent </w:t>
      </w:r>
      <w:r w:rsidRPr="009575DA">
        <w:rPr>
          <w:color w:val="FF0000"/>
        </w:rPr>
        <w:t>abuse</w:t>
      </w:r>
      <w:r>
        <w:t xml:space="preserve"> abroad by business enterprises within their jurisdiction. </w:t>
      </w:r>
    </w:p>
    <w:p w14:paraId="121F59BD" w14:textId="77777777" w:rsidR="001B163B" w:rsidRDefault="001B163B" w:rsidP="001B163B">
      <w:r>
        <w:rPr>
          <w:rFonts w:hint="eastAsia"/>
        </w:rPr>
        <w:t>在此情况下，一些人权条约机构建议，母国应采取步骤，防止在其管辖范围内的工商企业在境外</w:t>
      </w:r>
      <w:r w:rsidRPr="009575DA">
        <w:rPr>
          <w:rFonts w:hint="eastAsia"/>
          <w:color w:val="FF0000"/>
        </w:rPr>
        <w:t>侵害</w:t>
      </w:r>
      <w:r>
        <w:rPr>
          <w:rFonts w:hint="eastAsia"/>
        </w:rPr>
        <w:t>人权。</w:t>
      </w:r>
    </w:p>
    <w:p w14:paraId="57C25571" w14:textId="77777777" w:rsidR="001B163B" w:rsidRDefault="001B163B" w:rsidP="001B163B"/>
    <w:p w14:paraId="5554A937" w14:textId="77777777" w:rsidR="001B163B" w:rsidRDefault="001B163B" w:rsidP="001B163B">
      <w:r>
        <w:rPr>
          <w:rFonts w:hint="eastAsia"/>
        </w:rPr>
        <w:t>例句</w:t>
      </w:r>
      <w:r>
        <w:rPr>
          <w:rFonts w:hint="eastAsia"/>
        </w:rPr>
        <w:t>3</w:t>
      </w:r>
    </w:p>
    <w:p w14:paraId="2BEC82AA" w14:textId="77777777" w:rsidR="001B163B" w:rsidRDefault="001B163B" w:rsidP="001B163B">
      <w:r>
        <w:t xml:space="preserve">Unless States take appropriate steps to investigate, punish and redress </w:t>
      </w:r>
      <w:r w:rsidRPr="009575DA">
        <w:rPr>
          <w:color w:val="FF0000"/>
        </w:rPr>
        <w:t xml:space="preserve">business-related human rights abuses </w:t>
      </w:r>
      <w:r>
        <w:t xml:space="preserve">when they do occur, the State duty to protect can be rendered weak or even meaningless. </w:t>
      </w:r>
    </w:p>
    <w:p w14:paraId="2B5D8BE0" w14:textId="77777777" w:rsidR="001B163B" w:rsidRDefault="001B163B" w:rsidP="001B163B">
      <w:r>
        <w:rPr>
          <w:rFonts w:hint="eastAsia"/>
        </w:rPr>
        <w:t>除非国家采取了适当步骤，调查、惩治和纠正已经发生的</w:t>
      </w:r>
      <w:r w:rsidRPr="009575DA">
        <w:rPr>
          <w:rFonts w:hint="eastAsia"/>
          <w:color w:val="FF0000"/>
        </w:rPr>
        <w:t>与企业相关的侵害人权行为</w:t>
      </w:r>
      <w:r>
        <w:rPr>
          <w:rFonts w:hint="eastAsia"/>
        </w:rPr>
        <w:t>，否则，国家的保护义务即失之薄弱或流于无形。</w:t>
      </w:r>
    </w:p>
    <w:p w14:paraId="3ECBDB3B" w14:textId="77777777" w:rsidR="001B163B" w:rsidRDefault="001B163B" w:rsidP="001B163B"/>
    <w:p w14:paraId="2DA62B85" w14:textId="77777777" w:rsidR="001B163B" w:rsidRDefault="001B163B" w:rsidP="00DD7CD4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human rights due diligence</w:t>
      </w:r>
      <w:r w:rsidR="00DD7CD4">
        <w:t xml:space="preserve">   </w:t>
      </w:r>
      <w:r>
        <w:rPr>
          <w:rFonts w:hint="eastAsia"/>
        </w:rPr>
        <w:t>人权尽责（管理）</w:t>
      </w:r>
    </w:p>
    <w:p w14:paraId="5AE052EC" w14:textId="77777777" w:rsidR="001B163B" w:rsidRDefault="001B163B" w:rsidP="00DD7CD4">
      <w:r>
        <w:t>due diligence</w:t>
      </w:r>
      <w:r w:rsidR="00DD7CD4">
        <w:t xml:space="preserve">  </w:t>
      </w:r>
      <w:r>
        <w:rPr>
          <w:rFonts w:hint="eastAsia"/>
        </w:rPr>
        <w:t>尽责（管理）</w:t>
      </w:r>
    </w:p>
    <w:p w14:paraId="6ADA1E1E" w14:textId="77777777" w:rsidR="001B163B" w:rsidRDefault="001B163B" w:rsidP="00607788">
      <w:r>
        <w:rPr>
          <w:rFonts w:hint="eastAsia"/>
        </w:rPr>
        <w:t>在人权语境下，“</w:t>
      </w:r>
      <w:r>
        <w:rPr>
          <w:rFonts w:hint="eastAsia"/>
        </w:rPr>
        <w:t>due diligence</w:t>
      </w:r>
      <w:r>
        <w:rPr>
          <w:rFonts w:hint="eastAsia"/>
        </w:rPr>
        <w:t>”强调的是“尽责”和“尽职”，本身不包含“调查</w:t>
      </w:r>
      <w:r w:rsidR="00607788">
        <w:rPr>
          <w:rFonts w:hint="eastAsia"/>
        </w:rPr>
        <w:t>”</w:t>
      </w:r>
      <w:r>
        <w:rPr>
          <w:rFonts w:hint="eastAsia"/>
        </w:rPr>
        <w:t>的意思，应注意避免使用</w:t>
      </w:r>
      <w:r w:rsidR="00607788">
        <w:rPr>
          <w:rFonts w:hint="eastAsia"/>
        </w:rPr>
        <w:t>“</w:t>
      </w:r>
      <w:r>
        <w:rPr>
          <w:rFonts w:hint="eastAsia"/>
        </w:rPr>
        <w:t>尽职调查</w:t>
      </w:r>
      <w:r w:rsidR="00607788">
        <w:rPr>
          <w:rFonts w:hint="eastAsia"/>
        </w:rPr>
        <w:t>”</w:t>
      </w:r>
      <w:r>
        <w:rPr>
          <w:rFonts w:hint="eastAsia"/>
        </w:rPr>
        <w:t>，用</w:t>
      </w:r>
      <w:r w:rsidR="00607788">
        <w:rPr>
          <w:rFonts w:hint="eastAsia"/>
        </w:rPr>
        <w:t>“</w:t>
      </w:r>
      <w:r>
        <w:rPr>
          <w:rFonts w:hint="eastAsia"/>
        </w:rPr>
        <w:t>尽责</w:t>
      </w:r>
      <w:r w:rsidR="00607788">
        <w:rPr>
          <w:rFonts w:hint="eastAsia"/>
        </w:rPr>
        <w:t>”</w:t>
      </w:r>
      <w:r>
        <w:rPr>
          <w:rFonts w:hint="eastAsia"/>
        </w:rPr>
        <w:t>（工商业与人权语境下）和“尽职”（其他人权语境下）即可，行文中确有需要时，可</w:t>
      </w:r>
      <w:proofErr w:type="gramStart"/>
      <w:r>
        <w:rPr>
          <w:rFonts w:hint="eastAsia"/>
        </w:rPr>
        <w:t>酌情在</w:t>
      </w:r>
      <w:proofErr w:type="gramEnd"/>
      <w:r>
        <w:rPr>
          <w:rFonts w:hint="eastAsia"/>
        </w:rPr>
        <w:t>尽职或尽责之后加上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管理“一词。</w:t>
      </w:r>
    </w:p>
    <w:p w14:paraId="4CC264CD" w14:textId="77777777" w:rsidR="001B163B" w:rsidRDefault="001B163B" w:rsidP="001B163B"/>
    <w:p w14:paraId="58A1E8B5" w14:textId="77777777" w:rsidR="001B163B" w:rsidRDefault="001B163B" w:rsidP="001B163B">
      <w:r>
        <w:rPr>
          <w:rFonts w:hint="eastAsia"/>
        </w:rPr>
        <w:t>例句</w:t>
      </w:r>
      <w:r>
        <w:rPr>
          <w:rFonts w:hint="eastAsia"/>
        </w:rPr>
        <w:t>1</w:t>
      </w:r>
    </w:p>
    <w:p w14:paraId="56695898" w14:textId="77777777" w:rsidR="001B163B" w:rsidRDefault="00181BC9" w:rsidP="001B163B">
      <w:r w:rsidRPr="00894805">
        <w:t xml:space="preserve">Senior management typically reports to State agencies, and associated government departments have greater scope for scrutiny and oversight, including ensuring that effective </w:t>
      </w:r>
      <w:r w:rsidRPr="00894805">
        <w:rPr>
          <w:color w:val="FF0000"/>
        </w:rPr>
        <w:t xml:space="preserve">human rights due diligence </w:t>
      </w:r>
      <w:r w:rsidRPr="00894805">
        <w:t>is implemented.</w:t>
      </w:r>
      <w:r w:rsidRPr="00181BC9">
        <w:rPr>
          <w:color w:val="FF0000"/>
        </w:rPr>
        <w:t xml:space="preserve">  </w:t>
      </w:r>
    </w:p>
    <w:p w14:paraId="2278AE31" w14:textId="77777777" w:rsidR="00894805" w:rsidRDefault="00181BC9" w:rsidP="001B163B">
      <w:r w:rsidRPr="00181BC9">
        <w:rPr>
          <w:rFonts w:hint="eastAsia"/>
        </w:rPr>
        <w:t>高层管理部门一般向国家机构负责，有关政府部门有较大的审查和监督权限，包括确保有效的</w:t>
      </w:r>
      <w:r w:rsidRPr="00894805">
        <w:rPr>
          <w:rFonts w:hint="eastAsia"/>
          <w:color w:val="FF0000"/>
        </w:rPr>
        <w:t>人权尽责</w:t>
      </w:r>
      <w:r w:rsidR="00894805">
        <w:rPr>
          <w:rFonts w:hint="eastAsia"/>
        </w:rPr>
        <w:t>。</w:t>
      </w:r>
    </w:p>
    <w:p w14:paraId="0ABF41A8" w14:textId="77777777" w:rsidR="001B163B" w:rsidRDefault="001B163B" w:rsidP="001B163B">
      <w:r>
        <w:rPr>
          <w:rFonts w:hint="eastAsia"/>
        </w:rPr>
        <w:t>例句</w:t>
      </w:r>
      <w:r>
        <w:rPr>
          <w:rFonts w:hint="eastAsia"/>
        </w:rPr>
        <w:t>2</w:t>
      </w:r>
    </w:p>
    <w:p w14:paraId="664671D1" w14:textId="77777777" w:rsidR="001B163B" w:rsidRDefault="001B163B" w:rsidP="001B163B">
      <w:r>
        <w:t xml:space="preserve">A requirement for </w:t>
      </w:r>
      <w:r w:rsidRPr="00894805">
        <w:rPr>
          <w:color w:val="FF0000"/>
        </w:rPr>
        <w:t xml:space="preserve">human rights due diligence </w:t>
      </w:r>
      <w:r>
        <w:t>is most likely to be appropriate where the nature of business operations or operating contexts pose significant risk to human rights.</w:t>
      </w:r>
    </w:p>
    <w:p w14:paraId="37894A13" w14:textId="77777777" w:rsidR="001B163B" w:rsidRDefault="001B163B" w:rsidP="001B163B">
      <w:r>
        <w:rPr>
          <w:rFonts w:hint="eastAsia"/>
        </w:rPr>
        <w:t>如果企业的业务性质或经营背景造成了巨大的人权风险，很可能有必要提出</w:t>
      </w:r>
      <w:r w:rsidRPr="00894805">
        <w:rPr>
          <w:rFonts w:hint="eastAsia"/>
          <w:color w:val="FF0000"/>
        </w:rPr>
        <w:t>人权尽责</w:t>
      </w:r>
      <w:r>
        <w:rPr>
          <w:rFonts w:hint="eastAsia"/>
        </w:rPr>
        <w:t>的要求。</w:t>
      </w:r>
    </w:p>
    <w:p w14:paraId="28EB8B01" w14:textId="77777777" w:rsidR="001B163B" w:rsidRDefault="001B163B" w:rsidP="001B163B">
      <w:r>
        <w:rPr>
          <w:rFonts w:hint="eastAsia"/>
        </w:rPr>
        <w:t>例句</w:t>
      </w:r>
      <w:r>
        <w:rPr>
          <w:rFonts w:hint="eastAsia"/>
        </w:rPr>
        <w:t>3</w:t>
      </w:r>
    </w:p>
    <w:p w14:paraId="6F405F81" w14:textId="77777777" w:rsidR="001B163B" w:rsidRDefault="001A49E7" w:rsidP="001B163B">
      <w:r w:rsidRPr="001A49E7">
        <w:lastRenderedPageBreak/>
        <w:t xml:space="preserve">They should review whether their policies, legislation, </w:t>
      </w:r>
      <w:proofErr w:type="gramStart"/>
      <w:r w:rsidRPr="001A49E7">
        <w:t>regulations</w:t>
      </w:r>
      <w:proofErr w:type="gramEnd"/>
      <w:r w:rsidRPr="001A49E7">
        <w:t xml:space="preserve"> and enforcement measures effectively address this heightened risk, including through provisions for </w:t>
      </w:r>
      <w:r w:rsidRPr="001A49E7">
        <w:rPr>
          <w:color w:val="FF0000"/>
        </w:rPr>
        <w:t xml:space="preserve">human rights due diligence </w:t>
      </w:r>
      <w:r w:rsidRPr="001A49E7">
        <w:t>by business.</w:t>
      </w:r>
    </w:p>
    <w:p w14:paraId="139CD645" w14:textId="77777777" w:rsidR="001B163B" w:rsidRDefault="001A49E7" w:rsidP="001B163B">
      <w:r w:rsidRPr="001A49E7">
        <w:rPr>
          <w:rFonts w:hint="eastAsia"/>
        </w:rPr>
        <w:t>它们应当审查其政策、法律、条例和执行措施能否有效应对这类高度风险，包括</w:t>
      </w:r>
      <w:proofErr w:type="gramStart"/>
      <w:r w:rsidRPr="001A49E7">
        <w:rPr>
          <w:rFonts w:hint="eastAsia"/>
        </w:rPr>
        <w:t>作出</w:t>
      </w:r>
      <w:proofErr w:type="gramEnd"/>
      <w:r w:rsidRPr="001A49E7">
        <w:rPr>
          <w:rFonts w:hint="eastAsia"/>
          <w:color w:val="FF0000"/>
        </w:rPr>
        <w:t>企业人权尽责</w:t>
      </w:r>
      <w:r w:rsidRPr="001A49E7">
        <w:rPr>
          <w:rFonts w:hint="eastAsia"/>
        </w:rPr>
        <w:t>规定。</w:t>
      </w:r>
    </w:p>
    <w:p w14:paraId="02D4D908" w14:textId="77777777" w:rsidR="001B163B" w:rsidRDefault="001B163B" w:rsidP="001B163B"/>
    <w:p w14:paraId="3A96B1B8" w14:textId="77777777" w:rsidR="001B163B" w:rsidRDefault="001B163B" w:rsidP="001B163B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Sanctions</w:t>
      </w:r>
      <w:r>
        <w:rPr>
          <w:rFonts w:hint="eastAsia"/>
        </w:rPr>
        <w:t>在很多语境下指的是</w:t>
      </w:r>
      <w:r>
        <w:rPr>
          <w:rFonts w:hint="eastAsia"/>
        </w:rPr>
        <w:t xml:space="preserve"> </w:t>
      </w:r>
      <w:r>
        <w:rPr>
          <w:rFonts w:hint="eastAsia"/>
        </w:rPr>
        <w:t>“惩罚”或“处罚”，如一律译为“制裁”，有时可能产生歧义，需谨慎。</w:t>
      </w:r>
    </w:p>
    <w:p w14:paraId="422CA0F5" w14:textId="77777777" w:rsidR="001B163B" w:rsidRDefault="001B163B" w:rsidP="001B163B"/>
    <w:p w14:paraId="4527C1ED" w14:textId="77777777" w:rsidR="001B163B" w:rsidRDefault="001B163B" w:rsidP="001B163B">
      <w:r>
        <w:rPr>
          <w:rFonts w:hint="eastAsia"/>
        </w:rPr>
        <w:t>例句</w:t>
      </w:r>
    </w:p>
    <w:p w14:paraId="214782A8" w14:textId="77777777" w:rsidR="001B163B" w:rsidRDefault="001B163B" w:rsidP="001B163B">
      <w:r>
        <w:t xml:space="preserve">Remedy may include apologies, restitution, rehabilitation, financial or non-financial compensation and </w:t>
      </w:r>
      <w:r w:rsidRPr="00F56CF4">
        <w:rPr>
          <w:color w:val="FF0000"/>
        </w:rPr>
        <w:t>punitive sanctions</w:t>
      </w:r>
      <w:r>
        <w:t xml:space="preserve"> (whether criminal or administrative, such as fines), as well as the prevention of harm through, for example, injunctions or guarantees of non-repetition. </w:t>
      </w:r>
    </w:p>
    <w:p w14:paraId="4F6C2D8A" w14:textId="77777777" w:rsidR="001B163B" w:rsidRDefault="001B163B" w:rsidP="001B163B">
      <w:r>
        <w:rPr>
          <w:rFonts w:hint="eastAsia"/>
        </w:rPr>
        <w:t>补救可能包括道歉、恢复原状、康复、财政或非财政赔偿和</w:t>
      </w:r>
      <w:r w:rsidRPr="00F56CF4">
        <w:rPr>
          <w:rFonts w:hint="eastAsia"/>
          <w:color w:val="FF0000"/>
        </w:rPr>
        <w:t>惩罚性处分</w:t>
      </w:r>
      <w:r>
        <w:rPr>
          <w:rFonts w:hint="eastAsia"/>
        </w:rPr>
        <w:t>(</w:t>
      </w:r>
      <w:r>
        <w:rPr>
          <w:rFonts w:hint="eastAsia"/>
        </w:rPr>
        <w:t>刑事或行政的，例如罚金</w:t>
      </w:r>
      <w:r>
        <w:rPr>
          <w:rFonts w:hint="eastAsia"/>
        </w:rPr>
        <w:t>)</w:t>
      </w:r>
      <w:r>
        <w:rPr>
          <w:rFonts w:hint="eastAsia"/>
        </w:rPr>
        <w:t>以及通过例如禁令或不再重犯的保证防止伤害。</w:t>
      </w:r>
      <w:r>
        <w:rPr>
          <w:rFonts w:hint="eastAsia"/>
        </w:rPr>
        <w:t xml:space="preserve"> </w:t>
      </w:r>
    </w:p>
    <w:p w14:paraId="041BDE0E" w14:textId="77777777" w:rsidR="001B163B" w:rsidRDefault="001B163B" w:rsidP="001B163B">
      <w:r>
        <w:rPr>
          <w:rFonts w:hint="eastAsia"/>
        </w:rPr>
        <w:t xml:space="preserve"> </w:t>
      </w:r>
      <w:r>
        <w:rPr>
          <w:rFonts w:hint="eastAsia"/>
        </w:rPr>
        <w:t>（注：指导原则中原译“惩罚性制裁”，不准确，建议今后文件中译为“惩罚”或“惩罚性处分”等，避用“制裁”。）</w:t>
      </w:r>
    </w:p>
    <w:p w14:paraId="3C22672C" w14:textId="77777777" w:rsidR="001B163B" w:rsidRDefault="001B163B" w:rsidP="001B163B"/>
    <w:p w14:paraId="0EDCE3A5" w14:textId="77777777" w:rsidR="001B163B" w:rsidRDefault="001B163B" w:rsidP="001B163B">
      <w:r>
        <w:rPr>
          <w:rFonts w:hint="eastAsia"/>
        </w:rPr>
        <w:t xml:space="preserve">4. business </w:t>
      </w:r>
      <w:r>
        <w:rPr>
          <w:rFonts w:hint="eastAsia"/>
        </w:rPr>
        <w:t>很多时候指的是企业，可直接译为“企业”。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responsible business practices</w:t>
      </w:r>
      <w:r>
        <w:rPr>
          <w:rFonts w:hint="eastAsia"/>
        </w:rPr>
        <w:t>”这个术语建议译为“负责任的企业行为”，不译“负责任的商业行为”。</w:t>
      </w:r>
    </w:p>
    <w:p w14:paraId="4B15F08E" w14:textId="77777777" w:rsidR="001B163B" w:rsidRDefault="001B163B" w:rsidP="001B163B"/>
    <w:p w14:paraId="23BA5998" w14:textId="77777777" w:rsidR="001B163B" w:rsidRDefault="001B163B" w:rsidP="001B163B">
      <w:r>
        <w:rPr>
          <w:rFonts w:hint="eastAsia"/>
        </w:rPr>
        <w:t>例句</w:t>
      </w:r>
    </w:p>
    <w:p w14:paraId="3F0BE62C" w14:textId="77777777" w:rsidR="001B163B" w:rsidRDefault="001B163B" w:rsidP="001B163B">
      <w:r>
        <w:t xml:space="preserve">Supporting </w:t>
      </w:r>
      <w:r w:rsidRPr="00F56CF4">
        <w:rPr>
          <w:color w:val="FF0000"/>
        </w:rPr>
        <w:t>business</w:t>
      </w:r>
      <w:r>
        <w:t xml:space="preserve"> respect for human rights in conflict-affected areas</w:t>
      </w:r>
    </w:p>
    <w:p w14:paraId="468A0A8A" w14:textId="77777777" w:rsidR="001B163B" w:rsidRDefault="001B163B" w:rsidP="001B163B">
      <w:r>
        <w:rPr>
          <w:rFonts w:hint="eastAsia"/>
        </w:rPr>
        <w:t>在受冲突影响地区支持</w:t>
      </w:r>
      <w:r w:rsidRPr="00F56CF4">
        <w:rPr>
          <w:rFonts w:hint="eastAsia"/>
          <w:color w:val="FF0000"/>
        </w:rPr>
        <w:t>企业</w:t>
      </w:r>
      <w:r>
        <w:rPr>
          <w:rFonts w:hint="eastAsia"/>
        </w:rPr>
        <w:t>尊重人权</w:t>
      </w:r>
    </w:p>
    <w:p w14:paraId="38C320D5" w14:textId="77777777" w:rsidR="001B163B" w:rsidRDefault="001B163B" w:rsidP="001B163B"/>
    <w:p w14:paraId="30CF56E8" w14:textId="77777777" w:rsidR="001B163B" w:rsidRDefault="001B163B" w:rsidP="0017773A">
      <w:r>
        <w:rPr>
          <w:rFonts w:hint="eastAsia"/>
        </w:rPr>
        <w:t xml:space="preserve">5. Practices </w:t>
      </w:r>
      <w:r>
        <w:rPr>
          <w:rFonts w:hint="eastAsia"/>
        </w:rPr>
        <w:t>建议适用时尽量译为“实践”。</w:t>
      </w:r>
    </w:p>
    <w:p w14:paraId="1D45DFB8" w14:textId="77777777" w:rsidR="001B163B" w:rsidRDefault="001B163B" w:rsidP="001B163B"/>
    <w:p w14:paraId="1CA45CBA" w14:textId="77777777" w:rsidR="001B163B" w:rsidRDefault="001B163B" w:rsidP="001B163B">
      <w:r>
        <w:rPr>
          <w:rFonts w:hint="eastAsia"/>
        </w:rPr>
        <w:t>例句</w:t>
      </w:r>
      <w:r>
        <w:rPr>
          <w:rFonts w:hint="eastAsia"/>
        </w:rPr>
        <w:t>1</w:t>
      </w:r>
    </w:p>
    <w:p w14:paraId="68861EF7" w14:textId="77777777" w:rsidR="001B163B" w:rsidRDefault="001B163B" w:rsidP="001B163B">
      <w:r>
        <w:t xml:space="preserve">These Guiding Principles should be understood as a coherent whole and should be read, individually and collectively, in terms of their objective of enhancing standards and </w:t>
      </w:r>
      <w:r w:rsidRPr="00F56CF4">
        <w:rPr>
          <w:color w:val="FF0000"/>
        </w:rPr>
        <w:t xml:space="preserve">practices </w:t>
      </w:r>
      <w:r>
        <w:t>with regard to business and human rights so as to achieve tangible results for affected individuals and communities, and thereby also contributing to a socially sustainable globalization</w:t>
      </w:r>
    </w:p>
    <w:p w14:paraId="7C5EC9EF" w14:textId="77777777" w:rsidR="001B163B" w:rsidRDefault="001B163B" w:rsidP="001B163B">
      <w:r>
        <w:rPr>
          <w:rFonts w:hint="eastAsia"/>
        </w:rPr>
        <w:t>.</w:t>
      </w:r>
      <w:r>
        <w:rPr>
          <w:rFonts w:hint="eastAsia"/>
        </w:rPr>
        <w:t>这些指导原则应看作是一个统一的整体，并应单独或共同地根据下列目标加以解读，即加强在工商企业与人权方面的标准和</w:t>
      </w:r>
      <w:r w:rsidRPr="00F56CF4">
        <w:rPr>
          <w:rFonts w:hint="eastAsia"/>
          <w:color w:val="FF0000"/>
        </w:rPr>
        <w:t>实践</w:t>
      </w:r>
      <w:r>
        <w:rPr>
          <w:rFonts w:hint="eastAsia"/>
        </w:rPr>
        <w:t>，以针对受影响个人和社群实现具体成果，从而推进社会意义上可持续的全球化。</w:t>
      </w:r>
    </w:p>
    <w:p w14:paraId="5B75DEB8" w14:textId="77777777" w:rsidR="001B163B" w:rsidRDefault="001B163B" w:rsidP="001B163B"/>
    <w:p w14:paraId="53EE0D49" w14:textId="77777777" w:rsidR="001B163B" w:rsidRDefault="001B163B" w:rsidP="001B163B">
      <w:r>
        <w:rPr>
          <w:rFonts w:hint="eastAsia"/>
        </w:rPr>
        <w:t>例句</w:t>
      </w:r>
      <w:r>
        <w:rPr>
          <w:rFonts w:hint="eastAsia"/>
        </w:rPr>
        <w:t xml:space="preserve">2 </w:t>
      </w:r>
    </w:p>
    <w:p w14:paraId="6E809E8E" w14:textId="77777777" w:rsidR="001B163B" w:rsidRDefault="001B163B" w:rsidP="001B163B">
      <w:r>
        <w:t xml:space="preserve">The failure to enforce existing laws that directly or indirectly regulate business respect for human rights is often a significant legal gap in State </w:t>
      </w:r>
      <w:r w:rsidRPr="00F56CF4">
        <w:rPr>
          <w:color w:val="FF0000"/>
        </w:rPr>
        <w:t>practice</w:t>
      </w:r>
      <w:r>
        <w:t>.</w:t>
      </w:r>
    </w:p>
    <w:p w14:paraId="574FA326" w14:textId="77777777" w:rsidR="001B163B" w:rsidRDefault="001B163B" w:rsidP="001B163B">
      <w:r>
        <w:rPr>
          <w:rFonts w:hint="eastAsia"/>
        </w:rPr>
        <w:t>疏于执行直接或间接制约工商企业尊重人权问题的现行法律，往往是国家</w:t>
      </w:r>
      <w:r w:rsidRPr="00F56CF4">
        <w:rPr>
          <w:rFonts w:hint="eastAsia"/>
          <w:color w:val="FF0000"/>
        </w:rPr>
        <w:t>实践</w:t>
      </w:r>
      <w:r>
        <w:rPr>
          <w:rFonts w:hint="eastAsia"/>
        </w:rPr>
        <w:t>中的一个重大法律缺失。</w:t>
      </w:r>
      <w:r>
        <w:rPr>
          <w:rFonts w:hint="eastAsia"/>
        </w:rPr>
        <w:t xml:space="preserve"> </w:t>
      </w:r>
    </w:p>
    <w:p w14:paraId="2532C27F" w14:textId="77777777" w:rsidR="001B163B" w:rsidRDefault="001B163B" w:rsidP="001B163B">
      <w:r>
        <w:rPr>
          <w:rFonts w:hint="eastAsia"/>
        </w:rPr>
        <w:t>（注：指导原则中两处均译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做法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，今后宜改译为“实践”。）</w:t>
      </w:r>
    </w:p>
    <w:p w14:paraId="275C45E0" w14:textId="77777777" w:rsidR="001B163B" w:rsidRDefault="001B163B" w:rsidP="001B163B"/>
    <w:p w14:paraId="19F15DA5" w14:textId="77777777" w:rsidR="001B163B" w:rsidRDefault="001B163B" w:rsidP="0017773A"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remedy</w:t>
      </w:r>
      <w:r>
        <w:rPr>
          <w:rFonts w:hint="eastAsia"/>
        </w:rPr>
        <w:t>”译“补救”即可，不需加上“办法”，加上办法反而可能表述不准确。</w:t>
      </w:r>
    </w:p>
    <w:p w14:paraId="5BA2506A" w14:textId="77777777" w:rsidR="001B163B" w:rsidRDefault="001B163B" w:rsidP="001B163B">
      <w:r>
        <w:rPr>
          <w:rFonts w:hint="eastAsia"/>
        </w:rPr>
        <w:t>例句</w:t>
      </w:r>
    </w:p>
    <w:p w14:paraId="7CF3EBAA" w14:textId="77777777" w:rsidR="001B163B" w:rsidRDefault="001B163B" w:rsidP="001B163B">
      <w:r>
        <w:t xml:space="preserve">Effective judicial mechanisms are at the core of ensuring access to </w:t>
      </w:r>
      <w:r w:rsidRPr="00D04D60">
        <w:rPr>
          <w:color w:val="FF0000"/>
        </w:rPr>
        <w:t>remedy</w:t>
      </w:r>
      <w:r>
        <w:t>.</w:t>
      </w:r>
    </w:p>
    <w:p w14:paraId="34A4CDF2" w14:textId="77777777" w:rsidR="001B163B" w:rsidRDefault="001B163B" w:rsidP="001B163B">
      <w:r>
        <w:rPr>
          <w:rFonts w:hint="eastAsia"/>
        </w:rPr>
        <w:t>有效的司法机制是确保获得</w:t>
      </w:r>
      <w:r w:rsidRPr="00D04D60">
        <w:rPr>
          <w:rFonts w:hint="eastAsia"/>
          <w:color w:val="FF0000"/>
        </w:rPr>
        <w:t>补救</w:t>
      </w:r>
      <w:r>
        <w:rPr>
          <w:rFonts w:hint="eastAsia"/>
        </w:rPr>
        <w:t>的关键。</w:t>
      </w:r>
    </w:p>
    <w:p w14:paraId="317D9A0D" w14:textId="77777777" w:rsidR="00B96D25" w:rsidRPr="001B163B" w:rsidRDefault="00B96D25" w:rsidP="00B70816"/>
    <w:sectPr w:rsidR="00B96D25" w:rsidRPr="001B163B" w:rsidSect="00292ED1">
      <w:pgSz w:w="11906" w:h="16838" w:code="9"/>
      <w:pgMar w:top="1418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7C190" w14:textId="77777777" w:rsidR="001B163B" w:rsidRDefault="001B163B" w:rsidP="00E63D9E">
      <w:pPr>
        <w:spacing w:line="240" w:lineRule="auto"/>
      </w:pPr>
      <w:r>
        <w:separator/>
      </w:r>
    </w:p>
  </w:endnote>
  <w:endnote w:type="continuationSeparator" w:id="0">
    <w:p w14:paraId="5AF4D2DA" w14:textId="77777777" w:rsidR="001B163B" w:rsidRDefault="001B163B" w:rsidP="00E63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BB618" w14:textId="77777777" w:rsidR="001B163B" w:rsidRDefault="001B163B" w:rsidP="00E63D9E">
      <w:pPr>
        <w:spacing w:line="240" w:lineRule="auto"/>
      </w:pPr>
      <w:r>
        <w:separator/>
      </w:r>
    </w:p>
  </w:footnote>
  <w:footnote w:type="continuationSeparator" w:id="0">
    <w:p w14:paraId="4998BE4B" w14:textId="77777777" w:rsidR="001B163B" w:rsidRDefault="001B163B" w:rsidP="00E63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3B"/>
    <w:rsid w:val="00031378"/>
    <w:rsid w:val="0004615A"/>
    <w:rsid w:val="00052729"/>
    <w:rsid w:val="000538FF"/>
    <w:rsid w:val="000774A7"/>
    <w:rsid w:val="00080AA8"/>
    <w:rsid w:val="0009079B"/>
    <w:rsid w:val="000A1496"/>
    <w:rsid w:val="000B33B2"/>
    <w:rsid w:val="000C69F0"/>
    <w:rsid w:val="000E05CC"/>
    <w:rsid w:val="000E7EAB"/>
    <w:rsid w:val="000F0426"/>
    <w:rsid w:val="000F2AD1"/>
    <w:rsid w:val="00106F6F"/>
    <w:rsid w:val="00125F0C"/>
    <w:rsid w:val="001509E5"/>
    <w:rsid w:val="00160BB2"/>
    <w:rsid w:val="00167CE6"/>
    <w:rsid w:val="0017773A"/>
    <w:rsid w:val="00181BC9"/>
    <w:rsid w:val="00184303"/>
    <w:rsid w:val="00187054"/>
    <w:rsid w:val="00192367"/>
    <w:rsid w:val="001A49E7"/>
    <w:rsid w:val="001B163B"/>
    <w:rsid w:val="001C65EF"/>
    <w:rsid w:val="001E31C9"/>
    <w:rsid w:val="001E43D8"/>
    <w:rsid w:val="001E518A"/>
    <w:rsid w:val="001F33E9"/>
    <w:rsid w:val="001F39AB"/>
    <w:rsid w:val="00202DEB"/>
    <w:rsid w:val="002247F0"/>
    <w:rsid w:val="00234455"/>
    <w:rsid w:val="0024211F"/>
    <w:rsid w:val="002749E2"/>
    <w:rsid w:val="00276177"/>
    <w:rsid w:val="002765E7"/>
    <w:rsid w:val="00292ED1"/>
    <w:rsid w:val="00293C41"/>
    <w:rsid w:val="002D384B"/>
    <w:rsid w:val="002D41A9"/>
    <w:rsid w:val="00300C47"/>
    <w:rsid w:val="00314CC8"/>
    <w:rsid w:val="003170EC"/>
    <w:rsid w:val="003203DC"/>
    <w:rsid w:val="00322A4F"/>
    <w:rsid w:val="00322EA3"/>
    <w:rsid w:val="00326123"/>
    <w:rsid w:val="00333DCC"/>
    <w:rsid w:val="00340DA8"/>
    <w:rsid w:val="00341EDB"/>
    <w:rsid w:val="00343630"/>
    <w:rsid w:val="00351F5B"/>
    <w:rsid w:val="00376AA7"/>
    <w:rsid w:val="003C5C4B"/>
    <w:rsid w:val="003D43DE"/>
    <w:rsid w:val="003D6693"/>
    <w:rsid w:val="003E1AD4"/>
    <w:rsid w:val="003E673A"/>
    <w:rsid w:val="003F1A7C"/>
    <w:rsid w:val="004017B9"/>
    <w:rsid w:val="00460699"/>
    <w:rsid w:val="00462455"/>
    <w:rsid w:val="0048758C"/>
    <w:rsid w:val="004A2A5F"/>
    <w:rsid w:val="004D5634"/>
    <w:rsid w:val="004D5F8A"/>
    <w:rsid w:val="004E3785"/>
    <w:rsid w:val="004E6B50"/>
    <w:rsid w:val="004F7CBA"/>
    <w:rsid w:val="00522D1A"/>
    <w:rsid w:val="00534217"/>
    <w:rsid w:val="00534AEE"/>
    <w:rsid w:val="00536B3E"/>
    <w:rsid w:val="005533BB"/>
    <w:rsid w:val="00575FD0"/>
    <w:rsid w:val="00595A77"/>
    <w:rsid w:val="00595B29"/>
    <w:rsid w:val="005A0ADB"/>
    <w:rsid w:val="005A42CD"/>
    <w:rsid w:val="005A5283"/>
    <w:rsid w:val="00607788"/>
    <w:rsid w:val="006124DD"/>
    <w:rsid w:val="0061256F"/>
    <w:rsid w:val="00640C32"/>
    <w:rsid w:val="00645D43"/>
    <w:rsid w:val="006463AF"/>
    <w:rsid w:val="0069194B"/>
    <w:rsid w:val="00694A39"/>
    <w:rsid w:val="006B504C"/>
    <w:rsid w:val="006D1232"/>
    <w:rsid w:val="006D1828"/>
    <w:rsid w:val="006D358E"/>
    <w:rsid w:val="006D4C61"/>
    <w:rsid w:val="006F2C96"/>
    <w:rsid w:val="00700DCD"/>
    <w:rsid w:val="00710E8D"/>
    <w:rsid w:val="00712522"/>
    <w:rsid w:val="007572BE"/>
    <w:rsid w:val="00795924"/>
    <w:rsid w:val="007A56A1"/>
    <w:rsid w:val="007B3C2C"/>
    <w:rsid w:val="007B6E54"/>
    <w:rsid w:val="007D77CA"/>
    <w:rsid w:val="007E2819"/>
    <w:rsid w:val="007E33E8"/>
    <w:rsid w:val="007F1000"/>
    <w:rsid w:val="007F36EC"/>
    <w:rsid w:val="007F47F6"/>
    <w:rsid w:val="00856495"/>
    <w:rsid w:val="008654BA"/>
    <w:rsid w:val="00894805"/>
    <w:rsid w:val="008A3529"/>
    <w:rsid w:val="008A5AD8"/>
    <w:rsid w:val="008A750D"/>
    <w:rsid w:val="008A7A33"/>
    <w:rsid w:val="008F109A"/>
    <w:rsid w:val="008F324B"/>
    <w:rsid w:val="0090127B"/>
    <w:rsid w:val="00904763"/>
    <w:rsid w:val="00940310"/>
    <w:rsid w:val="0095659E"/>
    <w:rsid w:val="009575DA"/>
    <w:rsid w:val="00964DB5"/>
    <w:rsid w:val="00977CC1"/>
    <w:rsid w:val="00997342"/>
    <w:rsid w:val="009A3C4C"/>
    <w:rsid w:val="009B7385"/>
    <w:rsid w:val="009C3FDD"/>
    <w:rsid w:val="009D11D4"/>
    <w:rsid w:val="009D1BEE"/>
    <w:rsid w:val="009D253E"/>
    <w:rsid w:val="009F1FA7"/>
    <w:rsid w:val="00A018F4"/>
    <w:rsid w:val="00A27BD7"/>
    <w:rsid w:val="00A35CC4"/>
    <w:rsid w:val="00A50493"/>
    <w:rsid w:val="00A54750"/>
    <w:rsid w:val="00A62BE3"/>
    <w:rsid w:val="00A704EA"/>
    <w:rsid w:val="00A91711"/>
    <w:rsid w:val="00A92B8E"/>
    <w:rsid w:val="00AC163A"/>
    <w:rsid w:val="00AD1B5E"/>
    <w:rsid w:val="00AE0C2F"/>
    <w:rsid w:val="00B027C0"/>
    <w:rsid w:val="00B14B2D"/>
    <w:rsid w:val="00B24E7A"/>
    <w:rsid w:val="00B329A1"/>
    <w:rsid w:val="00B34445"/>
    <w:rsid w:val="00B3601F"/>
    <w:rsid w:val="00B43B05"/>
    <w:rsid w:val="00B50FFC"/>
    <w:rsid w:val="00B65F3C"/>
    <w:rsid w:val="00B70816"/>
    <w:rsid w:val="00B91C61"/>
    <w:rsid w:val="00B96D25"/>
    <w:rsid w:val="00BC223C"/>
    <w:rsid w:val="00BD19DD"/>
    <w:rsid w:val="00BE1D71"/>
    <w:rsid w:val="00BF7324"/>
    <w:rsid w:val="00C05691"/>
    <w:rsid w:val="00C118F6"/>
    <w:rsid w:val="00C140AD"/>
    <w:rsid w:val="00C26F8E"/>
    <w:rsid w:val="00C27E78"/>
    <w:rsid w:val="00C455A6"/>
    <w:rsid w:val="00C46DC9"/>
    <w:rsid w:val="00C51DBA"/>
    <w:rsid w:val="00C57B83"/>
    <w:rsid w:val="00C66BCE"/>
    <w:rsid w:val="00C75F51"/>
    <w:rsid w:val="00C84352"/>
    <w:rsid w:val="00CA5828"/>
    <w:rsid w:val="00CB0D23"/>
    <w:rsid w:val="00CD4CDC"/>
    <w:rsid w:val="00D04D60"/>
    <w:rsid w:val="00D10455"/>
    <w:rsid w:val="00D13920"/>
    <w:rsid w:val="00D2623D"/>
    <w:rsid w:val="00D2715B"/>
    <w:rsid w:val="00D348C9"/>
    <w:rsid w:val="00D548A3"/>
    <w:rsid w:val="00D5659A"/>
    <w:rsid w:val="00D956D2"/>
    <w:rsid w:val="00DA25F9"/>
    <w:rsid w:val="00DB3D6E"/>
    <w:rsid w:val="00DC4721"/>
    <w:rsid w:val="00DD0927"/>
    <w:rsid w:val="00DD44A7"/>
    <w:rsid w:val="00DD7CD4"/>
    <w:rsid w:val="00E07165"/>
    <w:rsid w:val="00E377F2"/>
    <w:rsid w:val="00E43081"/>
    <w:rsid w:val="00E52BE0"/>
    <w:rsid w:val="00E60DA1"/>
    <w:rsid w:val="00E63D9E"/>
    <w:rsid w:val="00E70693"/>
    <w:rsid w:val="00E8720E"/>
    <w:rsid w:val="00E94749"/>
    <w:rsid w:val="00E97519"/>
    <w:rsid w:val="00EA043E"/>
    <w:rsid w:val="00EA4AF0"/>
    <w:rsid w:val="00F158C5"/>
    <w:rsid w:val="00F2515B"/>
    <w:rsid w:val="00F34FB2"/>
    <w:rsid w:val="00F56CF4"/>
    <w:rsid w:val="00F7502C"/>
    <w:rsid w:val="00F75230"/>
    <w:rsid w:val="00F75FC2"/>
    <w:rsid w:val="00F81C97"/>
    <w:rsid w:val="00F82388"/>
    <w:rsid w:val="00FA3A43"/>
    <w:rsid w:val="00FA57EA"/>
    <w:rsid w:val="00FA5C03"/>
    <w:rsid w:val="00FB7006"/>
    <w:rsid w:val="00FE0C7C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B299F2"/>
  <w15:docId w15:val="{FA16A0C1-21E6-4ECE-8C81-DB0CF136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EDB"/>
    <w:pPr>
      <w:tabs>
        <w:tab w:val="left" w:pos="431"/>
      </w:tabs>
      <w:overflowPunct w:val="0"/>
      <w:adjustRightInd w:val="0"/>
      <w:snapToGrid w:val="0"/>
      <w:spacing w:line="320" w:lineRule="exact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rsid w:val="00341EDB"/>
    <w:pPr>
      <w:keepNext/>
      <w:keepLines/>
      <w:overflowPunct/>
      <w:spacing w:before="480" w:line="276" w:lineRule="auto"/>
      <w:jc w:val="left"/>
      <w:outlineLvl w:val="0"/>
    </w:pPr>
    <w:rPr>
      <w:rFonts w:eastAsia="Times New Roman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341EDB"/>
    <w:pPr>
      <w:keepNext/>
      <w:keepLines/>
      <w:overflowPunct/>
      <w:spacing w:before="200" w:line="276" w:lineRule="auto"/>
      <w:jc w:val="left"/>
      <w:outlineLvl w:val="1"/>
    </w:pPr>
    <w:rPr>
      <w:rFonts w:eastAsia="Times New Roman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2"/>
    </w:pPr>
    <w:rPr>
      <w:rFonts w:eastAsia="Times New Roman"/>
      <w:b/>
      <w:bCs/>
      <w:color w:val="4472C4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3"/>
    </w:pPr>
    <w:rPr>
      <w:rFonts w:eastAsia="Times New Roman"/>
      <w:b/>
      <w:bCs/>
      <w:i/>
      <w:iCs/>
      <w:color w:val="4472C4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4"/>
    </w:pPr>
    <w:rPr>
      <w:rFonts w:eastAsia="Times New Roman"/>
      <w:color w:val="1F3763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5"/>
    </w:pPr>
    <w:rPr>
      <w:rFonts w:eastAsia="Times New Roman"/>
      <w:i/>
      <w:iCs/>
      <w:color w:val="1F3763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6"/>
    </w:pPr>
    <w:rPr>
      <w:rFonts w:eastAsia="Times New Roman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7"/>
    </w:pPr>
    <w:rPr>
      <w:rFonts w:eastAsia="Times New Roman"/>
      <w:color w:val="4472C4" w:themeColor="accent1"/>
    </w:rPr>
  </w:style>
  <w:style w:type="paragraph" w:styleId="9">
    <w:name w:val="heading 9"/>
    <w:basedOn w:val="a"/>
    <w:next w:val="a"/>
    <w:link w:val="90"/>
    <w:uiPriority w:val="9"/>
    <w:semiHidden/>
    <w:qFormat/>
    <w:rsid w:val="00341EDB"/>
    <w:pPr>
      <w:keepNext/>
      <w:keepLines/>
      <w:overflowPunct/>
      <w:spacing w:before="200" w:line="276" w:lineRule="auto"/>
      <w:jc w:val="left"/>
      <w:outlineLvl w:val="8"/>
    </w:pPr>
    <w:rPr>
      <w:rFonts w:eastAsia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MGC">
    <w:name w:val="_ H __M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240" w:line="440" w:lineRule="exact"/>
      <w:ind w:left="1134" w:right="1134" w:hanging="1134"/>
      <w:jc w:val="left"/>
    </w:pPr>
    <w:rPr>
      <w:rFonts w:eastAsia="黑体"/>
      <w:sz w:val="34"/>
      <w:szCs w:val="34"/>
    </w:rPr>
  </w:style>
  <w:style w:type="paragraph" w:customStyle="1" w:styleId="HChGC">
    <w:name w:val="_ H _Ch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 w:line="400" w:lineRule="exact"/>
      <w:ind w:left="1134" w:right="1134" w:hanging="1134"/>
      <w:jc w:val="left"/>
    </w:pPr>
    <w:rPr>
      <w:rFonts w:eastAsia="黑体"/>
      <w:sz w:val="28"/>
      <w:szCs w:val="28"/>
    </w:rPr>
  </w:style>
  <w:style w:type="paragraph" w:customStyle="1" w:styleId="H1GC">
    <w:name w:val="_ H_1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360" w:after="240"/>
      <w:ind w:left="1134" w:right="1134" w:hanging="1134"/>
      <w:jc w:val="left"/>
    </w:pPr>
    <w:rPr>
      <w:rFonts w:eastAsia="黑体"/>
      <w:sz w:val="24"/>
      <w:szCs w:val="24"/>
    </w:rPr>
  </w:style>
  <w:style w:type="paragraph" w:customStyle="1" w:styleId="H23GC">
    <w:name w:val="_ H_2/3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黑体"/>
      <w:sz w:val="22"/>
      <w:szCs w:val="22"/>
    </w:rPr>
  </w:style>
  <w:style w:type="paragraph" w:customStyle="1" w:styleId="H4GC">
    <w:name w:val="_ H_4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  <w:rPr>
      <w:rFonts w:eastAsia="楷体"/>
      <w:sz w:val="23"/>
      <w:szCs w:val="23"/>
    </w:rPr>
  </w:style>
  <w:style w:type="paragraph" w:customStyle="1" w:styleId="H56GC">
    <w:name w:val="_ H_5/6_GC"/>
    <w:basedOn w:val="a"/>
    <w:next w:val="a"/>
    <w:qFormat/>
    <w:rsid w:val="00E43081"/>
    <w:pPr>
      <w:keepNext/>
      <w:keepLines/>
      <w:tabs>
        <w:tab w:val="clear" w:pos="431"/>
        <w:tab w:val="right" w:pos="851"/>
      </w:tabs>
      <w:spacing w:before="240" w:after="120"/>
      <w:ind w:left="1134" w:right="1134" w:hanging="1134"/>
      <w:jc w:val="left"/>
    </w:pPr>
  </w:style>
  <w:style w:type="paragraph" w:customStyle="1" w:styleId="SingleTxtGC">
    <w:name w:val="_ Single Txt_GC"/>
    <w:basedOn w:val="a"/>
    <w:link w:val="SingleTxtGCChar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</w:pPr>
  </w:style>
  <w:style w:type="character" w:customStyle="1" w:styleId="SingleTxtGCChar">
    <w:name w:val="_ Single Txt_GC Char"/>
    <w:basedOn w:val="a0"/>
    <w:link w:val="SingleTxtGC"/>
    <w:locked/>
    <w:rsid w:val="00341EDB"/>
    <w:rPr>
      <w:rFonts w:ascii="Times New Roman" w:eastAsia="宋体" w:hAnsi="Times New Roman" w:cs="Times New Roman"/>
      <w:kern w:val="0"/>
      <w:szCs w:val="21"/>
    </w:rPr>
  </w:style>
  <w:style w:type="paragraph" w:customStyle="1" w:styleId="SLGC">
    <w:name w:val="__S_L_GC"/>
    <w:basedOn w:val="a"/>
    <w:next w:val="a"/>
    <w:qFormat/>
    <w:rsid w:val="00341EDB"/>
    <w:pPr>
      <w:keepNext/>
      <w:keepLines/>
      <w:spacing w:before="240" w:after="240" w:line="560" w:lineRule="exact"/>
      <w:ind w:left="1134" w:right="1134"/>
      <w:jc w:val="left"/>
    </w:pPr>
    <w:rPr>
      <w:rFonts w:eastAsia="黑体"/>
      <w:sz w:val="56"/>
      <w:szCs w:val="56"/>
    </w:rPr>
  </w:style>
  <w:style w:type="paragraph" w:customStyle="1" w:styleId="SMGC">
    <w:name w:val="__S_M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SSGC">
    <w:name w:val="__S_S_GC"/>
    <w:basedOn w:val="a"/>
    <w:next w:val="a"/>
    <w:qFormat/>
    <w:rsid w:val="00341EDB"/>
    <w:pPr>
      <w:keepNext/>
      <w:keepLines/>
      <w:spacing w:before="240" w:after="240" w:line="300" w:lineRule="exact"/>
      <w:ind w:left="1134" w:right="1134"/>
      <w:jc w:val="left"/>
    </w:pPr>
    <w:rPr>
      <w:rFonts w:eastAsia="黑体"/>
      <w:sz w:val="28"/>
      <w:szCs w:val="28"/>
    </w:rPr>
  </w:style>
  <w:style w:type="paragraph" w:customStyle="1" w:styleId="XLargeGC">
    <w:name w:val="__XLarge_GC"/>
    <w:basedOn w:val="a"/>
    <w:next w:val="a"/>
    <w:qFormat/>
    <w:rsid w:val="00341EDB"/>
    <w:pPr>
      <w:keepNext/>
      <w:keepLines/>
      <w:spacing w:before="240" w:after="240" w:line="400" w:lineRule="exact"/>
      <w:ind w:left="1134" w:right="1134"/>
      <w:jc w:val="left"/>
    </w:pPr>
    <w:rPr>
      <w:rFonts w:eastAsia="黑体"/>
      <w:sz w:val="40"/>
      <w:szCs w:val="40"/>
    </w:rPr>
  </w:style>
  <w:style w:type="paragraph" w:customStyle="1" w:styleId="Bullet1GC">
    <w:name w:val="_Bullet 1_GC"/>
    <w:basedOn w:val="a"/>
    <w:qFormat/>
    <w:rsid w:val="00341EDB"/>
    <w:pPr>
      <w:numPr>
        <w:numId w:val="1"/>
      </w:numPr>
      <w:spacing w:after="120"/>
      <w:ind w:right="1134"/>
      <w:jc w:val="left"/>
    </w:pPr>
  </w:style>
  <w:style w:type="paragraph" w:customStyle="1" w:styleId="Bullet2GC">
    <w:name w:val="_Bullet 2_GC"/>
    <w:basedOn w:val="a"/>
    <w:qFormat/>
    <w:rsid w:val="00341EDB"/>
    <w:pPr>
      <w:numPr>
        <w:numId w:val="2"/>
      </w:numPr>
      <w:spacing w:after="120"/>
      <w:ind w:right="1134"/>
      <w:jc w:val="left"/>
    </w:pPr>
  </w:style>
  <w:style w:type="paragraph" w:customStyle="1" w:styleId="DashGC">
    <w:name w:val="_Dash_GC"/>
    <w:basedOn w:val="a"/>
    <w:qFormat/>
    <w:rsid w:val="00341EDB"/>
    <w:pPr>
      <w:numPr>
        <w:numId w:val="3"/>
      </w:numPr>
      <w:spacing w:after="120"/>
      <w:ind w:right="1134"/>
      <w:jc w:val="left"/>
    </w:pPr>
    <w:rPr>
      <w:lang w:val="fr-CH"/>
    </w:rPr>
  </w:style>
  <w:style w:type="character" w:customStyle="1" w:styleId="10">
    <w:name w:val="标题 1 字符"/>
    <w:basedOn w:val="a0"/>
    <w:link w:val="1"/>
    <w:uiPriority w:val="9"/>
    <w:rsid w:val="00341EDB"/>
    <w:rPr>
      <w:rFonts w:ascii="Times New Roman" w:eastAsia="Times New Roman" w:hAnsi="Times New Roman" w:cs="Times New Roman"/>
      <w:b/>
      <w:bCs/>
      <w:color w:val="2F5496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341EDB"/>
    <w:rPr>
      <w:rFonts w:ascii="Times New Roman" w:eastAsia="Times New Roman" w:hAnsi="Times New Roman" w:cs="Times New Roman"/>
      <w:b/>
      <w:bCs/>
      <w:color w:val="4472C4" w:themeColor="accent1"/>
      <w:kern w:val="0"/>
      <w:sz w:val="22"/>
      <w:szCs w:val="21"/>
    </w:rPr>
  </w:style>
  <w:style w:type="character" w:customStyle="1" w:styleId="40">
    <w:name w:val="标题 4 字符"/>
    <w:basedOn w:val="a0"/>
    <w:link w:val="4"/>
    <w:uiPriority w:val="9"/>
    <w:semiHidden/>
    <w:rsid w:val="00341EDB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2"/>
      <w:szCs w:val="21"/>
    </w:rPr>
  </w:style>
  <w:style w:type="character" w:customStyle="1" w:styleId="50">
    <w:name w:val="标题 5 字符"/>
    <w:basedOn w:val="a0"/>
    <w:link w:val="5"/>
    <w:uiPriority w:val="9"/>
    <w:semiHidden/>
    <w:rsid w:val="00341EDB"/>
    <w:rPr>
      <w:rFonts w:ascii="Times New Roman" w:eastAsia="Times New Roman" w:hAnsi="Times New Roman" w:cs="Times New Roman"/>
      <w:color w:val="1F3763" w:themeColor="accent1" w:themeShade="7F"/>
      <w:kern w:val="0"/>
      <w:sz w:val="22"/>
      <w:szCs w:val="21"/>
    </w:rPr>
  </w:style>
  <w:style w:type="character" w:customStyle="1" w:styleId="60">
    <w:name w:val="标题 6 字符"/>
    <w:basedOn w:val="a0"/>
    <w:link w:val="6"/>
    <w:uiPriority w:val="9"/>
    <w:semiHidden/>
    <w:rsid w:val="00341EDB"/>
    <w:rPr>
      <w:rFonts w:ascii="Times New Roman" w:eastAsia="Times New Roman" w:hAnsi="Times New Roman" w:cs="Times New Roman"/>
      <w:i/>
      <w:iCs/>
      <w:color w:val="1F3763" w:themeColor="accent1" w:themeShade="7F"/>
      <w:kern w:val="0"/>
      <w:sz w:val="22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2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341EDB"/>
    <w:rPr>
      <w:rFonts w:ascii="Times New Roman" w:eastAsia="Times New Roman" w:hAnsi="Times New Roman" w:cs="Times New Roman"/>
      <w:color w:val="4472C4" w:themeColor="accent1"/>
      <w:kern w:val="0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341EDB"/>
    <w:rPr>
      <w:rFonts w:ascii="Times New Roman" w:eastAsia="Times New Roman" w:hAnsi="Times New Roman" w:cs="Times New Roman"/>
      <w:i/>
      <w:iCs/>
      <w:color w:val="404040" w:themeColor="text1" w:themeTint="BF"/>
      <w:kern w:val="0"/>
      <w:szCs w:val="21"/>
    </w:rPr>
  </w:style>
  <w:style w:type="paragraph" w:customStyle="1" w:styleId="a3">
    <w:name w:val="表数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  <w:jc w:val="left"/>
    </w:pPr>
    <w:rPr>
      <w:sz w:val="18"/>
      <w:szCs w:val="18"/>
    </w:rPr>
  </w:style>
  <w:style w:type="paragraph" w:customStyle="1" w:styleId="a4">
    <w:name w:val="表中标题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  <w:jc w:val="left"/>
    </w:pPr>
    <w:rPr>
      <w:rFonts w:eastAsia="楷体"/>
      <w:sz w:val="18"/>
      <w:szCs w:val="18"/>
    </w:rPr>
  </w:style>
  <w:style w:type="paragraph" w:customStyle="1" w:styleId="a5">
    <w:name w:val="表中文字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  <w:jc w:val="left"/>
    </w:pPr>
    <w:rPr>
      <w:sz w:val="18"/>
      <w:szCs w:val="18"/>
    </w:rPr>
  </w:style>
  <w:style w:type="character" w:styleId="a6">
    <w:name w:val="Hyperlink"/>
    <w:basedOn w:val="a0"/>
    <w:uiPriority w:val="99"/>
    <w:semiHidden/>
    <w:rsid w:val="00341EDB"/>
    <w:rPr>
      <w:color w:val="0563C1" w:themeColor="hyperlink"/>
      <w:u w:val="none"/>
    </w:rPr>
  </w:style>
  <w:style w:type="character" w:styleId="a7">
    <w:name w:val="FollowedHyperlink"/>
    <w:basedOn w:val="a0"/>
    <w:uiPriority w:val="99"/>
    <w:semiHidden/>
    <w:rsid w:val="00341EDB"/>
    <w:rPr>
      <w:color w:val="0000FF"/>
      <w:u w:val="none"/>
    </w:rPr>
  </w:style>
  <w:style w:type="paragraph" w:styleId="a8">
    <w:name w:val="macro"/>
    <w:link w:val="a9"/>
    <w:semiHidden/>
    <w:rsid w:val="00341E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宋体" w:hAnsi="Times New Roman" w:cs="Times New Roman"/>
      <w:kern w:val="24"/>
      <w:sz w:val="24"/>
      <w:szCs w:val="24"/>
    </w:rPr>
  </w:style>
  <w:style w:type="character" w:customStyle="1" w:styleId="a9">
    <w:name w:val="宏文本 字符"/>
    <w:basedOn w:val="a0"/>
    <w:link w:val="a8"/>
    <w:semiHidden/>
    <w:rsid w:val="00341EDB"/>
    <w:rPr>
      <w:rFonts w:ascii="Times New Roman" w:eastAsia="宋体" w:hAnsi="Times New Roman" w:cs="Times New Roman"/>
      <w:kern w:val="24"/>
      <w:sz w:val="24"/>
      <w:szCs w:val="24"/>
    </w:rPr>
  </w:style>
  <w:style w:type="paragraph" w:styleId="aa">
    <w:name w:val="footnote text"/>
    <w:basedOn w:val="a"/>
    <w:link w:val="ab"/>
    <w:qFormat/>
    <w:rsid w:val="00341EDB"/>
    <w:pPr>
      <w:keepLines/>
      <w:widowControl w:val="0"/>
      <w:tabs>
        <w:tab w:val="clear" w:pos="431"/>
        <w:tab w:val="right" w:pos="1021"/>
      </w:tabs>
      <w:autoSpaceDE w:val="0"/>
      <w:autoSpaceDN w:val="0"/>
      <w:spacing w:after="120" w:line="240" w:lineRule="exact"/>
      <w:ind w:left="1134" w:right="1134" w:hanging="1134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c">
    <w:name w:val="footnote reference"/>
    <w:basedOn w:val="a0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d">
    <w:name w:val="目录段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e">
    <w:name w:val="目录页次"/>
    <w:basedOn w:val="a"/>
    <w:qFormat/>
    <w:rsid w:val="00341EDB"/>
    <w:pPr>
      <w:tabs>
        <w:tab w:val="clear" w:pos="431"/>
        <w:tab w:val="right" w:pos="851"/>
        <w:tab w:val="left" w:pos="1134"/>
        <w:tab w:val="left" w:pos="1565"/>
        <w:tab w:val="right" w:leader="dot" w:pos="8789"/>
        <w:tab w:val="right" w:pos="9554"/>
      </w:tabs>
      <w:spacing w:after="120"/>
      <w:ind w:left="1134" w:right="3119" w:hanging="1134"/>
      <w:jc w:val="left"/>
    </w:pPr>
  </w:style>
  <w:style w:type="paragraph" w:customStyle="1" w:styleId="af">
    <w:name w:val="缩进正文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ind w:left="1565" w:right="1134"/>
      <w:jc w:val="left"/>
    </w:pPr>
    <w:rPr>
      <w:sz w:val="22"/>
    </w:rPr>
  </w:style>
  <w:style w:type="paragraph" w:styleId="af0">
    <w:name w:val="endnote text"/>
    <w:basedOn w:val="aa"/>
    <w:link w:val="af1"/>
    <w:qFormat/>
    <w:rsid w:val="00341EDB"/>
    <w:pPr>
      <w:keepLines w:val="0"/>
      <w:spacing w:after="0"/>
    </w:pPr>
  </w:style>
  <w:style w:type="character" w:customStyle="1" w:styleId="af1">
    <w:name w:val="尾注文本 字符"/>
    <w:basedOn w:val="a0"/>
    <w:link w:val="af0"/>
    <w:rsid w:val="00341EDB"/>
    <w:rPr>
      <w:rFonts w:ascii="Times New Roman" w:eastAsia="宋体" w:hAnsi="Times New Roman" w:cs="Times New Roman"/>
      <w:kern w:val="0"/>
      <w:sz w:val="18"/>
      <w:szCs w:val="18"/>
    </w:rPr>
  </w:style>
  <w:style w:type="character" w:styleId="af2">
    <w:name w:val="endnote reference"/>
    <w:basedOn w:val="ac"/>
    <w:qFormat/>
    <w:rsid w:val="00341EDB"/>
    <w:rPr>
      <w:rFonts w:ascii="Times New Roman" w:hAnsi="Times New Roman"/>
      <w:caps w:val="0"/>
      <w:smallCaps w:val="0"/>
      <w:strike w:val="0"/>
      <w:dstrike w:val="0"/>
      <w:snapToGrid w:val="0"/>
      <w:vanish w:val="0"/>
      <w:color w:val="0000FF"/>
      <w:spacing w:val="0"/>
      <w:w w:val="100"/>
      <w:kern w:val="0"/>
      <w:position w:val="0"/>
      <w:sz w:val="21"/>
      <w:vertAlign w:val="superscript"/>
      <w14:cntxtAlts w14:val="0"/>
    </w:rPr>
  </w:style>
  <w:style w:type="paragraph" w:customStyle="1" w:styleId="af3">
    <w:name w:val="悬挂"/>
    <w:basedOn w:val="a"/>
    <w:qFormat/>
    <w:rsid w:val="00341EDB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left"/>
    </w:pPr>
  </w:style>
  <w:style w:type="paragraph" w:styleId="af4">
    <w:name w:val="footer"/>
    <w:basedOn w:val="a"/>
    <w:link w:val="af5"/>
    <w:qFormat/>
    <w:rsid w:val="00341EDB"/>
    <w:pPr>
      <w:spacing w:line="240" w:lineRule="auto"/>
      <w:jc w:val="left"/>
    </w:pPr>
    <w:rPr>
      <w:rFonts w:eastAsia="Times New Roman"/>
      <w:sz w:val="16"/>
      <w:szCs w:val="16"/>
      <w:lang w:val="en-GB" w:eastAsia="en-US"/>
    </w:rPr>
  </w:style>
  <w:style w:type="character" w:customStyle="1" w:styleId="af5">
    <w:name w:val="页脚 字符"/>
    <w:basedOn w:val="a0"/>
    <w:link w:val="af4"/>
    <w:rsid w:val="00341EDB"/>
    <w:rPr>
      <w:rFonts w:ascii="Times New Roman" w:eastAsia="Times New Roman" w:hAnsi="Times New Roman" w:cs="Times New Roman"/>
      <w:kern w:val="0"/>
      <w:sz w:val="16"/>
      <w:szCs w:val="16"/>
      <w:lang w:val="en-GB" w:eastAsia="en-US"/>
    </w:rPr>
  </w:style>
  <w:style w:type="character" w:styleId="af6">
    <w:name w:val="page number"/>
    <w:basedOn w:val="a0"/>
    <w:qFormat/>
    <w:rsid w:val="00341EDB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af7">
    <w:name w:val="header"/>
    <w:basedOn w:val="a"/>
    <w:link w:val="af8"/>
    <w:qFormat/>
    <w:rsid w:val="00341EDB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  <w:jc w:val="left"/>
    </w:pPr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af8">
    <w:name w:val="页眉 字符"/>
    <w:basedOn w:val="a0"/>
    <w:link w:val="af7"/>
    <w:rsid w:val="00341EDB"/>
    <w:rPr>
      <w:rFonts w:ascii="Times New Roman" w:eastAsia="Times New Roman" w:hAnsi="Times New Roman" w:cs="Times New Roman"/>
      <w:b/>
      <w:snapToGrid w:val="0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5A772F7035942BC2C375CCE34784F" ma:contentTypeVersion="8" ma:contentTypeDescription="Create a new document." ma:contentTypeScope="" ma:versionID="22997ee32558951b20ee27e1d26ee71e">
  <xsd:schema xmlns:xsd="http://www.w3.org/2001/XMLSchema" xmlns:xs="http://www.w3.org/2001/XMLSchema" xmlns:p="http://schemas.microsoft.com/office/2006/metadata/properties" xmlns:ns2="cd363d60-c3fb-4279-bb3e-0ba290b6ed81" xmlns:ns3="d5bb65fb-1c03-441d-8d1b-f8853a13de5d" targetNamespace="http://schemas.microsoft.com/office/2006/metadata/properties" ma:root="true" ma:fieldsID="206610c9ea1d6cd06b28916e994d9624" ns2:_="" ns3:_="">
    <xsd:import namespace="cd363d60-c3fb-4279-bb3e-0ba290b6ed81"/>
    <xsd:import namespace="d5bb65fb-1c03-441d-8d1b-f8853a13d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3d60-c3fb-4279-bb3e-0ba290b6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65fb-1c03-441d-8d1b-f8853a13d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0B99F-648F-4F9E-BA14-70D5DE5EF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B4216-4418-4294-B8BD-C0B59A5FED96}"/>
</file>

<file path=customXml/itemProps3.xml><?xml version="1.0" encoding="utf-8"?>
<ds:datastoreItem xmlns:ds="http://schemas.openxmlformats.org/officeDocument/2006/customXml" ds:itemID="{770B3327-65A7-4F0B-A7E2-FC1D90CE7763}"/>
</file>

<file path=customXml/itemProps4.xml><?xml version="1.0" encoding="utf-8"?>
<ds:datastoreItem xmlns:ds="http://schemas.openxmlformats.org/officeDocument/2006/customXml" ds:itemID="{CF234EDE-B10E-42A0-A8B6-001F6D261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2899</Characters>
  <Application>Microsoft Office Word</Application>
  <DocSecurity>4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 wang</dc:creator>
  <cp:keywords/>
  <dc:description/>
  <cp:lastModifiedBy>Ying Liu</cp:lastModifiedBy>
  <cp:revision>2</cp:revision>
  <dcterms:created xsi:type="dcterms:W3CDTF">2021-06-16T13:45:00Z</dcterms:created>
  <dcterms:modified xsi:type="dcterms:W3CDTF">2021-06-16T13:45:00Z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0x01010089D5A772F7035942BC2C375CCE34784F</vt:lpwstr>
  </property>
</Properties>
</file>