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AA7EF" w14:textId="4DA045C0" w:rsidR="00B96D25" w:rsidRPr="00C42C69" w:rsidRDefault="00880DF9" w:rsidP="00B70816">
      <w:pPr>
        <w:rPr>
          <w:b/>
          <w:bCs/>
          <w:sz w:val="28"/>
          <w:szCs w:val="28"/>
          <w:u w:val="single"/>
        </w:rPr>
      </w:pPr>
      <w:r w:rsidRPr="00C42C69">
        <w:rPr>
          <w:rFonts w:hint="eastAsia"/>
          <w:b/>
          <w:bCs/>
          <w:sz w:val="28"/>
          <w:szCs w:val="28"/>
          <w:u w:val="single"/>
        </w:rPr>
        <w:t>Inputs</w:t>
      </w:r>
      <w:r w:rsidRPr="00C42C69">
        <w:rPr>
          <w:b/>
          <w:bCs/>
          <w:sz w:val="28"/>
          <w:szCs w:val="28"/>
          <w:u w:val="single"/>
        </w:rPr>
        <w:t xml:space="preserve"> </w:t>
      </w:r>
      <w:r w:rsidR="00D22D87" w:rsidRPr="00C42C69">
        <w:rPr>
          <w:b/>
          <w:bCs/>
          <w:sz w:val="28"/>
          <w:szCs w:val="28"/>
          <w:u w:val="single"/>
        </w:rPr>
        <w:t>on</w:t>
      </w:r>
      <w:r w:rsidRPr="00C42C69">
        <w:rPr>
          <w:b/>
          <w:bCs/>
          <w:sz w:val="28"/>
          <w:szCs w:val="28"/>
          <w:u w:val="single"/>
        </w:rPr>
        <w:t xml:space="preserve"> </w:t>
      </w:r>
      <w:r w:rsidRPr="00C42C69">
        <w:rPr>
          <w:rFonts w:hint="eastAsia"/>
          <w:b/>
          <w:bCs/>
          <w:sz w:val="28"/>
          <w:szCs w:val="28"/>
          <w:u w:val="single"/>
        </w:rPr>
        <w:t>"due</w:t>
      </w:r>
      <w:r w:rsidRPr="00C42C69">
        <w:rPr>
          <w:b/>
          <w:bCs/>
          <w:sz w:val="28"/>
          <w:szCs w:val="28"/>
          <w:u w:val="single"/>
        </w:rPr>
        <w:t xml:space="preserve"> </w:t>
      </w:r>
      <w:r w:rsidRPr="00C42C69">
        <w:rPr>
          <w:rFonts w:hint="eastAsia"/>
          <w:b/>
          <w:bCs/>
          <w:sz w:val="28"/>
          <w:szCs w:val="28"/>
          <w:u w:val="single"/>
        </w:rPr>
        <w:t>diligence</w:t>
      </w:r>
      <w:r w:rsidR="00594AAC" w:rsidRPr="00C42C69">
        <w:rPr>
          <w:rFonts w:hint="eastAsia"/>
          <w:b/>
          <w:bCs/>
          <w:sz w:val="28"/>
          <w:szCs w:val="28"/>
          <w:u w:val="single"/>
        </w:rPr>
        <w:t>"</w:t>
      </w:r>
    </w:p>
    <w:p w14:paraId="598D2172" w14:textId="77777777" w:rsidR="00594AAC" w:rsidRDefault="00594AAC" w:rsidP="00880DF9">
      <w:pPr>
        <w:rPr>
          <w:color w:val="000000"/>
          <w:sz w:val="24"/>
          <w:szCs w:val="24"/>
        </w:rPr>
      </w:pPr>
    </w:p>
    <w:p w14:paraId="5A02883B" w14:textId="1DFDB67C" w:rsidR="00880DF9" w:rsidRDefault="00880DF9" w:rsidP="00880DF9">
      <w:pPr>
        <w:rPr>
          <w:rFonts w:ascii="Calibri" w:hAnsi="Calibri" w:cs="Calibri"/>
          <w:color w:val="000000"/>
          <w:sz w:val="24"/>
          <w:szCs w:val="24"/>
          <w:lang w:val="fr-CH"/>
        </w:rPr>
      </w:pPr>
      <w:r>
        <w:rPr>
          <w:rFonts w:hint="eastAsia"/>
          <w:color w:val="000000"/>
          <w:sz w:val="24"/>
          <w:szCs w:val="24"/>
        </w:rPr>
        <w:t>根据维基百科的解释，</w:t>
      </w:r>
      <w:r w:rsidRPr="00880DF9">
        <w:rPr>
          <w:rFonts w:ascii="Calibri" w:hAnsi="Calibri" w:cs="Calibri"/>
          <w:color w:val="000000"/>
          <w:sz w:val="24"/>
          <w:szCs w:val="24"/>
        </w:rPr>
        <w:t>due diligence</w:t>
      </w:r>
      <w:r>
        <w:rPr>
          <w:rFonts w:hint="eastAsia"/>
          <w:color w:val="000000"/>
          <w:sz w:val="24"/>
          <w:szCs w:val="24"/>
        </w:rPr>
        <w:t>一语最初曾以</w:t>
      </w:r>
      <w:r w:rsidRPr="00880DF9">
        <w:rPr>
          <w:rFonts w:ascii="Calibri" w:hAnsi="Calibri" w:cs="Calibri"/>
          <w:color w:val="000000"/>
          <w:sz w:val="24"/>
          <w:szCs w:val="24"/>
        </w:rPr>
        <w:t>"exercise due diligence in investigating"</w:t>
      </w:r>
      <w:r>
        <w:rPr>
          <w:rFonts w:hint="eastAsia"/>
          <w:color w:val="000000"/>
          <w:sz w:val="24"/>
          <w:szCs w:val="24"/>
        </w:rPr>
        <w:t>、</w:t>
      </w:r>
      <w:r w:rsidRPr="00880DF9">
        <w:rPr>
          <w:rFonts w:ascii="Calibri" w:hAnsi="Calibri" w:cs="Calibri"/>
          <w:color w:val="000000"/>
          <w:sz w:val="24"/>
          <w:szCs w:val="24"/>
        </w:rPr>
        <w:t>"investigation carried out with due diligence"</w:t>
      </w:r>
      <w:r>
        <w:rPr>
          <w:rFonts w:hint="eastAsia"/>
          <w:color w:val="000000"/>
          <w:sz w:val="24"/>
          <w:szCs w:val="24"/>
        </w:rPr>
        <w:t>的形式出现，只是后来被广为人知以后，才简化为</w:t>
      </w:r>
      <w:r w:rsidRPr="00880DF9">
        <w:rPr>
          <w:rFonts w:ascii="Calibri" w:hAnsi="Calibri" w:cs="Calibri"/>
          <w:color w:val="000000"/>
          <w:sz w:val="24"/>
          <w:szCs w:val="24"/>
        </w:rPr>
        <w:t>"due diligence investigation"</w:t>
      </w:r>
      <w:r>
        <w:rPr>
          <w:rFonts w:hint="eastAsia"/>
          <w:color w:val="000000"/>
          <w:sz w:val="24"/>
          <w:szCs w:val="24"/>
        </w:rPr>
        <w:t>，并最终简化为</w:t>
      </w:r>
      <w:r w:rsidRPr="00880DF9">
        <w:rPr>
          <w:rFonts w:ascii="Calibri" w:hAnsi="Calibri" w:cs="Calibri"/>
          <w:color w:val="000000"/>
          <w:sz w:val="24"/>
          <w:szCs w:val="24"/>
        </w:rPr>
        <w:t>"due diligence"</w:t>
      </w:r>
      <w:r>
        <w:rPr>
          <w:rFonts w:hint="eastAsia"/>
          <w:color w:val="000000"/>
          <w:sz w:val="24"/>
          <w:szCs w:val="24"/>
        </w:rPr>
        <w:t>。（详见：</w:t>
      </w:r>
      <w:r w:rsidR="003F5AB8">
        <w:fldChar w:fldCharType="begin"/>
      </w:r>
      <w:r w:rsidR="003F5AB8">
        <w:instrText xml:space="preserve"> HYPERLINK "https://en.wikipedia.org/wiki/Due_diligence" </w:instrText>
      </w:r>
      <w:r w:rsidR="003F5AB8">
        <w:fldChar w:fldCharType="separate"/>
      </w:r>
      <w:r>
        <w:rPr>
          <w:rStyle w:val="a6"/>
          <w:rFonts w:ascii="Calibri" w:hAnsi="Calibri" w:cs="Calibri"/>
          <w:color w:val="000000"/>
          <w:sz w:val="24"/>
          <w:szCs w:val="24"/>
          <w:lang w:val="fr-CH"/>
        </w:rPr>
        <w:t>https://</w:t>
      </w:r>
      <w:proofErr w:type="spellStart"/>
      <w:r>
        <w:rPr>
          <w:rStyle w:val="a6"/>
          <w:rFonts w:ascii="Calibri" w:hAnsi="Calibri" w:cs="Calibri"/>
          <w:color w:val="000000"/>
          <w:sz w:val="24"/>
          <w:szCs w:val="24"/>
          <w:lang w:val="fr-CH"/>
        </w:rPr>
        <w:t>en.wikipedia.org</w:t>
      </w:r>
      <w:proofErr w:type="spellEnd"/>
      <w:r>
        <w:rPr>
          <w:rStyle w:val="a6"/>
          <w:rFonts w:ascii="Calibri" w:hAnsi="Calibri" w:cs="Calibri"/>
          <w:color w:val="000000"/>
          <w:sz w:val="24"/>
          <w:szCs w:val="24"/>
          <w:lang w:val="fr-CH"/>
        </w:rPr>
        <w:t>/wiki/</w:t>
      </w:r>
      <w:proofErr w:type="spellStart"/>
      <w:r>
        <w:rPr>
          <w:rStyle w:val="a6"/>
          <w:rFonts w:ascii="Calibri" w:hAnsi="Calibri" w:cs="Calibri"/>
          <w:color w:val="000000"/>
          <w:sz w:val="24"/>
          <w:szCs w:val="24"/>
          <w:lang w:val="fr-CH"/>
        </w:rPr>
        <w:t>Due_diligence</w:t>
      </w:r>
      <w:proofErr w:type="spellEnd"/>
      <w:r w:rsidR="003F5AB8">
        <w:rPr>
          <w:rStyle w:val="a6"/>
          <w:rFonts w:ascii="Calibri" w:hAnsi="Calibri" w:cs="Calibri"/>
          <w:color w:val="000000"/>
          <w:sz w:val="24"/>
          <w:szCs w:val="24"/>
          <w:lang w:val="fr-CH"/>
        </w:rPr>
        <w:fldChar w:fldCharType="end"/>
      </w:r>
      <w:r>
        <w:rPr>
          <w:rFonts w:hint="eastAsia"/>
          <w:color w:val="000000"/>
          <w:sz w:val="24"/>
          <w:szCs w:val="24"/>
        </w:rPr>
        <w:t>）这</w:t>
      </w:r>
      <w:r w:rsidR="00D22D87">
        <w:rPr>
          <w:rFonts w:hint="eastAsia"/>
          <w:color w:val="000000"/>
          <w:sz w:val="24"/>
          <w:szCs w:val="24"/>
        </w:rPr>
        <w:t>很可能</w:t>
      </w:r>
      <w:r>
        <w:rPr>
          <w:rFonts w:hint="eastAsia"/>
          <w:color w:val="000000"/>
          <w:sz w:val="24"/>
          <w:szCs w:val="24"/>
        </w:rPr>
        <w:t>是为什么“尽职调查”在很多领域（特别是金融界）成为</w:t>
      </w:r>
      <w:r>
        <w:rPr>
          <w:rFonts w:ascii="Calibri" w:hAnsi="Calibri" w:cs="Calibri"/>
          <w:color w:val="000000"/>
          <w:sz w:val="24"/>
          <w:szCs w:val="24"/>
          <w:lang w:val="fr-CH"/>
        </w:rPr>
        <w:t>due diligence</w:t>
      </w:r>
      <w:r>
        <w:rPr>
          <w:rFonts w:hint="eastAsia"/>
          <w:color w:val="000000"/>
          <w:sz w:val="24"/>
          <w:szCs w:val="24"/>
        </w:rPr>
        <w:t>惯用译法的原因。</w:t>
      </w:r>
    </w:p>
    <w:p w14:paraId="2E3112D5" w14:textId="77777777" w:rsidR="00880DF9" w:rsidRDefault="00880DF9" w:rsidP="00880DF9">
      <w:pPr>
        <w:rPr>
          <w:rFonts w:ascii="Calibri" w:hAnsi="Calibri" w:cs="Calibri"/>
          <w:color w:val="000000"/>
          <w:sz w:val="24"/>
          <w:szCs w:val="24"/>
          <w:lang w:val="fr-CH"/>
        </w:rPr>
      </w:pPr>
    </w:p>
    <w:p w14:paraId="2BAC2F3A" w14:textId="67262E77" w:rsidR="00880DF9" w:rsidRDefault="00880DF9" w:rsidP="00880DF9">
      <w:pPr>
        <w:rPr>
          <w:rFonts w:ascii="Calibri" w:hAnsi="Calibri" w:cs="Calibri"/>
          <w:color w:val="000000"/>
          <w:sz w:val="24"/>
          <w:szCs w:val="24"/>
          <w:lang w:val="fr-CH"/>
        </w:rPr>
      </w:pPr>
      <w:r>
        <w:rPr>
          <w:rFonts w:hint="eastAsia"/>
          <w:color w:val="000000"/>
          <w:sz w:val="24"/>
          <w:szCs w:val="24"/>
        </w:rPr>
        <w:t>不过，在人权领域，</w:t>
      </w:r>
      <w:r>
        <w:rPr>
          <w:rFonts w:ascii="Calibri" w:hAnsi="Calibri" w:cs="Calibri"/>
          <w:color w:val="000000"/>
          <w:sz w:val="24"/>
          <w:szCs w:val="24"/>
          <w:lang w:val="fr-CH"/>
        </w:rPr>
        <w:t>due diligence</w:t>
      </w:r>
      <w:r>
        <w:rPr>
          <w:rFonts w:hint="eastAsia"/>
          <w:color w:val="000000"/>
          <w:sz w:val="24"/>
          <w:szCs w:val="24"/>
        </w:rPr>
        <w:t>的范围显然已经扩大，不仅限于调查。根据《工商企业与人权指导原则》第</w:t>
      </w:r>
      <w:r>
        <w:rPr>
          <w:rFonts w:ascii="Calibri" w:hAnsi="Calibri" w:cs="Calibri"/>
          <w:color w:val="000000"/>
          <w:sz w:val="24"/>
          <w:szCs w:val="24"/>
          <w:lang w:val="fr-CH"/>
        </w:rPr>
        <w:t>17</w:t>
      </w:r>
      <w:r>
        <w:rPr>
          <w:rFonts w:hint="eastAsia"/>
          <w:color w:val="000000"/>
          <w:sz w:val="24"/>
          <w:szCs w:val="24"/>
        </w:rPr>
        <w:t>条，</w:t>
      </w:r>
      <w:proofErr w:type="spellStart"/>
      <w:r>
        <w:rPr>
          <w:rFonts w:ascii="Calibri" w:hAnsi="Calibri" w:cs="Calibri"/>
          <w:color w:val="000000"/>
          <w:sz w:val="24"/>
          <w:szCs w:val="24"/>
          <w:lang w:val="fr-CH"/>
        </w:rPr>
        <w:t>human</w:t>
      </w:r>
      <w:proofErr w:type="spellEnd"/>
      <w:r>
        <w:rPr>
          <w:rFonts w:ascii="Calibri" w:hAnsi="Calibri" w:cs="Calibri"/>
          <w:color w:val="000000"/>
          <w:sz w:val="24"/>
          <w:szCs w:val="24"/>
          <w:lang w:val="fr-CH"/>
        </w:rPr>
        <w:t xml:space="preserve"> </w:t>
      </w:r>
      <w:proofErr w:type="spellStart"/>
      <w:r>
        <w:rPr>
          <w:rFonts w:ascii="Calibri" w:hAnsi="Calibri" w:cs="Calibri"/>
          <w:color w:val="000000"/>
          <w:sz w:val="24"/>
          <w:szCs w:val="24"/>
          <w:lang w:val="fr-CH"/>
        </w:rPr>
        <w:t>rights</w:t>
      </w:r>
      <w:proofErr w:type="spellEnd"/>
      <w:r>
        <w:rPr>
          <w:rFonts w:ascii="Calibri" w:hAnsi="Calibri" w:cs="Calibri"/>
          <w:color w:val="000000"/>
          <w:sz w:val="24"/>
          <w:szCs w:val="24"/>
          <w:lang w:val="fr-CH"/>
        </w:rPr>
        <w:t xml:space="preserve"> due diligence</w:t>
      </w:r>
      <w:r>
        <w:rPr>
          <w:rFonts w:hint="eastAsia"/>
          <w:color w:val="000000"/>
          <w:sz w:val="24"/>
          <w:szCs w:val="24"/>
        </w:rPr>
        <w:t>的内容包括：</w:t>
      </w:r>
      <w:proofErr w:type="spellStart"/>
      <w:r>
        <w:rPr>
          <w:rFonts w:ascii="Calibri" w:hAnsi="Calibri" w:cs="Calibri"/>
          <w:color w:val="000000"/>
          <w:sz w:val="24"/>
          <w:szCs w:val="24"/>
          <w:lang w:val="fr-CH"/>
        </w:rPr>
        <w:t>assessing</w:t>
      </w:r>
      <w:proofErr w:type="spellEnd"/>
      <w:r>
        <w:rPr>
          <w:rFonts w:ascii="Calibri" w:hAnsi="Calibri" w:cs="Calibri"/>
          <w:color w:val="000000"/>
          <w:sz w:val="24"/>
          <w:szCs w:val="24"/>
          <w:lang w:val="fr-CH"/>
        </w:rPr>
        <w:t xml:space="preserve"> </w:t>
      </w:r>
      <w:proofErr w:type="spellStart"/>
      <w:r>
        <w:rPr>
          <w:rFonts w:ascii="Calibri" w:hAnsi="Calibri" w:cs="Calibri"/>
          <w:color w:val="000000"/>
          <w:sz w:val="24"/>
          <w:szCs w:val="24"/>
          <w:lang w:val="fr-CH"/>
        </w:rPr>
        <w:t>actual</w:t>
      </w:r>
      <w:proofErr w:type="spellEnd"/>
      <w:r>
        <w:rPr>
          <w:rFonts w:ascii="Calibri" w:hAnsi="Calibri" w:cs="Calibri"/>
          <w:color w:val="000000"/>
          <w:sz w:val="24"/>
          <w:szCs w:val="24"/>
          <w:lang w:val="fr-CH"/>
        </w:rPr>
        <w:t xml:space="preserve"> and </w:t>
      </w:r>
      <w:proofErr w:type="spellStart"/>
      <w:r>
        <w:rPr>
          <w:rFonts w:ascii="Calibri" w:hAnsi="Calibri" w:cs="Calibri"/>
          <w:color w:val="000000"/>
          <w:sz w:val="24"/>
          <w:szCs w:val="24"/>
          <w:lang w:val="fr-CH"/>
        </w:rPr>
        <w:t>potential</w:t>
      </w:r>
      <w:proofErr w:type="spellEnd"/>
      <w:r>
        <w:rPr>
          <w:rFonts w:ascii="Calibri" w:hAnsi="Calibri" w:cs="Calibri"/>
          <w:color w:val="000000"/>
          <w:sz w:val="24"/>
          <w:szCs w:val="24"/>
          <w:lang w:val="fr-CH"/>
        </w:rPr>
        <w:t xml:space="preserve"> </w:t>
      </w:r>
      <w:proofErr w:type="spellStart"/>
      <w:r>
        <w:rPr>
          <w:rFonts w:ascii="Calibri" w:hAnsi="Calibri" w:cs="Calibri"/>
          <w:color w:val="000000"/>
          <w:sz w:val="24"/>
          <w:szCs w:val="24"/>
          <w:lang w:val="fr-CH"/>
        </w:rPr>
        <w:t>human</w:t>
      </w:r>
      <w:proofErr w:type="spellEnd"/>
      <w:r>
        <w:rPr>
          <w:rFonts w:ascii="Calibri" w:hAnsi="Calibri" w:cs="Calibri"/>
          <w:color w:val="000000"/>
          <w:sz w:val="24"/>
          <w:szCs w:val="24"/>
          <w:lang w:val="fr-CH"/>
        </w:rPr>
        <w:t xml:space="preserve"> </w:t>
      </w:r>
      <w:proofErr w:type="spellStart"/>
      <w:r>
        <w:rPr>
          <w:rFonts w:ascii="Calibri" w:hAnsi="Calibri" w:cs="Calibri"/>
          <w:color w:val="000000"/>
          <w:sz w:val="24"/>
          <w:szCs w:val="24"/>
          <w:lang w:val="fr-CH"/>
        </w:rPr>
        <w:t>rights</w:t>
      </w:r>
      <w:proofErr w:type="spellEnd"/>
      <w:r>
        <w:rPr>
          <w:rFonts w:ascii="Calibri" w:hAnsi="Calibri" w:cs="Calibri"/>
          <w:color w:val="000000"/>
          <w:sz w:val="24"/>
          <w:szCs w:val="24"/>
          <w:lang w:val="fr-CH"/>
        </w:rPr>
        <w:t xml:space="preserve"> impacts, </w:t>
      </w:r>
      <w:proofErr w:type="spellStart"/>
      <w:r>
        <w:rPr>
          <w:rFonts w:ascii="Calibri" w:hAnsi="Calibri" w:cs="Calibri"/>
          <w:color w:val="000000"/>
          <w:sz w:val="24"/>
          <w:szCs w:val="24"/>
          <w:lang w:val="fr-CH"/>
        </w:rPr>
        <w:t>integrating</w:t>
      </w:r>
      <w:proofErr w:type="spellEnd"/>
      <w:r>
        <w:rPr>
          <w:rFonts w:ascii="Calibri" w:hAnsi="Calibri" w:cs="Calibri"/>
          <w:color w:val="000000"/>
          <w:sz w:val="24"/>
          <w:szCs w:val="24"/>
          <w:lang w:val="fr-CH"/>
        </w:rPr>
        <w:t xml:space="preserve"> and acting </w:t>
      </w:r>
      <w:proofErr w:type="spellStart"/>
      <w:r>
        <w:rPr>
          <w:rFonts w:ascii="Calibri" w:hAnsi="Calibri" w:cs="Calibri"/>
          <w:color w:val="000000"/>
          <w:sz w:val="24"/>
          <w:szCs w:val="24"/>
          <w:lang w:val="fr-CH"/>
        </w:rPr>
        <w:t>upon</w:t>
      </w:r>
      <w:proofErr w:type="spellEnd"/>
      <w:r>
        <w:rPr>
          <w:rFonts w:ascii="Calibri" w:hAnsi="Calibri" w:cs="Calibri"/>
          <w:color w:val="000000"/>
          <w:sz w:val="24"/>
          <w:szCs w:val="24"/>
          <w:lang w:val="fr-CH"/>
        </w:rPr>
        <w:t xml:space="preserve"> the </w:t>
      </w:r>
      <w:proofErr w:type="spellStart"/>
      <w:r>
        <w:rPr>
          <w:rFonts w:ascii="Calibri" w:hAnsi="Calibri" w:cs="Calibri"/>
          <w:color w:val="000000"/>
          <w:sz w:val="24"/>
          <w:szCs w:val="24"/>
          <w:lang w:val="fr-CH"/>
        </w:rPr>
        <w:t>findings</w:t>
      </w:r>
      <w:proofErr w:type="spellEnd"/>
      <w:r>
        <w:rPr>
          <w:rFonts w:ascii="Calibri" w:hAnsi="Calibri" w:cs="Calibri"/>
          <w:color w:val="000000"/>
          <w:sz w:val="24"/>
          <w:szCs w:val="24"/>
          <w:lang w:val="fr-CH"/>
        </w:rPr>
        <w:t xml:space="preserve">, </w:t>
      </w:r>
      <w:proofErr w:type="spellStart"/>
      <w:r>
        <w:rPr>
          <w:rFonts w:ascii="Calibri" w:hAnsi="Calibri" w:cs="Calibri"/>
          <w:color w:val="000000"/>
          <w:sz w:val="24"/>
          <w:szCs w:val="24"/>
          <w:lang w:val="fr-CH"/>
        </w:rPr>
        <w:t>tracking</w:t>
      </w:r>
      <w:proofErr w:type="spellEnd"/>
      <w:r>
        <w:rPr>
          <w:rFonts w:ascii="Calibri" w:hAnsi="Calibri" w:cs="Calibri"/>
          <w:color w:val="000000"/>
          <w:sz w:val="24"/>
          <w:szCs w:val="24"/>
          <w:lang w:val="fr-CH"/>
        </w:rPr>
        <w:t xml:space="preserve"> </w:t>
      </w:r>
      <w:proofErr w:type="spellStart"/>
      <w:r>
        <w:rPr>
          <w:rFonts w:ascii="Calibri" w:hAnsi="Calibri" w:cs="Calibri"/>
          <w:color w:val="000000"/>
          <w:sz w:val="24"/>
          <w:szCs w:val="24"/>
          <w:lang w:val="fr-CH"/>
        </w:rPr>
        <w:t>responses</w:t>
      </w:r>
      <w:proofErr w:type="spellEnd"/>
      <w:r>
        <w:rPr>
          <w:rFonts w:ascii="Calibri" w:hAnsi="Calibri" w:cs="Calibri"/>
          <w:color w:val="000000"/>
          <w:sz w:val="24"/>
          <w:szCs w:val="24"/>
          <w:lang w:val="fr-CH"/>
        </w:rPr>
        <w:t xml:space="preserve">, and </w:t>
      </w:r>
      <w:proofErr w:type="spellStart"/>
      <w:r>
        <w:rPr>
          <w:rFonts w:ascii="Calibri" w:hAnsi="Calibri" w:cs="Calibri"/>
          <w:color w:val="000000"/>
          <w:sz w:val="24"/>
          <w:szCs w:val="24"/>
          <w:lang w:val="fr-CH"/>
        </w:rPr>
        <w:t>communicating</w:t>
      </w:r>
      <w:proofErr w:type="spellEnd"/>
      <w:r>
        <w:rPr>
          <w:rFonts w:ascii="Calibri" w:hAnsi="Calibri" w:cs="Calibri"/>
          <w:color w:val="000000"/>
          <w:sz w:val="24"/>
          <w:szCs w:val="24"/>
          <w:lang w:val="fr-CH"/>
        </w:rPr>
        <w:t xml:space="preserve"> how impacts are </w:t>
      </w:r>
      <w:proofErr w:type="spellStart"/>
      <w:r>
        <w:rPr>
          <w:rFonts w:ascii="Calibri" w:hAnsi="Calibri" w:cs="Calibri"/>
          <w:color w:val="000000"/>
          <w:sz w:val="24"/>
          <w:szCs w:val="24"/>
          <w:lang w:val="fr-CH"/>
        </w:rPr>
        <w:t>addressed</w:t>
      </w:r>
      <w:proofErr w:type="spellEnd"/>
      <w:r>
        <w:rPr>
          <w:rFonts w:hint="eastAsia"/>
          <w:color w:val="000000"/>
          <w:sz w:val="24"/>
          <w:szCs w:val="24"/>
        </w:rPr>
        <w:t>，所以再译为“尽职调查”确有不妥之处，因为“调查”的意思太过狭隘。在工商业与人权语境下，“尽责管理”可能更好一些，虽然原文也没有“管理”之意，但好在这个词与“调查”相比足够宽泛。</w:t>
      </w:r>
    </w:p>
    <w:p w14:paraId="079C803E" w14:textId="77777777" w:rsidR="00880DF9" w:rsidRDefault="00880DF9" w:rsidP="00880DF9">
      <w:pPr>
        <w:rPr>
          <w:rFonts w:ascii="Calibri" w:hAnsi="Calibri" w:cs="Calibri"/>
          <w:color w:val="000000"/>
          <w:sz w:val="24"/>
          <w:szCs w:val="24"/>
          <w:lang w:val="fr-CH"/>
        </w:rPr>
      </w:pPr>
    </w:p>
    <w:p w14:paraId="238CD2CD" w14:textId="77777777" w:rsidR="00880DF9" w:rsidRDefault="00880DF9" w:rsidP="00880DF9">
      <w:pPr>
        <w:rPr>
          <w:rFonts w:ascii="Calibri" w:hAnsi="Calibri" w:cs="Calibri"/>
          <w:color w:val="333333"/>
          <w:sz w:val="24"/>
          <w:szCs w:val="24"/>
          <w:lang w:val="fr-CH"/>
        </w:rPr>
      </w:pPr>
    </w:p>
    <w:p w14:paraId="6C7FC2C2" w14:textId="77777777" w:rsidR="00880DF9" w:rsidRDefault="00880DF9" w:rsidP="00880DF9">
      <w:pPr>
        <w:rPr>
          <w:rFonts w:ascii="Calibri" w:hAnsi="Calibri" w:cs="Calibri"/>
          <w:b/>
          <w:bCs/>
          <w:color w:val="0070C0"/>
          <w:sz w:val="24"/>
          <w:szCs w:val="24"/>
          <w:lang w:val="fr-CH"/>
        </w:rPr>
      </w:pPr>
      <w:r>
        <w:rPr>
          <w:rFonts w:hint="eastAsia"/>
          <w:b/>
          <w:bCs/>
          <w:color w:val="0070C0"/>
          <w:sz w:val="24"/>
          <w:szCs w:val="24"/>
        </w:rPr>
        <w:t>附：</w:t>
      </w:r>
    </w:p>
    <w:p w14:paraId="7C5F86D5" w14:textId="77777777" w:rsidR="00880DF9" w:rsidRDefault="00880DF9" w:rsidP="00880DF9">
      <w:pPr>
        <w:rPr>
          <w:rFonts w:ascii="Calibri" w:hAnsi="Calibri" w:cs="Calibri"/>
          <w:b/>
          <w:bCs/>
          <w:color w:val="0070C0"/>
          <w:sz w:val="24"/>
          <w:szCs w:val="24"/>
          <w:lang w:val="fr-CH"/>
        </w:rPr>
      </w:pPr>
      <w:r>
        <w:rPr>
          <w:rFonts w:hint="eastAsia"/>
          <w:b/>
          <w:bCs/>
          <w:color w:val="0070C0"/>
          <w:sz w:val="24"/>
          <w:szCs w:val="24"/>
        </w:rPr>
        <w:t>维基百科中的相关部分</w:t>
      </w:r>
    </w:p>
    <w:p w14:paraId="77C48B0B" w14:textId="77777777" w:rsidR="00880DF9" w:rsidRDefault="00880DF9" w:rsidP="00880DF9">
      <w:pPr>
        <w:rPr>
          <w:sz w:val="24"/>
          <w:szCs w:val="24"/>
        </w:rPr>
      </w:pPr>
    </w:p>
    <w:p w14:paraId="4A1713F7" w14:textId="77777777" w:rsidR="00880DF9" w:rsidRDefault="00880DF9" w:rsidP="00880DF9">
      <w:pPr>
        <w:rPr>
          <w:rFonts w:ascii="等线" w:hAnsi="等线" w:cs="宋体"/>
          <w:sz w:val="24"/>
          <w:szCs w:val="24"/>
        </w:rPr>
      </w:pPr>
      <w:proofErr w:type="spellStart"/>
      <w:r>
        <w:rPr>
          <w:rFonts w:hint="eastAsia"/>
          <w:b/>
          <w:bCs/>
          <w:sz w:val="24"/>
          <w:szCs w:val="24"/>
        </w:rPr>
        <w:t>Etimology</w:t>
      </w:r>
      <w:proofErr w:type="spellEnd"/>
    </w:p>
    <w:p w14:paraId="7265C504" w14:textId="77777777" w:rsidR="00880DF9" w:rsidRDefault="00880DF9" w:rsidP="00880DF9">
      <w:pPr>
        <w:rPr>
          <w:sz w:val="24"/>
          <w:szCs w:val="24"/>
        </w:rPr>
      </w:pPr>
    </w:p>
    <w:p w14:paraId="454425EF" w14:textId="77777777" w:rsidR="00880DF9" w:rsidRDefault="00880DF9" w:rsidP="00880DF9">
      <w:pPr>
        <w:rPr>
          <w:sz w:val="24"/>
          <w:szCs w:val="24"/>
        </w:rPr>
      </w:pPr>
      <w:r>
        <w:rPr>
          <w:rFonts w:ascii="Arial" w:hAnsi="Arial" w:cs="Arial"/>
          <w:color w:val="202122"/>
          <w:sz w:val="24"/>
          <w:szCs w:val="24"/>
          <w:shd w:val="clear" w:color="auto" w:fill="FFFFFF"/>
        </w:rPr>
        <w:t>The term “due diligence” means "</w:t>
      </w:r>
      <w:r>
        <w:rPr>
          <w:rFonts w:ascii="Arial" w:hAnsi="Arial" w:cs="Arial"/>
          <w:color w:val="FF0000"/>
          <w:sz w:val="24"/>
          <w:szCs w:val="24"/>
          <w:shd w:val="clear" w:color="auto" w:fill="FFFFFF"/>
        </w:rPr>
        <w:t xml:space="preserve">required carefulness" or "reasonable care" </w:t>
      </w:r>
      <w:r>
        <w:rPr>
          <w:rFonts w:ascii="Arial" w:hAnsi="Arial" w:cs="Arial"/>
          <w:color w:val="202122"/>
          <w:sz w:val="24"/>
          <w:szCs w:val="24"/>
          <w:shd w:val="clear" w:color="auto" w:fill="FFFFFF"/>
        </w:rPr>
        <w:t xml:space="preserve">in general </w:t>
      </w:r>
      <w:proofErr w:type="gramStart"/>
      <w:r>
        <w:rPr>
          <w:rFonts w:ascii="Arial" w:hAnsi="Arial" w:cs="Arial"/>
          <w:color w:val="202122"/>
          <w:sz w:val="24"/>
          <w:szCs w:val="24"/>
          <w:shd w:val="clear" w:color="auto" w:fill="FFFFFF"/>
        </w:rPr>
        <w:t>usage, and</w:t>
      </w:r>
      <w:proofErr w:type="gramEnd"/>
      <w:r>
        <w:rPr>
          <w:rFonts w:ascii="Arial" w:hAnsi="Arial" w:cs="Arial"/>
          <w:color w:val="202122"/>
          <w:sz w:val="24"/>
          <w:szCs w:val="24"/>
          <w:shd w:val="clear" w:color="auto" w:fill="FFFFFF"/>
        </w:rPr>
        <w:t xml:space="preserve"> has been used in the literal sense of "requisite effort" since at least the mid-fifteenth century.</w:t>
      </w:r>
      <w:r>
        <w:rPr>
          <w:rFonts w:ascii="Arial" w:hAnsi="Arial" w:cs="Arial"/>
          <w:color w:val="202122"/>
          <w:sz w:val="24"/>
          <w:szCs w:val="24"/>
          <w:shd w:val="clear" w:color="auto" w:fill="FFFFFF"/>
          <w:vertAlign w:val="superscript"/>
        </w:rPr>
        <w:t xml:space="preserve"> </w:t>
      </w:r>
      <w:r>
        <w:rPr>
          <w:rFonts w:ascii="Arial" w:hAnsi="Arial" w:cs="Arial"/>
          <w:color w:val="202122"/>
          <w:sz w:val="24"/>
          <w:szCs w:val="24"/>
          <w:shd w:val="clear" w:color="auto" w:fill="FFFFFF"/>
        </w:rPr>
        <w:t>It became a specialized legal term and later a common business term due to the United States’ </w:t>
      </w:r>
      <w:hyperlink r:id="rId8" w:tooltip="Securities Act of 1933" w:history="1">
        <w:r>
          <w:rPr>
            <w:rStyle w:val="a6"/>
            <w:rFonts w:hint="eastAsia"/>
            <w:color w:val="202122"/>
            <w:sz w:val="24"/>
            <w:szCs w:val="24"/>
            <w:shd w:val="clear" w:color="auto" w:fill="FFFFFF"/>
          </w:rPr>
          <w:t>Securities Act of 1933</w:t>
        </w:r>
      </w:hyperlink>
      <w:r>
        <w:rPr>
          <w:rFonts w:ascii="Arial" w:hAnsi="Arial" w:cs="Arial"/>
          <w:color w:val="202122"/>
          <w:sz w:val="24"/>
          <w:szCs w:val="24"/>
          <w:shd w:val="clear" w:color="auto" w:fill="FFFFFF"/>
        </w:rPr>
        <w:t>, where the process is called "</w:t>
      </w:r>
      <w:r>
        <w:rPr>
          <w:rFonts w:ascii="Arial" w:hAnsi="Arial" w:cs="Arial"/>
          <w:color w:val="FF0000"/>
          <w:sz w:val="24"/>
          <w:szCs w:val="24"/>
          <w:shd w:val="clear" w:color="auto" w:fill="FFFFFF"/>
        </w:rPr>
        <w:t>reasonable investigation</w:t>
      </w:r>
      <w:r>
        <w:rPr>
          <w:rFonts w:ascii="Arial" w:hAnsi="Arial" w:cs="Arial"/>
          <w:color w:val="202122"/>
          <w:sz w:val="24"/>
          <w:szCs w:val="24"/>
          <w:shd w:val="clear" w:color="auto" w:fill="FFFFFF"/>
        </w:rPr>
        <w:t xml:space="preserve">" (section </w:t>
      </w:r>
      <w:proofErr w:type="spellStart"/>
      <w:r>
        <w:rPr>
          <w:rFonts w:ascii="Arial" w:hAnsi="Arial" w:cs="Arial"/>
          <w:color w:val="202122"/>
          <w:sz w:val="24"/>
          <w:szCs w:val="24"/>
          <w:shd w:val="clear" w:color="auto" w:fill="FFFFFF"/>
        </w:rPr>
        <w:t>11b3</w:t>
      </w:r>
      <w:proofErr w:type="spellEnd"/>
      <w:r>
        <w:rPr>
          <w:rFonts w:ascii="Arial" w:hAnsi="Arial" w:cs="Arial"/>
          <w:color w:val="202122"/>
          <w:sz w:val="24"/>
          <w:szCs w:val="24"/>
          <w:shd w:val="clear" w:color="auto" w:fill="FFFFFF"/>
        </w:rPr>
        <w:t>). This Act included a defense at Section 11, referred to later in legal usage as the “due diligence” defense, which could be used by </w:t>
      </w:r>
      <w:hyperlink r:id="rId9" w:tooltip="Broker-dealer" w:history="1">
        <w:r>
          <w:rPr>
            <w:rStyle w:val="a6"/>
            <w:rFonts w:ascii="Arial" w:hAnsi="Arial" w:cs="Arial"/>
            <w:color w:val="202122"/>
            <w:sz w:val="24"/>
            <w:szCs w:val="24"/>
            <w:shd w:val="clear" w:color="auto" w:fill="FFFFFF"/>
          </w:rPr>
          <w:t>broker-dealers</w:t>
        </w:r>
      </w:hyperlink>
      <w:r>
        <w:rPr>
          <w:rFonts w:ascii="Arial" w:hAnsi="Arial" w:cs="Arial"/>
          <w:color w:val="202122"/>
          <w:sz w:val="24"/>
          <w:szCs w:val="24"/>
          <w:shd w:val="clear" w:color="auto" w:fill="FFFFFF"/>
        </w:rPr>
        <w:t> when accused of inadequate disclosure to investors of </w:t>
      </w:r>
      <w:hyperlink r:id="rId10" w:tooltip="Material information (page does not exist)" w:history="1">
        <w:r>
          <w:rPr>
            <w:rStyle w:val="a6"/>
            <w:rFonts w:hint="eastAsia"/>
            <w:color w:val="202122"/>
            <w:sz w:val="24"/>
            <w:szCs w:val="24"/>
            <w:shd w:val="clear" w:color="auto" w:fill="FFFFFF"/>
          </w:rPr>
          <w:t>material information</w:t>
        </w:r>
      </w:hyperlink>
      <w:r>
        <w:rPr>
          <w:rFonts w:ascii="Arial" w:hAnsi="Arial" w:cs="Arial"/>
          <w:color w:val="202122"/>
          <w:sz w:val="24"/>
          <w:szCs w:val="24"/>
          <w:shd w:val="clear" w:color="auto" w:fill="FFFFFF"/>
        </w:rPr>
        <w:t> with respect to the purchase of </w:t>
      </w:r>
      <w:hyperlink r:id="rId11" w:tooltip="Securities" w:history="1">
        <w:r>
          <w:rPr>
            <w:rStyle w:val="a6"/>
            <w:rFonts w:hint="eastAsia"/>
            <w:color w:val="202122"/>
            <w:sz w:val="24"/>
            <w:szCs w:val="24"/>
            <w:shd w:val="clear" w:color="auto" w:fill="FFFFFF"/>
          </w:rPr>
          <w:t>securities</w:t>
        </w:r>
      </w:hyperlink>
      <w:r>
        <w:rPr>
          <w:rFonts w:ascii="Arial" w:hAnsi="Arial" w:cs="Arial"/>
          <w:color w:val="202122"/>
          <w:sz w:val="24"/>
          <w:szCs w:val="24"/>
          <w:shd w:val="clear" w:color="auto" w:fill="FFFFFF"/>
        </w:rPr>
        <w:t>. In legal and business use, the term was soon used for the process itself instead of how it was to be performed, so that the original expressions such as "</w:t>
      </w:r>
      <w:r>
        <w:rPr>
          <w:rFonts w:ascii="Arial" w:hAnsi="Arial" w:cs="Arial"/>
          <w:color w:val="FF0000"/>
          <w:sz w:val="24"/>
          <w:szCs w:val="24"/>
          <w:shd w:val="clear" w:color="auto" w:fill="FFFFFF"/>
        </w:rPr>
        <w:t>exercise due diligence in investigating</w:t>
      </w:r>
      <w:r>
        <w:rPr>
          <w:rFonts w:ascii="Arial" w:hAnsi="Arial" w:cs="Arial"/>
          <w:color w:val="202122"/>
          <w:sz w:val="24"/>
          <w:szCs w:val="24"/>
          <w:shd w:val="clear" w:color="auto" w:fill="FFFFFF"/>
        </w:rPr>
        <w:t>" and "</w:t>
      </w:r>
      <w:r>
        <w:rPr>
          <w:rFonts w:ascii="Arial" w:hAnsi="Arial" w:cs="Arial"/>
          <w:color w:val="FF0000"/>
          <w:sz w:val="24"/>
          <w:szCs w:val="24"/>
          <w:shd w:val="clear" w:color="auto" w:fill="FFFFFF"/>
        </w:rPr>
        <w:t>investigation carried out with due diligence</w:t>
      </w:r>
      <w:r>
        <w:rPr>
          <w:rFonts w:ascii="Arial" w:hAnsi="Arial" w:cs="Arial"/>
          <w:color w:val="202122"/>
          <w:sz w:val="24"/>
          <w:szCs w:val="24"/>
          <w:shd w:val="clear" w:color="auto" w:fill="FFFFFF"/>
        </w:rPr>
        <w:t xml:space="preserve">" were soon shortened to </w:t>
      </w:r>
      <w:r>
        <w:rPr>
          <w:rFonts w:ascii="Arial" w:hAnsi="Arial" w:cs="Arial"/>
          <w:color w:val="FF0000"/>
          <w:sz w:val="24"/>
          <w:szCs w:val="24"/>
          <w:shd w:val="clear" w:color="auto" w:fill="FFFFFF"/>
        </w:rPr>
        <w:t>"due diligence investigation" and finally "due diligence"</w:t>
      </w:r>
      <w:r>
        <w:rPr>
          <w:rFonts w:ascii="Arial" w:hAnsi="Arial" w:cs="Arial"/>
          <w:color w:val="202122"/>
          <w:sz w:val="24"/>
          <w:szCs w:val="24"/>
          <w:shd w:val="clear" w:color="auto" w:fill="FFFFFF"/>
        </w:rPr>
        <w:t>.</w:t>
      </w:r>
    </w:p>
    <w:p w14:paraId="627028D9" w14:textId="77777777" w:rsidR="00880DF9" w:rsidRDefault="00880DF9" w:rsidP="00880DF9">
      <w:pPr>
        <w:rPr>
          <w:sz w:val="24"/>
          <w:szCs w:val="24"/>
        </w:rPr>
      </w:pPr>
    </w:p>
    <w:p w14:paraId="03DC03AC" w14:textId="77777777" w:rsidR="00880DF9" w:rsidRDefault="00880DF9" w:rsidP="00880DF9">
      <w:pPr>
        <w:rPr>
          <w:sz w:val="24"/>
          <w:szCs w:val="24"/>
        </w:rPr>
      </w:pPr>
      <w:r>
        <w:rPr>
          <w:rFonts w:hint="eastAsia"/>
          <w:b/>
          <w:bCs/>
          <w:sz w:val="24"/>
          <w:szCs w:val="24"/>
        </w:rPr>
        <w:t>Human Rights</w:t>
      </w:r>
    </w:p>
    <w:p w14:paraId="2A85941C" w14:textId="77777777" w:rsidR="00880DF9" w:rsidRDefault="00880DF9" w:rsidP="00880DF9">
      <w:pPr>
        <w:rPr>
          <w:sz w:val="24"/>
          <w:szCs w:val="24"/>
        </w:rPr>
      </w:pPr>
    </w:p>
    <w:p w14:paraId="618FB99B" w14:textId="77777777" w:rsidR="00880DF9" w:rsidRDefault="00880DF9" w:rsidP="00880DF9">
      <w:pPr>
        <w:rPr>
          <w:sz w:val="24"/>
          <w:szCs w:val="24"/>
        </w:rPr>
      </w:pPr>
      <w:r>
        <w:rPr>
          <w:rFonts w:ascii="Arial" w:hAnsi="Arial" w:cs="Arial"/>
          <w:color w:val="202122"/>
          <w:sz w:val="24"/>
          <w:szCs w:val="24"/>
          <w:shd w:val="clear" w:color="auto" w:fill="FFFFFF"/>
        </w:rPr>
        <w:t>Passed on May 25, 2011, the </w:t>
      </w:r>
      <w:hyperlink r:id="rId12" w:tooltip="OECD" w:history="1">
        <w:r>
          <w:rPr>
            <w:rStyle w:val="a6"/>
            <w:rFonts w:ascii="Arial" w:hAnsi="Arial" w:cs="Arial"/>
            <w:color w:val="0B0080"/>
            <w:sz w:val="24"/>
            <w:szCs w:val="24"/>
            <w:shd w:val="clear" w:color="auto" w:fill="FFFFFF"/>
          </w:rPr>
          <w:t>OECD</w:t>
        </w:r>
      </w:hyperlink>
      <w:r>
        <w:rPr>
          <w:rFonts w:ascii="Arial" w:hAnsi="Arial" w:cs="Arial"/>
          <w:color w:val="202122"/>
          <w:sz w:val="24"/>
          <w:szCs w:val="24"/>
          <w:shd w:val="clear" w:color="auto" w:fill="FFFFFF"/>
        </w:rPr>
        <w:t xml:space="preserve"> member countries agreed to revise their guidelines promoting tougher standards of corporate behavior, including human rights. As part of this new definition, they utilized a new aspect of due diligence that requires a corporation to </w:t>
      </w:r>
      <w:r>
        <w:rPr>
          <w:rFonts w:ascii="Arial" w:hAnsi="Arial" w:cs="Arial"/>
          <w:color w:val="FF0000"/>
          <w:sz w:val="24"/>
          <w:szCs w:val="24"/>
          <w:shd w:val="clear" w:color="auto" w:fill="FFFFFF"/>
        </w:rPr>
        <w:t xml:space="preserve">investigate </w:t>
      </w:r>
      <w:r>
        <w:rPr>
          <w:rFonts w:ascii="Arial" w:hAnsi="Arial" w:cs="Arial"/>
          <w:color w:val="202122"/>
          <w:sz w:val="24"/>
          <w:szCs w:val="24"/>
          <w:shd w:val="clear" w:color="auto" w:fill="FFFFFF"/>
        </w:rPr>
        <w:t>third party partners for potential abuse of human rights.</w:t>
      </w:r>
    </w:p>
    <w:p w14:paraId="61D05B6E" w14:textId="77777777" w:rsidR="00880DF9" w:rsidRDefault="00880DF9" w:rsidP="00880DF9">
      <w:pPr>
        <w:pStyle w:val="af9"/>
        <w:shd w:val="clear" w:color="auto" w:fill="FFFFFF"/>
        <w:spacing w:before="120" w:beforeAutospacing="0" w:after="120" w:afterAutospacing="0"/>
        <w:rPr>
          <w:rFonts w:ascii="Arial" w:hAnsi="Arial" w:cs="Arial"/>
          <w:color w:val="202122"/>
          <w:lang w:val="en-US"/>
        </w:rPr>
      </w:pPr>
      <w:r>
        <w:rPr>
          <w:rFonts w:ascii="Arial" w:hAnsi="Arial" w:cs="Arial"/>
          <w:color w:val="202122"/>
          <w:lang w:val="en-US"/>
        </w:rPr>
        <w:t xml:space="preserve">In the </w:t>
      </w:r>
      <w:r>
        <w:rPr>
          <w:rFonts w:ascii="Arial" w:hAnsi="Arial" w:cs="Arial"/>
          <w:color w:val="FF0000"/>
          <w:lang w:val="en-US"/>
        </w:rPr>
        <w:t xml:space="preserve">OECD Guidelines for Multinational Enterprises </w:t>
      </w:r>
      <w:r>
        <w:rPr>
          <w:rFonts w:ascii="Arial" w:hAnsi="Arial" w:cs="Arial"/>
          <w:color w:val="202122"/>
          <w:lang w:val="en-US"/>
        </w:rPr>
        <w:t>document, it is stated that all members will “</w:t>
      </w:r>
      <w:r>
        <w:rPr>
          <w:rFonts w:ascii="Arial" w:hAnsi="Arial" w:cs="Arial"/>
          <w:color w:val="FF0000"/>
          <w:lang w:val="en-US"/>
        </w:rPr>
        <w:t>Seek ways to prevent or mitigate</w:t>
      </w:r>
      <w:r>
        <w:rPr>
          <w:rFonts w:ascii="Arial" w:hAnsi="Arial" w:cs="Arial"/>
          <w:color w:val="202122"/>
          <w:lang w:val="en-US"/>
        </w:rPr>
        <w:t xml:space="preserve"> adverse human rights impacts that are directly linked to their business operations, products or services by a business relationship, even if they do not contribute to those impacts”.</w:t>
      </w:r>
      <w:hyperlink r:id="rId13" w:anchor="cite_note-14" w:history="1">
        <w:r>
          <w:rPr>
            <w:rStyle w:val="a6"/>
            <w:rFonts w:ascii="Arial" w:hAnsi="Arial" w:cs="Arial"/>
            <w:color w:val="0B0080"/>
            <w:vertAlign w:val="superscript"/>
            <w:lang w:val="en-US"/>
          </w:rPr>
          <w:t>[14]</w:t>
        </w:r>
      </w:hyperlink>
    </w:p>
    <w:p w14:paraId="115068ED" w14:textId="77777777" w:rsidR="00880DF9" w:rsidRDefault="00880DF9" w:rsidP="00880DF9">
      <w:pPr>
        <w:pStyle w:val="af9"/>
        <w:shd w:val="clear" w:color="auto" w:fill="FFFFFF"/>
        <w:spacing w:before="120" w:beforeAutospacing="0" w:after="120" w:afterAutospacing="0"/>
        <w:rPr>
          <w:rFonts w:ascii="Arial" w:hAnsi="Arial" w:cs="Arial"/>
          <w:color w:val="202122"/>
          <w:lang w:val="en-US"/>
        </w:rPr>
      </w:pPr>
      <w:r>
        <w:rPr>
          <w:rFonts w:ascii="Arial" w:hAnsi="Arial" w:cs="Arial"/>
          <w:color w:val="202122"/>
          <w:lang w:val="en-US"/>
        </w:rPr>
        <w:lastRenderedPageBreak/>
        <w:t>The term was originally put forth by UN Special Representative for Human Rights and Business </w:t>
      </w:r>
      <w:hyperlink r:id="rId14" w:tooltip="John Ruggie" w:history="1">
        <w:r>
          <w:rPr>
            <w:rStyle w:val="a6"/>
            <w:rFonts w:ascii="Arial" w:hAnsi="Arial" w:cs="Arial"/>
            <w:color w:val="0B0080"/>
            <w:lang w:val="en-US"/>
          </w:rPr>
          <w:t xml:space="preserve">John </w:t>
        </w:r>
        <w:proofErr w:type="spellStart"/>
        <w:r>
          <w:rPr>
            <w:rStyle w:val="a6"/>
            <w:rFonts w:ascii="Arial" w:hAnsi="Arial" w:cs="Arial"/>
            <w:color w:val="0B0080"/>
            <w:lang w:val="en-US"/>
          </w:rPr>
          <w:t>Ruggie</w:t>
        </w:r>
        <w:proofErr w:type="spellEnd"/>
      </w:hyperlink>
      <w:r>
        <w:rPr>
          <w:rFonts w:ascii="Arial" w:hAnsi="Arial" w:cs="Arial"/>
          <w:color w:val="202122"/>
          <w:lang w:val="en-US"/>
        </w:rPr>
        <w:t xml:space="preserve">, who uses it as an umbrella to cover the steps and processes by which a company </w:t>
      </w:r>
      <w:r>
        <w:rPr>
          <w:rFonts w:ascii="Arial" w:hAnsi="Arial" w:cs="Arial"/>
          <w:color w:val="FF0000"/>
          <w:lang w:val="en-US"/>
        </w:rPr>
        <w:t>understands, monitors and mitigates</w:t>
      </w:r>
      <w:r>
        <w:rPr>
          <w:rFonts w:ascii="Arial" w:hAnsi="Arial" w:cs="Arial"/>
          <w:color w:val="202122"/>
          <w:lang w:val="en-US"/>
        </w:rPr>
        <w:t xml:space="preserve"> its human rights impacts. </w:t>
      </w:r>
      <w:hyperlink r:id="rId15" w:tooltip="Human Rights Impact Assessment" w:history="1">
        <w:r>
          <w:rPr>
            <w:rStyle w:val="a6"/>
            <w:rFonts w:ascii="Arial" w:hAnsi="Arial" w:cs="Arial"/>
            <w:color w:val="0B0080"/>
            <w:lang w:val="en-US"/>
          </w:rPr>
          <w:t>Human Rights Impact Assessment</w:t>
        </w:r>
      </w:hyperlink>
      <w:r>
        <w:rPr>
          <w:rFonts w:ascii="Arial" w:hAnsi="Arial" w:cs="Arial"/>
          <w:color w:val="202122"/>
          <w:lang w:val="en-US"/>
        </w:rPr>
        <w:t> is a component of this.</w:t>
      </w:r>
    </w:p>
    <w:p w14:paraId="54D5F708" w14:textId="768ECF16" w:rsidR="00880DF9" w:rsidRDefault="00880DF9" w:rsidP="00880DF9">
      <w:pPr>
        <w:pStyle w:val="af9"/>
        <w:shd w:val="clear" w:color="auto" w:fill="FFFFFF"/>
        <w:spacing w:before="120" w:beforeAutospacing="0" w:after="120" w:afterAutospacing="0"/>
        <w:rPr>
          <w:rFonts w:ascii="Arial" w:hAnsi="Arial" w:cs="Arial"/>
          <w:color w:val="202122"/>
          <w:lang w:val="en-US"/>
        </w:rPr>
      </w:pPr>
      <w:r>
        <w:rPr>
          <w:rFonts w:ascii="Arial" w:hAnsi="Arial" w:cs="Arial"/>
          <w:color w:val="202122"/>
          <w:lang w:val="en-US"/>
        </w:rPr>
        <w:t xml:space="preserve">The UN formalized guidelines for Human Rights Due Diligence on June 16, 2011, with the endorsement of </w:t>
      </w:r>
      <w:proofErr w:type="spellStart"/>
      <w:r>
        <w:rPr>
          <w:rFonts w:ascii="Arial" w:hAnsi="Arial" w:cs="Arial"/>
          <w:color w:val="202122"/>
          <w:lang w:val="en-US"/>
        </w:rPr>
        <w:t>Ruggie's</w:t>
      </w:r>
      <w:proofErr w:type="spellEnd"/>
      <w:r>
        <w:rPr>
          <w:rFonts w:ascii="Arial" w:hAnsi="Arial" w:cs="Arial"/>
          <w:color w:val="202122"/>
          <w:lang w:val="en-US"/>
        </w:rPr>
        <w:t xml:space="preserve"> Guiding Principles for Business and Human Rights. </w:t>
      </w:r>
    </w:p>
    <w:p w14:paraId="5FAB7D18" w14:textId="77777777" w:rsidR="002912B8" w:rsidRDefault="002912B8" w:rsidP="00880DF9">
      <w:pPr>
        <w:pStyle w:val="af9"/>
        <w:shd w:val="clear" w:color="auto" w:fill="FFFFFF"/>
        <w:spacing w:before="120" w:beforeAutospacing="0" w:after="120" w:afterAutospacing="0"/>
        <w:rPr>
          <w:rFonts w:ascii="Arial" w:hAnsi="Arial" w:cs="Arial"/>
          <w:color w:val="202122"/>
          <w:lang w:val="en-US"/>
        </w:rPr>
      </w:pPr>
    </w:p>
    <w:p w14:paraId="20B765AE" w14:textId="6B494FFF" w:rsidR="00C42C69" w:rsidRDefault="00C42C69" w:rsidP="00880DF9">
      <w:pPr>
        <w:pStyle w:val="af9"/>
        <w:shd w:val="clear" w:color="auto" w:fill="FFFFFF"/>
        <w:spacing w:before="120" w:beforeAutospacing="0" w:after="120" w:afterAutospacing="0"/>
        <w:rPr>
          <w:rFonts w:ascii="Arial" w:hAnsi="Arial" w:cs="Arial"/>
          <w:color w:val="202122"/>
          <w:lang w:val="en-US"/>
        </w:rPr>
      </w:pPr>
      <w:r>
        <w:rPr>
          <w:rFonts w:ascii="Arial" w:hAnsi="Arial" w:cs="Arial"/>
          <w:color w:val="202122"/>
          <w:lang w:val="en-US"/>
        </w:rPr>
        <w:t>--------------------------------------------------------------------------</w:t>
      </w:r>
      <w:r w:rsidR="002912B8">
        <w:rPr>
          <w:rFonts w:ascii="Arial" w:hAnsi="Arial" w:cs="Arial"/>
          <w:color w:val="202122"/>
          <w:lang w:val="en-US"/>
        </w:rPr>
        <w:t>-------------------------</w:t>
      </w:r>
    </w:p>
    <w:p w14:paraId="4800B137" w14:textId="2C8A9299" w:rsidR="002912B8" w:rsidRDefault="002912B8" w:rsidP="002912B8">
      <w:pPr>
        <w:rPr>
          <w:rFonts w:ascii="宋体" w:hAnsi="宋体"/>
          <w:sz w:val="22"/>
          <w:szCs w:val="22"/>
        </w:rPr>
      </w:pPr>
      <w:r>
        <w:rPr>
          <w:rFonts w:ascii="宋体" w:hAnsi="宋体" w:hint="eastAsia"/>
          <w:sz w:val="22"/>
          <w:szCs w:val="22"/>
        </w:rPr>
        <w:t>与</w:t>
      </w:r>
      <w:r w:rsidRPr="0015697C">
        <w:rPr>
          <w:rFonts w:ascii="宋体" w:hAnsi="宋体" w:hint="eastAsia"/>
          <w:b/>
          <w:bCs/>
          <w:color w:val="4472C4" w:themeColor="accent1"/>
          <w:sz w:val="24"/>
          <w:szCs w:val="24"/>
          <w:u w:val="single"/>
        </w:rPr>
        <w:t>due diligence guidelines/guidance</w:t>
      </w:r>
      <w:r>
        <w:rPr>
          <w:rFonts w:ascii="宋体" w:hAnsi="宋体" w:hint="eastAsia"/>
          <w:sz w:val="22"/>
          <w:szCs w:val="22"/>
        </w:rPr>
        <w:t>相关的资料，主要是安理会决议、大会文件和经合组织的两份指南。</w:t>
      </w:r>
    </w:p>
    <w:p w14:paraId="30577CDB" w14:textId="77777777" w:rsidR="002912B8" w:rsidRDefault="002912B8" w:rsidP="002912B8">
      <w:pPr>
        <w:rPr>
          <w:rFonts w:ascii="等线" w:eastAsia="等线" w:hAnsi="等线"/>
          <w:sz w:val="22"/>
          <w:szCs w:val="22"/>
        </w:rPr>
      </w:pPr>
    </w:p>
    <w:p w14:paraId="275DA3C5" w14:textId="77777777" w:rsidR="002912B8" w:rsidRPr="0015697C" w:rsidRDefault="002912B8" w:rsidP="0015697C">
      <w:pPr>
        <w:pStyle w:val="afa"/>
        <w:numPr>
          <w:ilvl w:val="0"/>
          <w:numId w:val="4"/>
        </w:numPr>
        <w:jc w:val="left"/>
        <w:rPr>
          <w:rFonts w:ascii="Simsong" w:eastAsia="宋体" w:hAnsi="Simsong" w:hint="eastAsia"/>
          <w:b/>
          <w:bCs/>
          <w:sz w:val="22"/>
          <w:szCs w:val="22"/>
          <w:shd w:val="clear" w:color="auto" w:fill="FFFFFF"/>
          <w:lang w:val="en-US"/>
        </w:rPr>
      </w:pPr>
      <w:r w:rsidRPr="0015697C">
        <w:rPr>
          <w:rFonts w:eastAsia="宋体" w:hint="eastAsia"/>
          <w:b/>
          <w:bCs/>
          <w:color w:val="4472C4"/>
          <w:sz w:val="22"/>
          <w:szCs w:val="22"/>
          <w:shd w:val="clear" w:color="auto" w:fill="FFFFFF"/>
        </w:rPr>
        <w:t>安理会决议中数次提到拟订关于刚果矿产品进口商、加工行业和消费者尽职调查准则一事，但中文表述不一致。</w:t>
      </w:r>
      <w:r w:rsidRPr="0015697C">
        <w:rPr>
          <w:rFonts w:eastAsia="宋体" w:hint="eastAsia"/>
          <w:b/>
          <w:bCs/>
          <w:color w:val="000000"/>
          <w:sz w:val="22"/>
          <w:szCs w:val="22"/>
          <w:shd w:val="clear" w:color="auto" w:fill="FFFFFF"/>
        </w:rPr>
        <w:t>例如：</w:t>
      </w:r>
    </w:p>
    <w:p w14:paraId="4E60779C" w14:textId="77777777" w:rsidR="002912B8" w:rsidRDefault="002912B8" w:rsidP="00B2602A">
      <w:pPr>
        <w:jc w:val="left"/>
        <w:rPr>
          <w:rFonts w:ascii="Simsong" w:hAnsi="Simsong" w:hint="eastAsia"/>
          <w:b/>
          <w:bCs/>
          <w:sz w:val="24"/>
          <w:szCs w:val="24"/>
          <w:shd w:val="clear" w:color="auto" w:fill="FFFFFF"/>
        </w:rPr>
      </w:pPr>
    </w:p>
    <w:p w14:paraId="65D97A9B" w14:textId="77777777" w:rsidR="002912B8" w:rsidRDefault="002912B8" w:rsidP="00B2602A">
      <w:pPr>
        <w:jc w:val="left"/>
        <w:rPr>
          <w:rFonts w:ascii="Simsong" w:hAnsi="Simsong" w:hint="eastAsia"/>
          <w:sz w:val="24"/>
          <w:szCs w:val="24"/>
          <w:shd w:val="clear" w:color="auto" w:fill="FFFFFF"/>
        </w:rPr>
      </w:pPr>
      <w:r>
        <w:rPr>
          <w:rFonts w:hint="eastAsia"/>
          <w:color w:val="000000"/>
          <w:sz w:val="22"/>
          <w:szCs w:val="22"/>
          <w:shd w:val="clear" w:color="auto" w:fill="FFFFFF"/>
        </w:rPr>
        <w:t>安理会第</w:t>
      </w:r>
      <w:r>
        <w:rPr>
          <w:rFonts w:ascii="Simsong" w:hAnsi="Simsong"/>
          <w:color w:val="000000"/>
          <w:sz w:val="22"/>
          <w:szCs w:val="22"/>
          <w:shd w:val="clear" w:color="auto" w:fill="FFFFFF"/>
        </w:rPr>
        <w:t xml:space="preserve">1896(2009) </w:t>
      </w:r>
      <w:r>
        <w:rPr>
          <w:rFonts w:hint="eastAsia"/>
          <w:color w:val="000000"/>
          <w:sz w:val="22"/>
          <w:szCs w:val="22"/>
          <w:shd w:val="clear" w:color="auto" w:fill="FFFFFF"/>
        </w:rPr>
        <w:t>号决议：</w:t>
      </w:r>
      <w:r>
        <w:rPr>
          <w:rFonts w:hint="eastAsia"/>
          <w:color w:val="FF0000"/>
          <w:sz w:val="22"/>
          <w:szCs w:val="22"/>
          <w:shd w:val="clear" w:color="auto" w:fill="FFFFFF"/>
        </w:rPr>
        <w:t>尽责调查准则</w:t>
      </w:r>
      <w:hyperlink r:id="rId16" w:history="1">
        <w:r>
          <w:rPr>
            <w:rStyle w:val="a6"/>
            <w:rFonts w:ascii="Simsong" w:hAnsi="Simsong"/>
            <w:color w:val="000000"/>
            <w:sz w:val="24"/>
            <w:szCs w:val="24"/>
            <w:shd w:val="clear" w:color="auto" w:fill="FFFFFF"/>
          </w:rPr>
          <w:t>https://</w:t>
        </w:r>
        <w:proofErr w:type="spellStart"/>
        <w:r>
          <w:rPr>
            <w:rStyle w:val="a6"/>
            <w:rFonts w:ascii="Simsong" w:hAnsi="Simsong"/>
            <w:color w:val="000000"/>
            <w:sz w:val="24"/>
            <w:szCs w:val="24"/>
            <w:shd w:val="clear" w:color="auto" w:fill="FFFFFF"/>
          </w:rPr>
          <w:t>www.un.org</w:t>
        </w:r>
        <w:proofErr w:type="spellEnd"/>
        <w:r>
          <w:rPr>
            <w:rStyle w:val="a6"/>
            <w:rFonts w:ascii="Simsong" w:hAnsi="Simsong"/>
            <w:color w:val="000000"/>
            <w:sz w:val="24"/>
            <w:szCs w:val="24"/>
            <w:shd w:val="clear" w:color="auto" w:fill="FFFFFF"/>
          </w:rPr>
          <w:t>/</w:t>
        </w:r>
        <w:proofErr w:type="spellStart"/>
        <w:r>
          <w:rPr>
            <w:rStyle w:val="a6"/>
            <w:rFonts w:ascii="Simsong" w:hAnsi="Simsong"/>
            <w:color w:val="000000"/>
            <w:sz w:val="24"/>
            <w:szCs w:val="24"/>
            <w:shd w:val="clear" w:color="auto" w:fill="FFFFFF"/>
          </w:rPr>
          <w:t>chinese</w:t>
        </w:r>
        <w:proofErr w:type="spellEnd"/>
        <w:r>
          <w:rPr>
            <w:rStyle w:val="a6"/>
            <w:rFonts w:ascii="Simsong" w:hAnsi="Simsong"/>
            <w:color w:val="000000"/>
            <w:sz w:val="24"/>
            <w:szCs w:val="24"/>
            <w:shd w:val="clear" w:color="auto" w:fill="FFFFFF"/>
          </w:rPr>
          <w:t>/</w:t>
        </w:r>
        <w:proofErr w:type="spellStart"/>
        <w:r>
          <w:rPr>
            <w:rStyle w:val="a6"/>
            <w:rFonts w:ascii="Simsong" w:hAnsi="Simsong"/>
            <w:color w:val="000000"/>
            <w:sz w:val="24"/>
            <w:szCs w:val="24"/>
            <w:shd w:val="clear" w:color="auto" w:fill="FFFFFF"/>
          </w:rPr>
          <w:t>aboutun</w:t>
        </w:r>
        <w:proofErr w:type="spellEnd"/>
        <w:r>
          <w:rPr>
            <w:rStyle w:val="a6"/>
            <w:rFonts w:ascii="Simsong" w:hAnsi="Simsong"/>
            <w:color w:val="000000"/>
            <w:sz w:val="24"/>
            <w:szCs w:val="24"/>
            <w:shd w:val="clear" w:color="auto" w:fill="FFFFFF"/>
          </w:rPr>
          <w:t>/</w:t>
        </w:r>
        <w:proofErr w:type="spellStart"/>
        <w:r>
          <w:rPr>
            <w:rStyle w:val="a6"/>
            <w:rFonts w:ascii="Simsong" w:hAnsi="Simsong"/>
            <w:color w:val="000000"/>
            <w:sz w:val="24"/>
            <w:szCs w:val="24"/>
            <w:shd w:val="clear" w:color="auto" w:fill="FFFFFF"/>
          </w:rPr>
          <w:t>prinorgs</w:t>
        </w:r>
        <w:proofErr w:type="spellEnd"/>
        <w:r>
          <w:rPr>
            <w:rStyle w:val="a6"/>
            <w:rFonts w:ascii="Simsong" w:hAnsi="Simsong"/>
            <w:color w:val="000000"/>
            <w:sz w:val="24"/>
            <w:szCs w:val="24"/>
            <w:shd w:val="clear" w:color="auto" w:fill="FFFFFF"/>
          </w:rPr>
          <w:t>/</w:t>
        </w:r>
        <w:proofErr w:type="spellStart"/>
        <w:r>
          <w:rPr>
            <w:rStyle w:val="a6"/>
            <w:rFonts w:ascii="Simsong" w:hAnsi="Simsong"/>
            <w:color w:val="000000"/>
            <w:sz w:val="24"/>
            <w:szCs w:val="24"/>
            <w:shd w:val="clear" w:color="auto" w:fill="FFFFFF"/>
          </w:rPr>
          <w:t>sc</w:t>
        </w:r>
        <w:proofErr w:type="spellEnd"/>
        <w:r>
          <w:rPr>
            <w:rStyle w:val="a6"/>
            <w:rFonts w:ascii="Simsong" w:hAnsi="Simsong"/>
            <w:color w:val="000000"/>
            <w:sz w:val="24"/>
            <w:szCs w:val="24"/>
            <w:shd w:val="clear" w:color="auto" w:fill="FFFFFF"/>
          </w:rPr>
          <w:t>/</w:t>
        </w:r>
        <w:proofErr w:type="spellStart"/>
        <w:r>
          <w:rPr>
            <w:rStyle w:val="a6"/>
            <w:rFonts w:ascii="Simsong" w:hAnsi="Simsong"/>
            <w:color w:val="000000"/>
            <w:sz w:val="24"/>
            <w:szCs w:val="24"/>
            <w:shd w:val="clear" w:color="auto" w:fill="FFFFFF"/>
          </w:rPr>
          <w:t>sres</w:t>
        </w:r>
        <w:proofErr w:type="spellEnd"/>
        <w:r>
          <w:rPr>
            <w:rStyle w:val="a6"/>
            <w:rFonts w:ascii="Simsong" w:hAnsi="Simsong"/>
            <w:color w:val="000000"/>
            <w:sz w:val="24"/>
            <w:szCs w:val="24"/>
            <w:shd w:val="clear" w:color="auto" w:fill="FFFFFF"/>
          </w:rPr>
          <w:t>/09/</w:t>
        </w:r>
        <w:proofErr w:type="spellStart"/>
        <w:r>
          <w:rPr>
            <w:rStyle w:val="a6"/>
            <w:rFonts w:ascii="Simsong" w:hAnsi="Simsong"/>
            <w:color w:val="000000"/>
            <w:sz w:val="24"/>
            <w:szCs w:val="24"/>
            <w:shd w:val="clear" w:color="auto" w:fill="FFFFFF"/>
          </w:rPr>
          <w:t>s1896.htm</w:t>
        </w:r>
        <w:proofErr w:type="spellEnd"/>
      </w:hyperlink>
    </w:p>
    <w:p w14:paraId="63416B77" w14:textId="77777777" w:rsidR="002912B8" w:rsidRDefault="002912B8" w:rsidP="00B2602A">
      <w:pPr>
        <w:jc w:val="left"/>
        <w:rPr>
          <w:rFonts w:ascii="Simsong" w:hAnsi="Simsong" w:hint="eastAsia"/>
          <w:b/>
          <w:bCs/>
          <w:sz w:val="24"/>
          <w:szCs w:val="24"/>
          <w:shd w:val="clear" w:color="auto" w:fill="FFFFFF"/>
        </w:rPr>
      </w:pPr>
    </w:p>
    <w:p w14:paraId="5FC4A84B" w14:textId="77777777" w:rsidR="002912B8" w:rsidRDefault="002912B8" w:rsidP="00B2602A">
      <w:pPr>
        <w:jc w:val="left"/>
        <w:rPr>
          <w:rFonts w:ascii="等线" w:hAnsi="等线"/>
          <w:sz w:val="22"/>
          <w:szCs w:val="22"/>
        </w:rPr>
      </w:pPr>
      <w:r>
        <w:rPr>
          <w:rFonts w:hint="eastAsia"/>
          <w:sz w:val="22"/>
          <w:szCs w:val="22"/>
        </w:rPr>
        <w:t>安理会第</w:t>
      </w:r>
      <w:r>
        <w:rPr>
          <w:rFonts w:hint="eastAsia"/>
          <w:sz w:val="22"/>
          <w:szCs w:val="22"/>
        </w:rPr>
        <w:t xml:space="preserve"> 1952(2010)</w:t>
      </w:r>
      <w:r>
        <w:rPr>
          <w:rFonts w:hint="eastAsia"/>
          <w:sz w:val="22"/>
          <w:szCs w:val="22"/>
        </w:rPr>
        <w:t>号决议</w:t>
      </w:r>
      <w:r>
        <w:rPr>
          <w:rFonts w:hint="eastAsia"/>
          <w:sz w:val="22"/>
          <w:szCs w:val="22"/>
        </w:rPr>
        <w:t xml:space="preserve"> </w:t>
      </w:r>
      <w:r>
        <w:rPr>
          <w:rFonts w:hint="eastAsia"/>
          <w:sz w:val="22"/>
          <w:szCs w:val="22"/>
        </w:rPr>
        <w:t>：</w:t>
      </w:r>
      <w:r>
        <w:rPr>
          <w:rFonts w:hint="eastAsia"/>
          <w:color w:val="FF0000"/>
          <w:sz w:val="22"/>
          <w:szCs w:val="22"/>
        </w:rPr>
        <w:t>尽职调查准则</w:t>
      </w:r>
      <w:r>
        <w:rPr>
          <w:rFonts w:hint="eastAsia"/>
          <w:color w:val="FF0000"/>
          <w:sz w:val="22"/>
          <w:szCs w:val="22"/>
        </w:rPr>
        <w:t xml:space="preserve"> </w:t>
      </w:r>
      <w:r>
        <w:rPr>
          <w:rFonts w:hint="eastAsia"/>
          <w:b/>
          <w:bCs/>
          <w:color w:val="FF0000"/>
          <w:sz w:val="22"/>
          <w:szCs w:val="22"/>
        </w:rPr>
        <w:t> </w:t>
      </w:r>
      <w:hyperlink r:id="rId17" w:history="1">
        <w:r>
          <w:rPr>
            <w:rStyle w:val="a6"/>
            <w:rFonts w:hint="eastAsia"/>
            <w:sz w:val="22"/>
            <w:szCs w:val="22"/>
          </w:rPr>
          <w:t>https://</w:t>
        </w:r>
        <w:proofErr w:type="spellStart"/>
        <w:r>
          <w:rPr>
            <w:rStyle w:val="a6"/>
            <w:rFonts w:hint="eastAsia"/>
            <w:sz w:val="22"/>
            <w:szCs w:val="22"/>
          </w:rPr>
          <w:t>www.undocs.org</w:t>
        </w:r>
        <w:proofErr w:type="spellEnd"/>
        <w:r>
          <w:rPr>
            <w:rStyle w:val="a6"/>
            <w:rFonts w:hint="eastAsia"/>
            <w:sz w:val="22"/>
            <w:szCs w:val="22"/>
          </w:rPr>
          <w:t>/</w:t>
        </w:r>
        <w:proofErr w:type="spellStart"/>
        <w:r>
          <w:rPr>
            <w:rStyle w:val="a6"/>
            <w:rFonts w:hint="eastAsia"/>
            <w:sz w:val="22"/>
            <w:szCs w:val="22"/>
          </w:rPr>
          <w:t>zh</w:t>
        </w:r>
        <w:proofErr w:type="spellEnd"/>
        <w:r>
          <w:rPr>
            <w:rStyle w:val="a6"/>
            <w:rFonts w:hint="eastAsia"/>
            <w:sz w:val="22"/>
            <w:szCs w:val="22"/>
          </w:rPr>
          <w:t>/S/RES/1952%282010%29</w:t>
        </w:r>
      </w:hyperlink>
    </w:p>
    <w:p w14:paraId="16792CF3" w14:textId="77777777" w:rsidR="002912B8" w:rsidRDefault="002912B8" w:rsidP="00B2602A">
      <w:pPr>
        <w:jc w:val="left"/>
        <w:rPr>
          <w:sz w:val="22"/>
          <w:szCs w:val="22"/>
        </w:rPr>
      </w:pPr>
    </w:p>
    <w:p w14:paraId="41BE28BD" w14:textId="77777777" w:rsidR="002912B8" w:rsidRDefault="002912B8" w:rsidP="00B2602A">
      <w:pPr>
        <w:jc w:val="left"/>
        <w:rPr>
          <w:sz w:val="22"/>
          <w:szCs w:val="22"/>
        </w:rPr>
      </w:pPr>
    </w:p>
    <w:p w14:paraId="372DB8EC" w14:textId="77777777" w:rsidR="002912B8" w:rsidRDefault="002912B8" w:rsidP="00B2602A">
      <w:pPr>
        <w:pStyle w:val="afa"/>
        <w:numPr>
          <w:ilvl w:val="0"/>
          <w:numId w:val="4"/>
        </w:numPr>
        <w:jc w:val="left"/>
        <w:rPr>
          <w:b/>
          <w:bCs/>
          <w:sz w:val="22"/>
          <w:szCs w:val="22"/>
          <w:lang w:val="en-US"/>
        </w:rPr>
      </w:pPr>
      <w:r>
        <w:rPr>
          <w:rFonts w:hint="eastAsia"/>
          <w:b/>
          <w:bCs/>
          <w:sz w:val="22"/>
          <w:szCs w:val="22"/>
          <w:lang w:val="en-US"/>
        </w:rPr>
        <w:t xml:space="preserve">A/73/163 </w:t>
      </w:r>
      <w:r>
        <w:rPr>
          <w:rFonts w:hint="eastAsia"/>
          <w:b/>
          <w:bCs/>
          <w:sz w:val="22"/>
          <w:szCs w:val="22"/>
        </w:rPr>
        <w:t>（</w:t>
      </w:r>
      <w:r>
        <w:rPr>
          <w:rFonts w:hint="eastAsia"/>
          <w:b/>
          <w:bCs/>
          <w:sz w:val="22"/>
          <w:szCs w:val="22"/>
          <w:lang w:val="en-US"/>
        </w:rPr>
        <w:t>2018</w:t>
      </w:r>
      <w:r>
        <w:rPr>
          <w:rFonts w:hint="eastAsia"/>
          <w:b/>
          <w:bCs/>
          <w:sz w:val="22"/>
          <w:szCs w:val="22"/>
        </w:rPr>
        <w:t>年</w:t>
      </w:r>
      <w:r>
        <w:rPr>
          <w:rFonts w:hint="eastAsia"/>
          <w:b/>
          <w:bCs/>
          <w:sz w:val="22"/>
          <w:szCs w:val="22"/>
          <w:lang w:val="en-US"/>
        </w:rPr>
        <w:t>7</w:t>
      </w:r>
      <w:r>
        <w:rPr>
          <w:rFonts w:hint="eastAsia"/>
          <w:b/>
          <w:bCs/>
          <w:sz w:val="22"/>
          <w:szCs w:val="22"/>
        </w:rPr>
        <w:t>月</w:t>
      </w:r>
      <w:r>
        <w:rPr>
          <w:rFonts w:hint="eastAsia"/>
          <w:b/>
          <w:bCs/>
          <w:sz w:val="22"/>
          <w:szCs w:val="22"/>
          <w:lang w:val="en-US"/>
        </w:rPr>
        <w:t>16</w:t>
      </w:r>
      <w:r>
        <w:rPr>
          <w:rFonts w:hint="eastAsia"/>
          <w:b/>
          <w:bCs/>
          <w:sz w:val="22"/>
          <w:szCs w:val="22"/>
        </w:rPr>
        <w:t>日）人权与跨国公司和其他工商企业问题工作组提交大会第七十三届会议的报告</w:t>
      </w:r>
    </w:p>
    <w:p w14:paraId="701BFC8A" w14:textId="77777777" w:rsidR="002912B8" w:rsidRDefault="002912B8" w:rsidP="00B2602A">
      <w:pPr>
        <w:jc w:val="left"/>
        <w:rPr>
          <w:b/>
          <w:bCs/>
          <w:sz w:val="22"/>
          <w:szCs w:val="22"/>
        </w:rPr>
      </w:pPr>
      <w:r>
        <w:rPr>
          <w:rFonts w:hint="eastAsia"/>
          <w:b/>
          <w:bCs/>
          <w:sz w:val="22"/>
          <w:szCs w:val="22"/>
        </w:rPr>
        <w:t>The report of the Working Group on the issue of human rights and transnational corporations and other business enterprises</w:t>
      </w:r>
    </w:p>
    <w:p w14:paraId="7CB42CEB" w14:textId="77777777" w:rsidR="002912B8" w:rsidRDefault="002912B8" w:rsidP="00B2602A">
      <w:pPr>
        <w:jc w:val="left"/>
        <w:rPr>
          <w:sz w:val="22"/>
          <w:szCs w:val="22"/>
        </w:rPr>
      </w:pPr>
    </w:p>
    <w:p w14:paraId="272C3E11" w14:textId="77777777" w:rsidR="002912B8" w:rsidRDefault="002912B8" w:rsidP="00B2602A">
      <w:pPr>
        <w:jc w:val="left"/>
        <w:rPr>
          <w:sz w:val="22"/>
          <w:szCs w:val="22"/>
        </w:rPr>
      </w:pPr>
      <w:r>
        <w:rPr>
          <w:rFonts w:hint="eastAsia"/>
          <w:sz w:val="22"/>
          <w:szCs w:val="22"/>
        </w:rPr>
        <w:t>英文：</w:t>
      </w:r>
      <w:r w:rsidR="003F5AB8">
        <w:fldChar w:fldCharType="begin"/>
      </w:r>
      <w:r w:rsidR="003F5AB8">
        <w:instrText xml:space="preserve"> HYPERLINK "https://undocs.org/en/A/73/163" </w:instrText>
      </w:r>
      <w:r w:rsidR="003F5AB8">
        <w:fldChar w:fldCharType="separate"/>
      </w:r>
      <w:r>
        <w:rPr>
          <w:rStyle w:val="a6"/>
          <w:rFonts w:hint="eastAsia"/>
          <w:sz w:val="22"/>
          <w:szCs w:val="22"/>
        </w:rPr>
        <w:t>https://</w:t>
      </w:r>
      <w:proofErr w:type="spellStart"/>
      <w:r>
        <w:rPr>
          <w:rStyle w:val="a6"/>
          <w:rFonts w:hint="eastAsia"/>
          <w:sz w:val="22"/>
          <w:szCs w:val="22"/>
        </w:rPr>
        <w:t>undocs.org</w:t>
      </w:r>
      <w:proofErr w:type="spellEnd"/>
      <w:r>
        <w:rPr>
          <w:rStyle w:val="a6"/>
          <w:rFonts w:hint="eastAsia"/>
          <w:sz w:val="22"/>
          <w:szCs w:val="22"/>
        </w:rPr>
        <w:t>/</w:t>
      </w:r>
      <w:proofErr w:type="spellStart"/>
      <w:r>
        <w:rPr>
          <w:rStyle w:val="a6"/>
          <w:rFonts w:hint="eastAsia"/>
          <w:sz w:val="22"/>
          <w:szCs w:val="22"/>
        </w:rPr>
        <w:t>en</w:t>
      </w:r>
      <w:proofErr w:type="spellEnd"/>
      <w:r>
        <w:rPr>
          <w:rStyle w:val="a6"/>
          <w:rFonts w:hint="eastAsia"/>
          <w:sz w:val="22"/>
          <w:szCs w:val="22"/>
        </w:rPr>
        <w:t>/A/73/163</w:t>
      </w:r>
      <w:r w:rsidR="003F5AB8">
        <w:rPr>
          <w:rStyle w:val="a6"/>
          <w:sz w:val="22"/>
          <w:szCs w:val="22"/>
        </w:rPr>
        <w:fldChar w:fldCharType="end"/>
      </w:r>
    </w:p>
    <w:p w14:paraId="6755CE0B" w14:textId="77777777" w:rsidR="002912B8" w:rsidRDefault="002912B8" w:rsidP="00B2602A">
      <w:pPr>
        <w:jc w:val="left"/>
        <w:rPr>
          <w:sz w:val="22"/>
          <w:szCs w:val="22"/>
        </w:rPr>
      </w:pPr>
      <w:r>
        <w:rPr>
          <w:rFonts w:hint="eastAsia"/>
          <w:sz w:val="22"/>
          <w:szCs w:val="22"/>
        </w:rPr>
        <w:t>中文：</w:t>
      </w:r>
      <w:r w:rsidR="003F5AB8">
        <w:fldChar w:fldCharType="begin"/>
      </w:r>
      <w:r w:rsidR="003F5AB8">
        <w:instrText xml:space="preserve"> HYPERLINK "https://undocs.org/zh/A/73/163" </w:instrText>
      </w:r>
      <w:r w:rsidR="003F5AB8">
        <w:fldChar w:fldCharType="separate"/>
      </w:r>
      <w:r>
        <w:rPr>
          <w:rStyle w:val="a6"/>
          <w:rFonts w:hint="eastAsia"/>
          <w:sz w:val="22"/>
          <w:szCs w:val="22"/>
        </w:rPr>
        <w:t>https://</w:t>
      </w:r>
      <w:proofErr w:type="spellStart"/>
      <w:r>
        <w:rPr>
          <w:rStyle w:val="a6"/>
          <w:rFonts w:hint="eastAsia"/>
          <w:sz w:val="22"/>
          <w:szCs w:val="22"/>
        </w:rPr>
        <w:t>undocs.org</w:t>
      </w:r>
      <w:proofErr w:type="spellEnd"/>
      <w:r>
        <w:rPr>
          <w:rStyle w:val="a6"/>
          <w:rFonts w:hint="eastAsia"/>
          <w:sz w:val="22"/>
          <w:szCs w:val="22"/>
        </w:rPr>
        <w:t>/</w:t>
      </w:r>
      <w:proofErr w:type="spellStart"/>
      <w:r>
        <w:rPr>
          <w:rStyle w:val="a6"/>
          <w:rFonts w:hint="eastAsia"/>
          <w:sz w:val="22"/>
          <w:szCs w:val="22"/>
        </w:rPr>
        <w:t>zh</w:t>
      </w:r>
      <w:proofErr w:type="spellEnd"/>
      <w:r>
        <w:rPr>
          <w:rStyle w:val="a6"/>
          <w:rFonts w:hint="eastAsia"/>
          <w:sz w:val="22"/>
          <w:szCs w:val="22"/>
        </w:rPr>
        <w:t>/A/73/163</w:t>
      </w:r>
      <w:r w:rsidR="003F5AB8">
        <w:rPr>
          <w:rStyle w:val="a6"/>
          <w:sz w:val="22"/>
          <w:szCs w:val="22"/>
        </w:rPr>
        <w:fldChar w:fldCharType="end"/>
      </w:r>
    </w:p>
    <w:p w14:paraId="61CE5ADB" w14:textId="77777777" w:rsidR="002912B8" w:rsidRDefault="002912B8" w:rsidP="00B2602A">
      <w:pPr>
        <w:jc w:val="left"/>
        <w:rPr>
          <w:sz w:val="22"/>
          <w:szCs w:val="22"/>
        </w:rPr>
      </w:pPr>
    </w:p>
    <w:p w14:paraId="44805BC0" w14:textId="77777777" w:rsidR="002912B8" w:rsidRPr="0015697C" w:rsidRDefault="002912B8" w:rsidP="0015697C">
      <w:pPr>
        <w:pStyle w:val="afa"/>
        <w:jc w:val="left"/>
        <w:rPr>
          <w:rFonts w:eastAsia="宋体"/>
          <w:b/>
          <w:bCs/>
          <w:color w:val="4472C4"/>
          <w:sz w:val="22"/>
          <w:szCs w:val="22"/>
          <w:shd w:val="clear" w:color="auto" w:fill="FFFFFF"/>
        </w:rPr>
      </w:pPr>
      <w:r w:rsidRPr="0015697C">
        <w:rPr>
          <w:rFonts w:eastAsia="宋体" w:hint="eastAsia"/>
          <w:b/>
          <w:bCs/>
          <w:color w:val="4472C4"/>
          <w:sz w:val="22"/>
          <w:szCs w:val="22"/>
          <w:shd w:val="clear" w:color="auto" w:fill="FFFFFF"/>
        </w:rPr>
        <w:t>中文本大多采用“人权尽职”的译法（落实人权尽职、履行人权尽职责任、人权尽职标准、人权尽职程序、人权尽职工作，等等），也有二十余处酌情使用了“尽职调查”。</w:t>
      </w:r>
    </w:p>
    <w:p w14:paraId="0B4CA693" w14:textId="77777777" w:rsidR="002912B8" w:rsidRDefault="002912B8" w:rsidP="00B2602A">
      <w:pPr>
        <w:jc w:val="left"/>
        <w:rPr>
          <w:b/>
          <w:bCs/>
          <w:sz w:val="22"/>
          <w:szCs w:val="22"/>
        </w:rPr>
      </w:pPr>
    </w:p>
    <w:p w14:paraId="169F165E" w14:textId="77777777" w:rsidR="002912B8" w:rsidRDefault="002912B8" w:rsidP="00B2602A">
      <w:pPr>
        <w:jc w:val="left"/>
        <w:rPr>
          <w:sz w:val="22"/>
          <w:szCs w:val="22"/>
        </w:rPr>
      </w:pPr>
    </w:p>
    <w:p w14:paraId="7029DA21" w14:textId="77777777" w:rsidR="002912B8" w:rsidRDefault="002912B8" w:rsidP="00B2602A">
      <w:pPr>
        <w:pStyle w:val="afa"/>
        <w:numPr>
          <w:ilvl w:val="0"/>
          <w:numId w:val="4"/>
        </w:numPr>
        <w:jc w:val="left"/>
        <w:rPr>
          <w:b/>
          <w:bCs/>
          <w:sz w:val="22"/>
          <w:szCs w:val="22"/>
          <w:lang w:val="en-US"/>
        </w:rPr>
      </w:pPr>
      <w:r>
        <w:rPr>
          <w:rFonts w:hint="eastAsia"/>
          <w:b/>
          <w:bCs/>
          <w:sz w:val="22"/>
          <w:szCs w:val="22"/>
        </w:rPr>
        <w:t>经合组织的两份指南</w:t>
      </w:r>
    </w:p>
    <w:p w14:paraId="10A216DB" w14:textId="77777777" w:rsidR="002912B8" w:rsidRDefault="002912B8" w:rsidP="00B2602A">
      <w:pPr>
        <w:jc w:val="left"/>
        <w:rPr>
          <w:b/>
          <w:bCs/>
          <w:sz w:val="22"/>
          <w:szCs w:val="22"/>
        </w:rPr>
      </w:pPr>
      <w:r>
        <w:rPr>
          <w:rFonts w:hint="eastAsia"/>
          <w:b/>
          <w:bCs/>
          <w:sz w:val="22"/>
          <w:szCs w:val="22"/>
        </w:rPr>
        <w:t>OECD Due Diligence Guidance for Responsible Supply Chains of Minerals from Conflict-Affected and High-Risk Areas</w:t>
      </w:r>
    </w:p>
    <w:p w14:paraId="35539492" w14:textId="77777777" w:rsidR="002912B8" w:rsidRDefault="002912B8" w:rsidP="00B2602A">
      <w:pPr>
        <w:jc w:val="left"/>
        <w:rPr>
          <w:b/>
          <w:bCs/>
          <w:sz w:val="22"/>
          <w:szCs w:val="22"/>
        </w:rPr>
      </w:pPr>
      <w:r>
        <w:rPr>
          <w:rFonts w:hint="eastAsia"/>
          <w:b/>
          <w:bCs/>
          <w:sz w:val="22"/>
          <w:szCs w:val="22"/>
        </w:rPr>
        <w:t>《经合组织关于来自受冲突影响和高风险区域的矿石的负责任供应链</w:t>
      </w:r>
      <w:r>
        <w:rPr>
          <w:rFonts w:hint="eastAsia"/>
          <w:b/>
          <w:bCs/>
          <w:color w:val="FF0000"/>
          <w:sz w:val="22"/>
          <w:szCs w:val="22"/>
        </w:rPr>
        <w:t>尽职调查指南</w:t>
      </w:r>
      <w:r>
        <w:rPr>
          <w:rFonts w:hint="eastAsia"/>
          <w:b/>
          <w:bCs/>
          <w:sz w:val="22"/>
          <w:szCs w:val="22"/>
        </w:rPr>
        <w:t>》（第三版）</w:t>
      </w:r>
      <w:r>
        <w:rPr>
          <w:rFonts w:hint="eastAsia"/>
          <w:b/>
          <w:bCs/>
          <w:sz w:val="22"/>
          <w:szCs w:val="22"/>
        </w:rPr>
        <w:t>2016</w:t>
      </w:r>
      <w:r>
        <w:rPr>
          <w:rFonts w:hint="eastAsia"/>
          <w:b/>
          <w:bCs/>
          <w:sz w:val="22"/>
          <w:szCs w:val="22"/>
        </w:rPr>
        <w:t>年</w:t>
      </w:r>
    </w:p>
    <w:p w14:paraId="627763AD" w14:textId="77777777" w:rsidR="002912B8" w:rsidRDefault="002912B8" w:rsidP="00B2602A">
      <w:pPr>
        <w:jc w:val="left"/>
        <w:rPr>
          <w:sz w:val="22"/>
          <w:szCs w:val="22"/>
        </w:rPr>
      </w:pPr>
      <w:r>
        <w:rPr>
          <w:rFonts w:hint="eastAsia"/>
          <w:sz w:val="22"/>
          <w:szCs w:val="22"/>
        </w:rPr>
        <w:t>英文：</w:t>
      </w:r>
      <w:hyperlink r:id="rId18" w:history="1">
        <w:r>
          <w:rPr>
            <w:rStyle w:val="a6"/>
            <w:rFonts w:hint="eastAsia"/>
            <w:sz w:val="22"/>
            <w:szCs w:val="22"/>
          </w:rPr>
          <w:t>https://www.oecd.org/daf/inv/mne/OECD-Due-Diligence-Guidance-Minerals-Edition3.pdf</w:t>
        </w:r>
      </w:hyperlink>
    </w:p>
    <w:p w14:paraId="1937DE5C" w14:textId="77777777" w:rsidR="002912B8" w:rsidRDefault="002912B8" w:rsidP="00B2602A">
      <w:pPr>
        <w:jc w:val="left"/>
        <w:rPr>
          <w:sz w:val="22"/>
          <w:szCs w:val="22"/>
        </w:rPr>
      </w:pPr>
      <w:r>
        <w:rPr>
          <w:rFonts w:hint="eastAsia"/>
          <w:sz w:val="22"/>
          <w:szCs w:val="22"/>
        </w:rPr>
        <w:t>中文：</w:t>
      </w:r>
      <w:r w:rsidR="003F5AB8">
        <w:fldChar w:fldCharType="begin"/>
      </w:r>
      <w:r w:rsidR="003F5AB8">
        <w:instrText xml:space="preserve"> HYPERLINK "https://www.oecd.org/daf/inv/mne/DDG-Chinese-web.pdf" </w:instrText>
      </w:r>
      <w:r w:rsidR="003F5AB8">
        <w:fldChar w:fldCharType="separate"/>
      </w:r>
      <w:r>
        <w:rPr>
          <w:rStyle w:val="a6"/>
          <w:rFonts w:hint="eastAsia"/>
          <w:sz w:val="22"/>
          <w:szCs w:val="22"/>
        </w:rPr>
        <w:t>https://</w:t>
      </w:r>
      <w:proofErr w:type="spellStart"/>
      <w:r>
        <w:rPr>
          <w:rStyle w:val="a6"/>
          <w:rFonts w:hint="eastAsia"/>
          <w:sz w:val="22"/>
          <w:szCs w:val="22"/>
        </w:rPr>
        <w:t>www.oecd.org</w:t>
      </w:r>
      <w:proofErr w:type="spellEnd"/>
      <w:r>
        <w:rPr>
          <w:rStyle w:val="a6"/>
          <w:rFonts w:hint="eastAsia"/>
          <w:sz w:val="22"/>
          <w:szCs w:val="22"/>
        </w:rPr>
        <w:t>/</w:t>
      </w:r>
      <w:proofErr w:type="spellStart"/>
      <w:r>
        <w:rPr>
          <w:rStyle w:val="a6"/>
          <w:rFonts w:hint="eastAsia"/>
          <w:sz w:val="22"/>
          <w:szCs w:val="22"/>
        </w:rPr>
        <w:t>daf</w:t>
      </w:r>
      <w:proofErr w:type="spellEnd"/>
      <w:r>
        <w:rPr>
          <w:rStyle w:val="a6"/>
          <w:rFonts w:hint="eastAsia"/>
          <w:sz w:val="22"/>
          <w:szCs w:val="22"/>
        </w:rPr>
        <w:t>/inv/</w:t>
      </w:r>
      <w:proofErr w:type="spellStart"/>
      <w:r>
        <w:rPr>
          <w:rStyle w:val="a6"/>
          <w:rFonts w:hint="eastAsia"/>
          <w:sz w:val="22"/>
          <w:szCs w:val="22"/>
        </w:rPr>
        <w:t>mne</w:t>
      </w:r>
      <w:proofErr w:type="spellEnd"/>
      <w:r>
        <w:rPr>
          <w:rStyle w:val="a6"/>
          <w:rFonts w:hint="eastAsia"/>
          <w:sz w:val="22"/>
          <w:szCs w:val="22"/>
        </w:rPr>
        <w:t>/</w:t>
      </w:r>
      <w:proofErr w:type="spellStart"/>
      <w:r>
        <w:rPr>
          <w:rStyle w:val="a6"/>
          <w:rFonts w:hint="eastAsia"/>
          <w:sz w:val="22"/>
          <w:szCs w:val="22"/>
        </w:rPr>
        <w:t>DDG</w:t>
      </w:r>
      <w:proofErr w:type="spellEnd"/>
      <w:r>
        <w:rPr>
          <w:rStyle w:val="a6"/>
          <w:rFonts w:hint="eastAsia"/>
          <w:sz w:val="22"/>
          <w:szCs w:val="22"/>
        </w:rPr>
        <w:t>-Chinese-</w:t>
      </w:r>
      <w:proofErr w:type="spellStart"/>
      <w:r>
        <w:rPr>
          <w:rStyle w:val="a6"/>
          <w:rFonts w:hint="eastAsia"/>
          <w:sz w:val="22"/>
          <w:szCs w:val="22"/>
        </w:rPr>
        <w:t>web.pdf</w:t>
      </w:r>
      <w:proofErr w:type="spellEnd"/>
      <w:r w:rsidR="003F5AB8">
        <w:rPr>
          <w:rStyle w:val="a6"/>
          <w:sz w:val="22"/>
          <w:szCs w:val="22"/>
        </w:rPr>
        <w:fldChar w:fldCharType="end"/>
      </w:r>
    </w:p>
    <w:p w14:paraId="0F5A223A" w14:textId="77777777" w:rsidR="002912B8" w:rsidRDefault="002912B8" w:rsidP="00B2602A">
      <w:pPr>
        <w:jc w:val="left"/>
        <w:rPr>
          <w:sz w:val="22"/>
          <w:szCs w:val="22"/>
        </w:rPr>
      </w:pPr>
    </w:p>
    <w:p w14:paraId="0FDFC465" w14:textId="77777777" w:rsidR="002912B8" w:rsidRDefault="002912B8" w:rsidP="00B2602A">
      <w:pPr>
        <w:jc w:val="left"/>
        <w:rPr>
          <w:b/>
          <w:bCs/>
          <w:sz w:val="22"/>
          <w:szCs w:val="22"/>
        </w:rPr>
      </w:pPr>
      <w:r>
        <w:rPr>
          <w:rFonts w:hint="eastAsia"/>
          <w:b/>
          <w:bCs/>
          <w:sz w:val="22"/>
          <w:szCs w:val="22"/>
        </w:rPr>
        <w:t xml:space="preserve">OECD Due Diligence Guidance for Responsible Business Conduct </w:t>
      </w:r>
      <w:r>
        <w:rPr>
          <w:rFonts w:hint="eastAsia"/>
          <w:b/>
          <w:bCs/>
          <w:sz w:val="22"/>
          <w:szCs w:val="22"/>
        </w:rPr>
        <w:t>（</w:t>
      </w:r>
      <w:r>
        <w:rPr>
          <w:rFonts w:hint="eastAsia"/>
          <w:b/>
          <w:bCs/>
          <w:sz w:val="22"/>
          <w:szCs w:val="22"/>
        </w:rPr>
        <w:t>2018</w:t>
      </w:r>
      <w:r>
        <w:rPr>
          <w:rFonts w:hint="eastAsia"/>
          <w:b/>
          <w:bCs/>
          <w:sz w:val="22"/>
          <w:szCs w:val="22"/>
        </w:rPr>
        <w:t>年</w:t>
      </w:r>
      <w:r>
        <w:rPr>
          <w:rFonts w:hint="eastAsia"/>
          <w:b/>
          <w:bCs/>
          <w:sz w:val="22"/>
          <w:szCs w:val="22"/>
        </w:rPr>
        <w:t>5</w:t>
      </w:r>
      <w:r>
        <w:rPr>
          <w:rFonts w:hint="eastAsia"/>
          <w:b/>
          <w:bCs/>
          <w:sz w:val="22"/>
          <w:szCs w:val="22"/>
        </w:rPr>
        <w:t>月</w:t>
      </w:r>
      <w:r>
        <w:rPr>
          <w:rFonts w:hint="eastAsia"/>
          <w:b/>
          <w:bCs/>
          <w:sz w:val="22"/>
          <w:szCs w:val="22"/>
        </w:rPr>
        <w:t>31</w:t>
      </w:r>
      <w:r>
        <w:rPr>
          <w:rFonts w:hint="eastAsia"/>
          <w:b/>
          <w:bCs/>
          <w:sz w:val="22"/>
          <w:szCs w:val="22"/>
        </w:rPr>
        <w:t>日通过）</w:t>
      </w:r>
    </w:p>
    <w:p w14:paraId="167E0872" w14:textId="77777777" w:rsidR="002912B8" w:rsidRDefault="002912B8" w:rsidP="00B2602A">
      <w:pPr>
        <w:jc w:val="left"/>
        <w:rPr>
          <w:b/>
          <w:bCs/>
          <w:sz w:val="22"/>
          <w:szCs w:val="22"/>
        </w:rPr>
      </w:pPr>
      <w:r>
        <w:rPr>
          <w:rFonts w:hint="eastAsia"/>
          <w:b/>
          <w:bCs/>
          <w:sz w:val="22"/>
          <w:szCs w:val="22"/>
        </w:rPr>
        <w:t>《经合组织负责任商业行为</w:t>
      </w:r>
      <w:r>
        <w:rPr>
          <w:rFonts w:hint="eastAsia"/>
          <w:b/>
          <w:bCs/>
          <w:color w:val="FF0000"/>
          <w:sz w:val="22"/>
          <w:szCs w:val="22"/>
        </w:rPr>
        <w:t>尽责管理指南</w:t>
      </w:r>
      <w:r>
        <w:rPr>
          <w:rFonts w:hint="eastAsia"/>
          <w:b/>
          <w:bCs/>
          <w:sz w:val="22"/>
          <w:szCs w:val="22"/>
        </w:rPr>
        <w:t>》</w:t>
      </w:r>
    </w:p>
    <w:p w14:paraId="7C16C844" w14:textId="77777777" w:rsidR="002912B8" w:rsidRDefault="002912B8" w:rsidP="00B2602A">
      <w:pPr>
        <w:jc w:val="left"/>
        <w:rPr>
          <w:sz w:val="22"/>
          <w:szCs w:val="22"/>
        </w:rPr>
      </w:pPr>
      <w:r>
        <w:rPr>
          <w:rFonts w:hint="eastAsia"/>
          <w:sz w:val="22"/>
          <w:szCs w:val="22"/>
        </w:rPr>
        <w:t>英文：</w:t>
      </w:r>
      <w:hyperlink r:id="rId19" w:history="1">
        <w:r>
          <w:rPr>
            <w:rStyle w:val="a6"/>
            <w:rFonts w:hint="eastAsia"/>
            <w:sz w:val="22"/>
            <w:szCs w:val="22"/>
          </w:rPr>
          <w:t>https://www.oecd.org/investment/due-diligence-guidance-for-responsible-business-conduct.htm</w:t>
        </w:r>
      </w:hyperlink>
    </w:p>
    <w:p w14:paraId="110DC427" w14:textId="77777777" w:rsidR="002912B8" w:rsidRDefault="002912B8" w:rsidP="00B2602A">
      <w:pPr>
        <w:jc w:val="left"/>
        <w:rPr>
          <w:sz w:val="22"/>
          <w:szCs w:val="22"/>
        </w:rPr>
      </w:pPr>
      <w:r>
        <w:rPr>
          <w:rFonts w:hint="eastAsia"/>
          <w:sz w:val="22"/>
          <w:szCs w:val="22"/>
        </w:rPr>
        <w:lastRenderedPageBreak/>
        <w:t>中文：</w:t>
      </w:r>
      <w:hyperlink r:id="rId20" w:history="1">
        <w:r>
          <w:rPr>
            <w:rStyle w:val="a6"/>
            <w:rFonts w:hint="eastAsia"/>
            <w:sz w:val="22"/>
            <w:szCs w:val="22"/>
          </w:rPr>
          <w:t>http://mneguidelines.oecd.org/OECD-Due-Diligence-Guidance-for-RBC-Chinese.pdf</w:t>
        </w:r>
      </w:hyperlink>
    </w:p>
    <w:p w14:paraId="582AD1ED" w14:textId="77777777" w:rsidR="002912B8" w:rsidRDefault="002912B8" w:rsidP="00B2602A">
      <w:pPr>
        <w:jc w:val="left"/>
        <w:rPr>
          <w:sz w:val="22"/>
          <w:szCs w:val="22"/>
        </w:rPr>
      </w:pPr>
    </w:p>
    <w:p w14:paraId="7DC44F0E" w14:textId="77777777" w:rsidR="002912B8" w:rsidRDefault="002912B8" w:rsidP="005855E2">
      <w:pPr>
        <w:jc w:val="left"/>
        <w:rPr>
          <w:b/>
          <w:bCs/>
          <w:color w:val="4472C4"/>
          <w:sz w:val="22"/>
          <w:szCs w:val="22"/>
        </w:rPr>
      </w:pPr>
      <w:r>
        <w:rPr>
          <w:rFonts w:hint="eastAsia"/>
          <w:b/>
          <w:bCs/>
          <w:color w:val="4472C4"/>
          <w:sz w:val="22"/>
          <w:szCs w:val="22"/>
        </w:rPr>
        <w:t>这两份指南应是业界的权威标准，联合国文件中也屡有提及。从经合组织两份指南中文本的变化中可以看出，“尽责管理”有取代“尽职调查”的趋势。</w:t>
      </w:r>
    </w:p>
    <w:sectPr w:rsidR="002912B8" w:rsidSect="00292ED1">
      <w:pgSz w:w="11906" w:h="16838" w:code="9"/>
      <w:pgMar w:top="1418"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26F8C" w14:textId="77777777" w:rsidR="003F5AB8" w:rsidRDefault="003F5AB8" w:rsidP="00E63D9E">
      <w:pPr>
        <w:spacing w:line="240" w:lineRule="auto"/>
      </w:pPr>
      <w:r>
        <w:separator/>
      </w:r>
    </w:p>
  </w:endnote>
  <w:endnote w:type="continuationSeparator" w:id="0">
    <w:p w14:paraId="4FBB342B" w14:textId="77777777" w:rsidR="003F5AB8" w:rsidRDefault="003F5AB8" w:rsidP="00E6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ong">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42F1D" w14:textId="77777777" w:rsidR="003F5AB8" w:rsidRDefault="003F5AB8" w:rsidP="00E63D9E">
      <w:pPr>
        <w:spacing w:line="240" w:lineRule="auto"/>
      </w:pPr>
      <w:r>
        <w:separator/>
      </w:r>
    </w:p>
  </w:footnote>
  <w:footnote w:type="continuationSeparator" w:id="0">
    <w:p w14:paraId="7F4E073E" w14:textId="77777777" w:rsidR="003F5AB8" w:rsidRDefault="003F5AB8" w:rsidP="00E63D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15CE8"/>
    <w:multiLevelType w:val="hybridMultilevel"/>
    <w:tmpl w:val="90EE967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bordersDoNotSurroundHeader/>
  <w:bordersDoNotSurroundFooter/>
  <w:proofState w:spelling="clean" w:grammar="clean"/>
  <w:defaultTabStop w:val="425"/>
  <w:hyphenationZone w:val="425"/>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78"/>
    <w:rsid w:val="00031378"/>
    <w:rsid w:val="0004615A"/>
    <w:rsid w:val="0004656A"/>
    <w:rsid w:val="00052729"/>
    <w:rsid w:val="000538FF"/>
    <w:rsid w:val="000774A7"/>
    <w:rsid w:val="00080AA8"/>
    <w:rsid w:val="0009079B"/>
    <w:rsid w:val="000A1496"/>
    <w:rsid w:val="000B33B2"/>
    <w:rsid w:val="000C69F0"/>
    <w:rsid w:val="000E05CC"/>
    <w:rsid w:val="000E7EAB"/>
    <w:rsid w:val="000F0426"/>
    <w:rsid w:val="000F2AD1"/>
    <w:rsid w:val="00106F6F"/>
    <w:rsid w:val="00125F0C"/>
    <w:rsid w:val="001509E5"/>
    <w:rsid w:val="0015697C"/>
    <w:rsid w:val="00160BB2"/>
    <w:rsid w:val="00167CE6"/>
    <w:rsid w:val="00184303"/>
    <w:rsid w:val="00187054"/>
    <w:rsid w:val="00192367"/>
    <w:rsid w:val="001C65EF"/>
    <w:rsid w:val="001E31C9"/>
    <w:rsid w:val="001E43D8"/>
    <w:rsid w:val="001E518A"/>
    <w:rsid w:val="001F33E9"/>
    <w:rsid w:val="001F39AB"/>
    <w:rsid w:val="00202DEB"/>
    <w:rsid w:val="002247F0"/>
    <w:rsid w:val="00234455"/>
    <w:rsid w:val="0024211F"/>
    <w:rsid w:val="002749E2"/>
    <w:rsid w:val="00276177"/>
    <w:rsid w:val="002912B8"/>
    <w:rsid w:val="00292ED1"/>
    <w:rsid w:val="00293C41"/>
    <w:rsid w:val="002D384B"/>
    <w:rsid w:val="002D41A9"/>
    <w:rsid w:val="00300C47"/>
    <w:rsid w:val="00314CC8"/>
    <w:rsid w:val="003170EC"/>
    <w:rsid w:val="003203DC"/>
    <w:rsid w:val="00322A4F"/>
    <w:rsid w:val="00322EA3"/>
    <w:rsid w:val="00326123"/>
    <w:rsid w:val="00333DCC"/>
    <w:rsid w:val="00340DA8"/>
    <w:rsid w:val="00341EDB"/>
    <w:rsid w:val="00343630"/>
    <w:rsid w:val="00351F5B"/>
    <w:rsid w:val="00376AA7"/>
    <w:rsid w:val="003C5C4B"/>
    <w:rsid w:val="003D43DE"/>
    <w:rsid w:val="003D6693"/>
    <w:rsid w:val="003E1AD4"/>
    <w:rsid w:val="003E673A"/>
    <w:rsid w:val="003F1A7C"/>
    <w:rsid w:val="003F5AB8"/>
    <w:rsid w:val="004017B9"/>
    <w:rsid w:val="00460699"/>
    <w:rsid w:val="00462455"/>
    <w:rsid w:val="0048758C"/>
    <w:rsid w:val="004A2A5F"/>
    <w:rsid w:val="004D5634"/>
    <w:rsid w:val="004D5F8A"/>
    <w:rsid w:val="004E3785"/>
    <w:rsid w:val="004E6B50"/>
    <w:rsid w:val="004F7CBA"/>
    <w:rsid w:val="00522D1A"/>
    <w:rsid w:val="00534217"/>
    <w:rsid w:val="00534AEE"/>
    <w:rsid w:val="00536B3E"/>
    <w:rsid w:val="005533BB"/>
    <w:rsid w:val="00575FD0"/>
    <w:rsid w:val="005855E2"/>
    <w:rsid w:val="00594AAC"/>
    <w:rsid w:val="00595A77"/>
    <w:rsid w:val="00595B29"/>
    <w:rsid w:val="005A0ADB"/>
    <w:rsid w:val="005A42CD"/>
    <w:rsid w:val="005A5283"/>
    <w:rsid w:val="006124DD"/>
    <w:rsid w:val="0061256F"/>
    <w:rsid w:val="00640C32"/>
    <w:rsid w:val="00645D43"/>
    <w:rsid w:val="006463AF"/>
    <w:rsid w:val="0069194B"/>
    <w:rsid w:val="00694A39"/>
    <w:rsid w:val="006B504C"/>
    <w:rsid w:val="006D1232"/>
    <w:rsid w:val="006D1828"/>
    <w:rsid w:val="006D358E"/>
    <w:rsid w:val="006D4C61"/>
    <w:rsid w:val="006F2C96"/>
    <w:rsid w:val="00700DCD"/>
    <w:rsid w:val="00710E8D"/>
    <w:rsid w:val="00712522"/>
    <w:rsid w:val="00750869"/>
    <w:rsid w:val="007572BE"/>
    <w:rsid w:val="00782A73"/>
    <w:rsid w:val="00795924"/>
    <w:rsid w:val="007B3C2C"/>
    <w:rsid w:val="007B6E54"/>
    <w:rsid w:val="007D77CA"/>
    <w:rsid w:val="007E2819"/>
    <w:rsid w:val="007E33E8"/>
    <w:rsid w:val="007F1000"/>
    <w:rsid w:val="007F36EC"/>
    <w:rsid w:val="007F47F6"/>
    <w:rsid w:val="00856495"/>
    <w:rsid w:val="008654BA"/>
    <w:rsid w:val="00880DF9"/>
    <w:rsid w:val="008A3529"/>
    <w:rsid w:val="008A5AD8"/>
    <w:rsid w:val="008A750D"/>
    <w:rsid w:val="008A7A33"/>
    <w:rsid w:val="008F109A"/>
    <w:rsid w:val="008F324B"/>
    <w:rsid w:val="0090127B"/>
    <w:rsid w:val="00904763"/>
    <w:rsid w:val="00940310"/>
    <w:rsid w:val="0095659E"/>
    <w:rsid w:val="00964DB5"/>
    <w:rsid w:val="00977CC1"/>
    <w:rsid w:val="00997342"/>
    <w:rsid w:val="009A3C4C"/>
    <w:rsid w:val="009B7385"/>
    <w:rsid w:val="009C3FDD"/>
    <w:rsid w:val="009D11D4"/>
    <w:rsid w:val="009D1BEE"/>
    <w:rsid w:val="009D253E"/>
    <w:rsid w:val="009F1FA7"/>
    <w:rsid w:val="00A018F4"/>
    <w:rsid w:val="00A27BD7"/>
    <w:rsid w:val="00A35CC4"/>
    <w:rsid w:val="00A50493"/>
    <w:rsid w:val="00A54750"/>
    <w:rsid w:val="00A62BE3"/>
    <w:rsid w:val="00A704EA"/>
    <w:rsid w:val="00A91711"/>
    <w:rsid w:val="00A92B8E"/>
    <w:rsid w:val="00AC163A"/>
    <w:rsid w:val="00AD1B5E"/>
    <w:rsid w:val="00AE0C2F"/>
    <w:rsid w:val="00B027C0"/>
    <w:rsid w:val="00B14B2D"/>
    <w:rsid w:val="00B24E7A"/>
    <w:rsid w:val="00B2602A"/>
    <w:rsid w:val="00B329A1"/>
    <w:rsid w:val="00B34445"/>
    <w:rsid w:val="00B3601F"/>
    <w:rsid w:val="00B43B05"/>
    <w:rsid w:val="00B50FFC"/>
    <w:rsid w:val="00B65F3C"/>
    <w:rsid w:val="00B70816"/>
    <w:rsid w:val="00B91C61"/>
    <w:rsid w:val="00B96D25"/>
    <w:rsid w:val="00BC223C"/>
    <w:rsid w:val="00BD0478"/>
    <w:rsid w:val="00BD19DD"/>
    <w:rsid w:val="00BE1D71"/>
    <w:rsid w:val="00BF7324"/>
    <w:rsid w:val="00C05691"/>
    <w:rsid w:val="00C118F6"/>
    <w:rsid w:val="00C140AD"/>
    <w:rsid w:val="00C26F8E"/>
    <w:rsid w:val="00C27E78"/>
    <w:rsid w:val="00C42C69"/>
    <w:rsid w:val="00C455A6"/>
    <w:rsid w:val="00C46DC9"/>
    <w:rsid w:val="00C51DBA"/>
    <w:rsid w:val="00C57B83"/>
    <w:rsid w:val="00C66BCE"/>
    <w:rsid w:val="00C75F51"/>
    <w:rsid w:val="00C84352"/>
    <w:rsid w:val="00CA5828"/>
    <w:rsid w:val="00CB0D23"/>
    <w:rsid w:val="00CD4CDC"/>
    <w:rsid w:val="00D10455"/>
    <w:rsid w:val="00D13920"/>
    <w:rsid w:val="00D22D87"/>
    <w:rsid w:val="00D2623D"/>
    <w:rsid w:val="00D2715B"/>
    <w:rsid w:val="00D348C9"/>
    <w:rsid w:val="00D548A3"/>
    <w:rsid w:val="00D5659A"/>
    <w:rsid w:val="00D956D2"/>
    <w:rsid w:val="00DB3D6E"/>
    <w:rsid w:val="00DC4721"/>
    <w:rsid w:val="00DD0927"/>
    <w:rsid w:val="00DD44A7"/>
    <w:rsid w:val="00E07165"/>
    <w:rsid w:val="00E377F2"/>
    <w:rsid w:val="00E43081"/>
    <w:rsid w:val="00E52BE0"/>
    <w:rsid w:val="00E60DA1"/>
    <w:rsid w:val="00E63D9E"/>
    <w:rsid w:val="00E70693"/>
    <w:rsid w:val="00E8720E"/>
    <w:rsid w:val="00E94749"/>
    <w:rsid w:val="00E97519"/>
    <w:rsid w:val="00EA043E"/>
    <w:rsid w:val="00EA4AF0"/>
    <w:rsid w:val="00EF5EB2"/>
    <w:rsid w:val="00F158C5"/>
    <w:rsid w:val="00F2515B"/>
    <w:rsid w:val="00F34FB2"/>
    <w:rsid w:val="00F7502C"/>
    <w:rsid w:val="00F75230"/>
    <w:rsid w:val="00F75FC2"/>
    <w:rsid w:val="00F81C97"/>
    <w:rsid w:val="00F82388"/>
    <w:rsid w:val="00FA3A43"/>
    <w:rsid w:val="00FA57EA"/>
    <w:rsid w:val="00FA5C03"/>
    <w:rsid w:val="00FB7006"/>
    <w:rsid w:val="00FE0C7C"/>
    <w:rsid w:val="00FE4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BB38D"/>
  <w15:docId w15:val="{EB9A5AD2-6135-4D1A-AA31-572EADA9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EDB"/>
    <w:pPr>
      <w:tabs>
        <w:tab w:val="left" w:pos="431"/>
      </w:tabs>
      <w:overflowPunct w:val="0"/>
      <w:adjustRightInd w:val="0"/>
      <w:snapToGrid w:val="0"/>
      <w:spacing w:line="320" w:lineRule="exact"/>
      <w:jc w:val="both"/>
    </w:pPr>
    <w:rPr>
      <w:rFonts w:ascii="Times New Roman" w:hAnsi="Times New Roman" w:cs="Times New Roman"/>
      <w:kern w:val="0"/>
      <w:szCs w:val="21"/>
    </w:rPr>
  </w:style>
  <w:style w:type="paragraph" w:styleId="1">
    <w:name w:val="heading 1"/>
    <w:basedOn w:val="a"/>
    <w:next w:val="a"/>
    <w:link w:val="10"/>
    <w:uiPriority w:val="9"/>
    <w:rsid w:val="00341EDB"/>
    <w:pPr>
      <w:keepNext/>
      <w:keepLines/>
      <w:overflowPunct/>
      <w:spacing w:before="480" w:line="276" w:lineRule="auto"/>
      <w:jc w:val="left"/>
      <w:outlineLvl w:val="0"/>
    </w:pPr>
    <w:rPr>
      <w:rFonts w:eastAsia="Times New Roman"/>
      <w:b/>
      <w:bCs/>
      <w:color w:val="2F5496" w:themeColor="accent1" w:themeShade="BF"/>
      <w:sz w:val="28"/>
      <w:szCs w:val="28"/>
    </w:rPr>
  </w:style>
  <w:style w:type="paragraph" w:styleId="2">
    <w:name w:val="heading 2"/>
    <w:basedOn w:val="a"/>
    <w:next w:val="a"/>
    <w:link w:val="20"/>
    <w:uiPriority w:val="9"/>
    <w:semiHidden/>
    <w:rsid w:val="00341EDB"/>
    <w:pPr>
      <w:keepNext/>
      <w:keepLines/>
      <w:overflowPunct/>
      <w:spacing w:before="200" w:line="276" w:lineRule="auto"/>
      <w:jc w:val="left"/>
      <w:outlineLvl w:val="1"/>
    </w:pPr>
    <w:rPr>
      <w:rFonts w:eastAsia="Times New Roman"/>
      <w:b/>
      <w:bCs/>
      <w:color w:val="4472C4" w:themeColor="accent1"/>
      <w:sz w:val="26"/>
      <w:szCs w:val="26"/>
    </w:rPr>
  </w:style>
  <w:style w:type="paragraph" w:styleId="3">
    <w:name w:val="heading 3"/>
    <w:basedOn w:val="a"/>
    <w:next w:val="a"/>
    <w:link w:val="30"/>
    <w:uiPriority w:val="9"/>
    <w:semiHidden/>
    <w:qFormat/>
    <w:rsid w:val="00341EDB"/>
    <w:pPr>
      <w:keepNext/>
      <w:keepLines/>
      <w:overflowPunct/>
      <w:spacing w:before="200" w:line="276" w:lineRule="auto"/>
      <w:jc w:val="left"/>
      <w:outlineLvl w:val="2"/>
    </w:pPr>
    <w:rPr>
      <w:rFonts w:eastAsia="Times New Roman"/>
      <w:b/>
      <w:bCs/>
      <w:color w:val="4472C4" w:themeColor="accent1"/>
      <w:sz w:val="22"/>
    </w:rPr>
  </w:style>
  <w:style w:type="paragraph" w:styleId="4">
    <w:name w:val="heading 4"/>
    <w:basedOn w:val="a"/>
    <w:next w:val="a"/>
    <w:link w:val="40"/>
    <w:uiPriority w:val="9"/>
    <w:semiHidden/>
    <w:qFormat/>
    <w:rsid w:val="00341EDB"/>
    <w:pPr>
      <w:keepNext/>
      <w:keepLines/>
      <w:overflowPunct/>
      <w:spacing w:before="200" w:line="276" w:lineRule="auto"/>
      <w:jc w:val="left"/>
      <w:outlineLvl w:val="3"/>
    </w:pPr>
    <w:rPr>
      <w:rFonts w:eastAsia="Times New Roman"/>
      <w:b/>
      <w:bCs/>
      <w:i/>
      <w:iCs/>
      <w:color w:val="4472C4" w:themeColor="accent1"/>
      <w:sz w:val="22"/>
    </w:rPr>
  </w:style>
  <w:style w:type="paragraph" w:styleId="5">
    <w:name w:val="heading 5"/>
    <w:basedOn w:val="a"/>
    <w:next w:val="a"/>
    <w:link w:val="50"/>
    <w:uiPriority w:val="9"/>
    <w:semiHidden/>
    <w:qFormat/>
    <w:rsid w:val="00341EDB"/>
    <w:pPr>
      <w:keepNext/>
      <w:keepLines/>
      <w:overflowPunct/>
      <w:spacing w:before="200" w:line="276" w:lineRule="auto"/>
      <w:jc w:val="left"/>
      <w:outlineLvl w:val="4"/>
    </w:pPr>
    <w:rPr>
      <w:rFonts w:eastAsia="Times New Roman"/>
      <w:color w:val="1F3763" w:themeColor="accent1" w:themeShade="7F"/>
      <w:sz w:val="22"/>
    </w:rPr>
  </w:style>
  <w:style w:type="paragraph" w:styleId="6">
    <w:name w:val="heading 6"/>
    <w:basedOn w:val="a"/>
    <w:next w:val="a"/>
    <w:link w:val="60"/>
    <w:uiPriority w:val="9"/>
    <w:semiHidden/>
    <w:qFormat/>
    <w:rsid w:val="00341EDB"/>
    <w:pPr>
      <w:keepNext/>
      <w:keepLines/>
      <w:overflowPunct/>
      <w:spacing w:before="200" w:line="276" w:lineRule="auto"/>
      <w:jc w:val="left"/>
      <w:outlineLvl w:val="5"/>
    </w:pPr>
    <w:rPr>
      <w:rFonts w:eastAsia="Times New Roman"/>
      <w:i/>
      <w:iCs/>
      <w:color w:val="1F3763" w:themeColor="accent1" w:themeShade="7F"/>
      <w:sz w:val="22"/>
    </w:rPr>
  </w:style>
  <w:style w:type="paragraph" w:styleId="7">
    <w:name w:val="heading 7"/>
    <w:basedOn w:val="a"/>
    <w:next w:val="a"/>
    <w:link w:val="70"/>
    <w:uiPriority w:val="9"/>
    <w:semiHidden/>
    <w:qFormat/>
    <w:rsid w:val="00341EDB"/>
    <w:pPr>
      <w:keepNext/>
      <w:keepLines/>
      <w:overflowPunct/>
      <w:spacing w:before="200" w:line="276" w:lineRule="auto"/>
      <w:jc w:val="left"/>
      <w:outlineLvl w:val="6"/>
    </w:pPr>
    <w:rPr>
      <w:rFonts w:eastAsia="Times New Roman"/>
      <w:i/>
      <w:iCs/>
      <w:color w:val="404040" w:themeColor="text1" w:themeTint="BF"/>
      <w:sz w:val="22"/>
    </w:rPr>
  </w:style>
  <w:style w:type="paragraph" w:styleId="8">
    <w:name w:val="heading 8"/>
    <w:basedOn w:val="a"/>
    <w:next w:val="a"/>
    <w:link w:val="80"/>
    <w:uiPriority w:val="9"/>
    <w:semiHidden/>
    <w:qFormat/>
    <w:rsid w:val="00341EDB"/>
    <w:pPr>
      <w:keepNext/>
      <w:keepLines/>
      <w:overflowPunct/>
      <w:spacing w:before="200" w:line="276" w:lineRule="auto"/>
      <w:jc w:val="left"/>
      <w:outlineLvl w:val="7"/>
    </w:pPr>
    <w:rPr>
      <w:rFonts w:eastAsia="Times New Roman"/>
      <w:color w:val="4472C4" w:themeColor="accent1"/>
    </w:rPr>
  </w:style>
  <w:style w:type="paragraph" w:styleId="9">
    <w:name w:val="heading 9"/>
    <w:basedOn w:val="a"/>
    <w:next w:val="a"/>
    <w:link w:val="90"/>
    <w:uiPriority w:val="9"/>
    <w:semiHidden/>
    <w:qFormat/>
    <w:rsid w:val="00341EDB"/>
    <w:pPr>
      <w:keepNext/>
      <w:keepLines/>
      <w:overflowPunct/>
      <w:spacing w:before="200" w:line="276" w:lineRule="auto"/>
      <w:jc w:val="left"/>
      <w:outlineLvl w:val="8"/>
    </w:pPr>
    <w:rPr>
      <w:rFonts w:eastAsia="Times New Roman"/>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E43081"/>
    <w:pPr>
      <w:keepNext/>
      <w:keepLines/>
      <w:tabs>
        <w:tab w:val="clear" w:pos="431"/>
        <w:tab w:val="right" w:pos="851"/>
      </w:tabs>
      <w:spacing w:before="240" w:after="240" w:line="440" w:lineRule="exact"/>
      <w:ind w:left="1134" w:right="1134" w:hanging="1134"/>
      <w:jc w:val="left"/>
    </w:pPr>
    <w:rPr>
      <w:rFonts w:eastAsia="黑体"/>
      <w:sz w:val="34"/>
      <w:szCs w:val="34"/>
    </w:rPr>
  </w:style>
  <w:style w:type="paragraph" w:customStyle="1" w:styleId="HChGC">
    <w:name w:val="_ H _Ch_GC"/>
    <w:basedOn w:val="a"/>
    <w:next w:val="a"/>
    <w:qFormat/>
    <w:rsid w:val="00E43081"/>
    <w:pPr>
      <w:keepNext/>
      <w:keepLines/>
      <w:tabs>
        <w:tab w:val="clear" w:pos="431"/>
        <w:tab w:val="right" w:pos="851"/>
      </w:tabs>
      <w:spacing w:before="360" w:after="240" w:line="400" w:lineRule="exact"/>
      <w:ind w:left="1134" w:right="1134" w:hanging="1134"/>
      <w:jc w:val="left"/>
    </w:pPr>
    <w:rPr>
      <w:rFonts w:eastAsia="黑体"/>
      <w:sz w:val="28"/>
      <w:szCs w:val="28"/>
    </w:rPr>
  </w:style>
  <w:style w:type="paragraph" w:customStyle="1" w:styleId="H1GC">
    <w:name w:val="_ H_1_GC"/>
    <w:basedOn w:val="a"/>
    <w:next w:val="a"/>
    <w:qFormat/>
    <w:rsid w:val="00E43081"/>
    <w:pPr>
      <w:keepNext/>
      <w:keepLines/>
      <w:tabs>
        <w:tab w:val="clear" w:pos="431"/>
        <w:tab w:val="right" w:pos="851"/>
      </w:tabs>
      <w:spacing w:before="360" w:after="240"/>
      <w:ind w:left="1134" w:right="1134" w:hanging="1134"/>
      <w:jc w:val="left"/>
    </w:pPr>
    <w:rPr>
      <w:rFonts w:eastAsia="黑体"/>
      <w:sz w:val="24"/>
      <w:szCs w:val="24"/>
    </w:rPr>
  </w:style>
  <w:style w:type="paragraph" w:customStyle="1" w:styleId="H23GC">
    <w:name w:val="_ H_2/3_GC"/>
    <w:basedOn w:val="a"/>
    <w:next w:val="a"/>
    <w:qFormat/>
    <w:rsid w:val="00E43081"/>
    <w:pPr>
      <w:keepNext/>
      <w:keepLines/>
      <w:tabs>
        <w:tab w:val="clear" w:pos="431"/>
        <w:tab w:val="right" w:pos="851"/>
      </w:tabs>
      <w:spacing w:before="240" w:after="120"/>
      <w:ind w:left="1134" w:right="1134" w:hanging="1134"/>
      <w:jc w:val="left"/>
    </w:pPr>
    <w:rPr>
      <w:rFonts w:eastAsia="黑体"/>
      <w:sz w:val="22"/>
      <w:szCs w:val="22"/>
    </w:rPr>
  </w:style>
  <w:style w:type="paragraph" w:customStyle="1" w:styleId="H4GC">
    <w:name w:val="_ H_4_GC"/>
    <w:basedOn w:val="a"/>
    <w:next w:val="a"/>
    <w:qFormat/>
    <w:rsid w:val="00E43081"/>
    <w:pPr>
      <w:keepNext/>
      <w:keepLines/>
      <w:tabs>
        <w:tab w:val="clear" w:pos="431"/>
        <w:tab w:val="right" w:pos="851"/>
      </w:tabs>
      <w:spacing w:before="240" w:after="120"/>
      <w:ind w:left="1134" w:right="1134" w:hanging="1134"/>
      <w:jc w:val="left"/>
    </w:pPr>
    <w:rPr>
      <w:rFonts w:eastAsia="楷体"/>
      <w:sz w:val="23"/>
      <w:szCs w:val="23"/>
    </w:rPr>
  </w:style>
  <w:style w:type="paragraph" w:customStyle="1" w:styleId="H56GC">
    <w:name w:val="_ H_5/6_GC"/>
    <w:basedOn w:val="a"/>
    <w:next w:val="a"/>
    <w:qFormat/>
    <w:rsid w:val="00E43081"/>
    <w:pPr>
      <w:keepNext/>
      <w:keepLines/>
      <w:tabs>
        <w:tab w:val="clear" w:pos="431"/>
        <w:tab w:val="right" w:pos="851"/>
      </w:tabs>
      <w:spacing w:before="240" w:after="120"/>
      <w:ind w:left="1134" w:right="1134" w:hanging="1134"/>
      <w:jc w:val="left"/>
    </w:pPr>
  </w:style>
  <w:style w:type="paragraph" w:customStyle="1" w:styleId="SingleTxtGC">
    <w:name w:val="_ Single Txt_GC"/>
    <w:basedOn w:val="a"/>
    <w:link w:val="SingleTxtGCChar"/>
    <w:qFormat/>
    <w:rsid w:val="00341EDB"/>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341EDB"/>
    <w:rPr>
      <w:rFonts w:ascii="Times New Roman" w:eastAsia="宋体" w:hAnsi="Times New Roman" w:cs="Times New Roman"/>
      <w:kern w:val="0"/>
      <w:szCs w:val="21"/>
    </w:rPr>
  </w:style>
  <w:style w:type="paragraph" w:customStyle="1" w:styleId="SLGC">
    <w:name w:val="__S_L_GC"/>
    <w:basedOn w:val="a"/>
    <w:next w:val="a"/>
    <w:qFormat/>
    <w:rsid w:val="00341EDB"/>
    <w:pPr>
      <w:keepNext/>
      <w:keepLines/>
      <w:spacing w:before="240" w:after="240" w:line="560" w:lineRule="exact"/>
      <w:ind w:left="1134" w:right="1134"/>
      <w:jc w:val="left"/>
    </w:pPr>
    <w:rPr>
      <w:rFonts w:eastAsia="黑体"/>
      <w:sz w:val="56"/>
      <w:szCs w:val="56"/>
    </w:rPr>
  </w:style>
  <w:style w:type="paragraph" w:customStyle="1" w:styleId="SMGC">
    <w:name w:val="__S_M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SSGC">
    <w:name w:val="__S_S_GC"/>
    <w:basedOn w:val="a"/>
    <w:next w:val="a"/>
    <w:qFormat/>
    <w:rsid w:val="00341EDB"/>
    <w:pPr>
      <w:keepNext/>
      <w:keepLines/>
      <w:spacing w:before="240" w:after="240" w:line="300" w:lineRule="exact"/>
      <w:ind w:left="1134" w:right="1134"/>
      <w:jc w:val="left"/>
    </w:pPr>
    <w:rPr>
      <w:rFonts w:eastAsia="黑体"/>
      <w:sz w:val="28"/>
      <w:szCs w:val="28"/>
    </w:rPr>
  </w:style>
  <w:style w:type="paragraph" w:customStyle="1" w:styleId="XLargeGC">
    <w:name w:val="__XLarge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Bullet1GC">
    <w:name w:val="_Bullet 1_GC"/>
    <w:basedOn w:val="a"/>
    <w:qFormat/>
    <w:rsid w:val="00341EDB"/>
    <w:pPr>
      <w:numPr>
        <w:numId w:val="1"/>
      </w:numPr>
      <w:spacing w:after="120"/>
      <w:ind w:right="1134"/>
      <w:jc w:val="left"/>
    </w:pPr>
  </w:style>
  <w:style w:type="paragraph" w:customStyle="1" w:styleId="Bullet2GC">
    <w:name w:val="_Bullet 2_GC"/>
    <w:basedOn w:val="a"/>
    <w:qFormat/>
    <w:rsid w:val="00341EDB"/>
    <w:pPr>
      <w:numPr>
        <w:numId w:val="2"/>
      </w:numPr>
      <w:spacing w:after="120"/>
      <w:ind w:right="1134"/>
      <w:jc w:val="left"/>
    </w:pPr>
  </w:style>
  <w:style w:type="paragraph" w:customStyle="1" w:styleId="DashGC">
    <w:name w:val="_Dash_GC"/>
    <w:basedOn w:val="a"/>
    <w:qFormat/>
    <w:rsid w:val="00341EDB"/>
    <w:pPr>
      <w:numPr>
        <w:numId w:val="3"/>
      </w:numPr>
      <w:spacing w:after="120"/>
      <w:ind w:right="1134"/>
      <w:jc w:val="left"/>
    </w:pPr>
    <w:rPr>
      <w:lang w:val="fr-CH"/>
    </w:rPr>
  </w:style>
  <w:style w:type="character" w:customStyle="1" w:styleId="10">
    <w:name w:val="标题 1 字符"/>
    <w:basedOn w:val="a0"/>
    <w:link w:val="1"/>
    <w:uiPriority w:val="9"/>
    <w:rsid w:val="00341EDB"/>
    <w:rPr>
      <w:rFonts w:ascii="Times New Roman" w:eastAsia="Times New Roman" w:hAnsi="Times New Roman" w:cs="Times New Roman"/>
      <w:b/>
      <w:bCs/>
      <w:color w:val="2F5496" w:themeColor="accent1" w:themeShade="BF"/>
      <w:kern w:val="0"/>
      <w:sz w:val="28"/>
      <w:szCs w:val="28"/>
    </w:rPr>
  </w:style>
  <w:style w:type="character" w:customStyle="1" w:styleId="20">
    <w:name w:val="标题 2 字符"/>
    <w:basedOn w:val="a0"/>
    <w:link w:val="2"/>
    <w:uiPriority w:val="9"/>
    <w:semiHidden/>
    <w:rsid w:val="00341EDB"/>
    <w:rPr>
      <w:rFonts w:ascii="Times New Roman" w:eastAsia="Times New Roman" w:hAnsi="Times New Roman" w:cs="Times New Roman"/>
      <w:b/>
      <w:bCs/>
      <w:color w:val="4472C4" w:themeColor="accent1"/>
      <w:kern w:val="0"/>
      <w:sz w:val="26"/>
      <w:szCs w:val="26"/>
    </w:rPr>
  </w:style>
  <w:style w:type="character" w:customStyle="1" w:styleId="30">
    <w:name w:val="标题 3 字符"/>
    <w:basedOn w:val="a0"/>
    <w:link w:val="3"/>
    <w:uiPriority w:val="9"/>
    <w:semiHidden/>
    <w:rsid w:val="00341EDB"/>
    <w:rPr>
      <w:rFonts w:ascii="Times New Roman" w:eastAsia="Times New Roman" w:hAnsi="Times New Roman" w:cs="Times New Roman"/>
      <w:b/>
      <w:bCs/>
      <w:color w:val="4472C4" w:themeColor="accent1"/>
      <w:kern w:val="0"/>
      <w:sz w:val="22"/>
      <w:szCs w:val="21"/>
    </w:rPr>
  </w:style>
  <w:style w:type="character" w:customStyle="1" w:styleId="40">
    <w:name w:val="标题 4 字符"/>
    <w:basedOn w:val="a0"/>
    <w:link w:val="4"/>
    <w:uiPriority w:val="9"/>
    <w:semiHidden/>
    <w:rsid w:val="00341EDB"/>
    <w:rPr>
      <w:rFonts w:ascii="Times New Roman" w:eastAsia="Times New Roman" w:hAnsi="Times New Roman" w:cs="Times New Roman"/>
      <w:b/>
      <w:bCs/>
      <w:i/>
      <w:iCs/>
      <w:color w:val="4472C4" w:themeColor="accent1"/>
      <w:kern w:val="0"/>
      <w:sz w:val="22"/>
      <w:szCs w:val="21"/>
    </w:rPr>
  </w:style>
  <w:style w:type="character" w:customStyle="1" w:styleId="50">
    <w:name w:val="标题 5 字符"/>
    <w:basedOn w:val="a0"/>
    <w:link w:val="5"/>
    <w:uiPriority w:val="9"/>
    <w:semiHidden/>
    <w:rsid w:val="00341EDB"/>
    <w:rPr>
      <w:rFonts w:ascii="Times New Roman" w:eastAsia="Times New Roman" w:hAnsi="Times New Roman" w:cs="Times New Roman"/>
      <w:color w:val="1F3763" w:themeColor="accent1" w:themeShade="7F"/>
      <w:kern w:val="0"/>
      <w:sz w:val="22"/>
      <w:szCs w:val="21"/>
    </w:rPr>
  </w:style>
  <w:style w:type="character" w:customStyle="1" w:styleId="60">
    <w:name w:val="标题 6 字符"/>
    <w:basedOn w:val="a0"/>
    <w:link w:val="6"/>
    <w:uiPriority w:val="9"/>
    <w:semiHidden/>
    <w:rsid w:val="00341EDB"/>
    <w:rPr>
      <w:rFonts w:ascii="Times New Roman" w:eastAsia="Times New Roman" w:hAnsi="Times New Roman" w:cs="Times New Roman"/>
      <w:i/>
      <w:iCs/>
      <w:color w:val="1F3763" w:themeColor="accent1" w:themeShade="7F"/>
      <w:kern w:val="0"/>
      <w:sz w:val="22"/>
      <w:szCs w:val="21"/>
    </w:rPr>
  </w:style>
  <w:style w:type="character" w:customStyle="1" w:styleId="70">
    <w:name w:val="标题 7 字符"/>
    <w:basedOn w:val="a0"/>
    <w:link w:val="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80">
    <w:name w:val="标题 8 字符"/>
    <w:basedOn w:val="a0"/>
    <w:link w:val="8"/>
    <w:uiPriority w:val="9"/>
    <w:semiHidden/>
    <w:rsid w:val="00341EDB"/>
    <w:rPr>
      <w:rFonts w:ascii="Times New Roman" w:eastAsia="Times New Roman" w:hAnsi="Times New Roman" w:cs="Times New Roman"/>
      <w:color w:val="4472C4" w:themeColor="accent1"/>
      <w:kern w:val="0"/>
      <w:szCs w:val="21"/>
    </w:rPr>
  </w:style>
  <w:style w:type="character" w:customStyle="1" w:styleId="90">
    <w:name w:val="标题 9 字符"/>
    <w:basedOn w:val="a0"/>
    <w:link w:val="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3">
    <w:name w:val="表数文字"/>
    <w:basedOn w:val="a"/>
    <w:qFormat/>
    <w:rsid w:val="00341EDB"/>
    <w:pPr>
      <w:tabs>
        <w:tab w:val="left" w:pos="1134"/>
        <w:tab w:val="left" w:pos="1565"/>
        <w:tab w:val="left" w:pos="1996"/>
        <w:tab w:val="left" w:pos="2427"/>
      </w:tabs>
      <w:spacing w:before="40" w:after="40" w:line="240" w:lineRule="atLeast"/>
      <w:ind w:right="113"/>
      <w:jc w:val="left"/>
    </w:pPr>
    <w:rPr>
      <w:sz w:val="18"/>
      <w:szCs w:val="18"/>
    </w:rPr>
  </w:style>
  <w:style w:type="paragraph" w:customStyle="1" w:styleId="a4">
    <w:name w:val="表中标题"/>
    <w:basedOn w:val="a"/>
    <w:qFormat/>
    <w:rsid w:val="00341EDB"/>
    <w:pPr>
      <w:tabs>
        <w:tab w:val="left" w:pos="1134"/>
        <w:tab w:val="left" w:pos="1565"/>
        <w:tab w:val="left" w:pos="1996"/>
        <w:tab w:val="left" w:pos="2427"/>
      </w:tabs>
      <w:spacing w:before="80" w:after="80" w:line="200" w:lineRule="exact"/>
      <w:ind w:right="113"/>
      <w:jc w:val="left"/>
    </w:pPr>
    <w:rPr>
      <w:rFonts w:eastAsia="楷体"/>
      <w:sz w:val="18"/>
      <w:szCs w:val="18"/>
    </w:rPr>
  </w:style>
  <w:style w:type="paragraph" w:customStyle="1" w:styleId="a5">
    <w:name w:val="表中文字"/>
    <w:basedOn w:val="a"/>
    <w:qFormat/>
    <w:rsid w:val="00341EDB"/>
    <w:pPr>
      <w:tabs>
        <w:tab w:val="left" w:pos="1134"/>
        <w:tab w:val="left" w:pos="1565"/>
        <w:tab w:val="left" w:pos="1996"/>
        <w:tab w:val="left" w:pos="2427"/>
      </w:tabs>
      <w:spacing w:before="40" w:line="240" w:lineRule="atLeast"/>
      <w:ind w:right="113"/>
      <w:jc w:val="left"/>
    </w:pPr>
    <w:rPr>
      <w:sz w:val="18"/>
      <w:szCs w:val="18"/>
    </w:rPr>
  </w:style>
  <w:style w:type="character" w:styleId="a6">
    <w:name w:val="Hyperlink"/>
    <w:basedOn w:val="a0"/>
    <w:uiPriority w:val="99"/>
    <w:semiHidden/>
    <w:rsid w:val="00341EDB"/>
    <w:rPr>
      <w:color w:val="0563C1" w:themeColor="hyperlink"/>
      <w:u w:val="none"/>
    </w:rPr>
  </w:style>
  <w:style w:type="character" w:styleId="a7">
    <w:name w:val="FollowedHyperlink"/>
    <w:basedOn w:val="a0"/>
    <w:uiPriority w:val="99"/>
    <w:semiHidden/>
    <w:rsid w:val="00341EDB"/>
    <w:rPr>
      <w:color w:val="0000FF"/>
      <w:u w:val="none"/>
    </w:rPr>
  </w:style>
  <w:style w:type="paragraph" w:styleId="a8">
    <w:name w:val="macro"/>
    <w:link w:val="a9"/>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hAnsi="Times New Roman" w:cs="Times New Roman"/>
      <w:kern w:val="24"/>
      <w:sz w:val="24"/>
      <w:szCs w:val="24"/>
    </w:rPr>
  </w:style>
  <w:style w:type="character" w:customStyle="1" w:styleId="a9">
    <w:name w:val="宏文本 字符"/>
    <w:basedOn w:val="a0"/>
    <w:link w:val="a8"/>
    <w:semiHidden/>
    <w:rsid w:val="00341EDB"/>
    <w:rPr>
      <w:rFonts w:ascii="Times New Roman" w:eastAsia="宋体" w:hAnsi="Times New Roman" w:cs="Times New Roman"/>
      <w:kern w:val="24"/>
      <w:sz w:val="24"/>
      <w:szCs w:val="24"/>
    </w:rPr>
  </w:style>
  <w:style w:type="paragraph" w:styleId="aa">
    <w:name w:val="footnote text"/>
    <w:basedOn w:val="a"/>
    <w:link w:val="ab"/>
    <w:qFormat/>
    <w:rsid w:val="00341EDB"/>
    <w:pPr>
      <w:keepLines/>
      <w:widowControl w:val="0"/>
      <w:tabs>
        <w:tab w:val="clear" w:pos="431"/>
        <w:tab w:val="right" w:pos="1021"/>
      </w:tabs>
      <w:autoSpaceDE w:val="0"/>
      <w:autoSpaceDN w:val="0"/>
      <w:spacing w:after="120" w:line="240" w:lineRule="exact"/>
      <w:ind w:left="1134" w:right="1134" w:hanging="1134"/>
      <w:jc w:val="left"/>
    </w:pPr>
    <w:rPr>
      <w:sz w:val="18"/>
      <w:szCs w:val="18"/>
    </w:rPr>
  </w:style>
  <w:style w:type="character" w:customStyle="1" w:styleId="ab">
    <w:name w:val="脚注文本 字符"/>
    <w:basedOn w:val="a0"/>
    <w:link w:val="aa"/>
    <w:rsid w:val="00341EDB"/>
    <w:rPr>
      <w:rFonts w:ascii="Times New Roman" w:eastAsia="宋体" w:hAnsi="Times New Roman" w:cs="Times New Roman"/>
      <w:kern w:val="0"/>
      <w:sz w:val="18"/>
      <w:szCs w:val="18"/>
    </w:rPr>
  </w:style>
  <w:style w:type="character" w:styleId="ac">
    <w:name w:val="footnote reference"/>
    <w:basedOn w:val="a0"/>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目录段页次"/>
    <w:basedOn w:val="a"/>
    <w:qFormat/>
    <w:rsid w:val="00341EDB"/>
    <w:pPr>
      <w:tabs>
        <w:tab w:val="clear" w:pos="431"/>
        <w:tab w:val="right" w:pos="851"/>
        <w:tab w:val="left" w:pos="1134"/>
        <w:tab w:val="left" w:pos="1565"/>
        <w:tab w:val="right" w:leader="dot" w:pos="7655"/>
        <w:tab w:val="right" w:pos="8789"/>
        <w:tab w:val="right" w:pos="9554"/>
      </w:tabs>
      <w:spacing w:after="120"/>
      <w:ind w:left="1134" w:right="3119" w:hanging="1134"/>
      <w:jc w:val="left"/>
    </w:pPr>
  </w:style>
  <w:style w:type="paragraph" w:customStyle="1" w:styleId="ae">
    <w:name w:val="目录页次"/>
    <w:basedOn w:val="a"/>
    <w:qFormat/>
    <w:rsid w:val="00341EDB"/>
    <w:pPr>
      <w:tabs>
        <w:tab w:val="clear" w:pos="431"/>
        <w:tab w:val="right" w:pos="851"/>
        <w:tab w:val="left" w:pos="1134"/>
        <w:tab w:val="left" w:pos="1565"/>
        <w:tab w:val="right" w:leader="dot" w:pos="8789"/>
        <w:tab w:val="right" w:pos="9554"/>
      </w:tabs>
      <w:spacing w:after="120"/>
      <w:ind w:left="1134" w:right="3119" w:hanging="1134"/>
      <w:jc w:val="left"/>
    </w:pPr>
  </w:style>
  <w:style w:type="paragraph" w:customStyle="1" w:styleId="af">
    <w:name w:val="缩进正文"/>
    <w:basedOn w:val="a"/>
    <w:qFormat/>
    <w:rsid w:val="00341EDB"/>
    <w:pPr>
      <w:tabs>
        <w:tab w:val="left" w:pos="1134"/>
        <w:tab w:val="left" w:pos="1565"/>
        <w:tab w:val="left" w:pos="1996"/>
        <w:tab w:val="left" w:pos="2427"/>
      </w:tabs>
      <w:ind w:left="1565" w:right="1134"/>
      <w:jc w:val="left"/>
    </w:pPr>
    <w:rPr>
      <w:sz w:val="22"/>
    </w:rPr>
  </w:style>
  <w:style w:type="paragraph" w:styleId="af0">
    <w:name w:val="endnote text"/>
    <w:basedOn w:val="aa"/>
    <w:link w:val="af1"/>
    <w:qFormat/>
    <w:rsid w:val="00341EDB"/>
    <w:pPr>
      <w:keepLines w:val="0"/>
      <w:spacing w:after="0"/>
    </w:pPr>
  </w:style>
  <w:style w:type="character" w:customStyle="1" w:styleId="af1">
    <w:name w:val="尾注文本 字符"/>
    <w:basedOn w:val="a0"/>
    <w:link w:val="af0"/>
    <w:rsid w:val="00341EDB"/>
    <w:rPr>
      <w:rFonts w:ascii="Times New Roman" w:eastAsia="宋体" w:hAnsi="Times New Roman" w:cs="Times New Roman"/>
      <w:kern w:val="0"/>
      <w:sz w:val="18"/>
      <w:szCs w:val="18"/>
    </w:rPr>
  </w:style>
  <w:style w:type="character" w:styleId="af2">
    <w:name w:val="endnote reference"/>
    <w:basedOn w:val="ac"/>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3">
    <w:name w:val="悬挂"/>
    <w:basedOn w:val="a"/>
    <w:qFormat/>
    <w:rsid w:val="00341EDB"/>
    <w:pPr>
      <w:tabs>
        <w:tab w:val="left" w:pos="1134"/>
        <w:tab w:val="left" w:pos="1565"/>
        <w:tab w:val="left" w:pos="1996"/>
        <w:tab w:val="left" w:pos="2427"/>
      </w:tabs>
      <w:spacing w:after="120"/>
      <w:ind w:left="1565" w:right="1134" w:hanging="431"/>
      <w:jc w:val="left"/>
    </w:pPr>
  </w:style>
  <w:style w:type="paragraph" w:styleId="af4">
    <w:name w:val="footer"/>
    <w:basedOn w:val="a"/>
    <w:link w:val="af5"/>
    <w:qFormat/>
    <w:rsid w:val="00341EDB"/>
    <w:pPr>
      <w:spacing w:line="240" w:lineRule="auto"/>
      <w:jc w:val="left"/>
    </w:pPr>
    <w:rPr>
      <w:rFonts w:eastAsia="Times New Roman"/>
      <w:sz w:val="16"/>
      <w:szCs w:val="16"/>
      <w:lang w:val="en-GB" w:eastAsia="en-US"/>
    </w:rPr>
  </w:style>
  <w:style w:type="character" w:customStyle="1" w:styleId="af5">
    <w:name w:val="页脚 字符"/>
    <w:basedOn w:val="a0"/>
    <w:link w:val="af4"/>
    <w:rsid w:val="00341EDB"/>
    <w:rPr>
      <w:rFonts w:ascii="Times New Roman" w:eastAsia="Times New Roman" w:hAnsi="Times New Roman" w:cs="Times New Roman"/>
      <w:kern w:val="0"/>
      <w:sz w:val="16"/>
      <w:szCs w:val="16"/>
      <w:lang w:val="en-GB" w:eastAsia="en-US"/>
    </w:rPr>
  </w:style>
  <w:style w:type="character" w:styleId="af6">
    <w:name w:val="page number"/>
    <w:basedOn w:val="a0"/>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7">
    <w:name w:val="header"/>
    <w:basedOn w:val="a"/>
    <w:link w:val="af8"/>
    <w:qFormat/>
    <w:rsid w:val="00341EDB"/>
    <w:pPr>
      <w:pBdr>
        <w:bottom w:val="single" w:sz="4" w:space="4" w:color="auto"/>
      </w:pBdr>
      <w:tabs>
        <w:tab w:val="left" w:pos="992"/>
        <w:tab w:val="left" w:pos="5772"/>
        <w:tab w:val="left" w:pos="6634"/>
        <w:tab w:val="left" w:pos="7144"/>
        <w:tab w:val="left" w:pos="7655"/>
        <w:tab w:val="left" w:pos="8165"/>
      </w:tabs>
      <w:spacing w:line="240" w:lineRule="auto"/>
      <w:jc w:val="left"/>
    </w:pPr>
    <w:rPr>
      <w:rFonts w:eastAsia="Times New Roman"/>
      <w:b/>
      <w:snapToGrid w:val="0"/>
      <w:sz w:val="18"/>
      <w:szCs w:val="18"/>
      <w:lang w:val="en-GB" w:eastAsia="en-US"/>
    </w:rPr>
  </w:style>
  <w:style w:type="character" w:customStyle="1" w:styleId="af8">
    <w:name w:val="页眉 字符"/>
    <w:basedOn w:val="a0"/>
    <w:link w:val="af7"/>
    <w:rsid w:val="00341EDB"/>
    <w:rPr>
      <w:rFonts w:ascii="Times New Roman" w:eastAsia="Times New Roman" w:hAnsi="Times New Roman" w:cs="Times New Roman"/>
      <w:b/>
      <w:snapToGrid w:val="0"/>
      <w:kern w:val="0"/>
      <w:sz w:val="18"/>
      <w:szCs w:val="18"/>
      <w:lang w:val="en-GB" w:eastAsia="en-US"/>
    </w:rPr>
  </w:style>
  <w:style w:type="paragraph" w:styleId="af9">
    <w:name w:val="Normal (Web)"/>
    <w:basedOn w:val="a"/>
    <w:uiPriority w:val="99"/>
    <w:semiHidden/>
    <w:unhideWhenUsed/>
    <w:rsid w:val="00880DF9"/>
    <w:pPr>
      <w:tabs>
        <w:tab w:val="clear" w:pos="431"/>
      </w:tabs>
      <w:overflowPunct/>
      <w:adjustRightInd/>
      <w:snapToGrid/>
      <w:spacing w:before="100" w:beforeAutospacing="1" w:after="100" w:afterAutospacing="1" w:line="240" w:lineRule="auto"/>
      <w:jc w:val="left"/>
    </w:pPr>
    <w:rPr>
      <w:rFonts w:ascii="宋体" w:hAnsi="宋体" w:cs="宋体"/>
      <w:sz w:val="24"/>
      <w:szCs w:val="24"/>
      <w:lang w:val="es-ES"/>
    </w:rPr>
  </w:style>
  <w:style w:type="paragraph" w:styleId="afa">
    <w:name w:val="List Paragraph"/>
    <w:basedOn w:val="a"/>
    <w:uiPriority w:val="34"/>
    <w:qFormat/>
    <w:rsid w:val="002912B8"/>
    <w:pPr>
      <w:tabs>
        <w:tab w:val="clear" w:pos="431"/>
      </w:tabs>
      <w:overflowPunct/>
      <w:adjustRightInd/>
      <w:snapToGrid/>
      <w:spacing w:line="240" w:lineRule="auto"/>
      <w:ind w:left="720"/>
    </w:pPr>
    <w:rPr>
      <w:rFonts w:ascii="等线" w:eastAsia="等线" w:hAnsi="等线" w:cs="宋体"/>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88356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curities_Act_of_1933" TargetMode="External"/><Relationship Id="rId13" Type="http://schemas.openxmlformats.org/officeDocument/2006/relationships/hyperlink" Target="https://en.wikipedia.org/wiki/Due_diligence" TargetMode="External"/><Relationship Id="rId18" Type="http://schemas.openxmlformats.org/officeDocument/2006/relationships/hyperlink" Target="https://www.oecd.org/daf/inv/mne/OECD-Due-Diligence-Guidance-Minerals-Edition3.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OECD" TargetMode="External"/><Relationship Id="rId17" Type="http://schemas.openxmlformats.org/officeDocument/2006/relationships/hyperlink" Target="https://www.undocs.org/zh/S/RES/1952%282010%29" TargetMode="External"/><Relationship Id="rId2" Type="http://schemas.openxmlformats.org/officeDocument/2006/relationships/numbering" Target="numbering.xml"/><Relationship Id="rId16" Type="http://schemas.openxmlformats.org/officeDocument/2006/relationships/hyperlink" Target="https://www.un.org/chinese/aboutun/prinorgs/sc/sres/09/s1896.htm" TargetMode="External"/><Relationship Id="rId20" Type="http://schemas.openxmlformats.org/officeDocument/2006/relationships/hyperlink" Target="http://mneguidelines.oecd.org/OECD-Due-Diligence-Guidance-for-RBC-Chine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ecurities" TargetMode="External"/><Relationship Id="rId5" Type="http://schemas.openxmlformats.org/officeDocument/2006/relationships/webSettings" Target="webSettings.xml"/><Relationship Id="rId15" Type="http://schemas.openxmlformats.org/officeDocument/2006/relationships/hyperlink" Target="https://en.wikipedia.org/wiki/Human_Rights_Impact_Assessment" TargetMode="External"/><Relationship Id="rId10" Type="http://schemas.openxmlformats.org/officeDocument/2006/relationships/hyperlink" Target="https://en.wikipedia.org/w/index.php?title=Material_information&amp;action=edit&amp;redlink=1" TargetMode="External"/><Relationship Id="rId19" Type="http://schemas.openxmlformats.org/officeDocument/2006/relationships/hyperlink" Target="https://www.oecd.org/investment/due-diligence-guidance-for-responsible-business-conduct.htm" TargetMode="External"/><Relationship Id="rId4" Type="http://schemas.openxmlformats.org/officeDocument/2006/relationships/settings" Target="settings.xml"/><Relationship Id="rId9" Type="http://schemas.openxmlformats.org/officeDocument/2006/relationships/hyperlink" Target="https://en.wikipedia.org/wiki/Broker-dealer" TargetMode="External"/><Relationship Id="rId14" Type="http://schemas.openxmlformats.org/officeDocument/2006/relationships/hyperlink" Target="https://en.wikipedia.org/wiki/John_Ruggie"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A0F5C-53A0-4722-BE05-A0FF94D4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Dai</dc:creator>
  <cp:keywords/>
  <dc:description/>
  <cp:lastModifiedBy>Xiaoling Li</cp:lastModifiedBy>
  <cp:revision>2</cp:revision>
  <dcterms:created xsi:type="dcterms:W3CDTF">2021-06-21T12:02:00Z</dcterms:created>
  <dcterms:modified xsi:type="dcterms:W3CDTF">2021-06-21T12:02:00Z</dcterms:modified>
</cp:coreProperties>
</file>