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4978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cs="Times New Roman" w:hint="eastAsia"/>
          <w:sz w:val="21"/>
          <w:szCs w:val="21"/>
        </w:rPr>
        <w:t>“</w:t>
      </w:r>
      <w:proofErr w:type="gramStart"/>
      <w:r>
        <w:rPr>
          <w:rFonts w:cs="Times New Roman" w:hint="eastAsia"/>
          <w:sz w:val="21"/>
          <w:szCs w:val="21"/>
        </w:rPr>
        <w:t>强行法”和</w:t>
      </w:r>
      <w:proofErr w:type="gramEnd"/>
      <w:r>
        <w:rPr>
          <w:rFonts w:cs="Times New Roman" w:hint="eastAsia"/>
          <w:sz w:val="21"/>
          <w:szCs w:val="21"/>
        </w:rPr>
        <w:t>“一般法律原则”专题：</w:t>
      </w:r>
    </w:p>
    <w:p w14:paraId="08C940F6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hierarchy/hierarchical/hierarchically/</w:t>
      </w:r>
      <w:r>
        <w:rPr>
          <w:rFonts w:cs="Times New Roman" w:hint="eastAsia"/>
          <w:sz w:val="21"/>
          <w:szCs w:val="21"/>
        </w:rPr>
        <w:t>一词，</w:t>
      </w:r>
      <w:proofErr w:type="gramStart"/>
      <w:r>
        <w:rPr>
          <w:rFonts w:cs="Times New Roman" w:hint="eastAsia"/>
          <w:sz w:val="21"/>
          <w:szCs w:val="21"/>
        </w:rPr>
        <w:t>原译“</w:t>
      </w:r>
      <w:proofErr w:type="gramEnd"/>
      <w:r>
        <w:rPr>
          <w:rFonts w:cs="Times New Roman" w:hint="eastAsia"/>
          <w:sz w:val="21"/>
          <w:szCs w:val="21"/>
        </w:rPr>
        <w:t>等级”，现改为“位阶”：</w:t>
      </w:r>
    </w:p>
    <w:p w14:paraId="2BCDD1F8" w14:textId="77777777" w:rsidR="00FB6713" w:rsidRDefault="00FB6713" w:rsidP="00FB6713">
      <w:pPr>
        <w:pStyle w:val="singletxtg"/>
        <w:spacing w:before="0" w:beforeAutospacing="0" w:after="120" w:afterAutospacing="0" w:line="240" w:lineRule="atLeast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11FCDE34" w14:textId="77777777" w:rsidR="00FB6713" w:rsidRDefault="00FB6713" w:rsidP="00FB6713">
      <w:pPr>
        <w:pStyle w:val="singletxtg"/>
        <w:spacing w:before="0" w:beforeAutospacing="0" w:after="120" w:afterAutospacing="0" w:line="240" w:lineRule="atLeast"/>
        <w:ind w:righ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hint="eastAsia"/>
          <w:sz w:val="21"/>
          <w:szCs w:val="21"/>
        </w:rPr>
        <w:t>如“强行法”结论草案</w:t>
      </w:r>
      <w:r>
        <w:rPr>
          <w:rFonts w:ascii="Times New Roman" w:hAnsi="Times New Roman" w:cs="Times New Roman"/>
          <w:sz w:val="21"/>
          <w:szCs w:val="21"/>
          <w:lang w:val="en-GB"/>
        </w:rPr>
        <w:t>2</w:t>
      </w:r>
      <w:r>
        <w:rPr>
          <w:rFonts w:cs="Times New Roman" w:hint="eastAsia"/>
          <w:sz w:val="21"/>
          <w:szCs w:val="21"/>
        </w:rPr>
        <w:t>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CE532D4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原文：</w:t>
      </w:r>
      <w:r>
        <w:rPr>
          <w:rFonts w:ascii="Times New Roman" w:hAnsi="Times New Roman" w:cs="Times New Roman"/>
          <w:sz w:val="21"/>
          <w:szCs w:val="21"/>
        </w:rPr>
        <w:t>They are universally applicable and are hierarchically superior to other rules of international law.</w:t>
      </w:r>
    </w:p>
    <w:p w14:paraId="6FDBC2DC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原译：这些规范普遍适用，其</w:t>
      </w:r>
      <w:r>
        <w:rPr>
          <w:rFonts w:cs="Times New Roman" w:hint="eastAsia"/>
          <w:color w:val="FF0000"/>
          <w:sz w:val="21"/>
          <w:szCs w:val="21"/>
        </w:rPr>
        <w:t>等级</w:t>
      </w:r>
      <w:r>
        <w:rPr>
          <w:rFonts w:cs="Times New Roman" w:hint="eastAsia"/>
          <w:sz w:val="21"/>
          <w:szCs w:val="21"/>
        </w:rPr>
        <w:t>高于国际法其他规则。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CCF5593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改译：这些规范普遍适用，其</w:t>
      </w:r>
      <w:r>
        <w:rPr>
          <w:rFonts w:cs="Times New Roman" w:hint="eastAsia"/>
          <w:color w:val="FF0000"/>
          <w:sz w:val="21"/>
          <w:szCs w:val="21"/>
        </w:rPr>
        <w:t>位阶</w:t>
      </w:r>
      <w:r>
        <w:rPr>
          <w:rFonts w:cs="Times New Roman" w:hint="eastAsia"/>
          <w:sz w:val="21"/>
          <w:szCs w:val="21"/>
        </w:rPr>
        <w:t>高于国际法其他规则。</w:t>
      </w:r>
    </w:p>
    <w:p w14:paraId="1912D8B9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GB"/>
        </w:rPr>
        <w:t> </w:t>
      </w:r>
    </w:p>
    <w:p w14:paraId="0310EF67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“一般法律原则”结论草案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cs="Times New Roman" w:hint="eastAsia"/>
          <w:sz w:val="21"/>
          <w:szCs w:val="21"/>
        </w:rPr>
        <w:t>：</w:t>
      </w:r>
    </w:p>
    <w:p w14:paraId="3BBCECC1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原文：</w:t>
      </w:r>
      <w:r>
        <w:rPr>
          <w:rFonts w:ascii="Times New Roman" w:hAnsi="Times New Roman" w:cs="Times New Roman"/>
          <w:sz w:val="21"/>
          <w:szCs w:val="21"/>
        </w:rPr>
        <w:t>General principles of law are not in a hierarchical relationship with treaties and customary international law.</w:t>
      </w:r>
    </w:p>
    <w:p w14:paraId="59D373A4" w14:textId="77777777" w:rsidR="00FB6713" w:rsidRDefault="00FB6713" w:rsidP="00FB6713">
      <w:pPr>
        <w:pStyle w:val="FootnoteText"/>
        <w:spacing w:after="60" w:line="240" w:lineRule="atLeast"/>
      </w:pPr>
      <w:r>
        <w:rPr>
          <w:rFonts w:hint="eastAsia"/>
          <w:sz w:val="21"/>
          <w:szCs w:val="21"/>
        </w:rPr>
        <w:t>原译：一般法律原则与条约和习惯国际法不存在</w:t>
      </w:r>
      <w:r>
        <w:rPr>
          <w:rFonts w:hint="eastAsia"/>
          <w:color w:val="FF0000"/>
          <w:sz w:val="21"/>
          <w:szCs w:val="21"/>
        </w:rPr>
        <w:t>等级</w:t>
      </w:r>
      <w:r>
        <w:rPr>
          <w:rFonts w:hint="eastAsia"/>
          <w:sz w:val="21"/>
          <w:szCs w:val="21"/>
        </w:rPr>
        <w:t>关系。</w:t>
      </w:r>
    </w:p>
    <w:p w14:paraId="20084F05" w14:textId="77777777" w:rsidR="00FB6713" w:rsidRDefault="00FB6713" w:rsidP="00FB6713">
      <w:pPr>
        <w:pStyle w:val="FootnoteText"/>
        <w:spacing w:after="60" w:line="240" w:lineRule="atLeast"/>
      </w:pPr>
      <w:r>
        <w:rPr>
          <w:rFonts w:hint="eastAsia"/>
          <w:sz w:val="21"/>
          <w:szCs w:val="21"/>
        </w:rPr>
        <w:t>改译：一般法律原则与条约和习惯国际法不</w:t>
      </w:r>
      <w:proofErr w:type="gramStart"/>
      <w:r>
        <w:rPr>
          <w:rFonts w:hint="eastAsia"/>
          <w:sz w:val="21"/>
          <w:szCs w:val="21"/>
        </w:rPr>
        <w:t>存在</w:t>
      </w:r>
      <w:r>
        <w:rPr>
          <w:rFonts w:hint="eastAsia"/>
          <w:color w:val="FF0000"/>
          <w:sz w:val="21"/>
          <w:szCs w:val="21"/>
        </w:rPr>
        <w:t>位</w:t>
      </w:r>
      <w:proofErr w:type="gramEnd"/>
      <w:r>
        <w:rPr>
          <w:rFonts w:hint="eastAsia"/>
          <w:color w:val="FF0000"/>
          <w:sz w:val="21"/>
          <w:szCs w:val="21"/>
        </w:rPr>
        <w:t>阶</w:t>
      </w:r>
      <w:r>
        <w:rPr>
          <w:rFonts w:hint="eastAsia"/>
          <w:sz w:val="21"/>
          <w:szCs w:val="21"/>
        </w:rPr>
        <w:t>关系。</w:t>
      </w:r>
      <w:r>
        <w:rPr>
          <w:sz w:val="21"/>
          <w:szCs w:val="21"/>
        </w:rPr>
        <w:t xml:space="preserve">      </w:t>
      </w:r>
      <w:r>
        <w:t xml:space="preserve">         </w:t>
      </w:r>
    </w:p>
    <w:p w14:paraId="79CC30A1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29728B13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>
        <w:rPr>
          <w:rFonts w:cs="Times New Roman" w:hint="eastAsia"/>
          <w:sz w:val="21"/>
          <w:szCs w:val="21"/>
        </w:rPr>
        <w:t>“</w:t>
      </w:r>
      <w:proofErr w:type="gramStart"/>
      <w:r>
        <w:rPr>
          <w:rFonts w:cs="Times New Roman" w:hint="eastAsia"/>
          <w:sz w:val="21"/>
          <w:szCs w:val="21"/>
        </w:rPr>
        <w:t>国家官员的刑事管辖豁免”专题</w:t>
      </w:r>
      <w:proofErr w:type="gramEnd"/>
      <w:r>
        <w:rPr>
          <w:rFonts w:cs="Times New Roman" w:hint="eastAsia"/>
          <w:sz w:val="21"/>
          <w:szCs w:val="21"/>
        </w:rPr>
        <w:t>：</w:t>
      </w:r>
    </w:p>
    <w:p w14:paraId="2A4E11AC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第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cs="Times New Roman" w:hint="eastAsia"/>
          <w:sz w:val="21"/>
          <w:szCs w:val="21"/>
        </w:rPr>
        <w:t>条草案第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cs="Times New Roman" w:hint="eastAsia"/>
          <w:sz w:val="21"/>
          <w:szCs w:val="21"/>
        </w:rPr>
        <w:t>款中</w:t>
      </w:r>
      <w:r>
        <w:rPr>
          <w:rFonts w:ascii="Times New Roman" w:hAnsi="Times New Roman" w:cs="Times New Roman"/>
          <w:sz w:val="21"/>
          <w:szCs w:val="21"/>
        </w:rPr>
        <w:t>express</w:t>
      </w:r>
      <w:r>
        <w:rPr>
          <w:rFonts w:cs="Times New Roman" w:hint="eastAsia"/>
          <w:sz w:val="21"/>
          <w:szCs w:val="21"/>
        </w:rPr>
        <w:t>一词改译为“明示”：</w:t>
      </w:r>
    </w:p>
    <w:p w14:paraId="1008CF0D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3CFBD7DA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原文：</w:t>
      </w:r>
      <w:r>
        <w:rPr>
          <w:rFonts w:ascii="Times New Roman" w:hAnsi="Times New Roman" w:cs="Times New Roman"/>
          <w:sz w:val="21"/>
          <w:szCs w:val="21"/>
        </w:rPr>
        <w:t>Waiver of immunity must always be express and in writing.</w:t>
      </w:r>
    </w:p>
    <w:p w14:paraId="24948D87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原译：放弃豁免必须总是以书面形式</w:t>
      </w:r>
      <w:r>
        <w:rPr>
          <w:rFonts w:cs="Times New Roman" w:hint="eastAsia"/>
          <w:color w:val="FF0000"/>
          <w:sz w:val="21"/>
          <w:szCs w:val="21"/>
        </w:rPr>
        <w:t>明确地表达</w:t>
      </w:r>
      <w:r>
        <w:rPr>
          <w:rFonts w:cs="Times New Roman" w:hint="eastAsia"/>
          <w:sz w:val="21"/>
          <w:szCs w:val="21"/>
        </w:rPr>
        <w:t>。</w:t>
      </w:r>
    </w:p>
    <w:p w14:paraId="72064AE2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改译：放弃豁免必须总是以书面形式</w:t>
      </w:r>
      <w:r>
        <w:rPr>
          <w:rFonts w:cs="Times New Roman" w:hint="eastAsia"/>
          <w:color w:val="FF0000"/>
          <w:sz w:val="21"/>
          <w:szCs w:val="21"/>
        </w:rPr>
        <w:t>明示</w:t>
      </w:r>
      <w:r>
        <w:rPr>
          <w:rFonts w:cs="Times New Roman" w:hint="eastAsia"/>
          <w:sz w:val="21"/>
          <w:szCs w:val="21"/>
        </w:rPr>
        <w:t>。</w:t>
      </w:r>
    </w:p>
    <w:p w14:paraId="7673ADF2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4EE501D8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international community of states</w:t>
      </w:r>
      <w:r>
        <w:rPr>
          <w:rFonts w:cs="Times New Roman" w:hint="eastAsia"/>
          <w:sz w:val="21"/>
          <w:szCs w:val="21"/>
        </w:rPr>
        <w:t>与</w:t>
      </w:r>
      <w:r>
        <w:rPr>
          <w:rFonts w:ascii="Times New Roman" w:hAnsi="Times New Roman" w:cs="Times New Roman"/>
          <w:sz w:val="21"/>
          <w:szCs w:val="21"/>
        </w:rPr>
        <w:t xml:space="preserve">community of nations </w:t>
      </w:r>
    </w:p>
    <w:p w14:paraId="428488B8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717DDF18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这两个词分别在“强行法”和“一般法律原则”专题中涉及，前者参照</w:t>
      </w:r>
      <w:r>
        <w:rPr>
          <w:rFonts w:ascii="Times New Roman" w:hAnsi="Times New Roman" w:cs="Times New Roman"/>
          <w:sz w:val="21"/>
          <w:szCs w:val="21"/>
        </w:rPr>
        <w:t>1969</w:t>
      </w:r>
      <w:r>
        <w:rPr>
          <w:rFonts w:cs="Times New Roman" w:hint="eastAsia"/>
          <w:sz w:val="21"/>
          <w:szCs w:val="21"/>
        </w:rPr>
        <w:t>年《维也纳条约法公约》，译为“国家组成之国际社会”，后者作为对</w:t>
      </w:r>
      <w:r>
        <w:rPr>
          <w:rFonts w:ascii="Times New Roman" w:hAnsi="Times New Roman" w:cs="Times New Roman"/>
          <w:sz w:val="21"/>
          <w:szCs w:val="21"/>
        </w:rPr>
        <w:t>civilized nations(</w:t>
      </w:r>
      <w:r>
        <w:rPr>
          <w:rFonts w:cs="Times New Roman" w:hint="eastAsia"/>
          <w:sz w:val="21"/>
          <w:szCs w:val="21"/>
        </w:rPr>
        <w:t>“文明各国”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cs="Times New Roman" w:hint="eastAsia"/>
          <w:sz w:val="21"/>
          <w:szCs w:val="21"/>
        </w:rPr>
        <w:t>的改进，暂时沿用《公民及政治权利国际公约》作准文本中的译法，译为“各国”</w:t>
      </w:r>
    </w:p>
    <w:p w14:paraId="04E49D46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51723C27" w14:textId="77777777" w:rsidR="00FB6713" w:rsidRDefault="00FB6713" w:rsidP="00FB6713">
      <w:pPr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值得注意的是，</w:t>
      </w:r>
      <w:r>
        <w:rPr>
          <w:rFonts w:ascii="Times New Roman" w:hAnsi="Times New Roman" w:cs="Times New Roman"/>
          <w:sz w:val="21"/>
          <w:szCs w:val="21"/>
        </w:rPr>
        <w:t>international community of states as a whole</w:t>
      </w:r>
      <w:r>
        <w:rPr>
          <w:rFonts w:cs="Times New Roman" w:hint="eastAsia"/>
          <w:sz w:val="21"/>
          <w:szCs w:val="21"/>
        </w:rPr>
        <w:t>，原译“国家组成之国际社会</w:t>
      </w:r>
      <w:r>
        <w:rPr>
          <w:rFonts w:cs="Times New Roman" w:hint="eastAsia"/>
          <w:color w:val="FF0000"/>
          <w:sz w:val="21"/>
          <w:szCs w:val="21"/>
        </w:rPr>
        <w:t>全体</w:t>
      </w:r>
      <w:r>
        <w:rPr>
          <w:rFonts w:cs="Times New Roman" w:hint="eastAsia"/>
          <w:sz w:val="21"/>
          <w:szCs w:val="21"/>
        </w:rPr>
        <w:t>”，后根据新增加评注的解释，考虑到这里强调的不是数量上的全部，而是各国作为一个整体，改译为“国家组成之国际社会</w:t>
      </w:r>
      <w:r>
        <w:rPr>
          <w:rFonts w:cs="Times New Roman" w:hint="eastAsia"/>
          <w:color w:val="FF0000"/>
          <w:sz w:val="21"/>
          <w:szCs w:val="21"/>
        </w:rPr>
        <w:t>整体</w:t>
      </w:r>
      <w:r>
        <w:rPr>
          <w:rFonts w:cs="Times New Roman"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D201996" w14:textId="77777777" w:rsidR="00FB6713" w:rsidRPr="00C51DBA" w:rsidRDefault="00FB6713" w:rsidP="00B70816"/>
    <w:sectPr w:rsidR="00FB6713" w:rsidRPr="00C51DB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1CD5" w14:textId="77777777" w:rsidR="00EF7F24" w:rsidRDefault="00EF7F24" w:rsidP="00E63D9E">
      <w:r>
        <w:separator/>
      </w:r>
    </w:p>
  </w:endnote>
  <w:endnote w:type="continuationSeparator" w:id="0">
    <w:p w14:paraId="661CBBD4" w14:textId="77777777" w:rsidR="00EF7F24" w:rsidRDefault="00EF7F24" w:rsidP="00E6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9535" w14:textId="77777777" w:rsidR="00EF7F24" w:rsidRDefault="00EF7F24" w:rsidP="00E63D9E">
      <w:r>
        <w:separator/>
      </w:r>
    </w:p>
  </w:footnote>
  <w:footnote w:type="continuationSeparator" w:id="0">
    <w:p w14:paraId="71785829" w14:textId="77777777" w:rsidR="00EF7F24" w:rsidRDefault="00EF7F24" w:rsidP="00E6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24"/>
    <w:rsid w:val="00031378"/>
    <w:rsid w:val="0004615A"/>
    <w:rsid w:val="00052729"/>
    <w:rsid w:val="000538FF"/>
    <w:rsid w:val="000774A7"/>
    <w:rsid w:val="00080AA8"/>
    <w:rsid w:val="0009079B"/>
    <w:rsid w:val="000A1496"/>
    <w:rsid w:val="000B33B2"/>
    <w:rsid w:val="000C69F0"/>
    <w:rsid w:val="000E05CC"/>
    <w:rsid w:val="000E7EAB"/>
    <w:rsid w:val="000F0426"/>
    <w:rsid w:val="000F2AD1"/>
    <w:rsid w:val="00106F6F"/>
    <w:rsid w:val="00125F0C"/>
    <w:rsid w:val="001509E5"/>
    <w:rsid w:val="00160BB2"/>
    <w:rsid w:val="00167CE6"/>
    <w:rsid w:val="00184303"/>
    <w:rsid w:val="00187054"/>
    <w:rsid w:val="00192367"/>
    <w:rsid w:val="001C65EF"/>
    <w:rsid w:val="001E31C9"/>
    <w:rsid w:val="001E43D8"/>
    <w:rsid w:val="001E518A"/>
    <w:rsid w:val="001F33E9"/>
    <w:rsid w:val="001F39AB"/>
    <w:rsid w:val="00202DEB"/>
    <w:rsid w:val="002247F0"/>
    <w:rsid w:val="00234455"/>
    <w:rsid w:val="0024211F"/>
    <w:rsid w:val="002749E2"/>
    <w:rsid w:val="00276177"/>
    <w:rsid w:val="00292ED1"/>
    <w:rsid w:val="00293C41"/>
    <w:rsid w:val="002D384B"/>
    <w:rsid w:val="002D41A9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C5C4B"/>
    <w:rsid w:val="003D43DE"/>
    <w:rsid w:val="003D6693"/>
    <w:rsid w:val="003E1AD4"/>
    <w:rsid w:val="003E673A"/>
    <w:rsid w:val="003F1A7C"/>
    <w:rsid w:val="004017B9"/>
    <w:rsid w:val="00460699"/>
    <w:rsid w:val="00462455"/>
    <w:rsid w:val="0048758C"/>
    <w:rsid w:val="004A2A5F"/>
    <w:rsid w:val="004D5634"/>
    <w:rsid w:val="004D5F8A"/>
    <w:rsid w:val="004E3785"/>
    <w:rsid w:val="004E6B50"/>
    <w:rsid w:val="004F7CBA"/>
    <w:rsid w:val="00522D1A"/>
    <w:rsid w:val="00534217"/>
    <w:rsid w:val="00534AEE"/>
    <w:rsid w:val="00536B3E"/>
    <w:rsid w:val="005533BB"/>
    <w:rsid w:val="00575FD0"/>
    <w:rsid w:val="00595A77"/>
    <w:rsid w:val="00595B29"/>
    <w:rsid w:val="005A0ADB"/>
    <w:rsid w:val="005A42CD"/>
    <w:rsid w:val="005A5283"/>
    <w:rsid w:val="006124DD"/>
    <w:rsid w:val="0061256F"/>
    <w:rsid w:val="00640C32"/>
    <w:rsid w:val="00645D43"/>
    <w:rsid w:val="006463AF"/>
    <w:rsid w:val="0069194B"/>
    <w:rsid w:val="00694A39"/>
    <w:rsid w:val="006B504C"/>
    <w:rsid w:val="006D1232"/>
    <w:rsid w:val="006D1828"/>
    <w:rsid w:val="006D358E"/>
    <w:rsid w:val="006D4C61"/>
    <w:rsid w:val="006F2C96"/>
    <w:rsid w:val="00700DCD"/>
    <w:rsid w:val="00710E8D"/>
    <w:rsid w:val="00712522"/>
    <w:rsid w:val="00734E94"/>
    <w:rsid w:val="007572BE"/>
    <w:rsid w:val="00795924"/>
    <w:rsid w:val="007B3C2C"/>
    <w:rsid w:val="007B6E54"/>
    <w:rsid w:val="007D77CA"/>
    <w:rsid w:val="007E2819"/>
    <w:rsid w:val="007E33E8"/>
    <w:rsid w:val="007F1000"/>
    <w:rsid w:val="007F36EC"/>
    <w:rsid w:val="007F47F6"/>
    <w:rsid w:val="00856495"/>
    <w:rsid w:val="008654BA"/>
    <w:rsid w:val="008A3529"/>
    <w:rsid w:val="008A5AD8"/>
    <w:rsid w:val="008A750D"/>
    <w:rsid w:val="008A7A33"/>
    <w:rsid w:val="008F109A"/>
    <w:rsid w:val="008F324B"/>
    <w:rsid w:val="0090127B"/>
    <w:rsid w:val="00904763"/>
    <w:rsid w:val="00940310"/>
    <w:rsid w:val="0095659E"/>
    <w:rsid w:val="00964DB5"/>
    <w:rsid w:val="00977CC1"/>
    <w:rsid w:val="00997342"/>
    <w:rsid w:val="009A3C4C"/>
    <w:rsid w:val="009B7385"/>
    <w:rsid w:val="009C3FDD"/>
    <w:rsid w:val="009D11D4"/>
    <w:rsid w:val="009D1BEE"/>
    <w:rsid w:val="009D253E"/>
    <w:rsid w:val="009F1FA7"/>
    <w:rsid w:val="00A018F4"/>
    <w:rsid w:val="00A27BD7"/>
    <w:rsid w:val="00A35CC4"/>
    <w:rsid w:val="00A50493"/>
    <w:rsid w:val="00A54750"/>
    <w:rsid w:val="00A62BE3"/>
    <w:rsid w:val="00A704EA"/>
    <w:rsid w:val="00A91711"/>
    <w:rsid w:val="00A92B8E"/>
    <w:rsid w:val="00AC163A"/>
    <w:rsid w:val="00AD1B5E"/>
    <w:rsid w:val="00AE0C2F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91C61"/>
    <w:rsid w:val="00B96D25"/>
    <w:rsid w:val="00BC223C"/>
    <w:rsid w:val="00BD19DD"/>
    <w:rsid w:val="00BE1D71"/>
    <w:rsid w:val="00BF7324"/>
    <w:rsid w:val="00C05691"/>
    <w:rsid w:val="00C118F6"/>
    <w:rsid w:val="00C140AD"/>
    <w:rsid w:val="00C26F8E"/>
    <w:rsid w:val="00C27E78"/>
    <w:rsid w:val="00C455A6"/>
    <w:rsid w:val="00C46DC9"/>
    <w:rsid w:val="00C51DBA"/>
    <w:rsid w:val="00C57B83"/>
    <w:rsid w:val="00C66BCE"/>
    <w:rsid w:val="00C75F51"/>
    <w:rsid w:val="00C84352"/>
    <w:rsid w:val="00CA5828"/>
    <w:rsid w:val="00CB0D23"/>
    <w:rsid w:val="00CD4CDC"/>
    <w:rsid w:val="00D10455"/>
    <w:rsid w:val="00D13920"/>
    <w:rsid w:val="00D2623D"/>
    <w:rsid w:val="00D2715B"/>
    <w:rsid w:val="00D348C9"/>
    <w:rsid w:val="00D548A3"/>
    <w:rsid w:val="00D5659A"/>
    <w:rsid w:val="00D956D2"/>
    <w:rsid w:val="00DB3D6E"/>
    <w:rsid w:val="00DC4721"/>
    <w:rsid w:val="00DD0927"/>
    <w:rsid w:val="00DD44A7"/>
    <w:rsid w:val="00E07165"/>
    <w:rsid w:val="00E377F2"/>
    <w:rsid w:val="00E43081"/>
    <w:rsid w:val="00E52BE0"/>
    <w:rsid w:val="00E60DA1"/>
    <w:rsid w:val="00E63D9E"/>
    <w:rsid w:val="00E70693"/>
    <w:rsid w:val="00E8720E"/>
    <w:rsid w:val="00E94749"/>
    <w:rsid w:val="00E97519"/>
    <w:rsid w:val="00EA043E"/>
    <w:rsid w:val="00EA4AF0"/>
    <w:rsid w:val="00EF7F24"/>
    <w:rsid w:val="00F158C5"/>
    <w:rsid w:val="00F2515B"/>
    <w:rsid w:val="00F34FB2"/>
    <w:rsid w:val="00F7502C"/>
    <w:rsid w:val="00F75230"/>
    <w:rsid w:val="00F75FC2"/>
    <w:rsid w:val="00F81C97"/>
    <w:rsid w:val="00F82388"/>
    <w:rsid w:val="00FA3A43"/>
    <w:rsid w:val="00FA57EA"/>
    <w:rsid w:val="00FA5C03"/>
    <w:rsid w:val="00FB671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3E965"/>
  <w15:docId w15:val="{46F1C25A-0F39-41C0-89E7-6858A09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13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41EDB"/>
    <w:pPr>
      <w:keepNext/>
      <w:keepLines/>
      <w:tabs>
        <w:tab w:val="left" w:pos="431"/>
      </w:tabs>
      <w:adjustRightInd w:val="0"/>
      <w:snapToGrid w:val="0"/>
      <w:spacing w:before="480" w:line="276" w:lineRule="auto"/>
      <w:outlineLvl w:val="0"/>
    </w:pPr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1"/>
    </w:pPr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2"/>
    </w:pPr>
    <w:rPr>
      <w:rFonts w:ascii="Times New Roman" w:eastAsia="Times New Roman" w:hAnsi="Times New Roman" w:cs="Times New Roman"/>
      <w:b/>
      <w:bCs/>
      <w:color w:val="4472C4" w:themeColor="accent1"/>
      <w:sz w:val="22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3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4"/>
    </w:pPr>
    <w:rPr>
      <w:rFonts w:ascii="Times New Roman" w:eastAsia="Times New Roman" w:hAnsi="Times New Roman" w:cs="Times New Roman"/>
      <w:color w:val="1F3763" w:themeColor="accent1" w:themeShade="7F"/>
      <w:sz w:val="22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5"/>
    </w:pPr>
    <w:rPr>
      <w:rFonts w:ascii="Times New Roman" w:eastAsia="Times New Roman" w:hAnsi="Times New Roman" w:cs="Times New Roman"/>
      <w:i/>
      <w:iCs/>
      <w:color w:val="1F3763" w:themeColor="accent1" w:themeShade="7F"/>
      <w:sz w:val="22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6"/>
    </w:pPr>
    <w:rPr>
      <w:rFonts w:ascii="Times New Roman" w:eastAsia="Times New Roman" w:hAnsi="Times New Roman" w:cs="Times New Roman"/>
      <w:i/>
      <w:iCs/>
      <w:color w:val="404040" w:themeColor="text1" w:themeTint="BF"/>
      <w:sz w:val="22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7"/>
    </w:pPr>
    <w:rPr>
      <w:rFonts w:ascii="Times New Roman" w:eastAsia="Times New Roman" w:hAnsi="Times New Roman" w:cs="Times New Roman"/>
      <w:color w:val="4472C4" w:themeColor="accen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8"/>
    </w:pPr>
    <w:rPr>
      <w:rFonts w:ascii="Times New Roman" w:eastAsia="Times New Roman" w:hAnsi="Times New Roman" w:cs="Times New Roman"/>
      <w:i/>
      <w:iCs/>
      <w:color w:val="404040" w:themeColor="text1" w:themeTint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240" w:line="440" w:lineRule="exact"/>
      <w:ind w:left="1134" w:right="1134" w:hanging="1134"/>
    </w:pPr>
    <w:rPr>
      <w:rFonts w:ascii="Times New Roman" w:eastAsia="黑体" w:hAnsi="Times New Roman" w:cs="Times New Roman"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400" w:lineRule="exact"/>
      <w:ind w:left="1134" w:right="1134" w:hanging="1134"/>
    </w:pPr>
    <w:rPr>
      <w:rFonts w:ascii="Times New Roman" w:eastAsia="黑体" w:hAnsi="Times New Roman" w:cs="Times New Roman"/>
      <w:sz w:val="28"/>
      <w:szCs w:val="28"/>
    </w:rPr>
  </w:style>
  <w:style w:type="paragraph" w:customStyle="1" w:styleId="H1GC">
    <w:name w:val="_ H_1_GC"/>
    <w:basedOn w:val="Normal"/>
    <w:next w:val="Normal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320" w:lineRule="exact"/>
      <w:ind w:left="1134" w:right="1134" w:hanging="1134"/>
    </w:pPr>
    <w:rPr>
      <w:rFonts w:ascii="Times New Roman" w:eastAsia="黑体" w:hAnsi="Times New Roman" w:cs="Times New Roman"/>
    </w:rPr>
  </w:style>
  <w:style w:type="paragraph" w:customStyle="1" w:styleId="H23GC">
    <w:name w:val="_ H_2/3_GC"/>
    <w:basedOn w:val="Normal"/>
    <w:next w:val="Normal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</w:pPr>
    <w:rPr>
      <w:rFonts w:ascii="Times New Roman" w:eastAsia="黑体" w:hAnsi="Times New Roman" w:cs="Times New Roman"/>
      <w:sz w:val="22"/>
      <w:szCs w:val="22"/>
    </w:rPr>
  </w:style>
  <w:style w:type="paragraph" w:customStyle="1" w:styleId="H4GC">
    <w:name w:val="_ H_4_GC"/>
    <w:basedOn w:val="Normal"/>
    <w:next w:val="Normal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</w:pPr>
    <w:rPr>
      <w:rFonts w:ascii="Times New Roman" w:eastAsia="楷体" w:hAnsi="Times New Roman" w:cs="Times New Roman"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</w:pPr>
    <w:rPr>
      <w:rFonts w:ascii="Times New Roman" w:hAnsi="Times New Roman" w:cs="Times New Roman"/>
      <w:sz w:val="21"/>
      <w:szCs w:val="21"/>
    </w:rPr>
  </w:style>
  <w:style w:type="paragraph" w:customStyle="1" w:styleId="SingleTxtGC">
    <w:name w:val="_ Single Txt_GC"/>
    <w:basedOn w:val="Normal"/>
    <w:link w:val="SingleTxtGCChar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134" w:right="1134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SingleTxtGCChar">
    <w:name w:val="_ Single Txt_GC Char"/>
    <w:basedOn w:val="DefaultParagraphFont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Normal"/>
    <w:next w:val="Normal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560" w:lineRule="exact"/>
      <w:ind w:left="1134" w:right="1134"/>
    </w:pPr>
    <w:rPr>
      <w:rFonts w:ascii="Times New Roman" w:eastAsia="黑体" w:hAnsi="Times New Roman" w:cs="Times New Roman"/>
      <w:sz w:val="56"/>
      <w:szCs w:val="56"/>
    </w:rPr>
  </w:style>
  <w:style w:type="paragraph" w:customStyle="1" w:styleId="SMGC">
    <w:name w:val="__S_M_GC"/>
    <w:basedOn w:val="Normal"/>
    <w:next w:val="Normal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400" w:lineRule="exact"/>
      <w:ind w:left="1134" w:right="1134"/>
    </w:pPr>
    <w:rPr>
      <w:rFonts w:ascii="Times New Roman" w:eastAsia="黑体" w:hAnsi="Times New Roman" w:cs="Times New Roman"/>
      <w:sz w:val="40"/>
      <w:szCs w:val="40"/>
    </w:rPr>
  </w:style>
  <w:style w:type="paragraph" w:customStyle="1" w:styleId="SSGC">
    <w:name w:val="__S_S_GC"/>
    <w:basedOn w:val="Normal"/>
    <w:next w:val="Normal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300" w:lineRule="exact"/>
      <w:ind w:left="1134" w:right="1134"/>
    </w:pPr>
    <w:rPr>
      <w:rFonts w:ascii="Times New Roman" w:eastAsia="黑体" w:hAnsi="Times New Roman" w:cs="Times New Roman"/>
      <w:sz w:val="28"/>
      <w:szCs w:val="28"/>
    </w:rPr>
  </w:style>
  <w:style w:type="paragraph" w:customStyle="1" w:styleId="XLargeGC">
    <w:name w:val="__XLarge_GC"/>
    <w:basedOn w:val="Normal"/>
    <w:next w:val="Normal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400" w:lineRule="exact"/>
      <w:ind w:left="1134" w:right="1134"/>
    </w:pPr>
    <w:rPr>
      <w:rFonts w:ascii="Times New Roman" w:eastAsia="黑体" w:hAnsi="Times New Roman" w:cs="Times New Roman"/>
      <w:sz w:val="40"/>
      <w:szCs w:val="40"/>
    </w:rPr>
  </w:style>
  <w:style w:type="paragraph" w:customStyle="1" w:styleId="Bullet1GC">
    <w:name w:val="_Bullet 1_GC"/>
    <w:basedOn w:val="Normal"/>
    <w:qFormat/>
    <w:rsid w:val="00341EDB"/>
    <w:pPr>
      <w:numPr>
        <w:numId w:val="1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</w:pPr>
    <w:rPr>
      <w:rFonts w:ascii="Times New Roman" w:hAnsi="Times New Roman" w:cs="Times New Roman"/>
      <w:sz w:val="21"/>
      <w:szCs w:val="21"/>
    </w:rPr>
  </w:style>
  <w:style w:type="paragraph" w:customStyle="1" w:styleId="Bullet2GC">
    <w:name w:val="_Bullet 2_GC"/>
    <w:basedOn w:val="Normal"/>
    <w:qFormat/>
    <w:rsid w:val="00341EDB"/>
    <w:pPr>
      <w:numPr>
        <w:numId w:val="2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</w:pPr>
    <w:rPr>
      <w:rFonts w:ascii="Times New Roman" w:hAnsi="Times New Roman" w:cs="Times New Roman"/>
      <w:sz w:val="21"/>
      <w:szCs w:val="21"/>
    </w:rPr>
  </w:style>
  <w:style w:type="paragraph" w:customStyle="1" w:styleId="DashGC">
    <w:name w:val="_Dash_GC"/>
    <w:basedOn w:val="Normal"/>
    <w:qFormat/>
    <w:rsid w:val="00341EDB"/>
    <w:pPr>
      <w:numPr>
        <w:numId w:val="3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</w:pPr>
    <w:rPr>
      <w:rFonts w:ascii="Times New Roman" w:hAnsi="Times New Roman" w:cs="Times New Roman"/>
      <w:sz w:val="21"/>
      <w:szCs w:val="21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">
    <w:name w:val="表数文字"/>
    <w:basedOn w:val="Normal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after="40" w:line="240" w:lineRule="atLeast"/>
      <w:ind w:right="113"/>
    </w:pPr>
    <w:rPr>
      <w:rFonts w:ascii="Times New Roman" w:hAnsi="Times New Roman" w:cs="Times New Roman"/>
      <w:sz w:val="18"/>
      <w:szCs w:val="18"/>
    </w:rPr>
  </w:style>
  <w:style w:type="paragraph" w:customStyle="1" w:styleId="a0">
    <w:name w:val="表中标题"/>
    <w:basedOn w:val="Normal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80" w:after="80" w:line="200" w:lineRule="exact"/>
      <w:ind w:right="113"/>
    </w:pPr>
    <w:rPr>
      <w:rFonts w:ascii="Times New Roman" w:eastAsia="楷体" w:hAnsi="Times New Roman" w:cs="Times New Roman"/>
      <w:sz w:val="18"/>
      <w:szCs w:val="18"/>
    </w:rPr>
  </w:style>
  <w:style w:type="paragraph" w:customStyle="1" w:styleId="a1">
    <w:name w:val="表中文字"/>
    <w:basedOn w:val="Normal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line="240" w:lineRule="atLeast"/>
      <w:ind w:right="113"/>
    </w:pPr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41EDB"/>
    <w:rPr>
      <w:color w:val="0563C1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rsid w:val="00341EDB"/>
    <w:rPr>
      <w:color w:val="0000FF"/>
      <w:u w:val="none"/>
    </w:rPr>
  </w:style>
  <w:style w:type="paragraph" w:styleId="MacroText">
    <w:name w:val="macro"/>
    <w:link w:val="MacroTextChar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24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341EDB"/>
    <w:pPr>
      <w:keepLines/>
      <w:widowControl w:val="0"/>
      <w:tabs>
        <w:tab w:val="right" w:pos="1021"/>
      </w:tabs>
      <w:overflowPunct w:val="0"/>
      <w:autoSpaceDE w:val="0"/>
      <w:autoSpaceDN w:val="0"/>
      <w:adjustRightInd w:val="0"/>
      <w:snapToGrid w:val="0"/>
      <w:spacing w:after="120" w:line="240" w:lineRule="exact"/>
      <w:ind w:left="1134" w:right="1134" w:hanging="1134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FootnoteReference">
    <w:name w:val="footnote reference"/>
    <w:basedOn w:val="DefaultParagraphFont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341EDB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overflowPunct w:val="0"/>
      <w:adjustRightInd w:val="0"/>
      <w:snapToGrid w:val="0"/>
      <w:spacing w:after="120" w:line="320" w:lineRule="exact"/>
      <w:ind w:left="1134" w:right="3119" w:hanging="1134"/>
    </w:pPr>
    <w:rPr>
      <w:rFonts w:ascii="Times New Roman" w:hAnsi="Times New Roman" w:cs="Times New Roman"/>
      <w:sz w:val="21"/>
      <w:szCs w:val="21"/>
    </w:rPr>
  </w:style>
  <w:style w:type="paragraph" w:customStyle="1" w:styleId="a3">
    <w:name w:val="目录页次"/>
    <w:basedOn w:val="Normal"/>
    <w:qFormat/>
    <w:rsid w:val="00341EDB"/>
    <w:pPr>
      <w:tabs>
        <w:tab w:val="right" w:pos="851"/>
        <w:tab w:val="left" w:pos="1134"/>
        <w:tab w:val="left" w:pos="1565"/>
        <w:tab w:val="right" w:leader="dot" w:pos="8789"/>
        <w:tab w:val="right" w:pos="9554"/>
      </w:tabs>
      <w:overflowPunct w:val="0"/>
      <w:adjustRightInd w:val="0"/>
      <w:snapToGrid w:val="0"/>
      <w:spacing w:after="120" w:line="320" w:lineRule="exact"/>
      <w:ind w:left="1134" w:right="3119" w:hanging="1134"/>
    </w:pPr>
    <w:rPr>
      <w:rFonts w:ascii="Times New Roman" w:hAnsi="Times New Roman" w:cs="Times New Roman"/>
      <w:sz w:val="21"/>
      <w:szCs w:val="21"/>
    </w:rPr>
  </w:style>
  <w:style w:type="paragraph" w:customStyle="1" w:styleId="a4">
    <w:name w:val="缩进正文"/>
    <w:basedOn w:val="Normal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line="320" w:lineRule="exact"/>
      <w:ind w:left="1565" w:right="1134"/>
    </w:pPr>
    <w:rPr>
      <w:rFonts w:ascii="Times New Roman" w:hAnsi="Times New Roman" w:cs="Times New Roman"/>
      <w:sz w:val="22"/>
      <w:szCs w:val="21"/>
    </w:rPr>
  </w:style>
  <w:style w:type="paragraph" w:styleId="EndnoteText">
    <w:name w:val="endnote text"/>
    <w:basedOn w:val="FootnoteText"/>
    <w:link w:val="EndnoteTextChar"/>
    <w:qFormat/>
    <w:rsid w:val="00341EDB"/>
    <w:pPr>
      <w:keepLines w:val="0"/>
      <w:spacing w:after="0"/>
    </w:pPr>
  </w:style>
  <w:style w:type="character" w:customStyle="1" w:styleId="EndnoteTextChar">
    <w:name w:val="Endnote Text Char"/>
    <w:basedOn w:val="DefaultParagraphFont"/>
    <w:link w:val="EndnoteText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EndnoteReference">
    <w:name w:val="endnote reference"/>
    <w:basedOn w:val="FootnoteReference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565" w:right="1134" w:hanging="431"/>
    </w:pPr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qFormat/>
    <w:rsid w:val="00341EDB"/>
    <w:pPr>
      <w:tabs>
        <w:tab w:val="left" w:pos="431"/>
      </w:tabs>
      <w:overflowPunct w:val="0"/>
      <w:adjustRightInd w:val="0"/>
      <w:snapToGrid w:val="0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PageNumber">
    <w:name w:val="page number"/>
    <w:basedOn w:val="DefaultParagraphFont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Header">
    <w:name w:val="header"/>
    <w:basedOn w:val="Normal"/>
    <w:link w:val="HeaderChar"/>
    <w:qFormat/>
    <w:rsid w:val="00341EDB"/>
    <w:pPr>
      <w:pBdr>
        <w:bottom w:val="single" w:sz="4" w:space="4" w:color="auto"/>
      </w:pBdr>
      <w:tabs>
        <w:tab w:val="left" w:pos="431"/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 w:val="0"/>
      <w:adjustRightInd w:val="0"/>
      <w:snapToGrid w:val="0"/>
    </w:pPr>
    <w:rPr>
      <w:rFonts w:ascii="Times New Roman" w:eastAsia="Times New Roman" w:hAnsi="Times New Roman" w:cs="Times New Roman"/>
      <w:b/>
      <w:snapToGrid w:val="0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singletxtg">
    <w:name w:val="singletxtg"/>
    <w:basedOn w:val="Normal"/>
    <w:rsid w:val="00FB67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55A-6A44-4656-A3BA-04C16243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Weixiu Yang</dc:creator>
  <cp:keywords/>
  <dc:description/>
  <cp:lastModifiedBy>Weixiu Yang</cp:lastModifiedBy>
  <cp:revision>2</cp:revision>
  <dcterms:created xsi:type="dcterms:W3CDTF">2022-10-03T08:07:00Z</dcterms:created>
  <dcterms:modified xsi:type="dcterms:W3CDTF">2022-10-03T08:15:00Z</dcterms:modified>
</cp:coreProperties>
</file>