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271924" w:rsidRPr="009B3F3F" w:rsidTr="00AB52AE">
        <w:trPr>
          <w:cantSplit/>
          <w:trHeight w:hRule="exact" w:val="851"/>
        </w:trPr>
        <w:tc>
          <w:tcPr>
            <w:tcW w:w="1276" w:type="dxa"/>
            <w:tcBorders>
              <w:bottom w:val="single" w:sz="4" w:space="0" w:color="auto"/>
            </w:tcBorders>
            <w:vAlign w:val="bottom"/>
          </w:tcPr>
          <w:p w:rsidR="00271924" w:rsidRPr="009B3F3F" w:rsidRDefault="00271924" w:rsidP="00AB52AE">
            <w:pPr>
              <w:spacing w:after="80"/>
              <w:rPr>
                <w:rFonts w:eastAsiaTheme="minorEastAsia"/>
                <w:lang w:eastAsia="zh-CN"/>
              </w:rPr>
            </w:pPr>
          </w:p>
        </w:tc>
        <w:tc>
          <w:tcPr>
            <w:tcW w:w="2268" w:type="dxa"/>
            <w:tcBorders>
              <w:bottom w:val="single" w:sz="4" w:space="0" w:color="auto"/>
            </w:tcBorders>
            <w:vAlign w:val="bottom"/>
          </w:tcPr>
          <w:p w:rsidR="00271924" w:rsidRPr="009B3F3F" w:rsidRDefault="00271924" w:rsidP="00AB52AE">
            <w:pPr>
              <w:spacing w:after="80" w:line="300" w:lineRule="exact"/>
              <w:rPr>
                <w:b/>
                <w:sz w:val="24"/>
                <w:szCs w:val="24"/>
              </w:rPr>
            </w:pPr>
            <w:r w:rsidRPr="009B3F3F">
              <w:rPr>
                <w:sz w:val="28"/>
                <w:szCs w:val="28"/>
              </w:rPr>
              <w:t>United Nations</w:t>
            </w:r>
          </w:p>
        </w:tc>
        <w:tc>
          <w:tcPr>
            <w:tcW w:w="6095" w:type="dxa"/>
            <w:gridSpan w:val="2"/>
            <w:tcBorders>
              <w:bottom w:val="single" w:sz="4" w:space="0" w:color="auto"/>
            </w:tcBorders>
            <w:vAlign w:val="bottom"/>
          </w:tcPr>
          <w:p w:rsidR="00271924" w:rsidRPr="009B3F3F" w:rsidRDefault="004D4055" w:rsidP="004D4055">
            <w:pPr>
              <w:suppressAutoHyphens w:val="0"/>
              <w:spacing w:after="20"/>
              <w:jc w:val="right"/>
            </w:pPr>
            <w:proofErr w:type="spellStart"/>
            <w:r w:rsidRPr="009B3F3F">
              <w:rPr>
                <w:sz w:val="40"/>
              </w:rPr>
              <w:t>CMW</w:t>
            </w:r>
            <w:proofErr w:type="spellEnd"/>
            <w:r w:rsidRPr="009B3F3F">
              <w:t>/C/ALB/CO/2</w:t>
            </w:r>
          </w:p>
        </w:tc>
      </w:tr>
      <w:tr w:rsidR="00271924" w:rsidRPr="009B3F3F" w:rsidTr="00AB52AE">
        <w:trPr>
          <w:cantSplit/>
          <w:trHeight w:hRule="exact" w:val="2835"/>
        </w:trPr>
        <w:tc>
          <w:tcPr>
            <w:tcW w:w="1276" w:type="dxa"/>
            <w:tcBorders>
              <w:top w:val="single" w:sz="4" w:space="0" w:color="auto"/>
              <w:bottom w:val="single" w:sz="12" w:space="0" w:color="auto"/>
            </w:tcBorders>
          </w:tcPr>
          <w:p w:rsidR="00271924" w:rsidRPr="009B3F3F" w:rsidRDefault="00271924" w:rsidP="00AB52AE">
            <w:pPr>
              <w:spacing w:before="120"/>
              <w:jc w:val="center"/>
            </w:pPr>
            <w:r w:rsidRPr="009B3F3F">
              <w:rPr>
                <w:noProof/>
                <w:lang w:val="en-US" w:eastAsia="zh-CN"/>
              </w:rPr>
              <w:drawing>
                <wp:inline distT="0" distB="0" distL="0" distR="0" wp14:anchorId="72B7367E" wp14:editId="79B283CB">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271924" w:rsidRPr="009B3F3F" w:rsidRDefault="00271924" w:rsidP="00AB52AE">
            <w:pPr>
              <w:spacing w:before="120" w:line="380" w:lineRule="exact"/>
            </w:pPr>
            <w:r w:rsidRPr="009B3F3F">
              <w:rPr>
                <w:b/>
                <w:sz w:val="34"/>
                <w:szCs w:val="40"/>
              </w:rPr>
              <w:t>International Convention on the</w:t>
            </w:r>
            <w:r w:rsidRPr="009B3F3F">
              <w:rPr>
                <w:b/>
                <w:sz w:val="34"/>
                <w:szCs w:val="40"/>
              </w:rPr>
              <w:br/>
              <w:t>Protection of the Rights of</w:t>
            </w:r>
            <w:r w:rsidRPr="009B3F3F">
              <w:rPr>
                <w:b/>
                <w:sz w:val="34"/>
                <w:szCs w:val="40"/>
              </w:rPr>
              <w:br/>
              <w:t>All Migrant Workers and</w:t>
            </w:r>
            <w:r w:rsidRPr="009B3F3F">
              <w:rPr>
                <w:b/>
                <w:sz w:val="34"/>
                <w:szCs w:val="40"/>
              </w:rPr>
              <w:br/>
              <w:t>Members of Their Families</w:t>
            </w:r>
          </w:p>
        </w:tc>
        <w:tc>
          <w:tcPr>
            <w:tcW w:w="2835" w:type="dxa"/>
            <w:tcBorders>
              <w:top w:val="single" w:sz="4" w:space="0" w:color="auto"/>
              <w:bottom w:val="single" w:sz="12" w:space="0" w:color="auto"/>
            </w:tcBorders>
          </w:tcPr>
          <w:p w:rsidR="00271924" w:rsidRPr="009B3F3F" w:rsidRDefault="004D4055" w:rsidP="004D4055">
            <w:pPr>
              <w:spacing w:before="240"/>
            </w:pPr>
            <w:r w:rsidRPr="009B3F3F">
              <w:t>Distr.: General</w:t>
            </w:r>
          </w:p>
          <w:p w:rsidR="004D4055" w:rsidRPr="009B3F3F" w:rsidRDefault="00AF5832" w:rsidP="004D4055">
            <w:pPr>
              <w:suppressAutoHyphens w:val="0"/>
            </w:pPr>
            <w:r>
              <w:t>8</w:t>
            </w:r>
            <w:r w:rsidR="004D4055" w:rsidRPr="009B3F3F">
              <w:t xml:space="preserve"> May 2019</w:t>
            </w:r>
          </w:p>
          <w:p w:rsidR="004D4055" w:rsidRPr="009B3F3F" w:rsidRDefault="004D4055" w:rsidP="004D4055">
            <w:pPr>
              <w:suppressAutoHyphens w:val="0"/>
            </w:pPr>
          </w:p>
          <w:p w:rsidR="004D4055" w:rsidRPr="009B3F3F" w:rsidRDefault="004D4055" w:rsidP="004D4055">
            <w:pPr>
              <w:suppressAutoHyphens w:val="0"/>
            </w:pPr>
            <w:r w:rsidRPr="009B3F3F">
              <w:t>Original: English</w:t>
            </w:r>
          </w:p>
        </w:tc>
      </w:tr>
    </w:tbl>
    <w:p w:rsidR="00927F2F" w:rsidRDefault="00927F2F" w:rsidP="00E63973">
      <w:pPr>
        <w:spacing w:before="120"/>
        <w:rPr>
          <w:b/>
          <w:sz w:val="21"/>
          <w:szCs w:val="21"/>
        </w:rPr>
      </w:pPr>
      <w:r w:rsidRPr="00200E95">
        <w:rPr>
          <w:b/>
          <w:sz w:val="21"/>
          <w:szCs w:val="21"/>
        </w:rPr>
        <w:t>Committee on the Protection of the Rights of All</w:t>
      </w:r>
      <w:r w:rsidR="00B9653F" w:rsidRPr="00200E95">
        <w:rPr>
          <w:b/>
          <w:sz w:val="21"/>
          <w:szCs w:val="21"/>
        </w:rPr>
        <w:t xml:space="preserve"> </w:t>
      </w:r>
      <w:r w:rsidRPr="00200E95">
        <w:rPr>
          <w:b/>
          <w:sz w:val="21"/>
          <w:szCs w:val="21"/>
        </w:rPr>
        <w:t>Migrant Workers and Members of Their Families</w:t>
      </w:r>
    </w:p>
    <w:p w:rsidR="00F815D8" w:rsidRDefault="00F815D8" w:rsidP="00E63973">
      <w:pPr>
        <w:spacing w:before="120"/>
        <w:rPr>
          <w:b/>
          <w:sz w:val="21"/>
          <w:szCs w:val="21"/>
        </w:rPr>
      </w:pPr>
    </w:p>
    <w:p w:rsidR="004A0B5C" w:rsidRDefault="00927F2F" w:rsidP="00927F2F">
      <w:pPr>
        <w:pStyle w:val="HChG"/>
      </w:pPr>
      <w:r w:rsidRPr="009B3F3F">
        <w:tab/>
      </w:r>
      <w:r w:rsidRPr="009B3F3F">
        <w:tab/>
      </w:r>
      <w:r w:rsidR="004A0B5C" w:rsidRPr="00C602F6">
        <w:t xml:space="preserve">Concluding observations on the </w:t>
      </w:r>
      <w:r w:rsidR="004A0B5C">
        <w:t>initial report of Libya</w:t>
      </w:r>
      <w:r w:rsidR="004A0B5C" w:rsidRPr="009B3F3F">
        <w:t xml:space="preserve"> </w:t>
      </w:r>
    </w:p>
    <w:p w:rsidR="00E77F20" w:rsidRPr="00337F7C" w:rsidRDefault="004A0B5C" w:rsidP="00337F7C">
      <w:pPr>
        <w:pStyle w:val="HChG"/>
        <w:rPr>
          <w:b w:val="0"/>
          <w:bCs/>
          <w:sz w:val="20"/>
        </w:rPr>
      </w:pPr>
      <w:r>
        <w:tab/>
      </w:r>
      <w:r>
        <w:tab/>
      </w:r>
      <w:r w:rsidR="00927F2F" w:rsidRPr="009B3F3F">
        <w:t xml:space="preserve">Concluding observations on the </w:t>
      </w:r>
      <w:r w:rsidR="000A0A77">
        <w:fldChar w:fldCharType="begin"/>
      </w:r>
      <w:r w:rsidR="000A0A77">
        <w:instrText xml:space="preserve"> DOCPROPERTY  prep  \* MERGEFORMAT </w:instrText>
      </w:r>
      <w:r w:rsidR="000A0A77">
        <w:fldChar w:fldCharType="separate"/>
      </w:r>
      <w:r w:rsidR="00927F2F" w:rsidRPr="009B3F3F">
        <w:t>second periodic report of Albania</w:t>
      </w:r>
      <w:r w:rsidR="000A0A77">
        <w:fldChar w:fldCharType="end"/>
      </w:r>
      <w:r w:rsidR="00B25C5F" w:rsidRPr="009B3F3F">
        <w:rPr>
          <w:rStyle w:val="ac"/>
          <w:b w:val="0"/>
          <w:bCs/>
          <w:sz w:val="20"/>
          <w:vertAlign w:val="baseline"/>
        </w:rPr>
        <w:footnoteReference w:customMarkFollows="1" w:id="1"/>
        <w:t>*</w:t>
      </w:r>
    </w:p>
    <w:p w:rsidR="00927F2F" w:rsidRPr="009B3F3F" w:rsidRDefault="00927F2F" w:rsidP="00927F2F">
      <w:pPr>
        <w:pStyle w:val="SingleTxtG"/>
      </w:pPr>
      <w:r w:rsidRPr="009B3F3F">
        <w:t>1.</w:t>
      </w:r>
      <w:r w:rsidRPr="009B3F3F">
        <w:tab/>
        <w:t>The Committee considered the second periodic report of Albania (</w:t>
      </w:r>
      <w:proofErr w:type="spellStart"/>
      <w:r w:rsidRPr="009B3F3F">
        <w:t>CMW</w:t>
      </w:r>
      <w:proofErr w:type="spellEnd"/>
      <w:r w:rsidRPr="009B3F3F">
        <w:t>/C/ALB/2) at its 411th and 412th meetings (</w:t>
      </w:r>
      <w:proofErr w:type="spellStart"/>
      <w:r w:rsidRPr="009B3F3F">
        <w:t>CMW</w:t>
      </w:r>
      <w:proofErr w:type="spellEnd"/>
      <w:r w:rsidRPr="009B3F3F">
        <w:t>/C/</w:t>
      </w:r>
      <w:proofErr w:type="spellStart"/>
      <w:r w:rsidRPr="009B3F3F">
        <w:t>SR.411</w:t>
      </w:r>
      <w:proofErr w:type="spellEnd"/>
      <w:r w:rsidRPr="009B3F3F">
        <w:t xml:space="preserve"> and </w:t>
      </w:r>
      <w:proofErr w:type="spellStart"/>
      <w:r w:rsidRPr="009B3F3F">
        <w:t>CMW</w:t>
      </w:r>
      <w:proofErr w:type="spellEnd"/>
      <w:r w:rsidRPr="009B3F3F">
        <w:t>/C/</w:t>
      </w:r>
      <w:proofErr w:type="spellStart"/>
      <w:r w:rsidRPr="009B3F3F">
        <w:t>SR.412</w:t>
      </w:r>
      <w:proofErr w:type="spellEnd"/>
      <w:r w:rsidRPr="009B3F3F">
        <w:t xml:space="preserve">), held on 1 and 2 April 2019. At its 429th meeting, held on 12 April 2019, it adopted the present concluding observations. </w:t>
      </w:r>
    </w:p>
    <w:p w:rsidR="00927F2F" w:rsidRPr="009B3F3F" w:rsidRDefault="00927F2F" w:rsidP="00927F2F">
      <w:pPr>
        <w:pStyle w:val="H1G"/>
      </w:pPr>
      <w:r w:rsidRPr="009B3F3F">
        <w:tab/>
        <w:t>A.</w:t>
      </w:r>
      <w:r w:rsidRPr="009B3F3F">
        <w:tab/>
        <w:t>Introduction</w:t>
      </w:r>
    </w:p>
    <w:p w:rsidR="007A00B1" w:rsidRPr="009B3F3F" w:rsidRDefault="00927F2F" w:rsidP="003B5E8F">
      <w:pPr>
        <w:pStyle w:val="SingleTxtG"/>
      </w:pPr>
      <w:r w:rsidRPr="009B3F3F">
        <w:t>2.</w:t>
      </w:r>
      <w:r w:rsidRPr="009B3F3F">
        <w:tab/>
      </w:r>
      <w:r w:rsidR="007A00B1" w:rsidRPr="00AC09BF">
        <w:t>The Committee welcomes the submission of the third periodic report of the State party, its replies to the list of issues (</w:t>
      </w:r>
      <w:proofErr w:type="spellStart"/>
      <w:r w:rsidR="007A00B1" w:rsidRPr="00AC09BF">
        <w:t>CMW</w:t>
      </w:r>
      <w:proofErr w:type="spellEnd"/>
      <w:r w:rsidR="007A00B1" w:rsidRPr="00AC09BF">
        <w:t>/C/</w:t>
      </w:r>
      <w:proofErr w:type="spellStart"/>
      <w:r w:rsidR="007A00B1" w:rsidRPr="00AC09BF">
        <w:t>BIH</w:t>
      </w:r>
      <w:proofErr w:type="spellEnd"/>
      <w:r w:rsidR="007A00B1" w:rsidRPr="00AC09BF">
        <w:t>/Q/3/</w:t>
      </w:r>
      <w:proofErr w:type="spellStart"/>
      <w:r w:rsidR="007A00B1" w:rsidRPr="00AC09BF">
        <w:t>Add.1</w:t>
      </w:r>
      <w:proofErr w:type="spellEnd"/>
      <w:r w:rsidR="007A00B1" w:rsidRPr="00AC09BF">
        <w:t xml:space="preserve">) and the additional information provided by the high-level and </w:t>
      </w:r>
      <w:proofErr w:type="spellStart"/>
      <w:r w:rsidR="007A00B1" w:rsidRPr="00AC09BF">
        <w:t>multisectoral</w:t>
      </w:r>
      <w:proofErr w:type="spellEnd"/>
      <w:r w:rsidR="007A00B1" w:rsidRPr="00AC09BF">
        <w:t xml:space="preserve"> delegation.</w:t>
      </w:r>
    </w:p>
    <w:p w:rsidR="003B68F4" w:rsidRPr="003B68F4" w:rsidRDefault="00927F2F" w:rsidP="003B5E8F">
      <w:pPr>
        <w:pStyle w:val="SingleTxtG"/>
      </w:pPr>
      <w:r w:rsidRPr="009B3F3F">
        <w:t>3.</w:t>
      </w:r>
      <w:r w:rsidRPr="009B3F3F">
        <w:tab/>
      </w:r>
      <w:r w:rsidR="003B68F4" w:rsidRPr="00AC09BF">
        <w:t xml:space="preserve">Notwithstanding the fact that the Committee recognizes, for the most part, Bosnia and Herzegovina as a country of origin of migrant workers, it also considers it as a country of transit and destination. </w:t>
      </w:r>
    </w:p>
    <w:p w:rsidR="003B68F4" w:rsidRPr="003B68F4" w:rsidRDefault="00927F2F" w:rsidP="005F05F8">
      <w:pPr>
        <w:pStyle w:val="SingleTxtG"/>
      </w:pPr>
      <w:r w:rsidRPr="009B3F3F">
        <w:t>4.</w:t>
      </w:r>
      <w:r w:rsidRPr="009B3F3F">
        <w:tab/>
        <w:t>The Committee notes that some States where Albanian migrant workers are employed are not parties to the Convention, which may constitute an obstacle to the enjoyment by migrant workers of their rights under the Convention.</w:t>
      </w:r>
      <w:r w:rsidR="00B53EA7" w:rsidRPr="007D66A1">
        <w:t xml:space="preserve"> </w:t>
      </w:r>
    </w:p>
    <w:p w:rsidR="00927F2F" w:rsidRDefault="00927F2F" w:rsidP="00E7583C">
      <w:pPr>
        <w:pStyle w:val="H1G"/>
      </w:pPr>
      <w:r w:rsidRPr="009B3F3F">
        <w:tab/>
        <w:t>B.</w:t>
      </w:r>
      <w:r w:rsidRPr="009B3F3F">
        <w:tab/>
        <w:t>Positive aspects</w:t>
      </w:r>
    </w:p>
    <w:p w:rsidR="0096168F" w:rsidRDefault="00C7458B" w:rsidP="00927F2F">
      <w:pPr>
        <w:pStyle w:val="SingleTxtG"/>
      </w:pPr>
      <w:r>
        <w:rPr>
          <w:rFonts w:hint="eastAsia"/>
        </w:rPr>
        <w:t>5</w:t>
      </w:r>
      <w:r w:rsidR="00927F2F" w:rsidRPr="009B3F3F">
        <w:t>.</w:t>
      </w:r>
      <w:r w:rsidR="00927F2F" w:rsidRPr="009B3F3F">
        <w:tab/>
      </w:r>
      <w:r w:rsidR="0096168F" w:rsidRPr="009B3F3F">
        <w:t>The Committee reiterates its appreciation for the State party’s efforts to promote and protect the r</w:t>
      </w:r>
      <w:r w:rsidR="0096168F">
        <w:t>ights of migrant workers abroad.</w:t>
      </w:r>
    </w:p>
    <w:p w:rsidR="00927F2F" w:rsidRDefault="002467A0" w:rsidP="00546168">
      <w:pPr>
        <w:pStyle w:val="SingleTxtG"/>
      </w:pPr>
      <w:r>
        <w:t>6</w:t>
      </w:r>
      <w:r w:rsidR="00927F2F" w:rsidRPr="009B3F3F">
        <w:t>.</w:t>
      </w:r>
      <w:r w:rsidR="00927F2F" w:rsidRPr="009B3F3F">
        <w:tab/>
        <w:t>The Committee also notes as positive the standing invitation extended by the State party to the special procedures of the Human Rights Council in December 2009.</w:t>
      </w:r>
    </w:p>
    <w:p w:rsidR="007A00B1" w:rsidRPr="00AC09BF" w:rsidRDefault="00A4131B" w:rsidP="007A00B1">
      <w:pPr>
        <w:pStyle w:val="SingleTxtG"/>
      </w:pPr>
      <w:r>
        <w:tab/>
      </w:r>
      <w:r w:rsidR="002467A0">
        <w:t>7.</w:t>
      </w:r>
      <w:r w:rsidR="007A00B1" w:rsidRPr="00AC09BF">
        <w:tab/>
        <w:t>The Committee welcomes the adoption of the following legislative measures:</w:t>
      </w:r>
    </w:p>
    <w:p w:rsidR="007A00B1" w:rsidRDefault="002467A0" w:rsidP="00FD79F1">
      <w:pPr>
        <w:pStyle w:val="SingleTxtG"/>
      </w:pPr>
      <w:r>
        <w:t>8</w:t>
      </w:r>
      <w:r w:rsidR="00356C49" w:rsidRPr="007D66A1">
        <w:t>.</w:t>
      </w:r>
      <w:r w:rsidR="00356C49" w:rsidRPr="007D66A1">
        <w:tab/>
        <w:t xml:space="preserve">The Committee </w:t>
      </w:r>
      <w:r w:rsidR="00FE2969">
        <w:rPr>
          <w:rFonts w:hint="eastAsia"/>
        </w:rPr>
        <w:t>also</w:t>
      </w:r>
      <w:r w:rsidR="00FE2969">
        <w:t xml:space="preserve"> </w:t>
      </w:r>
      <w:r w:rsidR="00356C49" w:rsidRPr="007D66A1">
        <w:t xml:space="preserve">welcomes the following institutional and policy measures: </w:t>
      </w:r>
    </w:p>
    <w:p w:rsidR="006862D7" w:rsidRDefault="002467A0" w:rsidP="006862D7">
      <w:pPr>
        <w:pStyle w:val="SingleTxtG"/>
      </w:pPr>
      <w:r>
        <w:t>9</w:t>
      </w:r>
      <w:r w:rsidR="00153D71" w:rsidRPr="00AC09BF">
        <w:t>.</w:t>
      </w:r>
      <w:r w:rsidR="00153D71" w:rsidRPr="00AC09BF">
        <w:tab/>
        <w:t>The Committee notes that the State party voted in favour of the Global Compact for Safe, Orderly and Regular Migration and recommends that the State party work towards its implementation, ensuring full compliance with the Convention.</w:t>
      </w:r>
    </w:p>
    <w:p w:rsidR="006862D7" w:rsidRDefault="00A838A8" w:rsidP="006862D7">
      <w:pPr>
        <w:pStyle w:val="H1G"/>
      </w:pPr>
      <w:r>
        <w:lastRenderedPageBreak/>
        <w:tab/>
      </w:r>
      <w:r w:rsidRPr="00C602F6">
        <w:t>C.</w:t>
      </w:r>
      <w:r w:rsidRPr="00C602F6">
        <w:tab/>
        <w:t>Factors and difficulties impeding the implementation of the Convention</w:t>
      </w:r>
    </w:p>
    <w:p w:rsidR="006862D7" w:rsidRPr="006862D7" w:rsidRDefault="005F05F8" w:rsidP="006862D7">
      <w:pPr>
        <w:pStyle w:val="H1G"/>
      </w:pPr>
      <w:r w:rsidRPr="006862D7">
        <w:tab/>
        <w:t>D.</w:t>
      </w:r>
      <w:r w:rsidRPr="006862D7">
        <w:tab/>
        <w:t>Principal subjects of concern and recommendations</w:t>
      </w:r>
    </w:p>
    <w:p w:rsidR="006862D7" w:rsidRDefault="005F05F8" w:rsidP="00337F7C">
      <w:pPr>
        <w:pStyle w:val="H23G"/>
      </w:pPr>
      <w:r w:rsidRPr="009B3F3F">
        <w:tab/>
        <w:t>1.</w:t>
      </w:r>
      <w:r w:rsidRPr="009B3F3F">
        <w:tab/>
        <w:t>General measures of implementation (arts. 73 and 84)</w:t>
      </w:r>
    </w:p>
    <w:p w:rsidR="005F05F8" w:rsidRDefault="005F05F8" w:rsidP="00337F7C">
      <w:pPr>
        <w:pStyle w:val="H23G"/>
      </w:pPr>
      <w:r w:rsidRPr="009B3F3F">
        <w:tab/>
      </w:r>
      <w:r w:rsidRPr="009B3F3F">
        <w:tab/>
      </w:r>
      <w:r>
        <w:t>Legislation and application</w:t>
      </w:r>
    </w:p>
    <w:p w:rsidR="005F05F8" w:rsidRPr="00F76D18" w:rsidRDefault="005F05F8" w:rsidP="005F05F8">
      <w:pPr>
        <w:pStyle w:val="H23G"/>
      </w:pPr>
      <w:r>
        <w:tab/>
      </w:r>
      <w:r>
        <w:tab/>
      </w:r>
      <w:r w:rsidRPr="00C602F6">
        <w:t>Legislation and implementation</w:t>
      </w:r>
    </w:p>
    <w:p w:rsidR="00A454D5" w:rsidRDefault="005F05F8" w:rsidP="00A454D5">
      <w:pPr>
        <w:pStyle w:val="H23G"/>
      </w:pPr>
      <w:r w:rsidRPr="009B3F3F">
        <w:tab/>
      </w:r>
      <w:r w:rsidRPr="009B3F3F">
        <w:tab/>
        <w:t>Articles 76 and 77</w:t>
      </w:r>
    </w:p>
    <w:p w:rsidR="00F2182D" w:rsidRPr="00F2182D" w:rsidRDefault="00F2182D" w:rsidP="00F2182D">
      <w:pPr>
        <w:pStyle w:val="SingleTxtG"/>
      </w:pPr>
      <w:r>
        <w:tab/>
      </w:r>
      <w:r w:rsidR="00286596">
        <w:rPr>
          <w:rFonts w:hint="eastAsia"/>
        </w:rPr>
        <w:t>1</w:t>
      </w:r>
      <w:r w:rsidR="00AD49FC">
        <w:t>0</w:t>
      </w:r>
      <w:r w:rsidRPr="00074517">
        <w:t>.</w:t>
      </w:r>
      <w:r w:rsidRPr="00074517">
        <w:tab/>
        <w:t>The Committee notes that the State party has not yet made the declarations provided for in articles 76 and 77 of the Convention whereby it would recognize the competence of the Committee to receive and consider communications from States parties and individuals concerning violations of the rights enshrined in the Convention.</w:t>
      </w:r>
    </w:p>
    <w:p w:rsidR="00A87401" w:rsidRPr="00A87401" w:rsidRDefault="00A454D5" w:rsidP="00A87401">
      <w:pPr>
        <w:pStyle w:val="SingleTxtG"/>
      </w:pPr>
      <w:r w:rsidRPr="00951F4D">
        <w:t>1</w:t>
      </w:r>
      <w:r w:rsidR="00AD49FC">
        <w:t>1</w:t>
      </w:r>
      <w:r w:rsidRPr="00951F4D">
        <w:t>.</w:t>
      </w:r>
      <w:r w:rsidRPr="00951F4D">
        <w:tab/>
      </w:r>
      <w:r w:rsidR="00A87401" w:rsidRPr="00C34502">
        <w:t>The Committee encourages the State party to consider making the declarations provided for in articles 76 and 77 of the Convention.</w:t>
      </w:r>
    </w:p>
    <w:p w:rsidR="00B06DBC" w:rsidRPr="00B06DBC" w:rsidRDefault="00A87401" w:rsidP="00A87401">
      <w:pPr>
        <w:pStyle w:val="SingleTxtG"/>
      </w:pPr>
      <w:r>
        <w:tab/>
      </w:r>
      <w:r>
        <w:tab/>
      </w:r>
      <w:r w:rsidR="00A454D5" w:rsidRPr="00951F4D">
        <w:t>The Committee recommends that the State party consider making the declarations provided for in articles 76 and 77 of the Convention recognizing the competence of the Committee to receive and consider communications from States parties and individuals concerning violations of rights established by the Convention.</w:t>
      </w:r>
      <w:r w:rsidR="00B06DBC" w:rsidRPr="009F1A43">
        <w:tab/>
      </w:r>
    </w:p>
    <w:p w:rsidR="00951F4D" w:rsidRPr="00F2182D" w:rsidRDefault="00A454D5" w:rsidP="00951F4D">
      <w:pPr>
        <w:pStyle w:val="H23G"/>
        <w:rPr>
          <w:rFonts w:eastAsia="宋体"/>
          <w:b w:val="0"/>
          <w:lang w:eastAsia="zh-CN"/>
        </w:rPr>
      </w:pPr>
      <w:r w:rsidRPr="00BB23BF">
        <w:tab/>
      </w:r>
      <w:r w:rsidRPr="00BB23BF">
        <w:tab/>
      </w:r>
      <w:r w:rsidRPr="00040A30">
        <w:t>Ratification of relevant instruments</w:t>
      </w:r>
    </w:p>
    <w:p w:rsidR="00F2182D" w:rsidRPr="00F2182D" w:rsidRDefault="00C34502" w:rsidP="00A87401">
      <w:pPr>
        <w:pStyle w:val="SingleTxtG"/>
      </w:pPr>
      <w:r>
        <w:rPr>
          <w:rFonts w:hint="eastAsia"/>
        </w:rPr>
        <w:t>1</w:t>
      </w:r>
      <w:r w:rsidR="00AD49FC">
        <w:t>2</w:t>
      </w:r>
      <w:r>
        <w:rPr>
          <w:rFonts w:hint="eastAsia"/>
        </w:rPr>
        <w:t>.</w:t>
      </w:r>
      <w:r w:rsidR="00F2182D" w:rsidRPr="00F2182D">
        <w:tab/>
        <w:t>The Committee notes that the State party has ratified almost all the major human rights treaties and a number of ILO conventions.</w:t>
      </w:r>
    </w:p>
    <w:p w:rsidR="00D54DAA" w:rsidRDefault="00C34502" w:rsidP="00D54DAA">
      <w:pPr>
        <w:pStyle w:val="SingleTxtG"/>
      </w:pPr>
      <w:r>
        <w:rPr>
          <w:rFonts w:hint="eastAsia"/>
        </w:rPr>
        <w:t>1</w:t>
      </w:r>
      <w:r w:rsidR="00AD49FC">
        <w:t>3</w:t>
      </w:r>
      <w:r>
        <w:rPr>
          <w:rFonts w:hint="eastAsia"/>
        </w:rPr>
        <w:t>.</w:t>
      </w:r>
      <w:r>
        <w:tab/>
      </w:r>
      <w:r w:rsidR="00951F4D" w:rsidRPr="00951F4D">
        <w:t>The Committee recommends that the State party consider ratifying or acceding to the above instruments as soon as possible.</w:t>
      </w:r>
    </w:p>
    <w:p w:rsidR="005F05F8" w:rsidRPr="00D54DAA" w:rsidRDefault="005F05F8" w:rsidP="00D54DAA">
      <w:pPr>
        <w:pStyle w:val="SingleTxtG"/>
        <w:rPr>
          <w:b/>
          <w:bCs/>
        </w:rPr>
      </w:pPr>
      <w:r w:rsidRPr="00D54DAA">
        <w:rPr>
          <w:b/>
          <w:bCs/>
        </w:rPr>
        <w:tab/>
        <w:t>Comprehensive policy and strategy</w:t>
      </w:r>
    </w:p>
    <w:p w:rsidR="005F05F8" w:rsidRDefault="005F05F8" w:rsidP="005F05F8">
      <w:pPr>
        <w:pStyle w:val="H23G"/>
      </w:pPr>
      <w:r w:rsidRPr="009B3F3F">
        <w:tab/>
      </w:r>
      <w:r w:rsidRPr="009B3F3F">
        <w:tab/>
        <w:t>Coordination</w:t>
      </w:r>
    </w:p>
    <w:p w:rsidR="005F05F8" w:rsidRDefault="005F05F8" w:rsidP="005F05F8">
      <w:pPr>
        <w:pStyle w:val="H23G"/>
      </w:pPr>
      <w:r w:rsidRPr="009B3F3F">
        <w:tab/>
      </w:r>
      <w:r w:rsidRPr="009B3F3F">
        <w:tab/>
        <w:t xml:space="preserve">Data collection </w:t>
      </w:r>
    </w:p>
    <w:p w:rsidR="00A76883" w:rsidRPr="00A76883" w:rsidRDefault="00C34502" w:rsidP="00AD6BE0">
      <w:pPr>
        <w:pStyle w:val="SingleTxtG"/>
      </w:pPr>
      <w:r>
        <w:rPr>
          <w:rFonts w:hint="eastAsia"/>
        </w:rPr>
        <w:t>1</w:t>
      </w:r>
      <w:r w:rsidR="00AD49FC">
        <w:t>4</w:t>
      </w:r>
      <w:r>
        <w:rPr>
          <w:rFonts w:hint="eastAsia"/>
        </w:rPr>
        <w:t>.</w:t>
      </w:r>
      <w:r>
        <w:tab/>
      </w:r>
      <w:r w:rsidR="008E6E53" w:rsidRPr="00AD6BE0">
        <w:t>The Committee recommends that the State party establish a centralized and comprehensive database covering all aspects of the Convention, and collect data on the status of migrant workers in the State party. It also encourages the State party to compile information and statistics, disaggregated by sex, age, nationality, reason for entry or departure from the country and the type of work performed, in order to effectively inform relevant policies and the application of the Convention, in line with target 17.18 of the Sustainable Development Goals. In cases where it is not possible to obtain precise information, for example in the case of migrant workers in an irregular situation, the Committee requests that the State party provide data based on studies or estimates.</w:t>
      </w:r>
    </w:p>
    <w:p w:rsidR="005F05F8" w:rsidRDefault="005F05F8" w:rsidP="005F05F8">
      <w:pPr>
        <w:pStyle w:val="H23G"/>
      </w:pPr>
      <w:r w:rsidRPr="009B3F3F">
        <w:tab/>
      </w:r>
      <w:r w:rsidRPr="009B3F3F">
        <w:tab/>
        <w:t>Independent monitoring</w:t>
      </w:r>
    </w:p>
    <w:p w:rsidR="00BB3373" w:rsidRPr="00BB3373" w:rsidRDefault="00BB3373" w:rsidP="0002097A">
      <w:pPr>
        <w:pStyle w:val="SingleTxtG"/>
      </w:pPr>
      <w:r>
        <w:tab/>
      </w:r>
      <w:r w:rsidR="00C34502">
        <w:rPr>
          <w:rFonts w:hint="eastAsia"/>
        </w:rPr>
        <w:t>1</w:t>
      </w:r>
      <w:r w:rsidR="00AD49FC">
        <w:t>5</w:t>
      </w:r>
      <w:r w:rsidRPr="00BB23BF">
        <w:t>.</w:t>
      </w:r>
      <w:r w:rsidRPr="00BB23BF">
        <w:tab/>
      </w:r>
      <w:r w:rsidRPr="00BB3373">
        <w:t xml:space="preserve">The Committee recommends that the State party provide adequate human, technical and financial resources to the national human rights commission to enable it to effectively discharge its mandate in full compliance with the principles relating to the status of national institutions for the promotion and protection of human rights (the Paris Principles) and to promote and protect the rights of migrant workers and members of their families under the Convention, including when addressing complaints from migrant workers and monitoring the conditions in places where migrant workers may be deprived of liberty. </w:t>
      </w:r>
    </w:p>
    <w:p w:rsidR="005F05F8" w:rsidRDefault="005F05F8" w:rsidP="005F05F8">
      <w:pPr>
        <w:pStyle w:val="H23G"/>
      </w:pPr>
      <w:r w:rsidRPr="009B3F3F">
        <w:lastRenderedPageBreak/>
        <w:tab/>
      </w:r>
      <w:r w:rsidRPr="009B3F3F">
        <w:tab/>
        <w:t>Training on and dissemination of the Convention</w:t>
      </w:r>
    </w:p>
    <w:p w:rsidR="00431AD7" w:rsidRDefault="00431AD7" w:rsidP="00431AD7">
      <w:pPr>
        <w:pStyle w:val="H23G"/>
      </w:pPr>
      <w:r w:rsidRPr="00BB23BF">
        <w:tab/>
      </w:r>
      <w:r>
        <w:tab/>
      </w:r>
      <w:r>
        <w:tab/>
      </w:r>
      <w:r w:rsidRPr="00BB23BF">
        <w:t>Participation of civil society</w:t>
      </w:r>
    </w:p>
    <w:p w:rsidR="00EC495A" w:rsidRPr="007C6E55" w:rsidRDefault="007C6E55" w:rsidP="00EC495A">
      <w:pPr>
        <w:pStyle w:val="SingleTxtG"/>
      </w:pPr>
      <w:r>
        <w:rPr>
          <w:rFonts w:hint="eastAsia"/>
        </w:rPr>
        <w:t>1</w:t>
      </w:r>
      <w:r w:rsidR="004D79F6">
        <w:t>6</w:t>
      </w:r>
      <w:r>
        <w:rPr>
          <w:rFonts w:hint="eastAsia"/>
        </w:rPr>
        <w:t>.</w:t>
      </w:r>
      <w:r>
        <w:tab/>
      </w:r>
      <w:r w:rsidR="00EC495A" w:rsidRPr="007C6E55">
        <w:t>The Committee recommends that the State party proactively and systematically involve civil society and non-governmental organizations in the implementation of the Convention, including in the planning and implementation of migration policy, as well as in the preparation of its next periodic report.</w:t>
      </w:r>
    </w:p>
    <w:p w:rsidR="005F05F8" w:rsidRPr="009B3F3F" w:rsidRDefault="005F05F8" w:rsidP="005F05F8">
      <w:pPr>
        <w:pStyle w:val="H23G"/>
      </w:pPr>
      <w:r w:rsidRPr="009B3F3F">
        <w:tab/>
      </w:r>
      <w:r w:rsidRPr="009B3F3F">
        <w:tab/>
        <w:t>Corruption</w:t>
      </w:r>
    </w:p>
    <w:p w:rsidR="005F05F8" w:rsidRPr="009B3F3F" w:rsidRDefault="005F05F8" w:rsidP="005F05F8">
      <w:pPr>
        <w:pStyle w:val="H23G"/>
      </w:pPr>
      <w:r w:rsidRPr="009B3F3F">
        <w:tab/>
        <w:t>2.</w:t>
      </w:r>
      <w:r w:rsidRPr="009B3F3F">
        <w:tab/>
        <w:t>General principles (arts. 7 and 83)</w:t>
      </w:r>
    </w:p>
    <w:p w:rsidR="005F05F8" w:rsidRPr="009B3F3F" w:rsidRDefault="005F05F8" w:rsidP="005F05F8">
      <w:pPr>
        <w:pStyle w:val="H23G"/>
        <w:rPr>
          <w:bCs/>
        </w:rPr>
      </w:pPr>
      <w:r w:rsidRPr="009B3F3F">
        <w:rPr>
          <w:bCs/>
        </w:rPr>
        <w:tab/>
      </w:r>
      <w:r w:rsidRPr="009B3F3F">
        <w:rPr>
          <w:bCs/>
        </w:rPr>
        <w:tab/>
        <w:t>Non-discrimination</w:t>
      </w:r>
    </w:p>
    <w:p w:rsidR="005F05F8" w:rsidRDefault="005F05F8" w:rsidP="005F05F8">
      <w:pPr>
        <w:pStyle w:val="H23G"/>
      </w:pPr>
      <w:r w:rsidRPr="009B3F3F">
        <w:tab/>
      </w:r>
      <w:r w:rsidRPr="009B3F3F">
        <w:tab/>
        <w:t xml:space="preserve">Right to an effective remedy </w:t>
      </w:r>
    </w:p>
    <w:p w:rsidR="00F62E01" w:rsidRPr="009B3F3F" w:rsidRDefault="004D79F6" w:rsidP="00F62E01">
      <w:pPr>
        <w:pStyle w:val="SingleTxtG"/>
        <w:rPr>
          <w:rFonts w:hint="eastAsia"/>
        </w:rPr>
      </w:pPr>
      <w:r>
        <w:t>17</w:t>
      </w:r>
      <w:r w:rsidR="00565BF5">
        <w:t>.</w:t>
      </w:r>
      <w:r w:rsidR="00565BF5">
        <w:tab/>
      </w:r>
      <w:r w:rsidR="00F62E01" w:rsidRPr="00565BF5">
        <w:t>The Committee recommends that the State party ensure that migrant workers and members of their families, including those in an irregular situation, have, in law and in practice, opportunities equal to those of nationals of the State party to file complaints and to obtain effective redress in courts in cases where their rights under the Convention have been violated. The Committee also recommends that the State party take additional measures to inform migrant workers and members of their families, including those in an irregular situation, about judicial remedies and reparations available to them in cases of violation of their rights under the Convention</w:t>
      </w:r>
      <w:r w:rsidR="00B66EA5">
        <w:rPr>
          <w:rFonts w:hint="eastAsia"/>
        </w:rPr>
        <w:t>.</w:t>
      </w:r>
    </w:p>
    <w:p w:rsidR="00F62E01" w:rsidRPr="00F62E01" w:rsidRDefault="00F62E01" w:rsidP="00565BF5">
      <w:pPr>
        <w:pStyle w:val="SingleTxtG"/>
      </w:pPr>
    </w:p>
    <w:p w:rsidR="005F05F8" w:rsidRPr="009B3F3F" w:rsidRDefault="005F05F8" w:rsidP="005F05F8">
      <w:pPr>
        <w:pStyle w:val="H23G"/>
      </w:pPr>
      <w:r w:rsidRPr="009B3F3F">
        <w:lastRenderedPageBreak/>
        <w:tab/>
        <w:t>3.</w:t>
      </w:r>
      <w:r w:rsidRPr="009B3F3F">
        <w:tab/>
        <w:t>Human rights of all migrant workers and members of their families (arts. 8–35)</w:t>
      </w:r>
    </w:p>
    <w:p w:rsidR="005F05F8" w:rsidRPr="00C602F6" w:rsidRDefault="005F05F8" w:rsidP="005F05F8">
      <w:pPr>
        <w:pStyle w:val="H23G"/>
      </w:pPr>
      <w:r w:rsidRPr="00C602F6">
        <w:tab/>
      </w:r>
      <w:r>
        <w:tab/>
      </w:r>
      <w:r>
        <w:tab/>
      </w:r>
      <w:r w:rsidRPr="00C602F6">
        <w:t xml:space="preserve">Freedom to leave any state </w:t>
      </w:r>
    </w:p>
    <w:p w:rsidR="005F05F8" w:rsidRPr="00C602F6" w:rsidRDefault="005F05F8" w:rsidP="005F05F8">
      <w:pPr>
        <w:pStyle w:val="H23G"/>
      </w:pPr>
      <w:r w:rsidRPr="00C602F6">
        <w:tab/>
      </w:r>
      <w:r w:rsidRPr="00C602F6">
        <w:tab/>
        <w:t>Protection from violence, physical injury, threats and intimidation</w:t>
      </w:r>
    </w:p>
    <w:p w:rsidR="005F05F8" w:rsidRPr="00C602F6" w:rsidRDefault="005F05F8" w:rsidP="005F05F8">
      <w:pPr>
        <w:pStyle w:val="H23G"/>
      </w:pPr>
      <w:r>
        <w:tab/>
      </w:r>
      <w:r>
        <w:tab/>
      </w:r>
      <w:r w:rsidRPr="00C602F6">
        <w:t>Labour exploitation and other forms of ill-treatment</w:t>
      </w:r>
    </w:p>
    <w:p w:rsidR="005F05F8" w:rsidRDefault="005F05F8" w:rsidP="005F05F8">
      <w:pPr>
        <w:pStyle w:val="H23G"/>
      </w:pPr>
      <w:r>
        <w:tab/>
      </w:r>
      <w:r>
        <w:tab/>
      </w:r>
      <w:r w:rsidRPr="00C602F6">
        <w:t>Conditions of detention</w:t>
      </w:r>
    </w:p>
    <w:p w:rsidR="005F05F8" w:rsidRPr="00BB23BF" w:rsidRDefault="005F05F8" w:rsidP="005F05F8">
      <w:pPr>
        <w:pStyle w:val="H23G"/>
      </w:pPr>
      <w:r w:rsidRPr="00BB23BF">
        <w:tab/>
      </w:r>
      <w:r w:rsidRPr="00BB23BF">
        <w:tab/>
        <w:t>Remuneration and conditions of work</w:t>
      </w:r>
    </w:p>
    <w:p w:rsidR="005F05F8" w:rsidRPr="009B3F3F" w:rsidRDefault="005F05F8" w:rsidP="005F05F8">
      <w:pPr>
        <w:pStyle w:val="H23G"/>
        <w:rPr>
          <w:bCs/>
        </w:rPr>
      </w:pPr>
      <w:r w:rsidRPr="009B3F3F">
        <w:rPr>
          <w:bCs/>
        </w:rPr>
        <w:tab/>
      </w:r>
      <w:r w:rsidRPr="009B3F3F">
        <w:rPr>
          <w:bCs/>
        </w:rPr>
        <w:tab/>
        <w:t>Border management and migrants in transit</w:t>
      </w:r>
    </w:p>
    <w:p w:rsidR="005F05F8" w:rsidRPr="009B3F3F" w:rsidRDefault="005F05F8" w:rsidP="005F05F8">
      <w:pPr>
        <w:pStyle w:val="H23G"/>
      </w:pPr>
      <w:r w:rsidRPr="009B3F3F">
        <w:tab/>
      </w:r>
      <w:r w:rsidRPr="009B3F3F">
        <w:tab/>
        <w:t>Due process, detention and equality before the courts</w:t>
      </w:r>
    </w:p>
    <w:p w:rsidR="005F05F8" w:rsidRPr="009B3F3F" w:rsidRDefault="005F05F8" w:rsidP="005F05F8">
      <w:pPr>
        <w:pStyle w:val="H23G"/>
        <w:rPr>
          <w:highlight w:val="magenta"/>
        </w:rPr>
      </w:pPr>
      <w:r w:rsidRPr="009B3F3F">
        <w:tab/>
      </w:r>
      <w:r w:rsidRPr="009B3F3F">
        <w:tab/>
        <w:t>Expulsion</w:t>
      </w:r>
    </w:p>
    <w:p w:rsidR="005F05F8" w:rsidRPr="009B3F3F" w:rsidRDefault="005F05F8" w:rsidP="005F05F8">
      <w:pPr>
        <w:pStyle w:val="H23G"/>
        <w:rPr>
          <w:lang w:eastAsia="zh-CN"/>
        </w:rPr>
      </w:pPr>
      <w:r w:rsidRPr="009B3F3F">
        <w:rPr>
          <w:lang w:eastAsia="zh-CN"/>
        </w:rPr>
        <w:tab/>
      </w:r>
      <w:r w:rsidRPr="009B3F3F">
        <w:rPr>
          <w:lang w:eastAsia="zh-CN"/>
        </w:rPr>
        <w:tab/>
        <w:t>Consular assistance</w:t>
      </w:r>
    </w:p>
    <w:p w:rsidR="005F05F8" w:rsidRPr="009B3F3F" w:rsidRDefault="005F05F8" w:rsidP="005F05F8">
      <w:pPr>
        <w:pStyle w:val="H23G"/>
      </w:pPr>
      <w:r w:rsidRPr="009B3F3F">
        <w:tab/>
      </w:r>
      <w:r w:rsidRPr="009B3F3F">
        <w:tab/>
        <w:t>Freedom to join and take part in meetings of trade unions</w:t>
      </w:r>
    </w:p>
    <w:p w:rsidR="005F05F8" w:rsidRPr="009B3F3F" w:rsidRDefault="005F05F8" w:rsidP="005F05F8">
      <w:pPr>
        <w:pStyle w:val="H23G"/>
      </w:pPr>
      <w:r w:rsidRPr="009B3F3F">
        <w:tab/>
      </w:r>
      <w:r w:rsidRPr="009B3F3F">
        <w:tab/>
        <w:t>Social security</w:t>
      </w:r>
    </w:p>
    <w:p w:rsidR="005F05F8" w:rsidRPr="009B3F3F" w:rsidRDefault="005F05F8" w:rsidP="005F05F8">
      <w:pPr>
        <w:pStyle w:val="H23G"/>
      </w:pPr>
      <w:r w:rsidRPr="009B3F3F">
        <w:tab/>
      </w:r>
      <w:r w:rsidRPr="009B3F3F">
        <w:tab/>
        <w:t>Medical care</w:t>
      </w:r>
    </w:p>
    <w:p w:rsidR="005F05F8" w:rsidRPr="009B3F3F" w:rsidRDefault="005F05F8" w:rsidP="005F05F8">
      <w:pPr>
        <w:pStyle w:val="H23G"/>
      </w:pPr>
      <w:r w:rsidRPr="009B3F3F">
        <w:tab/>
      </w:r>
      <w:r w:rsidRPr="009B3F3F">
        <w:tab/>
        <w:t>Birth registration and nationality</w:t>
      </w:r>
    </w:p>
    <w:p w:rsidR="005F05F8" w:rsidRPr="009B3F3F" w:rsidRDefault="005F05F8" w:rsidP="005F05F8">
      <w:pPr>
        <w:pStyle w:val="H23G"/>
      </w:pPr>
      <w:r w:rsidRPr="009B3F3F">
        <w:tab/>
      </w:r>
      <w:r w:rsidRPr="009B3F3F">
        <w:tab/>
        <w:t>Education</w:t>
      </w:r>
    </w:p>
    <w:p w:rsidR="005F05F8" w:rsidRPr="009B3F3F" w:rsidRDefault="005F05F8" w:rsidP="005F05F8">
      <w:pPr>
        <w:pStyle w:val="H23G"/>
      </w:pPr>
      <w:r w:rsidRPr="009B3F3F">
        <w:tab/>
      </w:r>
      <w:r w:rsidRPr="009B3F3F">
        <w:tab/>
        <w:t xml:space="preserve">Transfer of earnings and savings </w:t>
      </w:r>
    </w:p>
    <w:p w:rsidR="005F05F8" w:rsidRPr="009B3F3F" w:rsidRDefault="005F05F8" w:rsidP="005F05F8">
      <w:pPr>
        <w:pStyle w:val="H23G"/>
      </w:pPr>
      <w:r w:rsidRPr="009B3F3F">
        <w:tab/>
      </w:r>
      <w:r w:rsidRPr="009B3F3F">
        <w:tab/>
        <w:t>Right to be informed and dissemination</w:t>
      </w:r>
      <w:r w:rsidR="00C8714D">
        <w:t xml:space="preserve"> of information</w:t>
      </w:r>
    </w:p>
    <w:p w:rsidR="005F05F8" w:rsidRPr="009B3F3F" w:rsidRDefault="005F05F8" w:rsidP="005F05F8">
      <w:pPr>
        <w:pStyle w:val="H23G"/>
      </w:pPr>
      <w:r w:rsidRPr="009B3F3F">
        <w:tab/>
        <w:t>4.</w:t>
      </w:r>
      <w:r w:rsidRPr="009B3F3F">
        <w:tab/>
        <w:t>Other rights of migrant workers and members of their families who are documented or in a regular situation (arts. 36–56)</w:t>
      </w:r>
    </w:p>
    <w:p w:rsidR="005F05F8" w:rsidRPr="009B3F3F" w:rsidRDefault="005F05F8" w:rsidP="005F05F8">
      <w:pPr>
        <w:pStyle w:val="H23G"/>
      </w:pPr>
      <w:r w:rsidRPr="009B3F3F">
        <w:tab/>
      </w:r>
      <w:r w:rsidRPr="009B3F3F">
        <w:tab/>
        <w:t>Right to vote and to be elected in State of origin</w:t>
      </w:r>
    </w:p>
    <w:p w:rsidR="005F05F8" w:rsidRPr="009B3F3F" w:rsidRDefault="005F05F8" w:rsidP="005F05F8">
      <w:pPr>
        <w:pStyle w:val="H23G"/>
      </w:pPr>
      <w:r w:rsidRPr="009B3F3F">
        <w:tab/>
      </w:r>
      <w:r w:rsidRPr="009B3F3F">
        <w:tab/>
        <w:t>Family reunification</w:t>
      </w:r>
    </w:p>
    <w:p w:rsidR="000C4824" w:rsidRPr="00EB542C" w:rsidRDefault="005F05F8" w:rsidP="000C4824">
      <w:pPr>
        <w:pStyle w:val="H23G"/>
        <w:keepNext w:val="0"/>
        <w:keepLines w:val="0"/>
      </w:pPr>
      <w:r w:rsidRPr="009B3F3F">
        <w:tab/>
        <w:t>5.</w:t>
      </w:r>
      <w:r w:rsidRPr="009B3F3F">
        <w:tab/>
      </w:r>
      <w:r w:rsidR="000C4824" w:rsidRPr="00EB542C">
        <w:t>Provisions applicable to particular categories of migrant workers and members of their families (arts. 57-63)</w:t>
      </w:r>
    </w:p>
    <w:p w:rsidR="000C4824" w:rsidRPr="00EB542C" w:rsidRDefault="000C4824" w:rsidP="000C4824">
      <w:pPr>
        <w:pStyle w:val="H23G"/>
        <w:keepNext w:val="0"/>
        <w:keepLines w:val="0"/>
      </w:pPr>
      <w:r w:rsidRPr="00EB542C">
        <w:tab/>
      </w:r>
      <w:r w:rsidRPr="00EB542C">
        <w:tab/>
        <w:t>Seasonal workers</w:t>
      </w:r>
    </w:p>
    <w:p w:rsidR="005F05F8" w:rsidRPr="009B3F3F" w:rsidRDefault="000C4824" w:rsidP="005F05F8">
      <w:pPr>
        <w:pStyle w:val="H23G"/>
      </w:pPr>
      <w:r>
        <w:lastRenderedPageBreak/>
        <w:tab/>
        <w:t>6.</w:t>
      </w:r>
      <w:r>
        <w:tab/>
      </w:r>
      <w:r w:rsidR="005F05F8" w:rsidRPr="009B3F3F">
        <w:t>Promotion of sound, equitable, humane and lawful conditions in connection with international migration of workers and members of their families (arts. 64–71)</w:t>
      </w:r>
    </w:p>
    <w:p w:rsidR="005F05F8" w:rsidRPr="009B3F3F" w:rsidRDefault="005F05F8" w:rsidP="005F05F8">
      <w:pPr>
        <w:pStyle w:val="H23G"/>
      </w:pPr>
      <w:r w:rsidRPr="009B3F3F">
        <w:tab/>
      </w:r>
      <w:r w:rsidRPr="009B3F3F">
        <w:tab/>
        <w:t>Children in situations of international migration</w:t>
      </w:r>
    </w:p>
    <w:p w:rsidR="005F05F8" w:rsidRPr="009B3F3F" w:rsidRDefault="005F05F8" w:rsidP="005F05F8">
      <w:pPr>
        <w:pStyle w:val="H23G"/>
      </w:pPr>
      <w:r w:rsidRPr="009B3F3F">
        <w:tab/>
      </w:r>
      <w:r w:rsidRPr="009B3F3F">
        <w:tab/>
        <w:t>International cooperation with countries of transit and destination</w:t>
      </w:r>
    </w:p>
    <w:p w:rsidR="005F05F8" w:rsidRPr="009B3F3F" w:rsidRDefault="005F05F8" w:rsidP="005F05F8">
      <w:pPr>
        <w:pStyle w:val="H23G"/>
      </w:pPr>
      <w:r w:rsidRPr="009B3F3F">
        <w:tab/>
      </w:r>
      <w:r w:rsidRPr="009B3F3F">
        <w:tab/>
        <w:t>Migrant domestic workers</w:t>
      </w:r>
    </w:p>
    <w:p w:rsidR="005F05F8" w:rsidRDefault="005F05F8" w:rsidP="005F05F8">
      <w:pPr>
        <w:pStyle w:val="H23G"/>
      </w:pPr>
      <w:r w:rsidRPr="009B3F3F">
        <w:tab/>
      </w:r>
      <w:r w:rsidRPr="009B3F3F">
        <w:tab/>
        <w:t>Recruitment agencies</w:t>
      </w:r>
    </w:p>
    <w:p w:rsidR="00836E0A" w:rsidRPr="00EB542C" w:rsidRDefault="005F05F8" w:rsidP="00836E0A">
      <w:pPr>
        <w:pStyle w:val="H23G"/>
      </w:pPr>
      <w:r w:rsidRPr="009B3F3F">
        <w:tab/>
      </w:r>
      <w:r w:rsidRPr="009B3F3F">
        <w:tab/>
      </w:r>
      <w:r w:rsidR="00836E0A" w:rsidRPr="00EB542C">
        <w:t>Return and reintegration</w:t>
      </w:r>
    </w:p>
    <w:p w:rsidR="00836E0A" w:rsidRPr="00EB542C" w:rsidRDefault="00836E0A" w:rsidP="00836E0A">
      <w:pPr>
        <w:pStyle w:val="H23G"/>
      </w:pPr>
      <w:r w:rsidRPr="00EB542C">
        <w:tab/>
      </w:r>
      <w:r w:rsidRPr="00EB542C">
        <w:tab/>
        <w:t>Illegal or clandestine movements and employment of migrant workers in an irregular situation</w:t>
      </w:r>
    </w:p>
    <w:p w:rsidR="00836E0A" w:rsidRPr="00EB542C" w:rsidRDefault="00836E0A" w:rsidP="00836E0A">
      <w:pPr>
        <w:pStyle w:val="H23G"/>
      </w:pPr>
      <w:r w:rsidRPr="00EB542C">
        <w:tab/>
      </w:r>
      <w:r w:rsidRPr="00EB542C">
        <w:tab/>
        <w:t>Measures to address migrant workers in an irregular situation</w:t>
      </w:r>
    </w:p>
    <w:p w:rsidR="00836E0A" w:rsidRPr="00EB542C" w:rsidRDefault="00836E0A" w:rsidP="00836E0A">
      <w:pPr>
        <w:pStyle w:val="H23G"/>
      </w:pPr>
      <w:r w:rsidRPr="00EB542C">
        <w:tab/>
      </w:r>
      <w:r w:rsidRPr="00EB542C">
        <w:tab/>
        <w:t>Children remaining behind</w:t>
      </w:r>
    </w:p>
    <w:p w:rsidR="005F05F8" w:rsidRDefault="005F05F8" w:rsidP="005F05F8">
      <w:pPr>
        <w:pStyle w:val="H23G"/>
      </w:pPr>
      <w:r w:rsidRPr="009B3F3F">
        <w:tab/>
      </w:r>
      <w:r w:rsidRPr="009B3F3F">
        <w:tab/>
        <w:t>Trafficking in persons</w:t>
      </w:r>
    </w:p>
    <w:p w:rsidR="005F05F8" w:rsidRPr="00652B99" w:rsidRDefault="005F05F8" w:rsidP="005F05F8">
      <w:pPr>
        <w:pStyle w:val="H23G"/>
      </w:pPr>
      <w:r>
        <w:tab/>
      </w:r>
      <w:r>
        <w:tab/>
      </w:r>
      <w:r w:rsidRPr="00C602F6">
        <w:t>Trafficking in persons and smuggling of migrants</w:t>
      </w:r>
    </w:p>
    <w:p w:rsidR="005F05F8" w:rsidRDefault="005F05F8" w:rsidP="005F05F8">
      <w:pPr>
        <w:pStyle w:val="H23G"/>
      </w:pPr>
      <w:r w:rsidRPr="009B3F3F">
        <w:tab/>
      </w:r>
      <w:r w:rsidRPr="009B3F3F">
        <w:tab/>
        <w:t>Smuggling of migrants and irregular migration</w:t>
      </w:r>
    </w:p>
    <w:p w:rsidR="005F05F8" w:rsidRPr="00DF3817" w:rsidRDefault="005F05F8" w:rsidP="005F05F8">
      <w:pPr>
        <w:pStyle w:val="H23G"/>
      </w:pPr>
      <w:r>
        <w:tab/>
      </w:r>
      <w:r>
        <w:tab/>
      </w:r>
      <w:r w:rsidRPr="00C602F6">
        <w:t>Regularization</w:t>
      </w:r>
    </w:p>
    <w:p w:rsidR="005F05F8" w:rsidRPr="00652B99" w:rsidRDefault="005F05F8" w:rsidP="005F05F8">
      <w:pPr>
        <w:pStyle w:val="H23G"/>
      </w:pPr>
      <w:r>
        <w:tab/>
      </w:r>
      <w:r>
        <w:tab/>
      </w:r>
      <w:r w:rsidRPr="00C602F6">
        <w:t>Repatriation of bodies</w:t>
      </w:r>
    </w:p>
    <w:p w:rsidR="005F05F8" w:rsidRPr="009B3F3F" w:rsidRDefault="005F05F8" w:rsidP="005A7C79">
      <w:pPr>
        <w:pStyle w:val="H23G"/>
        <w:rPr>
          <w:lang w:eastAsia="en-GB"/>
        </w:rPr>
      </w:pPr>
      <w:r w:rsidRPr="009B3F3F">
        <w:rPr>
          <w:lang w:eastAsia="en-GB"/>
        </w:rPr>
        <w:tab/>
      </w:r>
      <w:r w:rsidR="005A7C79">
        <w:rPr>
          <w:lang w:eastAsia="en-GB"/>
        </w:rPr>
        <w:t>7</w:t>
      </w:r>
      <w:bookmarkStart w:id="0" w:name="_GoBack"/>
      <w:bookmarkEnd w:id="0"/>
      <w:r w:rsidRPr="009B3F3F">
        <w:rPr>
          <w:lang w:eastAsia="en-GB"/>
        </w:rPr>
        <w:t>.</w:t>
      </w:r>
      <w:r w:rsidRPr="009B3F3F">
        <w:rPr>
          <w:lang w:eastAsia="en-GB"/>
        </w:rPr>
        <w:tab/>
        <w:t>Dissemination and follow-up</w:t>
      </w:r>
    </w:p>
    <w:p w:rsidR="005F05F8" w:rsidRPr="009B3F3F" w:rsidRDefault="005F05F8" w:rsidP="005F05F8">
      <w:pPr>
        <w:pStyle w:val="H23G"/>
      </w:pPr>
      <w:r w:rsidRPr="009B3F3F">
        <w:tab/>
      </w:r>
      <w:r w:rsidRPr="009B3F3F">
        <w:tab/>
        <w:t>Dissemination</w:t>
      </w:r>
    </w:p>
    <w:p w:rsidR="005F05F8" w:rsidRPr="009B3F3F" w:rsidRDefault="006A25B9" w:rsidP="005F05F8">
      <w:pPr>
        <w:pStyle w:val="SingleTxtG"/>
      </w:pPr>
      <w:r>
        <w:rPr>
          <w:rFonts w:hint="eastAsia"/>
        </w:rPr>
        <w:t>1</w:t>
      </w:r>
      <w:r>
        <w:t>8</w:t>
      </w:r>
      <w:r w:rsidR="005F05F8" w:rsidRPr="009B3F3F">
        <w:t>.</w:t>
      </w:r>
      <w:r w:rsidR="005F05F8" w:rsidRPr="009B3F3F">
        <w:tab/>
      </w:r>
      <w:r w:rsidR="005F05F8" w:rsidRPr="009B3F3F">
        <w:rPr>
          <w:b/>
        </w:rPr>
        <w:t>The Committee requests the State party to ensure the timely dissemination of the present concluding observations, in the official language of the State party, to the relevant State institutions at all levels, including to government ministries, the legislature, the judiciary and relevant local authorities, as well as to non-governmental organizations and other members of civil society.</w:t>
      </w:r>
      <w:r w:rsidR="005F05F8" w:rsidRPr="009B3F3F">
        <w:t xml:space="preserve"> </w:t>
      </w:r>
    </w:p>
    <w:p w:rsidR="005F05F8" w:rsidRPr="009B3F3F" w:rsidRDefault="005F05F8" w:rsidP="005F05F8">
      <w:pPr>
        <w:pStyle w:val="H23G"/>
      </w:pPr>
      <w:r w:rsidRPr="009B3F3F">
        <w:tab/>
      </w:r>
      <w:r w:rsidRPr="009B3F3F">
        <w:tab/>
        <w:t xml:space="preserve">Technical assistance </w:t>
      </w:r>
    </w:p>
    <w:p w:rsidR="005F05F8" w:rsidRPr="009B3F3F" w:rsidRDefault="006A25B9" w:rsidP="005F05F8">
      <w:pPr>
        <w:pStyle w:val="SingleTxtG"/>
      </w:pPr>
      <w:r>
        <w:t>19</w:t>
      </w:r>
      <w:r w:rsidR="005F05F8" w:rsidRPr="009B3F3F">
        <w:t>.</w:t>
      </w:r>
      <w:r w:rsidR="005F05F8" w:rsidRPr="009B3F3F">
        <w:tab/>
      </w:r>
      <w:r w:rsidR="005F05F8" w:rsidRPr="009B3F3F">
        <w:rPr>
          <w:b/>
        </w:rPr>
        <w:t>The Committee recommends that the State party avail itself of international assistance for the implementation of the recommendations contained in the present concluding observations in line with the 2030 Agenda for Sustainable Development. It also recommends that the State party continue its cooperation with specialized agencies and programmes of the United Nations.</w:t>
      </w:r>
    </w:p>
    <w:p w:rsidR="005F05F8" w:rsidRPr="009B3F3F" w:rsidRDefault="005F05F8" w:rsidP="005F05F8">
      <w:pPr>
        <w:pStyle w:val="H23G"/>
        <w:rPr>
          <w:bCs/>
          <w:color w:val="000000"/>
          <w:lang w:eastAsia="en-GB"/>
        </w:rPr>
      </w:pPr>
      <w:r w:rsidRPr="009B3F3F">
        <w:tab/>
      </w:r>
      <w:r w:rsidRPr="009B3F3F">
        <w:tab/>
        <w:t>Follow-up to concluding observations</w:t>
      </w:r>
    </w:p>
    <w:p w:rsidR="005F05F8" w:rsidRPr="009B3F3F" w:rsidRDefault="006A25B9" w:rsidP="005F05F8">
      <w:pPr>
        <w:pStyle w:val="SingleTxtG"/>
      </w:pPr>
      <w:r>
        <w:rPr>
          <w:rFonts w:hint="eastAsia"/>
        </w:rPr>
        <w:t>2</w:t>
      </w:r>
      <w:r>
        <w:t>0</w:t>
      </w:r>
      <w:r w:rsidR="005F05F8" w:rsidRPr="009B3F3F">
        <w:t>.</w:t>
      </w:r>
      <w:r w:rsidR="005F05F8" w:rsidRPr="009B3F3F">
        <w:tab/>
      </w:r>
      <w:r w:rsidR="005F05F8" w:rsidRPr="009B3F3F">
        <w:rPr>
          <w:b/>
        </w:rPr>
        <w:t>The Committee requests the State party to provide, within two years (that is, by 1 May 2021), written information on the implementation of the recommendations contained in paragraphs 34 and 36, on due process, detention and equality before the courts; paragraph 60, on children in situations of international migration; and paragraph 72, on the smuggling of migrants and irregular migration.</w:t>
      </w:r>
    </w:p>
    <w:p w:rsidR="005F05F8" w:rsidRPr="009B3F3F" w:rsidRDefault="005F05F8" w:rsidP="005F05F8">
      <w:pPr>
        <w:pStyle w:val="H23G"/>
        <w:rPr>
          <w:lang w:eastAsia="en-GB"/>
        </w:rPr>
      </w:pPr>
      <w:r w:rsidRPr="009B3F3F">
        <w:rPr>
          <w:lang w:eastAsia="en-GB"/>
        </w:rPr>
        <w:tab/>
      </w:r>
      <w:r w:rsidRPr="009B3F3F">
        <w:rPr>
          <w:lang w:eastAsia="en-GB"/>
        </w:rPr>
        <w:tab/>
        <w:t>Next periodic report</w:t>
      </w:r>
    </w:p>
    <w:p w:rsidR="005F05F8" w:rsidRPr="009B3F3F" w:rsidRDefault="006A25B9" w:rsidP="005F05F8">
      <w:pPr>
        <w:pStyle w:val="SingleTxtG"/>
        <w:rPr>
          <w:b/>
        </w:rPr>
      </w:pPr>
      <w:r>
        <w:rPr>
          <w:rFonts w:hint="eastAsia"/>
        </w:rPr>
        <w:t>2</w:t>
      </w:r>
      <w:r>
        <w:t>1</w:t>
      </w:r>
      <w:r w:rsidR="005F05F8" w:rsidRPr="009B3F3F">
        <w:t>.</w:t>
      </w:r>
      <w:r w:rsidR="005F05F8" w:rsidRPr="009B3F3F">
        <w:tab/>
      </w:r>
      <w:r w:rsidR="005F05F8" w:rsidRPr="009B3F3F">
        <w:rPr>
          <w:b/>
        </w:rPr>
        <w:t xml:space="preserve">The Committee requests the State party to submit its third periodic report by 1 May 2024. In doing so, the State party may wish to follow the simplified reporting </w:t>
      </w:r>
      <w:r w:rsidR="005F05F8" w:rsidRPr="009B3F3F">
        <w:rPr>
          <w:b/>
        </w:rPr>
        <w:lastRenderedPageBreak/>
        <w:t>procedure. The Committee draws the State party’s attention to its harmonized treaty-specific guidelines (</w:t>
      </w:r>
      <w:proofErr w:type="spellStart"/>
      <w:r w:rsidR="005F05F8" w:rsidRPr="009B3F3F">
        <w:rPr>
          <w:b/>
        </w:rPr>
        <w:fldChar w:fldCharType="begin"/>
      </w:r>
      <w:r w:rsidR="005F05F8" w:rsidRPr="009B3F3F">
        <w:rPr>
          <w:b/>
        </w:rPr>
        <w:instrText xml:space="preserve"> FILLIN "Symbol" \* MERGEFORMAT </w:instrText>
      </w:r>
      <w:r w:rsidR="005F05F8" w:rsidRPr="009B3F3F">
        <w:rPr>
          <w:b/>
        </w:rPr>
        <w:fldChar w:fldCharType="separate"/>
      </w:r>
      <w:r w:rsidR="005F05F8" w:rsidRPr="009B3F3F">
        <w:rPr>
          <w:b/>
        </w:rPr>
        <w:t>HRI</w:t>
      </w:r>
      <w:proofErr w:type="spellEnd"/>
      <w:r w:rsidR="005F05F8" w:rsidRPr="009B3F3F">
        <w:rPr>
          <w:b/>
        </w:rPr>
        <w:t>/GEN/2/</w:t>
      </w:r>
      <w:proofErr w:type="spellStart"/>
      <w:r w:rsidR="005F05F8" w:rsidRPr="009B3F3F">
        <w:rPr>
          <w:b/>
        </w:rPr>
        <w:t>Rev.6</w:t>
      </w:r>
      <w:proofErr w:type="spellEnd"/>
      <w:r w:rsidR="005F05F8" w:rsidRPr="009B3F3F">
        <w:rPr>
          <w:b/>
        </w:rPr>
        <w:fldChar w:fldCharType="end"/>
      </w:r>
      <w:r w:rsidR="005F05F8" w:rsidRPr="009B3F3F">
        <w:rPr>
          <w:b/>
        </w:rPr>
        <w:t>).</w:t>
      </w:r>
    </w:p>
    <w:p w:rsidR="005F05F8" w:rsidRPr="009B3F3F" w:rsidRDefault="005F05F8" w:rsidP="005F05F8">
      <w:pPr>
        <w:pStyle w:val="SingleTxtG"/>
        <w:spacing w:before="240" w:after="0"/>
        <w:jc w:val="center"/>
        <w:rPr>
          <w:u w:val="single"/>
        </w:rPr>
      </w:pPr>
      <w:r w:rsidRPr="009B3F3F">
        <w:rPr>
          <w:u w:val="single"/>
        </w:rPr>
        <w:tab/>
      </w:r>
      <w:r w:rsidRPr="009B3F3F">
        <w:rPr>
          <w:u w:val="single"/>
        </w:rPr>
        <w:tab/>
      </w:r>
      <w:r w:rsidRPr="009B3F3F">
        <w:rPr>
          <w:u w:val="single"/>
        </w:rPr>
        <w:tab/>
      </w:r>
    </w:p>
    <w:p w:rsidR="005F05F8" w:rsidRPr="005F05F8" w:rsidRDefault="005F05F8" w:rsidP="005F05F8"/>
    <w:sectPr w:rsidR="005F05F8" w:rsidRPr="005F05F8" w:rsidSect="00701DAB">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983" w:rsidRPr="00767541" w:rsidRDefault="00791983" w:rsidP="00767541">
      <w:pPr>
        <w:pStyle w:val="a5"/>
      </w:pPr>
    </w:p>
  </w:endnote>
  <w:endnote w:type="continuationSeparator" w:id="0">
    <w:p w:rsidR="00791983" w:rsidRPr="00767541" w:rsidRDefault="00791983" w:rsidP="00767541">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83" w:rsidRDefault="00791983" w:rsidP="004D4055">
    <w:pPr>
      <w:pStyle w:val="a5"/>
      <w:tabs>
        <w:tab w:val="right" w:pos="9638"/>
      </w:tabs>
    </w:pPr>
    <w:r w:rsidRPr="004D4055">
      <w:rPr>
        <w:b/>
        <w:bCs/>
        <w:sz w:val="18"/>
      </w:rPr>
      <w:fldChar w:fldCharType="begin"/>
    </w:r>
    <w:r w:rsidRPr="004D4055">
      <w:rPr>
        <w:b/>
        <w:bCs/>
        <w:sz w:val="18"/>
      </w:rPr>
      <w:instrText xml:space="preserve"> PAGE  \* MERGEFORMAT </w:instrText>
    </w:r>
    <w:r w:rsidRPr="004D4055">
      <w:rPr>
        <w:b/>
        <w:bCs/>
        <w:sz w:val="18"/>
      </w:rPr>
      <w:fldChar w:fldCharType="separate"/>
    </w:r>
    <w:r w:rsidR="000A0A77">
      <w:rPr>
        <w:b/>
        <w:bCs/>
        <w:noProof/>
        <w:sz w:val="18"/>
      </w:rPr>
      <w:t>6</w:t>
    </w:r>
    <w:r w:rsidRPr="004D405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83" w:rsidRDefault="00791983" w:rsidP="004D4055">
    <w:pPr>
      <w:pStyle w:val="a5"/>
      <w:tabs>
        <w:tab w:val="right" w:pos="9638"/>
      </w:tabs>
    </w:pPr>
    <w:r>
      <w:tab/>
    </w:r>
    <w:r w:rsidRPr="004D4055">
      <w:rPr>
        <w:b/>
        <w:bCs/>
        <w:sz w:val="18"/>
      </w:rPr>
      <w:fldChar w:fldCharType="begin"/>
    </w:r>
    <w:r w:rsidRPr="004D4055">
      <w:rPr>
        <w:b/>
        <w:bCs/>
        <w:sz w:val="18"/>
      </w:rPr>
      <w:instrText xml:space="preserve"> PAGE  \* MERGEFORMAT </w:instrText>
    </w:r>
    <w:r w:rsidRPr="004D4055">
      <w:rPr>
        <w:b/>
        <w:bCs/>
        <w:sz w:val="18"/>
      </w:rPr>
      <w:fldChar w:fldCharType="separate"/>
    </w:r>
    <w:r w:rsidR="000A0A77">
      <w:rPr>
        <w:b/>
        <w:bCs/>
        <w:noProof/>
        <w:sz w:val="18"/>
      </w:rPr>
      <w:t>5</w:t>
    </w:r>
    <w:r w:rsidRPr="004D4055">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528" w:rsidRDefault="007C3528" w:rsidP="007C3528">
    <w:pPr>
      <w:pStyle w:val="a5"/>
    </w:pPr>
  </w:p>
  <w:p w:rsidR="007C3528" w:rsidRPr="007C3528" w:rsidRDefault="007C3528" w:rsidP="007C3528">
    <w:pPr>
      <w:pStyle w:val="a5"/>
      <w:ind w:right="1134"/>
      <w:rPr>
        <w:rFonts w:ascii="C39T30Lfz" w:hAnsi="C39T30Lfz"/>
        <w:sz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983" w:rsidRPr="00767541" w:rsidRDefault="00791983" w:rsidP="00767541">
      <w:pPr>
        <w:tabs>
          <w:tab w:val="right" w:pos="2155"/>
        </w:tabs>
        <w:spacing w:after="80" w:line="240" w:lineRule="auto"/>
        <w:ind w:left="680"/>
      </w:pPr>
      <w:r>
        <w:rPr>
          <w:u w:val="single"/>
        </w:rPr>
        <w:tab/>
      </w:r>
    </w:p>
  </w:footnote>
  <w:footnote w:type="continuationSeparator" w:id="0">
    <w:p w:rsidR="00791983" w:rsidRPr="00767541" w:rsidRDefault="00791983" w:rsidP="00767541">
      <w:pPr>
        <w:tabs>
          <w:tab w:val="right" w:pos="2155"/>
        </w:tabs>
        <w:spacing w:after="80" w:line="240" w:lineRule="auto"/>
        <w:ind w:left="680"/>
      </w:pPr>
      <w:r>
        <w:rPr>
          <w:u w:val="single"/>
        </w:rPr>
        <w:tab/>
      </w:r>
    </w:p>
  </w:footnote>
  <w:footnote w:id="1">
    <w:p w:rsidR="00B25C5F" w:rsidRPr="007C32AC" w:rsidRDefault="00B25C5F" w:rsidP="00B25C5F">
      <w:pPr>
        <w:pStyle w:val="a8"/>
      </w:pPr>
      <w:r w:rsidRPr="00927F2F">
        <w:rPr>
          <w:rStyle w:val="ac"/>
          <w:vertAlign w:val="baseline"/>
        </w:rPr>
        <w:tab/>
      </w:r>
      <w:r w:rsidRPr="00927F2F">
        <w:rPr>
          <w:rStyle w:val="ac"/>
          <w:sz w:val="20"/>
          <w:vertAlign w:val="baseline"/>
        </w:rPr>
        <w:t>*</w:t>
      </w:r>
      <w:r>
        <w:rPr>
          <w:rStyle w:val="ac"/>
          <w:sz w:val="20"/>
        </w:rPr>
        <w:tab/>
      </w:r>
      <w:r>
        <w:t>Adopted by the Committee at its thirtieth session (1–12 April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83" w:rsidRDefault="00791983" w:rsidP="004D4055">
    <w:pPr>
      <w:pStyle w:val="a3"/>
    </w:pPr>
    <w:proofErr w:type="spellStart"/>
    <w:r>
      <w:t>CMW</w:t>
    </w:r>
    <w:proofErr w:type="spellEnd"/>
    <w:r>
      <w:t>/C/ALB/CO/2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83" w:rsidRDefault="00791983" w:rsidP="004D4055">
    <w:pPr>
      <w:pStyle w:val="a3"/>
      <w:jc w:val="right"/>
    </w:pPr>
    <w:proofErr w:type="spellStart"/>
    <w:r>
      <w:t>CMW</w:t>
    </w:r>
    <w:proofErr w:type="spellEnd"/>
    <w:r>
      <w:t>/C/ALB/CO/2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6D2AC7"/>
    <w:multiLevelType w:val="hybridMultilevel"/>
    <w:tmpl w:val="8A40373E"/>
    <w:lvl w:ilvl="0" w:tplc="B97432E0">
      <w:start w:val="1"/>
      <w:numFmt w:val="lowerLetter"/>
      <w:lvlText w:val="(%1)"/>
      <w:lvlJc w:val="left"/>
      <w:pPr>
        <w:ind w:left="14292" w:hanging="360"/>
      </w:pPr>
      <w:rPr>
        <w:rFonts w:hint="default"/>
      </w:rPr>
    </w:lvl>
    <w:lvl w:ilvl="1" w:tplc="08090019">
      <w:start w:val="1"/>
      <w:numFmt w:val="lowerLetter"/>
      <w:lvlText w:val="%2."/>
      <w:lvlJc w:val="left"/>
      <w:pPr>
        <w:ind w:left="15012" w:hanging="360"/>
      </w:pPr>
    </w:lvl>
    <w:lvl w:ilvl="2" w:tplc="0809001B" w:tentative="1">
      <w:start w:val="1"/>
      <w:numFmt w:val="lowerRoman"/>
      <w:lvlText w:val="%3."/>
      <w:lvlJc w:val="right"/>
      <w:pPr>
        <w:ind w:left="15732" w:hanging="180"/>
      </w:pPr>
    </w:lvl>
    <w:lvl w:ilvl="3" w:tplc="0809000F" w:tentative="1">
      <w:start w:val="1"/>
      <w:numFmt w:val="decimal"/>
      <w:lvlText w:val="%4."/>
      <w:lvlJc w:val="left"/>
      <w:pPr>
        <w:ind w:left="16452" w:hanging="360"/>
      </w:pPr>
    </w:lvl>
    <w:lvl w:ilvl="4" w:tplc="08090019" w:tentative="1">
      <w:start w:val="1"/>
      <w:numFmt w:val="lowerLetter"/>
      <w:lvlText w:val="%5."/>
      <w:lvlJc w:val="left"/>
      <w:pPr>
        <w:ind w:left="17172" w:hanging="360"/>
      </w:pPr>
    </w:lvl>
    <w:lvl w:ilvl="5" w:tplc="0809001B" w:tentative="1">
      <w:start w:val="1"/>
      <w:numFmt w:val="lowerRoman"/>
      <w:lvlText w:val="%6."/>
      <w:lvlJc w:val="right"/>
      <w:pPr>
        <w:ind w:left="17892" w:hanging="180"/>
      </w:pPr>
    </w:lvl>
    <w:lvl w:ilvl="6" w:tplc="0809000F" w:tentative="1">
      <w:start w:val="1"/>
      <w:numFmt w:val="decimal"/>
      <w:lvlText w:val="%7."/>
      <w:lvlJc w:val="left"/>
      <w:pPr>
        <w:ind w:left="18612" w:hanging="360"/>
      </w:pPr>
    </w:lvl>
    <w:lvl w:ilvl="7" w:tplc="08090019" w:tentative="1">
      <w:start w:val="1"/>
      <w:numFmt w:val="lowerLetter"/>
      <w:lvlText w:val="%8."/>
      <w:lvlJc w:val="left"/>
      <w:pPr>
        <w:ind w:left="19332" w:hanging="360"/>
      </w:pPr>
    </w:lvl>
    <w:lvl w:ilvl="8" w:tplc="0809001B" w:tentative="1">
      <w:start w:val="1"/>
      <w:numFmt w:val="lowerRoman"/>
      <w:lvlText w:val="%9."/>
      <w:lvlJc w:val="right"/>
      <w:pPr>
        <w:ind w:left="20052" w:hanging="180"/>
      </w:pPr>
    </w:lvl>
  </w:abstractNum>
  <w:abstractNum w:abstractNumId="12" w15:restartNumberingAfterBreak="0">
    <w:nsid w:val="0B27198E"/>
    <w:multiLevelType w:val="hybridMultilevel"/>
    <w:tmpl w:val="CDBAE946"/>
    <w:lvl w:ilvl="0" w:tplc="21AE6E5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0D954887"/>
    <w:multiLevelType w:val="hybridMultilevel"/>
    <w:tmpl w:val="2B362816"/>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4901300"/>
    <w:multiLevelType w:val="hybridMultilevel"/>
    <w:tmpl w:val="AD1C8800"/>
    <w:lvl w:ilvl="0" w:tplc="1B029B00">
      <w:start w:val="1"/>
      <w:numFmt w:val="decimal"/>
      <w:lvlText w:val="%1."/>
      <w:lvlJc w:val="left"/>
      <w:pPr>
        <w:ind w:left="7448" w:hanging="360"/>
      </w:pPr>
      <w:rPr>
        <w:rFonts w:hint="default"/>
        <w:b w:val="0"/>
        <w:color w:val="auto"/>
      </w:rPr>
    </w:lvl>
    <w:lvl w:ilvl="1" w:tplc="006802CC">
      <w:start w:val="1"/>
      <w:numFmt w:val="lowerLetter"/>
      <w:lvlText w:val="(%2)"/>
      <w:lvlJc w:val="left"/>
      <w:pPr>
        <w:ind w:left="7959" w:hanging="435"/>
      </w:pPr>
      <w:rPr>
        <w:rFonts w:hint="default"/>
      </w:rPr>
    </w:lvl>
    <w:lvl w:ilvl="2" w:tplc="0809001B" w:tentative="1">
      <w:start w:val="1"/>
      <w:numFmt w:val="lowerRoman"/>
      <w:lvlText w:val="%3."/>
      <w:lvlJc w:val="right"/>
      <w:pPr>
        <w:ind w:left="8604" w:hanging="180"/>
      </w:pPr>
    </w:lvl>
    <w:lvl w:ilvl="3" w:tplc="0809000F" w:tentative="1">
      <w:start w:val="1"/>
      <w:numFmt w:val="decimal"/>
      <w:lvlText w:val="%4."/>
      <w:lvlJc w:val="left"/>
      <w:pPr>
        <w:ind w:left="9324" w:hanging="360"/>
      </w:pPr>
    </w:lvl>
    <w:lvl w:ilvl="4" w:tplc="08090019" w:tentative="1">
      <w:start w:val="1"/>
      <w:numFmt w:val="lowerLetter"/>
      <w:lvlText w:val="%5."/>
      <w:lvlJc w:val="left"/>
      <w:pPr>
        <w:ind w:left="10044" w:hanging="360"/>
      </w:pPr>
    </w:lvl>
    <w:lvl w:ilvl="5" w:tplc="0809001B" w:tentative="1">
      <w:start w:val="1"/>
      <w:numFmt w:val="lowerRoman"/>
      <w:lvlText w:val="%6."/>
      <w:lvlJc w:val="right"/>
      <w:pPr>
        <w:ind w:left="10764" w:hanging="180"/>
      </w:pPr>
    </w:lvl>
    <w:lvl w:ilvl="6" w:tplc="0809000F" w:tentative="1">
      <w:start w:val="1"/>
      <w:numFmt w:val="decimal"/>
      <w:lvlText w:val="%7."/>
      <w:lvlJc w:val="left"/>
      <w:pPr>
        <w:ind w:left="11484" w:hanging="360"/>
      </w:pPr>
    </w:lvl>
    <w:lvl w:ilvl="7" w:tplc="08090019" w:tentative="1">
      <w:start w:val="1"/>
      <w:numFmt w:val="lowerLetter"/>
      <w:lvlText w:val="%8."/>
      <w:lvlJc w:val="left"/>
      <w:pPr>
        <w:ind w:left="12204" w:hanging="360"/>
      </w:pPr>
    </w:lvl>
    <w:lvl w:ilvl="8" w:tplc="0809001B" w:tentative="1">
      <w:start w:val="1"/>
      <w:numFmt w:val="lowerRoman"/>
      <w:lvlText w:val="%9."/>
      <w:lvlJc w:val="right"/>
      <w:pPr>
        <w:ind w:left="12924" w:hanging="180"/>
      </w:p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A41542"/>
    <w:multiLevelType w:val="hybridMultilevel"/>
    <w:tmpl w:val="356272FC"/>
    <w:lvl w:ilvl="0" w:tplc="95CE9528">
      <w:start w:val="1"/>
      <w:numFmt w:val="lowerLetter"/>
      <w:lvlText w:val="(%1)"/>
      <w:lvlJc w:val="left"/>
      <w:pPr>
        <w:ind w:left="1287" w:hanging="360"/>
      </w:pPr>
      <w:rPr>
        <w:rFonts w:ascii="Times New Roman" w:eastAsia="Times New Roman" w:hAnsi="Times New Roman" w:cs="Times New Roman"/>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F4EB2"/>
    <w:multiLevelType w:val="hybridMultilevel"/>
    <w:tmpl w:val="CB6C816A"/>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0" w15:restartNumberingAfterBreak="0">
    <w:nsid w:val="3BB4282F"/>
    <w:multiLevelType w:val="hybridMultilevel"/>
    <w:tmpl w:val="0D5E4206"/>
    <w:lvl w:ilvl="0" w:tplc="08090001">
      <w:start w:val="1"/>
      <w:numFmt w:val="bullet"/>
      <w:lvlText w:val=""/>
      <w:lvlJc w:val="left"/>
      <w:pPr>
        <w:ind w:left="720" w:hanging="360"/>
      </w:pPr>
      <w:rPr>
        <w:rFonts w:ascii="Symbol" w:hAnsi="Symbol" w:hint="default"/>
      </w:rPr>
    </w:lvl>
    <w:lvl w:ilvl="1" w:tplc="3BDCCCF6">
      <w:start w:val="1"/>
      <w:numFmt w:val="lowerLetter"/>
      <w:lvlText w:val="(%2)"/>
      <w:lvlJc w:val="left"/>
      <w:pPr>
        <w:ind w:left="1440" w:hanging="360"/>
      </w:pPr>
      <w:rPr>
        <w:rFonts w:ascii="Times New Roman" w:eastAsia="Times New Roman" w:hAnsi="Times New Roman"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36F3A"/>
    <w:multiLevelType w:val="hybridMultilevel"/>
    <w:tmpl w:val="A762F80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411C1447"/>
    <w:multiLevelType w:val="hybridMultilevel"/>
    <w:tmpl w:val="0574A88E"/>
    <w:lvl w:ilvl="0" w:tplc="400A0C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46BF4058"/>
    <w:multiLevelType w:val="hybridMultilevel"/>
    <w:tmpl w:val="15B40292"/>
    <w:lvl w:ilvl="0" w:tplc="08090015">
      <w:start w:val="1"/>
      <w:numFmt w:val="upperLetter"/>
      <w:lvlText w:val="%1."/>
      <w:lvlJc w:val="left"/>
      <w:pPr>
        <w:ind w:left="7165" w:hanging="360"/>
      </w:pPr>
      <w:rPr>
        <w:rFonts w:hint="default"/>
      </w:rPr>
    </w:lvl>
    <w:lvl w:ilvl="1" w:tplc="08090019">
      <w:start w:val="1"/>
      <w:numFmt w:val="lowerLetter"/>
      <w:lvlText w:val="%2."/>
      <w:lvlJc w:val="left"/>
      <w:pPr>
        <w:ind w:left="231" w:hanging="360"/>
      </w:pPr>
    </w:lvl>
    <w:lvl w:ilvl="2" w:tplc="0809001B">
      <w:start w:val="1"/>
      <w:numFmt w:val="lowerRoman"/>
      <w:lvlText w:val="%3."/>
      <w:lvlJc w:val="right"/>
      <w:pPr>
        <w:ind w:left="951" w:hanging="180"/>
      </w:pPr>
    </w:lvl>
    <w:lvl w:ilvl="3" w:tplc="0809000F" w:tentative="1">
      <w:start w:val="1"/>
      <w:numFmt w:val="decimal"/>
      <w:lvlText w:val="%4."/>
      <w:lvlJc w:val="left"/>
      <w:pPr>
        <w:ind w:left="1671" w:hanging="360"/>
      </w:pPr>
    </w:lvl>
    <w:lvl w:ilvl="4" w:tplc="08090019" w:tentative="1">
      <w:start w:val="1"/>
      <w:numFmt w:val="lowerLetter"/>
      <w:lvlText w:val="%5."/>
      <w:lvlJc w:val="left"/>
      <w:pPr>
        <w:ind w:left="2391" w:hanging="360"/>
      </w:pPr>
    </w:lvl>
    <w:lvl w:ilvl="5" w:tplc="0809001B" w:tentative="1">
      <w:start w:val="1"/>
      <w:numFmt w:val="lowerRoman"/>
      <w:lvlText w:val="%6."/>
      <w:lvlJc w:val="right"/>
      <w:pPr>
        <w:ind w:left="3111" w:hanging="180"/>
      </w:pPr>
    </w:lvl>
    <w:lvl w:ilvl="6" w:tplc="0809000F" w:tentative="1">
      <w:start w:val="1"/>
      <w:numFmt w:val="decimal"/>
      <w:lvlText w:val="%7."/>
      <w:lvlJc w:val="left"/>
      <w:pPr>
        <w:ind w:left="3831" w:hanging="360"/>
      </w:pPr>
    </w:lvl>
    <w:lvl w:ilvl="7" w:tplc="08090019" w:tentative="1">
      <w:start w:val="1"/>
      <w:numFmt w:val="lowerLetter"/>
      <w:lvlText w:val="%8."/>
      <w:lvlJc w:val="left"/>
      <w:pPr>
        <w:ind w:left="4551" w:hanging="360"/>
      </w:pPr>
    </w:lvl>
    <w:lvl w:ilvl="8" w:tplc="0809001B" w:tentative="1">
      <w:start w:val="1"/>
      <w:numFmt w:val="lowerRoman"/>
      <w:lvlText w:val="%9."/>
      <w:lvlJc w:val="right"/>
      <w:pPr>
        <w:ind w:left="5271" w:hanging="180"/>
      </w:pPr>
    </w:lvl>
  </w:abstractNum>
  <w:abstractNum w:abstractNumId="24" w15:restartNumberingAfterBreak="0">
    <w:nsid w:val="4CFA4BFA"/>
    <w:multiLevelType w:val="hybridMultilevel"/>
    <w:tmpl w:val="DE68D1F2"/>
    <w:lvl w:ilvl="0" w:tplc="E27084E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4D230240"/>
    <w:multiLevelType w:val="hybridMultilevel"/>
    <w:tmpl w:val="50C40588"/>
    <w:lvl w:ilvl="0" w:tplc="D84C7AA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C254923"/>
    <w:multiLevelType w:val="hybridMultilevel"/>
    <w:tmpl w:val="5C06C398"/>
    <w:lvl w:ilvl="0" w:tplc="1A569756">
      <w:start w:val="1"/>
      <w:numFmt w:val="lowerLetter"/>
      <w:lvlText w:val="(%1)"/>
      <w:lvlJc w:val="left"/>
      <w:pPr>
        <w:ind w:left="2988" w:hanging="360"/>
      </w:pPr>
      <w:rPr>
        <w:rFonts w:ascii="Times New Roman" w:eastAsia="Times New Roman" w:hAnsi="Times New Roman" w:cs="Times New Roman"/>
        <w:b/>
        <w:color w:val="auto"/>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2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8AD07B2"/>
    <w:multiLevelType w:val="hybridMultilevel"/>
    <w:tmpl w:val="7FEE3222"/>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2" w15:restartNumberingAfterBreak="0">
    <w:nsid w:val="6E417674"/>
    <w:multiLevelType w:val="hybridMultilevel"/>
    <w:tmpl w:val="73E23734"/>
    <w:lvl w:ilvl="0" w:tplc="B97432E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7"/>
  </w:num>
  <w:num w:numId="3">
    <w:abstractNumId w:val="10"/>
  </w:num>
  <w:num w:numId="4">
    <w:abstractNumId w:val="28"/>
  </w:num>
  <w:num w:numId="5">
    <w:abstractNumId w:val="30"/>
  </w:num>
  <w:num w:numId="6">
    <w:abstractNumId w:val="33"/>
  </w:num>
  <w:num w:numId="7">
    <w:abstractNumId w:val="15"/>
  </w:num>
  <w:num w:numId="8">
    <w:abstractNumId w:val="31"/>
  </w:num>
  <w:num w:numId="9">
    <w:abstractNumId w:val="19"/>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29"/>
  </w:num>
  <w:num w:numId="22">
    <w:abstractNumId w:val="26"/>
  </w:num>
  <w:num w:numId="23">
    <w:abstractNumId w:val="23"/>
  </w:num>
  <w:num w:numId="24">
    <w:abstractNumId w:val="24"/>
  </w:num>
  <w:num w:numId="25">
    <w:abstractNumId w:val="20"/>
  </w:num>
  <w:num w:numId="26">
    <w:abstractNumId w:val="14"/>
  </w:num>
  <w:num w:numId="27">
    <w:abstractNumId w:val="16"/>
  </w:num>
  <w:num w:numId="28">
    <w:abstractNumId w:val="11"/>
  </w:num>
  <w:num w:numId="29">
    <w:abstractNumId w:val="32"/>
  </w:num>
  <w:num w:numId="30">
    <w:abstractNumId w:val="27"/>
  </w:num>
  <w:num w:numId="31">
    <w:abstractNumId w:val="25"/>
  </w:num>
  <w:num w:numId="32">
    <w:abstractNumId w:val="22"/>
  </w:num>
  <w:num w:numId="33">
    <w:abstractNumId w:val="1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GB" w:vendorID="64" w:dllVersion="131078" w:nlCheck="1" w:checkStyle="0"/>
  <w:proofState w:spelling="clean" w:grammar="clean"/>
  <w:attachedTemplate r:id="rId1"/>
  <w:defaultTabStop w:val="567"/>
  <w:evenAndOddHeaders/>
  <w:characterSpacingControl w:val="doNotCompress"/>
  <w:hdrShapeDefaults>
    <o:shapedefaults v:ext="edit" spidmax="1638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CC"/>
    <w:rsid w:val="00013912"/>
    <w:rsid w:val="0002097A"/>
    <w:rsid w:val="00040A30"/>
    <w:rsid w:val="00046E92"/>
    <w:rsid w:val="000A0A77"/>
    <w:rsid w:val="000A6B42"/>
    <w:rsid w:val="000C4824"/>
    <w:rsid w:val="0014771D"/>
    <w:rsid w:val="00152FB9"/>
    <w:rsid w:val="00153D71"/>
    <w:rsid w:val="001B4A28"/>
    <w:rsid w:val="001D5FF6"/>
    <w:rsid w:val="001F32F7"/>
    <w:rsid w:val="001F41ED"/>
    <w:rsid w:val="00200E95"/>
    <w:rsid w:val="002467A0"/>
    <w:rsid w:val="00247E2C"/>
    <w:rsid w:val="00252539"/>
    <w:rsid w:val="00255981"/>
    <w:rsid w:val="00271924"/>
    <w:rsid w:val="00286596"/>
    <w:rsid w:val="002D6C53"/>
    <w:rsid w:val="002F5595"/>
    <w:rsid w:val="00334F6A"/>
    <w:rsid w:val="00337F7C"/>
    <w:rsid w:val="003413C6"/>
    <w:rsid w:val="00342AC8"/>
    <w:rsid w:val="00356C49"/>
    <w:rsid w:val="00371D2B"/>
    <w:rsid w:val="003A33AB"/>
    <w:rsid w:val="003B4550"/>
    <w:rsid w:val="003B5E8F"/>
    <w:rsid w:val="003B68F4"/>
    <w:rsid w:val="003C261B"/>
    <w:rsid w:val="003C2683"/>
    <w:rsid w:val="003F44EE"/>
    <w:rsid w:val="00420094"/>
    <w:rsid w:val="00420A2B"/>
    <w:rsid w:val="00431AD7"/>
    <w:rsid w:val="0045506B"/>
    <w:rsid w:val="00461253"/>
    <w:rsid w:val="00483C06"/>
    <w:rsid w:val="004A0B5C"/>
    <w:rsid w:val="004D4055"/>
    <w:rsid w:val="004D79F6"/>
    <w:rsid w:val="004F3B0D"/>
    <w:rsid w:val="005042C2"/>
    <w:rsid w:val="005313ED"/>
    <w:rsid w:val="00546168"/>
    <w:rsid w:val="005514B9"/>
    <w:rsid w:val="00565BF5"/>
    <w:rsid w:val="005A7C79"/>
    <w:rsid w:val="005F05F8"/>
    <w:rsid w:val="00613BF8"/>
    <w:rsid w:val="00652B99"/>
    <w:rsid w:val="006603A0"/>
    <w:rsid w:val="00667FE9"/>
    <w:rsid w:val="00671529"/>
    <w:rsid w:val="006862D7"/>
    <w:rsid w:val="006A25B9"/>
    <w:rsid w:val="006E2D55"/>
    <w:rsid w:val="006F38ED"/>
    <w:rsid w:val="00701DAB"/>
    <w:rsid w:val="007268F9"/>
    <w:rsid w:val="00767541"/>
    <w:rsid w:val="0077053E"/>
    <w:rsid w:val="00791983"/>
    <w:rsid w:val="007A00B1"/>
    <w:rsid w:val="007C3528"/>
    <w:rsid w:val="007C52B0"/>
    <w:rsid w:val="007C6E55"/>
    <w:rsid w:val="007F0066"/>
    <w:rsid w:val="00804EF3"/>
    <w:rsid w:val="00817502"/>
    <w:rsid w:val="008237CC"/>
    <w:rsid w:val="00836E0A"/>
    <w:rsid w:val="008413AF"/>
    <w:rsid w:val="00850B23"/>
    <w:rsid w:val="00892B6C"/>
    <w:rsid w:val="008A2F4B"/>
    <w:rsid w:val="008A44EC"/>
    <w:rsid w:val="008B052A"/>
    <w:rsid w:val="008D0A63"/>
    <w:rsid w:val="008D6445"/>
    <w:rsid w:val="008E6E53"/>
    <w:rsid w:val="008F72F4"/>
    <w:rsid w:val="00927F2F"/>
    <w:rsid w:val="009411B4"/>
    <w:rsid w:val="00951F4D"/>
    <w:rsid w:val="0096168F"/>
    <w:rsid w:val="00965907"/>
    <w:rsid w:val="009675C6"/>
    <w:rsid w:val="009B3F3F"/>
    <w:rsid w:val="009D0139"/>
    <w:rsid w:val="009D3EC1"/>
    <w:rsid w:val="009D49E9"/>
    <w:rsid w:val="009F2442"/>
    <w:rsid w:val="009F3FCB"/>
    <w:rsid w:val="009F5CDC"/>
    <w:rsid w:val="00A4019A"/>
    <w:rsid w:val="00A4131B"/>
    <w:rsid w:val="00A454D5"/>
    <w:rsid w:val="00A65922"/>
    <w:rsid w:val="00A76883"/>
    <w:rsid w:val="00A775CF"/>
    <w:rsid w:val="00A838A8"/>
    <w:rsid w:val="00A87401"/>
    <w:rsid w:val="00AB52AE"/>
    <w:rsid w:val="00AC367F"/>
    <w:rsid w:val="00AC45B2"/>
    <w:rsid w:val="00AD49FC"/>
    <w:rsid w:val="00AD6BE0"/>
    <w:rsid w:val="00AF5832"/>
    <w:rsid w:val="00B06045"/>
    <w:rsid w:val="00B06DBC"/>
    <w:rsid w:val="00B11572"/>
    <w:rsid w:val="00B25C5F"/>
    <w:rsid w:val="00B310A0"/>
    <w:rsid w:val="00B46F79"/>
    <w:rsid w:val="00B52AA8"/>
    <w:rsid w:val="00B53EA7"/>
    <w:rsid w:val="00B66EA5"/>
    <w:rsid w:val="00B9653F"/>
    <w:rsid w:val="00BB3373"/>
    <w:rsid w:val="00C317A0"/>
    <w:rsid w:val="00C34502"/>
    <w:rsid w:val="00C35A27"/>
    <w:rsid w:val="00C7458B"/>
    <w:rsid w:val="00C768E5"/>
    <w:rsid w:val="00C86CCC"/>
    <w:rsid w:val="00C8714D"/>
    <w:rsid w:val="00CB529A"/>
    <w:rsid w:val="00CE6F47"/>
    <w:rsid w:val="00D24A9E"/>
    <w:rsid w:val="00D40392"/>
    <w:rsid w:val="00D54DAA"/>
    <w:rsid w:val="00D71F4B"/>
    <w:rsid w:val="00D76F20"/>
    <w:rsid w:val="00DF3817"/>
    <w:rsid w:val="00E02C2B"/>
    <w:rsid w:val="00E12391"/>
    <w:rsid w:val="00E3391B"/>
    <w:rsid w:val="00E63973"/>
    <w:rsid w:val="00E63B14"/>
    <w:rsid w:val="00E7583C"/>
    <w:rsid w:val="00E77F20"/>
    <w:rsid w:val="00EC3CB0"/>
    <w:rsid w:val="00EC495A"/>
    <w:rsid w:val="00ED6C48"/>
    <w:rsid w:val="00F2182D"/>
    <w:rsid w:val="00F62E01"/>
    <w:rsid w:val="00F65F5D"/>
    <w:rsid w:val="00F76D18"/>
    <w:rsid w:val="00F815D8"/>
    <w:rsid w:val="00F86A3A"/>
    <w:rsid w:val="00F92F63"/>
    <w:rsid w:val="00FA218B"/>
    <w:rsid w:val="00FD79F1"/>
    <w:rsid w:val="00FE2969"/>
    <w:rsid w:val="00FE2B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837142"/>
  <w15:docId w15:val="{979BB0E0-D8DD-4447-976F-EAF8F625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271924"/>
    <w:pPr>
      <w:suppressAutoHyphens/>
      <w:spacing w:after="0" w:line="240" w:lineRule="atLeast"/>
    </w:pPr>
    <w:rPr>
      <w:rFonts w:ascii="Times New Roman" w:eastAsia="Times New Roman" w:hAnsi="Times New Roman" w:cs="Times New Roman"/>
      <w:sz w:val="20"/>
      <w:szCs w:val="20"/>
      <w:lang w:eastAsia="en-US"/>
    </w:rPr>
  </w:style>
  <w:style w:type="paragraph" w:styleId="1">
    <w:name w:val="heading 1"/>
    <w:aliases w:val="Table_G"/>
    <w:basedOn w:val="SingleTxtG"/>
    <w:next w:val="SingleTxtG"/>
    <w:link w:val="10"/>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rFonts w:eastAsia="宋体"/>
      <w:lang w:eastAsia="zh-CN"/>
    </w:rPr>
  </w:style>
  <w:style w:type="paragraph" w:styleId="3">
    <w:name w:val="heading 3"/>
    <w:basedOn w:val="a"/>
    <w:next w:val="a"/>
    <w:link w:val="30"/>
    <w:semiHidden/>
    <w:rsid w:val="007268F9"/>
    <w:pPr>
      <w:spacing w:line="240" w:lineRule="auto"/>
      <w:outlineLvl w:val="2"/>
    </w:pPr>
    <w:rPr>
      <w:rFonts w:eastAsia="宋体"/>
      <w:lang w:eastAsia="zh-CN"/>
    </w:rPr>
  </w:style>
  <w:style w:type="paragraph" w:styleId="4">
    <w:name w:val="heading 4"/>
    <w:basedOn w:val="a"/>
    <w:next w:val="a"/>
    <w:link w:val="40"/>
    <w:semiHidden/>
    <w:rsid w:val="007268F9"/>
    <w:pPr>
      <w:spacing w:line="240" w:lineRule="auto"/>
      <w:outlineLvl w:val="3"/>
    </w:pPr>
    <w:rPr>
      <w:rFonts w:eastAsia="宋体"/>
      <w:lang w:eastAsia="zh-CN"/>
    </w:rPr>
  </w:style>
  <w:style w:type="paragraph" w:styleId="5">
    <w:name w:val="heading 5"/>
    <w:basedOn w:val="a"/>
    <w:next w:val="a"/>
    <w:link w:val="50"/>
    <w:semiHidden/>
    <w:rsid w:val="007268F9"/>
    <w:pPr>
      <w:spacing w:line="240" w:lineRule="auto"/>
      <w:outlineLvl w:val="4"/>
    </w:pPr>
    <w:rPr>
      <w:rFonts w:eastAsia="宋体"/>
      <w:lang w:eastAsia="zh-CN"/>
    </w:rPr>
  </w:style>
  <w:style w:type="paragraph" w:styleId="6">
    <w:name w:val="heading 6"/>
    <w:basedOn w:val="a"/>
    <w:next w:val="a"/>
    <w:link w:val="60"/>
    <w:semiHidden/>
    <w:rsid w:val="007268F9"/>
    <w:pPr>
      <w:spacing w:line="240" w:lineRule="auto"/>
      <w:outlineLvl w:val="5"/>
    </w:pPr>
    <w:rPr>
      <w:rFonts w:eastAsia="宋体"/>
      <w:lang w:eastAsia="zh-CN"/>
    </w:rPr>
  </w:style>
  <w:style w:type="paragraph" w:styleId="7">
    <w:name w:val="heading 7"/>
    <w:basedOn w:val="a"/>
    <w:next w:val="a"/>
    <w:link w:val="70"/>
    <w:semiHidden/>
    <w:rsid w:val="007268F9"/>
    <w:pPr>
      <w:spacing w:line="240" w:lineRule="auto"/>
      <w:outlineLvl w:val="6"/>
    </w:pPr>
    <w:rPr>
      <w:rFonts w:eastAsia="宋体"/>
      <w:lang w:eastAsia="zh-CN"/>
    </w:rPr>
  </w:style>
  <w:style w:type="paragraph" w:styleId="8">
    <w:name w:val="heading 8"/>
    <w:basedOn w:val="a"/>
    <w:next w:val="a"/>
    <w:link w:val="80"/>
    <w:semiHidden/>
    <w:rsid w:val="007268F9"/>
    <w:pPr>
      <w:spacing w:line="240" w:lineRule="auto"/>
      <w:outlineLvl w:val="7"/>
    </w:pPr>
    <w:rPr>
      <w:rFonts w:eastAsia="宋体"/>
      <w:lang w:eastAsia="zh-CN"/>
    </w:rPr>
  </w:style>
  <w:style w:type="paragraph" w:styleId="9">
    <w:name w:val="heading 9"/>
    <w:basedOn w:val="a"/>
    <w:next w:val="a"/>
    <w:link w:val="90"/>
    <w:semiHidden/>
    <w:rsid w:val="007268F9"/>
    <w:pPr>
      <w:spacing w:line="240" w:lineRule="auto"/>
      <w:outlineLvl w:val="8"/>
    </w:pPr>
    <w:rPr>
      <w:rFonts w:eastAsia="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rsid w:val="007268F9"/>
    <w:pPr>
      <w:pBdr>
        <w:bottom w:val="single" w:sz="4" w:space="4" w:color="auto"/>
      </w:pBdr>
      <w:spacing w:line="240" w:lineRule="auto"/>
    </w:pPr>
    <w:rPr>
      <w:rFonts w:eastAsia="宋体"/>
      <w:b/>
      <w:sz w:val="18"/>
      <w:lang w:eastAsia="zh-CN"/>
    </w:rPr>
  </w:style>
  <w:style w:type="character" w:customStyle="1" w:styleId="a4">
    <w:name w:val="页眉 字符"/>
    <w:aliases w:val="6_G 字符"/>
    <w:basedOn w:val="a0"/>
    <w:link w:val="a3"/>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rFonts w:eastAsia="宋体"/>
      <w:sz w:val="16"/>
      <w:lang w:eastAsia="zh-CN"/>
    </w:rPr>
  </w:style>
  <w:style w:type="character" w:customStyle="1" w:styleId="a6">
    <w:name w:val="页脚 字符"/>
    <w:aliases w:val="3_G 字符"/>
    <w:basedOn w:val="a0"/>
    <w:link w:val="a5"/>
    <w:rsid w:val="00247E2C"/>
    <w:rPr>
      <w:rFonts w:ascii="Times New Roman" w:eastAsia="宋体"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link w:val="HChGChar"/>
    <w:qFormat/>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link w:val="H1GChar"/>
    <w:qFormat/>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link w:val="H23GChar"/>
    <w:qFormat/>
    <w:rsid w:val="007268F9"/>
    <w:pPr>
      <w:keepNext/>
      <w:keepLines/>
      <w:tabs>
        <w:tab w:val="right" w:pos="851"/>
      </w:tabs>
      <w:spacing w:before="240" w:after="120" w:line="240" w:lineRule="exact"/>
      <w:ind w:left="1134" w:right="1134" w:hanging="1134"/>
    </w:pPr>
    <w:rPr>
      <w:b/>
    </w:rPr>
  </w:style>
  <w:style w:type="paragraph" w:customStyle="1" w:styleId="H4G">
    <w:name w:val="_ H_4_G"/>
    <w:basedOn w:val="a"/>
    <w:next w:val="a"/>
    <w:qFormat/>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a"/>
    <w:next w:val="a"/>
    <w:qFormat/>
    <w:rsid w:val="007268F9"/>
    <w:pPr>
      <w:keepNext/>
      <w:keepLines/>
      <w:tabs>
        <w:tab w:val="right" w:pos="851"/>
      </w:tabs>
      <w:spacing w:before="240" w:after="120" w:line="240" w:lineRule="exact"/>
      <w:ind w:left="1134" w:right="1134" w:hanging="1134"/>
    </w:pPr>
  </w:style>
  <w:style w:type="paragraph" w:customStyle="1" w:styleId="SingleTxtG">
    <w:name w:val="_ Single Txt_G"/>
    <w:basedOn w:val="a"/>
    <w:link w:val="SingleTxtGChar"/>
    <w:qFormat/>
    <w:rsid w:val="007268F9"/>
    <w:pPr>
      <w:spacing w:after="120"/>
      <w:ind w:left="1134" w:right="1134"/>
      <w:jc w:val="both"/>
    </w:pPr>
    <w:rPr>
      <w:rFonts w:eastAsia="宋体"/>
      <w:lang w:eastAsia="zh-CN"/>
    </w:rPr>
  </w:style>
  <w:style w:type="paragraph" w:customStyle="1" w:styleId="SLG">
    <w:name w:val="__S_L_G"/>
    <w:basedOn w:val="a"/>
    <w:next w:val="a"/>
    <w:rsid w:val="007268F9"/>
    <w:pPr>
      <w:keepNext/>
      <w:keepLines/>
      <w:spacing w:before="240" w:after="240" w:line="580" w:lineRule="exact"/>
      <w:ind w:left="1134" w:right="1134"/>
    </w:pPr>
    <w:rPr>
      <w:b/>
      <w:sz w:val="56"/>
    </w:rPr>
  </w:style>
  <w:style w:type="paragraph" w:customStyle="1" w:styleId="SMG">
    <w:name w:val="__S_M_G"/>
    <w:basedOn w:val="a"/>
    <w:next w:val="a"/>
    <w:rsid w:val="007268F9"/>
    <w:pPr>
      <w:keepNext/>
      <w:keepLines/>
      <w:spacing w:before="240" w:after="240" w:line="420" w:lineRule="exact"/>
      <w:ind w:left="1134" w:right="1134"/>
    </w:pPr>
    <w:rPr>
      <w:b/>
      <w:sz w:val="40"/>
    </w:rPr>
  </w:style>
  <w:style w:type="paragraph" w:customStyle="1" w:styleId="SSG">
    <w:name w:val="__S_S_G"/>
    <w:basedOn w:val="a"/>
    <w:next w:val="a"/>
    <w:rsid w:val="007268F9"/>
    <w:pPr>
      <w:keepNext/>
      <w:keepLines/>
      <w:spacing w:before="240" w:after="240" w:line="300" w:lineRule="exact"/>
      <w:ind w:left="1134" w:right="1134"/>
    </w:pPr>
    <w:rPr>
      <w:b/>
      <w:sz w:val="28"/>
    </w:rPr>
  </w:style>
  <w:style w:type="paragraph" w:customStyle="1" w:styleId="XLargeG">
    <w:name w:val="__XLarge_G"/>
    <w:basedOn w:val="a"/>
    <w:next w:val="a"/>
    <w:rsid w:val="007268F9"/>
    <w:pPr>
      <w:keepNext/>
      <w:keepLines/>
      <w:spacing w:before="240" w:after="240" w:line="420" w:lineRule="exact"/>
      <w:ind w:left="1134" w:right="1134"/>
    </w:pPr>
    <w:rPr>
      <w:rFonts w:eastAsia="宋体"/>
      <w:b/>
      <w:sz w:val="40"/>
      <w:lang w:eastAsia="zh-CN"/>
    </w:rPr>
  </w:style>
  <w:style w:type="paragraph" w:customStyle="1" w:styleId="Bullet1G">
    <w:name w:val="_Bullet 1_G"/>
    <w:basedOn w:val="a"/>
    <w:qFormat/>
    <w:rsid w:val="007268F9"/>
    <w:pPr>
      <w:numPr>
        <w:numId w:val="1"/>
      </w:numPr>
      <w:spacing w:after="120"/>
      <w:ind w:right="1134"/>
      <w:jc w:val="both"/>
    </w:pPr>
  </w:style>
  <w:style w:type="paragraph" w:customStyle="1" w:styleId="Bullet2G">
    <w:name w:val="_Bullet 2_G"/>
    <w:basedOn w:val="a"/>
    <w:qFormat/>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111110">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rsid w:val="007268F9"/>
    <w:pPr>
      <w:tabs>
        <w:tab w:val="right" w:pos="1021"/>
      </w:tabs>
      <w:spacing w:line="220" w:lineRule="exact"/>
      <w:ind w:left="1134" w:right="1134" w:hanging="1134"/>
    </w:pPr>
    <w:rPr>
      <w:rFonts w:eastAsia="宋体"/>
      <w:sz w:val="18"/>
      <w:lang w:eastAsia="zh-CN"/>
    </w:rPr>
  </w:style>
  <w:style w:type="character" w:customStyle="1" w:styleId="a9">
    <w:name w:val="脚注文本 字符"/>
    <w:aliases w:val="5_G 字符"/>
    <w:basedOn w:val="a0"/>
    <w:link w:val="a8"/>
    <w:rsid w:val="007268F9"/>
    <w:rPr>
      <w:rFonts w:ascii="Times New Roman" w:eastAsia="宋体" w:hAnsi="Times New Roman" w:cs="Times New Roman"/>
      <w:sz w:val="18"/>
      <w:szCs w:val="20"/>
    </w:rPr>
  </w:style>
  <w:style w:type="paragraph" w:styleId="aa">
    <w:name w:val="endnote text"/>
    <w:aliases w:val="2_G"/>
    <w:basedOn w:val="a8"/>
    <w:link w:val="ab"/>
    <w:rsid w:val="007268F9"/>
  </w:style>
  <w:style w:type="character" w:customStyle="1" w:styleId="ab">
    <w:name w:val="尾注文本 字符"/>
    <w:aliases w:val="2_G 字符"/>
    <w:basedOn w:val="a0"/>
    <w:link w:val="aa"/>
    <w:rsid w:val="007268F9"/>
    <w:rPr>
      <w:rFonts w:ascii="Times New Roman" w:eastAsia="宋体" w:hAnsi="Times New Roman" w:cs="Times New Roman"/>
      <w:sz w:val="18"/>
      <w:szCs w:val="20"/>
    </w:rPr>
  </w:style>
  <w:style w:type="character" w:styleId="ac">
    <w:name w:val="footnote reference"/>
    <w:aliases w:val="4_G"/>
    <w:rsid w:val="007268F9"/>
    <w:rPr>
      <w:rFonts w:ascii="Times New Roman" w:hAnsi="Times New Roman"/>
      <w:sz w:val="18"/>
      <w:vertAlign w:val="superscript"/>
    </w:rPr>
  </w:style>
  <w:style w:type="character" w:customStyle="1" w:styleId="10">
    <w:name w:val="标题 1 字符"/>
    <w:aliases w:val="Table_G 字符"/>
    <w:basedOn w:val="a0"/>
    <w:link w:val="1"/>
    <w:rsid w:val="003B4550"/>
    <w:rPr>
      <w:rFonts w:ascii="Times New Roman" w:hAnsi="Times New Roman" w:cs="Times New Roman"/>
      <w:sz w:val="20"/>
      <w:szCs w:val="20"/>
    </w:rPr>
  </w:style>
  <w:style w:type="character" w:customStyle="1" w:styleId="20">
    <w:name w:val="标题 2 字符"/>
    <w:basedOn w:val="a0"/>
    <w:link w:val="2"/>
    <w:semiHidden/>
    <w:rsid w:val="003B4550"/>
    <w:rPr>
      <w:rFonts w:ascii="Times New Roman" w:hAnsi="Times New Roman" w:cs="Times New Roman"/>
      <w:sz w:val="20"/>
      <w:szCs w:val="20"/>
    </w:rPr>
  </w:style>
  <w:style w:type="character" w:customStyle="1" w:styleId="30">
    <w:name w:val="标题 3 字符"/>
    <w:basedOn w:val="a0"/>
    <w:link w:val="3"/>
    <w:semiHidden/>
    <w:rsid w:val="003B4550"/>
    <w:rPr>
      <w:rFonts w:ascii="Times New Roman" w:hAnsi="Times New Roman" w:cs="Times New Roman"/>
      <w:sz w:val="20"/>
      <w:szCs w:val="20"/>
    </w:rPr>
  </w:style>
  <w:style w:type="character" w:customStyle="1" w:styleId="40">
    <w:name w:val="标题 4 字符"/>
    <w:basedOn w:val="a0"/>
    <w:link w:val="4"/>
    <w:semiHidden/>
    <w:rsid w:val="003B4550"/>
    <w:rPr>
      <w:rFonts w:ascii="Times New Roman" w:hAnsi="Times New Roman" w:cs="Times New Roman"/>
      <w:sz w:val="20"/>
      <w:szCs w:val="20"/>
    </w:rPr>
  </w:style>
  <w:style w:type="character" w:customStyle="1" w:styleId="50">
    <w:name w:val="标题 5 字符"/>
    <w:basedOn w:val="a0"/>
    <w:link w:val="5"/>
    <w:semiHidden/>
    <w:rsid w:val="003B4550"/>
    <w:rPr>
      <w:rFonts w:ascii="Times New Roman" w:hAnsi="Times New Roman" w:cs="Times New Roman"/>
      <w:sz w:val="20"/>
      <w:szCs w:val="20"/>
    </w:rPr>
  </w:style>
  <w:style w:type="character" w:customStyle="1" w:styleId="60">
    <w:name w:val="标题 6 字符"/>
    <w:basedOn w:val="a0"/>
    <w:link w:val="6"/>
    <w:semiHidden/>
    <w:rsid w:val="003B4550"/>
    <w:rPr>
      <w:rFonts w:ascii="Times New Roman" w:hAnsi="Times New Roman" w:cs="Times New Roman"/>
      <w:sz w:val="20"/>
      <w:szCs w:val="20"/>
    </w:rPr>
  </w:style>
  <w:style w:type="character" w:customStyle="1" w:styleId="70">
    <w:name w:val="标题 7 字符"/>
    <w:basedOn w:val="a0"/>
    <w:link w:val="7"/>
    <w:semiHidden/>
    <w:rsid w:val="003B4550"/>
    <w:rPr>
      <w:rFonts w:ascii="Times New Roman" w:hAnsi="Times New Roman" w:cs="Times New Roman"/>
      <w:sz w:val="20"/>
      <w:szCs w:val="20"/>
    </w:rPr>
  </w:style>
  <w:style w:type="character" w:customStyle="1" w:styleId="80">
    <w:name w:val="标题 8 字符"/>
    <w:basedOn w:val="a0"/>
    <w:link w:val="8"/>
    <w:semiHidden/>
    <w:rsid w:val="003B4550"/>
    <w:rPr>
      <w:rFonts w:ascii="Times New Roman" w:hAnsi="Times New Roman" w:cs="Times New Roman"/>
      <w:sz w:val="20"/>
      <w:szCs w:val="20"/>
    </w:rPr>
  </w:style>
  <w:style w:type="character" w:customStyle="1" w:styleId="90">
    <w:name w:val="标题 9 字符"/>
    <w:basedOn w:val="a0"/>
    <w:link w:val="9"/>
    <w:semiHidden/>
    <w:rsid w:val="003B4550"/>
    <w:rPr>
      <w:rFonts w:ascii="Times New Roman" w:hAnsi="Times New Roman" w:cs="Times New Roman"/>
      <w:sz w:val="20"/>
      <w:szCs w:val="20"/>
    </w:rPr>
  </w:style>
  <w:style w:type="character" w:styleId="ad">
    <w:name w:val="page number"/>
    <w:aliases w:val="7_G"/>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271924"/>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271924"/>
    <w:pPr>
      <w:spacing w:line="240" w:lineRule="auto"/>
    </w:pPr>
    <w:rPr>
      <w:rFonts w:ascii="Tahoma" w:hAnsi="Tahoma" w:cs="Tahoma"/>
      <w:sz w:val="16"/>
      <w:szCs w:val="16"/>
    </w:rPr>
  </w:style>
  <w:style w:type="character" w:customStyle="1" w:styleId="af1">
    <w:name w:val="批注框文本 字符"/>
    <w:basedOn w:val="a0"/>
    <w:link w:val="af0"/>
    <w:uiPriority w:val="99"/>
    <w:semiHidden/>
    <w:rsid w:val="00271924"/>
    <w:rPr>
      <w:rFonts w:ascii="Tahoma" w:eastAsia="Times New Roman" w:hAnsi="Tahoma" w:cs="Tahoma"/>
      <w:sz w:val="16"/>
      <w:szCs w:val="16"/>
      <w:lang w:eastAsia="en-US"/>
    </w:rPr>
  </w:style>
  <w:style w:type="character" w:styleId="af2">
    <w:name w:val="Hyperlink"/>
    <w:basedOn w:val="a0"/>
    <w:semiHidden/>
    <w:rsid w:val="00927F2F"/>
    <w:rPr>
      <w:color w:val="0000FF"/>
      <w:u w:val="none"/>
    </w:rPr>
  </w:style>
  <w:style w:type="character" w:styleId="af3">
    <w:name w:val="FollowedHyperlink"/>
    <w:basedOn w:val="a0"/>
    <w:semiHidden/>
    <w:rsid w:val="00927F2F"/>
    <w:rPr>
      <w:color w:val="0000FF"/>
      <w:u w:val="none"/>
    </w:rPr>
  </w:style>
  <w:style w:type="character" w:customStyle="1" w:styleId="SingleTxtGChar">
    <w:name w:val="_ Single Txt_G Char"/>
    <w:link w:val="SingleTxtG"/>
    <w:locked/>
    <w:rsid w:val="00927F2F"/>
    <w:rPr>
      <w:rFonts w:ascii="Times New Roman" w:hAnsi="Times New Roman" w:cs="Times New Roman"/>
      <w:sz w:val="20"/>
      <w:szCs w:val="20"/>
    </w:rPr>
  </w:style>
  <w:style w:type="table" w:customStyle="1" w:styleId="TableGrid1">
    <w:name w:val="Table Grid1"/>
    <w:basedOn w:val="a1"/>
    <w:rsid w:val="00927F2F"/>
    <w:pPr>
      <w:suppressAutoHyphens/>
      <w:spacing w:after="0" w:line="240" w:lineRule="atLeast"/>
    </w:pPr>
    <w:rPr>
      <w:rFonts w:ascii="Times New Roman" w:eastAsiaTheme="minorHAnsi" w:hAnsi="Times New Roman" w:cs="Times New Roman"/>
      <w:sz w:val="20"/>
      <w:szCs w:val="20"/>
      <w:lang w:val="fr-CH"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locked/>
    <w:rsid w:val="00927F2F"/>
    <w:rPr>
      <w:rFonts w:ascii="Times New Roman" w:eastAsia="Times New Roman" w:hAnsi="Times New Roman" w:cs="Times New Roman"/>
      <w:b/>
      <w:sz w:val="28"/>
      <w:szCs w:val="20"/>
      <w:lang w:eastAsia="en-US"/>
    </w:rPr>
  </w:style>
  <w:style w:type="character" w:customStyle="1" w:styleId="H23GChar">
    <w:name w:val="_ H_2/3_G Char"/>
    <w:link w:val="H23G"/>
    <w:rsid w:val="00927F2F"/>
    <w:rPr>
      <w:rFonts w:ascii="Times New Roman" w:eastAsia="Times New Roman" w:hAnsi="Times New Roman" w:cs="Times New Roman"/>
      <w:b/>
      <w:sz w:val="20"/>
      <w:szCs w:val="20"/>
      <w:lang w:eastAsia="en-US"/>
    </w:rPr>
  </w:style>
  <w:style w:type="character" w:styleId="af4">
    <w:name w:val="annotation reference"/>
    <w:basedOn w:val="a0"/>
    <w:uiPriority w:val="99"/>
    <w:semiHidden/>
    <w:unhideWhenUsed/>
    <w:rsid w:val="00927F2F"/>
    <w:rPr>
      <w:sz w:val="16"/>
      <w:szCs w:val="16"/>
    </w:rPr>
  </w:style>
  <w:style w:type="paragraph" w:styleId="af5">
    <w:name w:val="annotation text"/>
    <w:basedOn w:val="a"/>
    <w:link w:val="af6"/>
    <w:uiPriority w:val="99"/>
    <w:semiHidden/>
    <w:unhideWhenUsed/>
    <w:rsid w:val="00927F2F"/>
    <w:pPr>
      <w:suppressAutoHyphens w:val="0"/>
      <w:spacing w:line="240" w:lineRule="auto"/>
    </w:pPr>
    <w:rPr>
      <w:rFonts w:eastAsia="宋体"/>
      <w:lang w:eastAsia="zh-CN"/>
    </w:rPr>
  </w:style>
  <w:style w:type="character" w:customStyle="1" w:styleId="af6">
    <w:name w:val="批注文字 字符"/>
    <w:basedOn w:val="a0"/>
    <w:link w:val="af5"/>
    <w:uiPriority w:val="99"/>
    <w:semiHidden/>
    <w:rsid w:val="00927F2F"/>
    <w:rPr>
      <w:rFonts w:ascii="Times New Roman" w:hAnsi="Times New Roman" w:cs="Times New Roman"/>
      <w:sz w:val="20"/>
      <w:szCs w:val="20"/>
    </w:rPr>
  </w:style>
  <w:style w:type="paragraph" w:styleId="af7">
    <w:name w:val="annotation subject"/>
    <w:basedOn w:val="af5"/>
    <w:next w:val="af5"/>
    <w:link w:val="af8"/>
    <w:uiPriority w:val="99"/>
    <w:semiHidden/>
    <w:unhideWhenUsed/>
    <w:rsid w:val="00927F2F"/>
    <w:rPr>
      <w:b/>
      <w:bCs/>
    </w:rPr>
  </w:style>
  <w:style w:type="character" w:customStyle="1" w:styleId="af8">
    <w:name w:val="批注主题 字符"/>
    <w:basedOn w:val="af6"/>
    <w:link w:val="af7"/>
    <w:uiPriority w:val="99"/>
    <w:semiHidden/>
    <w:rsid w:val="00927F2F"/>
    <w:rPr>
      <w:rFonts w:ascii="Times New Roman" w:hAnsi="Times New Roman" w:cs="Times New Roman"/>
      <w:b/>
      <w:bCs/>
      <w:sz w:val="20"/>
      <w:szCs w:val="20"/>
    </w:rPr>
  </w:style>
  <w:style w:type="character" w:customStyle="1" w:styleId="H1GChar">
    <w:name w:val="_ H_1_G Char"/>
    <w:link w:val="H1G"/>
    <w:rsid w:val="007A00B1"/>
    <w:rPr>
      <w:rFonts w:ascii="Times New Roman" w:eastAsia="Times New Roman"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1365">
      <w:bodyDiv w:val="1"/>
      <w:marLeft w:val="0"/>
      <w:marRight w:val="0"/>
      <w:marTop w:val="0"/>
      <w:marBottom w:val="0"/>
      <w:divBdr>
        <w:top w:val="none" w:sz="0" w:space="0" w:color="auto"/>
        <w:left w:val="none" w:sz="0" w:space="0" w:color="auto"/>
        <w:bottom w:val="none" w:sz="0" w:space="0" w:color="auto"/>
        <w:right w:val="none" w:sz="0" w:space="0" w:color="auto"/>
      </w:divBdr>
    </w:div>
    <w:div w:id="262231633">
      <w:bodyDiv w:val="1"/>
      <w:marLeft w:val="0"/>
      <w:marRight w:val="0"/>
      <w:marTop w:val="0"/>
      <w:marBottom w:val="0"/>
      <w:divBdr>
        <w:top w:val="none" w:sz="0" w:space="0" w:color="auto"/>
        <w:left w:val="none" w:sz="0" w:space="0" w:color="auto"/>
        <w:bottom w:val="none" w:sz="0" w:space="0" w:color="auto"/>
        <w:right w:val="none" w:sz="0" w:space="0" w:color="auto"/>
      </w:divBdr>
    </w:div>
    <w:div w:id="351955036">
      <w:bodyDiv w:val="1"/>
      <w:marLeft w:val="0"/>
      <w:marRight w:val="0"/>
      <w:marTop w:val="0"/>
      <w:marBottom w:val="0"/>
      <w:divBdr>
        <w:top w:val="none" w:sz="0" w:space="0" w:color="auto"/>
        <w:left w:val="none" w:sz="0" w:space="0" w:color="auto"/>
        <w:bottom w:val="none" w:sz="0" w:space="0" w:color="auto"/>
        <w:right w:val="none" w:sz="0" w:space="0" w:color="auto"/>
      </w:divBdr>
    </w:div>
    <w:div w:id="603810041">
      <w:bodyDiv w:val="1"/>
      <w:marLeft w:val="0"/>
      <w:marRight w:val="0"/>
      <w:marTop w:val="0"/>
      <w:marBottom w:val="0"/>
      <w:divBdr>
        <w:top w:val="none" w:sz="0" w:space="0" w:color="auto"/>
        <w:left w:val="none" w:sz="0" w:space="0" w:color="auto"/>
        <w:bottom w:val="none" w:sz="0" w:space="0" w:color="auto"/>
        <w:right w:val="none" w:sz="0" w:space="0" w:color="auto"/>
      </w:divBdr>
    </w:div>
    <w:div w:id="658390994">
      <w:bodyDiv w:val="1"/>
      <w:marLeft w:val="0"/>
      <w:marRight w:val="0"/>
      <w:marTop w:val="0"/>
      <w:marBottom w:val="0"/>
      <w:divBdr>
        <w:top w:val="none" w:sz="0" w:space="0" w:color="auto"/>
        <w:left w:val="none" w:sz="0" w:space="0" w:color="auto"/>
        <w:bottom w:val="none" w:sz="0" w:space="0" w:color="auto"/>
        <w:right w:val="none" w:sz="0" w:space="0" w:color="auto"/>
      </w:divBdr>
    </w:div>
    <w:div w:id="945776059">
      <w:bodyDiv w:val="1"/>
      <w:marLeft w:val="0"/>
      <w:marRight w:val="0"/>
      <w:marTop w:val="0"/>
      <w:marBottom w:val="0"/>
      <w:divBdr>
        <w:top w:val="none" w:sz="0" w:space="0" w:color="auto"/>
        <w:left w:val="none" w:sz="0" w:space="0" w:color="auto"/>
        <w:bottom w:val="none" w:sz="0" w:space="0" w:color="auto"/>
        <w:right w:val="none" w:sz="0" w:space="0" w:color="auto"/>
      </w:divBdr>
    </w:div>
    <w:div w:id="962537695">
      <w:bodyDiv w:val="1"/>
      <w:marLeft w:val="0"/>
      <w:marRight w:val="0"/>
      <w:marTop w:val="0"/>
      <w:marBottom w:val="0"/>
      <w:divBdr>
        <w:top w:val="none" w:sz="0" w:space="0" w:color="auto"/>
        <w:left w:val="none" w:sz="0" w:space="0" w:color="auto"/>
        <w:bottom w:val="none" w:sz="0" w:space="0" w:color="auto"/>
        <w:right w:val="none" w:sz="0" w:space="0" w:color="auto"/>
      </w:divBdr>
    </w:div>
    <w:div w:id="1093553678">
      <w:bodyDiv w:val="1"/>
      <w:marLeft w:val="0"/>
      <w:marRight w:val="0"/>
      <w:marTop w:val="0"/>
      <w:marBottom w:val="0"/>
      <w:divBdr>
        <w:top w:val="none" w:sz="0" w:space="0" w:color="auto"/>
        <w:left w:val="none" w:sz="0" w:space="0" w:color="auto"/>
        <w:bottom w:val="none" w:sz="0" w:space="0" w:color="auto"/>
        <w:right w:val="none" w:sz="0" w:space="0" w:color="auto"/>
      </w:divBdr>
    </w:div>
    <w:div w:id="1297561255">
      <w:bodyDiv w:val="1"/>
      <w:marLeft w:val="0"/>
      <w:marRight w:val="0"/>
      <w:marTop w:val="0"/>
      <w:marBottom w:val="0"/>
      <w:divBdr>
        <w:top w:val="none" w:sz="0" w:space="0" w:color="auto"/>
        <w:left w:val="none" w:sz="0" w:space="0" w:color="auto"/>
        <w:bottom w:val="none" w:sz="0" w:space="0" w:color="auto"/>
        <w:right w:val="none" w:sz="0" w:space="0" w:color="auto"/>
      </w:divBdr>
    </w:div>
    <w:div w:id="1609003480">
      <w:bodyDiv w:val="1"/>
      <w:marLeft w:val="0"/>
      <w:marRight w:val="0"/>
      <w:marTop w:val="0"/>
      <w:marBottom w:val="0"/>
      <w:divBdr>
        <w:top w:val="none" w:sz="0" w:space="0" w:color="auto"/>
        <w:left w:val="none" w:sz="0" w:space="0" w:color="auto"/>
        <w:bottom w:val="none" w:sz="0" w:space="0" w:color="auto"/>
        <w:right w:val="none" w:sz="0" w:space="0" w:color="auto"/>
      </w:divBdr>
    </w:div>
    <w:div w:id="1693528604">
      <w:bodyDiv w:val="1"/>
      <w:marLeft w:val="0"/>
      <w:marRight w:val="0"/>
      <w:marTop w:val="0"/>
      <w:marBottom w:val="0"/>
      <w:divBdr>
        <w:top w:val="none" w:sz="0" w:space="0" w:color="auto"/>
        <w:left w:val="none" w:sz="0" w:space="0" w:color="auto"/>
        <w:bottom w:val="none" w:sz="0" w:space="0" w:color="auto"/>
        <w:right w:val="none" w:sz="0" w:space="0" w:color="auto"/>
      </w:divBdr>
    </w:div>
    <w:div w:id="1897546229">
      <w:bodyDiv w:val="1"/>
      <w:marLeft w:val="0"/>
      <w:marRight w:val="0"/>
      <w:marTop w:val="0"/>
      <w:marBottom w:val="0"/>
      <w:divBdr>
        <w:top w:val="none" w:sz="0" w:space="0" w:color="auto"/>
        <w:left w:val="none" w:sz="0" w:space="0" w:color="auto"/>
        <w:bottom w:val="none" w:sz="0" w:space="0" w:color="auto"/>
        <w:right w:val="none" w:sz="0" w:space="0" w:color="auto"/>
      </w:divBdr>
    </w:div>
    <w:div w:id="2043703501">
      <w:bodyDiv w:val="1"/>
      <w:marLeft w:val="0"/>
      <w:marRight w:val="0"/>
      <w:marTop w:val="0"/>
      <w:marBottom w:val="0"/>
      <w:divBdr>
        <w:top w:val="none" w:sz="0" w:space="0" w:color="auto"/>
        <w:left w:val="none" w:sz="0" w:space="0" w:color="auto"/>
        <w:bottom w:val="none" w:sz="0" w:space="0" w:color="auto"/>
        <w:right w:val="none" w:sz="0" w:space="0" w:color="auto"/>
      </w:divBdr>
    </w:div>
    <w:div w:id="212796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M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C9EC1-DBA9-4DF3-B358-04F0C1C0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CMW.dotm</Template>
  <TotalTime>1</TotalTime>
  <Pages>6</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CMW/C/ALB/CO/2</vt:lpstr>
    </vt:vector>
  </TitlesOfParts>
  <Company>DCM</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CMW/C/ALB/CO/2</dc:title>
  <dc:subject>1907580</dc:subject>
  <dc:creator>CPM</dc:creator>
  <cp:keywords/>
  <dc:description/>
  <cp:lastModifiedBy>Jianjun Chen</cp:lastModifiedBy>
  <cp:revision>2</cp:revision>
  <dcterms:created xsi:type="dcterms:W3CDTF">2020-08-12T16:01:00Z</dcterms:created>
  <dcterms:modified xsi:type="dcterms:W3CDTF">2020-08-12T16:01:00Z</dcterms:modified>
</cp:coreProperties>
</file>