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816936" w:rsidRPr="00F124C6" w14:paraId="527E6EAB" w14:textId="77777777" w:rsidTr="005D3846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14:paraId="59B7D802" w14:textId="77777777" w:rsidR="00816936" w:rsidRPr="00F124C6" w:rsidRDefault="00816936" w:rsidP="005D3846">
            <w:pPr>
              <w:pStyle w:val="H23GC"/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7CE6B544" w14:textId="77777777" w:rsidR="00816936" w:rsidRPr="0050687F" w:rsidRDefault="00816936" w:rsidP="005D3846">
            <w:pPr>
              <w:spacing w:after="80" w:line="300" w:lineRule="exact"/>
              <w:rPr>
                <w:rFonts w:ascii="Time New Roman" w:eastAsia="黑体" w:hAnsi="Time New Roman" w:hint="eastAsia"/>
                <w:sz w:val="28"/>
              </w:rPr>
            </w:pPr>
            <w:r w:rsidRPr="0050687F">
              <w:rPr>
                <w:rFonts w:ascii="宋体" w:eastAsia="黑体" w:hAnsi="宋体" w:cs="宋体" w:hint="eastAsia"/>
                <w:sz w:val="28"/>
              </w:rPr>
              <w:t>联</w:t>
            </w:r>
            <w:r w:rsidRPr="0050687F">
              <w:rPr>
                <w:rFonts w:ascii="Time New Roman" w:eastAsia="黑体" w:hAnsi="Time New Roman" w:hint="eastAsia"/>
                <w:sz w:val="28"/>
              </w:rPr>
              <w:t xml:space="preserve"> </w:t>
            </w:r>
            <w:r w:rsidRPr="0050687F">
              <w:rPr>
                <w:rFonts w:ascii="宋体" w:eastAsia="黑体" w:hAnsi="宋体" w:cs="宋体" w:hint="eastAsia"/>
                <w:sz w:val="28"/>
              </w:rPr>
              <w:t>合</w:t>
            </w:r>
            <w:r w:rsidRPr="0050687F">
              <w:rPr>
                <w:rFonts w:ascii="Time New Roman" w:eastAsia="黑体" w:hAnsi="Time New Roman" w:hint="eastAsia"/>
                <w:sz w:val="28"/>
              </w:rPr>
              <w:t xml:space="preserve"> </w:t>
            </w:r>
            <w:r w:rsidRPr="0050687F">
              <w:rPr>
                <w:rFonts w:ascii="宋体" w:eastAsia="黑体" w:hAnsi="宋体" w:cs="宋体" w:hint="eastAsia"/>
                <w:sz w:val="28"/>
              </w:rPr>
              <w:t>国</w:t>
            </w: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14:paraId="39C4EB2A" w14:textId="77777777" w:rsidR="00816936" w:rsidRPr="00381C55" w:rsidRDefault="00381C55" w:rsidP="005D3846">
            <w:pPr>
              <w:spacing w:line="240" w:lineRule="atLeast"/>
              <w:jc w:val="right"/>
              <w:rPr>
                <w:sz w:val="20"/>
                <w:szCs w:val="21"/>
              </w:rPr>
            </w:pPr>
            <w:r w:rsidRPr="00381C55">
              <w:rPr>
                <w:sz w:val="40"/>
                <w:szCs w:val="21"/>
              </w:rPr>
              <w:t>CRPD</w:t>
            </w:r>
            <w:r>
              <w:rPr>
                <w:sz w:val="20"/>
                <w:szCs w:val="21"/>
              </w:rPr>
              <w:t>/C/MMR/CO/1</w:t>
            </w:r>
          </w:p>
        </w:tc>
      </w:tr>
      <w:tr w:rsidR="00816936" w:rsidRPr="00F124C6" w14:paraId="4AF935F8" w14:textId="77777777" w:rsidTr="005D3846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14:paraId="576869BD" w14:textId="77777777" w:rsidR="00816936" w:rsidRPr="00F124C6" w:rsidRDefault="00816936" w:rsidP="005D3846">
            <w:pPr>
              <w:spacing w:line="120" w:lineRule="atLeast"/>
              <w:rPr>
                <w:sz w:val="10"/>
                <w:szCs w:val="10"/>
              </w:rPr>
            </w:pPr>
          </w:p>
          <w:p w14:paraId="5BAD6CC6" w14:textId="77777777" w:rsidR="00816936" w:rsidRPr="00F124C6" w:rsidRDefault="00816936" w:rsidP="005D3846">
            <w:pPr>
              <w:spacing w:line="120" w:lineRule="atLeast"/>
              <w:rPr>
                <w:sz w:val="10"/>
                <w:szCs w:val="10"/>
              </w:rPr>
            </w:pPr>
            <w:r>
              <w:rPr>
                <w:rFonts w:hint="eastAsia"/>
                <w:noProof/>
                <w:snapToGrid/>
              </w:rPr>
              <w:drawing>
                <wp:inline distT="0" distB="0" distL="0" distR="0" wp14:anchorId="1536F094" wp14:editId="77B81F06">
                  <wp:extent cx="715010" cy="592455"/>
                  <wp:effectExtent l="0" t="0" r="8890" b="0"/>
                  <wp:docPr id="4" name="图片 4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732BE19" w14:textId="77777777" w:rsidR="00816936" w:rsidRPr="00FC7FE9" w:rsidRDefault="00816936" w:rsidP="005D3846">
            <w:pPr>
              <w:spacing w:before="160" w:line="240" w:lineRule="auto"/>
              <w:rPr>
                <w:rFonts w:eastAsia="黑体"/>
                <w:spacing w:val="10"/>
                <w:sz w:val="36"/>
                <w:szCs w:val="36"/>
              </w:rPr>
            </w:pPr>
            <w:r w:rsidRPr="00FC7FE9">
              <w:rPr>
                <w:rFonts w:eastAsia="黑体" w:hint="eastAsia"/>
                <w:spacing w:val="10"/>
                <w:sz w:val="36"/>
                <w:szCs w:val="36"/>
              </w:rPr>
              <w:t>残疾人权利公约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5B118A73" w14:textId="79CA18EB" w:rsidR="00816936" w:rsidRPr="00F124C6" w:rsidRDefault="00816936" w:rsidP="005D3846">
            <w:pPr>
              <w:spacing w:line="240" w:lineRule="atLeast"/>
            </w:pPr>
          </w:p>
        </w:tc>
      </w:tr>
    </w:tbl>
    <w:p w14:paraId="55983CEA" w14:textId="77777777" w:rsidR="00816936" w:rsidRDefault="00816936" w:rsidP="00816936">
      <w:pPr>
        <w:spacing w:before="120"/>
        <w:rPr>
          <w:rFonts w:eastAsia="黑体"/>
          <w:sz w:val="24"/>
          <w:szCs w:val="24"/>
          <w:lang w:val="fr-CH"/>
        </w:rPr>
      </w:pPr>
      <w:r>
        <w:rPr>
          <w:rFonts w:eastAsia="黑体" w:hint="eastAsia"/>
          <w:sz w:val="24"/>
          <w:szCs w:val="24"/>
          <w:lang w:val="fr-CH"/>
        </w:rPr>
        <w:t>残疾人权利委员会</w:t>
      </w:r>
    </w:p>
    <w:p w14:paraId="4C65C455" w14:textId="4BE8316E" w:rsidR="00381C55" w:rsidRDefault="00381C55" w:rsidP="00381C55">
      <w:pPr>
        <w:pStyle w:val="HCh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关于缅甸初次报告的结论性意见</w:t>
      </w:r>
      <w:r w:rsidRPr="00681CC6">
        <w:rPr>
          <w:rStyle w:val="a8"/>
          <w:rFonts w:eastAsia="黑体"/>
          <w:sz w:val="28"/>
          <w:vertAlign w:val="baseline"/>
          <w:lang w:val="fr-CH"/>
        </w:rPr>
        <w:footnoteReference w:customMarkFollows="1" w:id="2"/>
        <w:t>*</w:t>
      </w:r>
    </w:p>
    <w:p w14:paraId="25BD268C" w14:textId="6EF9A671" w:rsidR="00AF3118" w:rsidRPr="00AF3118" w:rsidRDefault="00AF3118" w:rsidP="00AF3118">
      <w:pPr>
        <w:rPr>
          <w:lang w:val="fr-CH"/>
        </w:rPr>
      </w:pPr>
      <w:r>
        <w:rPr>
          <w:lang w:val="zh-CN"/>
        </w:rPr>
        <w:tab/>
      </w:r>
      <w:r>
        <w:rPr>
          <w:lang w:val="zh-CN"/>
        </w:rPr>
        <w:tab/>
      </w:r>
      <w:r>
        <w:rPr>
          <w:lang w:val="zh-CN"/>
        </w:rPr>
        <w:tab/>
      </w:r>
      <w:r w:rsidRPr="00B315E9">
        <w:rPr>
          <w:rFonts w:eastAsia="黑体"/>
          <w:snapToGrid/>
          <w:sz w:val="28"/>
          <w:szCs w:val="28"/>
          <w:lang w:val="fr-CH"/>
        </w:rPr>
        <w:t>关于西班牙第二和第三次合并定期报告的结论性意见</w:t>
      </w:r>
    </w:p>
    <w:p w14:paraId="7729DD39" w14:textId="77777777" w:rsidR="00381C55" w:rsidRPr="00381C55" w:rsidRDefault="00381C55" w:rsidP="00681CC6">
      <w:pPr>
        <w:pStyle w:val="HCh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一</w:t>
      </w:r>
      <w:r w:rsidRPr="00381C55">
        <w:rPr>
          <w:rFonts w:hint="eastAsia"/>
          <w:lang w:val="fr-CH"/>
        </w:rPr>
        <w:t>.</w:t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导言</w:t>
      </w:r>
    </w:p>
    <w:p w14:paraId="1C18C693" w14:textId="55626DE8" w:rsidR="00381C55" w:rsidRPr="00381C55" w:rsidRDefault="00381C55" w:rsidP="00381C55">
      <w:pPr>
        <w:pStyle w:val="SingleTxtGC"/>
        <w:rPr>
          <w:lang w:val="fr-CH"/>
        </w:rPr>
      </w:pPr>
      <w:r w:rsidRPr="00381C55">
        <w:rPr>
          <w:rFonts w:hint="eastAsia"/>
          <w:lang w:val="fr-CH"/>
        </w:rPr>
        <w:t>1.</w:t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委员会在</w:t>
      </w:r>
      <w:r w:rsidRPr="00381C55">
        <w:rPr>
          <w:rFonts w:hint="eastAsia"/>
          <w:lang w:val="fr-CH"/>
        </w:rPr>
        <w:t>2019</w:t>
      </w:r>
      <w:r w:rsidRPr="00381C55">
        <w:rPr>
          <w:rFonts w:hint="eastAsia"/>
          <w:lang w:val="fr-CH"/>
        </w:rPr>
        <w:t>年</w:t>
      </w:r>
      <w:r w:rsidRPr="00381C55">
        <w:rPr>
          <w:rFonts w:hint="eastAsia"/>
          <w:lang w:val="fr-CH"/>
        </w:rPr>
        <w:t>8</w:t>
      </w:r>
      <w:r w:rsidRPr="00381C55">
        <w:rPr>
          <w:rFonts w:hint="eastAsia"/>
          <w:lang w:val="fr-CH"/>
        </w:rPr>
        <w:t>月</w:t>
      </w:r>
      <w:r w:rsidRPr="00381C55">
        <w:rPr>
          <w:rFonts w:hint="eastAsia"/>
          <w:lang w:val="fr-CH"/>
        </w:rPr>
        <w:t>28</w:t>
      </w:r>
      <w:r w:rsidRPr="00381C55">
        <w:rPr>
          <w:rFonts w:hint="eastAsia"/>
          <w:lang w:val="fr-CH"/>
        </w:rPr>
        <w:t>日和</w:t>
      </w:r>
      <w:r w:rsidRPr="00381C55">
        <w:rPr>
          <w:rFonts w:hint="eastAsia"/>
          <w:lang w:val="fr-CH"/>
        </w:rPr>
        <w:t>29</w:t>
      </w:r>
      <w:r w:rsidRPr="00381C55">
        <w:rPr>
          <w:rFonts w:hint="eastAsia"/>
          <w:lang w:val="fr-CH"/>
        </w:rPr>
        <w:t>日举行的第</w:t>
      </w:r>
      <w:r w:rsidRPr="00381C55">
        <w:rPr>
          <w:rFonts w:hint="eastAsia"/>
          <w:lang w:val="fr-CH"/>
        </w:rPr>
        <w:t>479</w:t>
      </w:r>
      <w:r w:rsidRPr="00381C55">
        <w:rPr>
          <w:rFonts w:hint="eastAsia"/>
          <w:lang w:val="fr-CH"/>
        </w:rPr>
        <w:t>次和第</w:t>
      </w:r>
      <w:r w:rsidRPr="00381C55">
        <w:rPr>
          <w:rFonts w:hint="eastAsia"/>
          <w:lang w:val="fr-CH"/>
        </w:rPr>
        <w:t>480</w:t>
      </w:r>
      <w:r w:rsidRPr="00381C55">
        <w:rPr>
          <w:rFonts w:hint="eastAsia"/>
          <w:lang w:val="fr-CH"/>
        </w:rPr>
        <w:t>次会议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见</w:t>
      </w:r>
      <w:r w:rsidRPr="00381C55">
        <w:rPr>
          <w:rFonts w:hint="eastAsia"/>
          <w:lang w:val="fr-CH"/>
        </w:rPr>
        <w:t>CRPD/C/SR.479</w:t>
      </w:r>
      <w:r w:rsidRPr="00381C55">
        <w:rPr>
          <w:rFonts w:hint="eastAsia"/>
          <w:lang w:val="fr-CH"/>
        </w:rPr>
        <w:t>和</w:t>
      </w:r>
      <w:r w:rsidRPr="00381C55">
        <w:rPr>
          <w:rFonts w:hint="eastAsia"/>
          <w:lang w:val="fr-CH"/>
        </w:rPr>
        <w:t>480)</w:t>
      </w:r>
      <w:r w:rsidRPr="00381C55">
        <w:rPr>
          <w:rFonts w:hint="eastAsia"/>
          <w:lang w:val="fr-CH"/>
        </w:rPr>
        <w:t>上审议了缅甸的初次报告</w:t>
      </w:r>
      <w:r w:rsidRPr="00381C55">
        <w:rPr>
          <w:rFonts w:hint="eastAsia"/>
          <w:lang w:val="fr-CH"/>
        </w:rPr>
        <w:t>(CRPD/C/MMR/1)</w:t>
      </w:r>
      <w:r w:rsidRPr="006E7655">
        <w:rPr>
          <w:rFonts w:hint="eastAsia"/>
          <w:lang w:val="fr-CH"/>
        </w:rPr>
        <w:t>，在</w:t>
      </w:r>
      <w:r w:rsidRPr="00381C55">
        <w:rPr>
          <w:rFonts w:hint="eastAsia"/>
          <w:lang w:val="fr-CH"/>
        </w:rPr>
        <w:t>2019</w:t>
      </w:r>
      <w:r w:rsidRPr="00381C55">
        <w:rPr>
          <w:rFonts w:hint="eastAsia"/>
          <w:lang w:val="fr-CH"/>
        </w:rPr>
        <w:t>年</w:t>
      </w:r>
      <w:r w:rsidRPr="00381C55">
        <w:rPr>
          <w:rFonts w:hint="eastAsia"/>
          <w:lang w:val="fr-CH"/>
        </w:rPr>
        <w:t>9</w:t>
      </w:r>
      <w:r w:rsidRPr="00381C55">
        <w:rPr>
          <w:rFonts w:hint="eastAsia"/>
          <w:lang w:val="fr-CH"/>
        </w:rPr>
        <w:t>月</w:t>
      </w:r>
      <w:r w:rsidRPr="00381C55">
        <w:rPr>
          <w:rFonts w:hint="eastAsia"/>
          <w:lang w:val="fr-CH"/>
        </w:rPr>
        <w:t>16</w:t>
      </w:r>
      <w:r w:rsidRPr="00381C55">
        <w:rPr>
          <w:rFonts w:hint="eastAsia"/>
          <w:lang w:val="fr-CH"/>
        </w:rPr>
        <w:t>日举行的第</w:t>
      </w:r>
      <w:r w:rsidRPr="00381C55">
        <w:rPr>
          <w:rFonts w:hint="eastAsia"/>
          <w:lang w:val="fr-CH"/>
        </w:rPr>
        <w:t>502</w:t>
      </w:r>
      <w:r w:rsidRPr="00381C55">
        <w:rPr>
          <w:rFonts w:hint="eastAsia"/>
          <w:lang w:val="fr-CH"/>
        </w:rPr>
        <w:t>次会议上通过了本结论性意见。</w:t>
      </w:r>
    </w:p>
    <w:p w14:paraId="7D86BA68" w14:textId="7C1CFF1D" w:rsidR="00381C55" w:rsidRDefault="00381C55" w:rsidP="00381C55">
      <w:pPr>
        <w:pStyle w:val="SingleTxtGC"/>
        <w:rPr>
          <w:lang w:val="zh-CN"/>
        </w:rPr>
      </w:pPr>
      <w:r w:rsidRPr="00381C55">
        <w:rPr>
          <w:rFonts w:hint="eastAsia"/>
          <w:lang w:val="fr-CH"/>
        </w:rPr>
        <w:t>2.</w:t>
      </w:r>
      <w:r w:rsidRPr="00381C55">
        <w:rPr>
          <w:rFonts w:hint="eastAsia"/>
          <w:lang w:val="fr-CH"/>
        </w:rPr>
        <w:tab/>
      </w:r>
      <w:r w:rsidR="00601B00">
        <w:rPr>
          <w:lang w:val="zh-CN"/>
        </w:rPr>
        <w:t>委员会欢迎阿尔巴尼亚提交的按委员会报告准则编写的初次报告，并感谢缔约国对其拟订的问题清单</w:t>
      </w:r>
      <w:r w:rsidR="00601B00">
        <w:rPr>
          <w:lang w:val="zh-CN"/>
        </w:rPr>
        <w:t>(CRPD/C/ALB/Q/1)</w:t>
      </w:r>
      <w:r w:rsidR="00601B00">
        <w:rPr>
          <w:lang w:val="zh-CN"/>
        </w:rPr>
        <w:t>作出书面答复</w:t>
      </w:r>
      <w:r w:rsidR="00601B00">
        <w:rPr>
          <w:lang w:val="zh-CN"/>
        </w:rPr>
        <w:t>(CRPD/C/ALB/Q/1/ Add.1)</w:t>
      </w:r>
      <w:r w:rsidR="00601B00">
        <w:rPr>
          <w:rFonts w:hint="eastAsia"/>
          <w:lang w:val="zh-CN"/>
        </w:rPr>
        <w:t>。</w:t>
      </w:r>
    </w:p>
    <w:p w14:paraId="7F7402ED" w14:textId="6A0874E3" w:rsidR="00601B00" w:rsidRPr="00381C55" w:rsidRDefault="00601B00" w:rsidP="00381C55">
      <w:pPr>
        <w:pStyle w:val="SingleTxtGC"/>
        <w:rPr>
          <w:lang w:val="fr-CH"/>
        </w:rPr>
      </w:pPr>
      <w:r>
        <w:rPr>
          <w:rFonts w:hint="eastAsia"/>
          <w:lang w:val="zh-CN"/>
        </w:rPr>
        <w:t>3.</w:t>
      </w:r>
      <w:r>
        <w:rPr>
          <w:lang w:val="zh-CN"/>
        </w:rPr>
        <w:tab/>
      </w:r>
      <w:r w:rsidRPr="006A32B4">
        <w:rPr>
          <w:lang w:val="zh-CN"/>
        </w:rPr>
        <w:t>委员会欢迎西班牙根据委员会报告准则和报告前问题</w:t>
      </w:r>
      <w:r w:rsidR="001E15E4">
        <w:rPr>
          <w:rFonts w:hint="eastAsia"/>
          <w:lang w:val="zh-CN"/>
        </w:rPr>
        <w:t>清</w:t>
      </w:r>
      <w:r w:rsidRPr="006A32B4">
        <w:rPr>
          <w:lang w:val="zh-CN"/>
        </w:rPr>
        <w:t>单</w:t>
      </w:r>
      <w:r w:rsidRPr="006A32B4">
        <w:rPr>
          <w:lang w:val="zh-CN"/>
        </w:rPr>
        <w:t>(CRPD/C/ESP/</w:t>
      </w:r>
      <w:r>
        <w:rPr>
          <w:lang w:val="fr-CH"/>
        </w:rPr>
        <w:t xml:space="preserve"> </w:t>
      </w:r>
      <w:r w:rsidRPr="006A32B4">
        <w:rPr>
          <w:lang w:val="zh-CN"/>
        </w:rPr>
        <w:t>QPR/2-3)</w:t>
      </w:r>
      <w:r w:rsidRPr="006A32B4">
        <w:rPr>
          <w:lang w:val="zh-CN"/>
        </w:rPr>
        <w:t>编写的第二和第三次合并定期报告。</w:t>
      </w:r>
    </w:p>
    <w:p w14:paraId="34AA3326" w14:textId="26559D46" w:rsidR="00381C55" w:rsidRDefault="00601B00" w:rsidP="00381C55">
      <w:pPr>
        <w:pStyle w:val="SingleTxtGC"/>
        <w:rPr>
          <w:lang w:val="fr-CH"/>
        </w:rPr>
      </w:pPr>
      <w:r>
        <w:rPr>
          <w:rFonts w:hint="eastAsia"/>
          <w:lang w:val="fr-CH"/>
        </w:rPr>
        <w:t>4</w:t>
      </w:r>
      <w:r w:rsidR="00381C55" w:rsidRPr="00381C55">
        <w:rPr>
          <w:rFonts w:hint="eastAsia"/>
          <w:lang w:val="fr-CH"/>
        </w:rPr>
        <w:t>.</w:t>
      </w:r>
      <w:r w:rsidR="00381C55" w:rsidRPr="00381C55">
        <w:rPr>
          <w:rFonts w:hint="eastAsia"/>
          <w:lang w:val="fr-CH"/>
        </w:rPr>
        <w:tab/>
      </w:r>
      <w:r w:rsidRPr="00F32DE7">
        <w:rPr>
          <w:lang w:val="en-GB"/>
        </w:rPr>
        <w:t>委员会赞赏</w:t>
      </w:r>
      <w:r>
        <w:rPr>
          <w:rFonts w:hint="eastAsia"/>
          <w:lang w:val="en-GB"/>
        </w:rPr>
        <w:t>在</w:t>
      </w:r>
      <w:r w:rsidRPr="00F32DE7">
        <w:rPr>
          <w:lang w:val="en-GB"/>
        </w:rPr>
        <w:t>报告</w:t>
      </w:r>
      <w:r w:rsidR="00792994" w:rsidRPr="00F32DE7">
        <w:rPr>
          <w:lang w:val="en-GB"/>
        </w:rPr>
        <w:t>审议</w:t>
      </w:r>
      <w:r w:rsidRPr="00F32DE7">
        <w:rPr>
          <w:lang w:val="en-GB"/>
        </w:rPr>
        <w:t>期间进行的</w:t>
      </w:r>
      <w:r w:rsidRPr="00F32DE7">
        <w:rPr>
          <w:rFonts w:hint="eastAsia"/>
          <w:lang w:val="en-GB"/>
        </w:rPr>
        <w:t>建设性</w:t>
      </w:r>
      <w:r w:rsidRPr="00F32DE7">
        <w:rPr>
          <w:lang w:val="en-GB"/>
        </w:rPr>
        <w:t>对话，并称赞缔约国高级别代表团阵容强大，</w:t>
      </w:r>
      <w:r>
        <w:rPr>
          <w:rFonts w:hint="eastAsia"/>
          <w:lang w:val="en-GB"/>
        </w:rPr>
        <w:t>其中</w:t>
      </w:r>
      <w:r w:rsidRPr="00F32DE7">
        <w:rPr>
          <w:lang w:val="en-GB"/>
        </w:rPr>
        <w:t>包括政府相关部委的代表。</w:t>
      </w:r>
      <w:r w:rsidR="00381C55" w:rsidRPr="00381C55">
        <w:rPr>
          <w:rFonts w:hint="eastAsia"/>
          <w:lang w:val="fr-CH"/>
        </w:rPr>
        <w:t>委员会赞赏代表团对委员会口头</w:t>
      </w:r>
      <w:r w:rsidR="00792994">
        <w:rPr>
          <w:rFonts w:hint="eastAsia"/>
          <w:lang w:val="fr-CH"/>
        </w:rPr>
        <w:t>提出的问题</w:t>
      </w:r>
      <w:r w:rsidR="00381C55" w:rsidRPr="00381C55">
        <w:rPr>
          <w:rFonts w:hint="eastAsia"/>
          <w:lang w:val="fr-CH"/>
        </w:rPr>
        <w:t>作出进一步说明。</w:t>
      </w:r>
    </w:p>
    <w:p w14:paraId="3D7F5E05" w14:textId="77777777" w:rsidR="00792994" w:rsidRPr="00381C55" w:rsidRDefault="00792994" w:rsidP="00381C55">
      <w:pPr>
        <w:pStyle w:val="SingleTxtGC"/>
        <w:rPr>
          <w:lang w:val="fr-CH"/>
        </w:rPr>
      </w:pPr>
    </w:p>
    <w:p w14:paraId="00790CF4" w14:textId="77777777" w:rsidR="00381C55" w:rsidRPr="00381C55" w:rsidRDefault="00381C55" w:rsidP="00681CC6">
      <w:pPr>
        <w:pStyle w:val="HCh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二</w:t>
      </w:r>
      <w:r w:rsidRPr="00381C55">
        <w:rPr>
          <w:rFonts w:hint="eastAsia"/>
          <w:lang w:val="fr-CH"/>
        </w:rPr>
        <w:t>.</w:t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积极方面</w:t>
      </w:r>
    </w:p>
    <w:p w14:paraId="3AB9EF28" w14:textId="77777777" w:rsidR="007C1579" w:rsidRDefault="007C1579" w:rsidP="00381C55">
      <w:pPr>
        <w:pStyle w:val="SingleTxtGC"/>
        <w:rPr>
          <w:lang w:val="zh-CN"/>
        </w:rPr>
      </w:pPr>
      <w:r>
        <w:rPr>
          <w:rFonts w:hint="eastAsia"/>
          <w:lang w:val="fr-CH"/>
        </w:rPr>
        <w:t>5</w:t>
      </w:r>
      <w:r w:rsidR="00381C55" w:rsidRPr="00381C55">
        <w:rPr>
          <w:rFonts w:hint="eastAsia"/>
          <w:lang w:val="fr-CH"/>
        </w:rPr>
        <w:t>.</w:t>
      </w:r>
      <w:r w:rsidR="00381C55" w:rsidRPr="00381C55">
        <w:rPr>
          <w:rFonts w:hint="eastAsia"/>
          <w:lang w:val="fr-CH"/>
        </w:rPr>
        <w:tab/>
      </w:r>
      <w:r w:rsidRPr="006A32B4">
        <w:rPr>
          <w:lang w:val="zh-CN"/>
        </w:rPr>
        <w:t>委员会欢迎缔约国采取以下立法措施：</w:t>
      </w:r>
    </w:p>
    <w:p w14:paraId="3EF29F71" w14:textId="1CAADA23" w:rsidR="00381C55" w:rsidRPr="00381C55" w:rsidRDefault="007C1579" w:rsidP="00381C55">
      <w:pPr>
        <w:pStyle w:val="SingleTxtGC"/>
        <w:rPr>
          <w:lang w:val="fr-CH"/>
        </w:rPr>
      </w:pPr>
      <w:r>
        <w:rPr>
          <w:rFonts w:hint="eastAsia"/>
          <w:lang w:val="zh-CN"/>
        </w:rPr>
        <w:t>6.</w:t>
      </w:r>
      <w:r>
        <w:rPr>
          <w:lang w:val="zh-CN"/>
        </w:rPr>
        <w:tab/>
      </w:r>
      <w:r w:rsidRPr="0021687A">
        <w:rPr>
          <w:rFonts w:hint="eastAsia"/>
          <w:lang w:val="fr-CH"/>
        </w:rPr>
        <w:t>委员会欢迎缔约国在执行《公约》方面取得的进展。具体而言，委员会</w:t>
      </w:r>
      <w:r w:rsidR="006E7655">
        <w:rPr>
          <w:rFonts w:hint="eastAsia"/>
          <w:lang w:val="fr-CH"/>
        </w:rPr>
        <w:t>赞赏</w:t>
      </w:r>
      <w:r>
        <w:rPr>
          <w:rFonts w:hint="eastAsia"/>
          <w:lang w:val="fr-CH"/>
        </w:rPr>
        <w:t>缔约国采取</w:t>
      </w:r>
      <w:r w:rsidRPr="0021687A">
        <w:rPr>
          <w:rFonts w:hint="eastAsia"/>
          <w:lang w:val="fr-CH"/>
        </w:rPr>
        <w:t>以下立法</w:t>
      </w:r>
      <w:r>
        <w:rPr>
          <w:rFonts w:hint="eastAsia"/>
          <w:lang w:val="fr-CH"/>
        </w:rPr>
        <w:t>、</w:t>
      </w:r>
      <w:r w:rsidRPr="0021687A">
        <w:rPr>
          <w:rFonts w:hint="eastAsia"/>
          <w:lang w:val="fr-CH"/>
        </w:rPr>
        <w:t>政策</w:t>
      </w:r>
      <w:r>
        <w:rPr>
          <w:rFonts w:hint="eastAsia"/>
          <w:lang w:val="fr-CH"/>
        </w:rPr>
        <w:t>和行政</w:t>
      </w:r>
      <w:r w:rsidRPr="0021687A">
        <w:rPr>
          <w:rFonts w:hint="eastAsia"/>
          <w:lang w:val="fr-CH"/>
        </w:rPr>
        <w:t>措施：</w:t>
      </w:r>
      <w:r w:rsidRPr="00381C55">
        <w:rPr>
          <w:lang w:val="fr-CH"/>
        </w:rPr>
        <w:t xml:space="preserve"> </w:t>
      </w:r>
    </w:p>
    <w:p w14:paraId="7CDB91BB" w14:textId="77777777" w:rsidR="00681CC6" w:rsidRDefault="00681CC6">
      <w:pPr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eastAsia="黑体"/>
          <w:snapToGrid/>
          <w:sz w:val="28"/>
          <w:szCs w:val="28"/>
          <w:lang w:val="fr-CH"/>
        </w:rPr>
      </w:pPr>
      <w:r>
        <w:rPr>
          <w:lang w:val="fr-CH"/>
        </w:rPr>
        <w:br w:type="page"/>
      </w:r>
    </w:p>
    <w:p w14:paraId="0E72BCE1" w14:textId="77777777" w:rsidR="00381C55" w:rsidRPr="00381C55" w:rsidRDefault="00381C55" w:rsidP="00681CC6">
      <w:pPr>
        <w:pStyle w:val="HChGC"/>
        <w:rPr>
          <w:lang w:val="fr-CH"/>
        </w:rPr>
      </w:pPr>
      <w:r w:rsidRPr="00381C55">
        <w:rPr>
          <w:rFonts w:hint="eastAsia"/>
          <w:lang w:val="fr-CH"/>
        </w:rPr>
        <w:lastRenderedPageBreak/>
        <w:tab/>
      </w:r>
      <w:r w:rsidRPr="00381C55">
        <w:rPr>
          <w:rFonts w:hint="eastAsia"/>
          <w:lang w:val="fr-CH"/>
        </w:rPr>
        <w:t>三</w:t>
      </w:r>
      <w:r w:rsidRPr="00381C55">
        <w:rPr>
          <w:rFonts w:hint="eastAsia"/>
          <w:lang w:val="fr-CH"/>
        </w:rPr>
        <w:t>.</w:t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关注的主要领域及建议</w:t>
      </w:r>
    </w:p>
    <w:p w14:paraId="62C4C6A6" w14:textId="77777777" w:rsidR="00381C55" w:rsidRPr="00381C55" w:rsidRDefault="00381C55" w:rsidP="00681CC6">
      <w:pPr>
        <w:pStyle w:val="H1GC"/>
        <w:rPr>
          <w:lang w:val="fr-CH"/>
        </w:rPr>
      </w:pPr>
      <w:r w:rsidRPr="00381C55">
        <w:rPr>
          <w:rFonts w:hint="eastAsia"/>
          <w:lang w:val="fr-CH"/>
        </w:rPr>
        <w:tab/>
        <w:t>A.</w:t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一般原则和义务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第一至第四条</w:t>
      </w:r>
      <w:r w:rsidRPr="00381C55">
        <w:rPr>
          <w:rFonts w:hint="eastAsia"/>
          <w:lang w:val="fr-CH"/>
        </w:rPr>
        <w:t>)</w:t>
      </w:r>
    </w:p>
    <w:p w14:paraId="3205B003" w14:textId="77777777" w:rsidR="00381C55" w:rsidRPr="00381C55" w:rsidRDefault="00381C55" w:rsidP="00681CC6">
      <w:pPr>
        <w:pStyle w:val="H23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一般义务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第四条</w:t>
      </w:r>
      <w:r w:rsidRPr="00381C55">
        <w:rPr>
          <w:rFonts w:hint="eastAsia"/>
          <w:lang w:val="fr-CH"/>
        </w:rPr>
        <w:t>)</w:t>
      </w:r>
    </w:p>
    <w:p w14:paraId="346FC1A2" w14:textId="77777777" w:rsidR="00381C55" w:rsidRPr="00381C55" w:rsidRDefault="00381C55" w:rsidP="00681CC6">
      <w:pPr>
        <w:pStyle w:val="H1GC"/>
        <w:rPr>
          <w:lang w:val="fr-CH"/>
        </w:rPr>
      </w:pPr>
      <w:r w:rsidRPr="00381C55">
        <w:rPr>
          <w:rFonts w:hint="eastAsia"/>
          <w:lang w:val="fr-CH"/>
        </w:rPr>
        <w:tab/>
        <w:t>B.</w:t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具体权利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第五至第三十条</w:t>
      </w:r>
      <w:r w:rsidRPr="00381C55">
        <w:rPr>
          <w:rFonts w:hint="eastAsia"/>
          <w:lang w:val="fr-CH"/>
        </w:rPr>
        <w:t>)</w:t>
      </w:r>
    </w:p>
    <w:p w14:paraId="3E643D2B" w14:textId="77777777" w:rsidR="00381C55" w:rsidRPr="00381C55" w:rsidRDefault="00381C55" w:rsidP="00681CC6">
      <w:pPr>
        <w:pStyle w:val="H23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平等和不歧视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第五条</w:t>
      </w:r>
      <w:r w:rsidRPr="00381C55">
        <w:rPr>
          <w:rFonts w:hint="eastAsia"/>
          <w:lang w:val="fr-CH"/>
        </w:rPr>
        <w:t>)</w:t>
      </w:r>
    </w:p>
    <w:p w14:paraId="21F93986" w14:textId="77777777" w:rsidR="00381C55" w:rsidRPr="00857763" w:rsidRDefault="00381C55" w:rsidP="00381C55">
      <w:pPr>
        <w:pStyle w:val="SingleTxtGC"/>
        <w:rPr>
          <w:rFonts w:ascii="Time New Roman" w:eastAsia="黑体" w:hAnsi="Time New Roman" w:hint="eastAsia"/>
          <w:lang w:val="fr-CH"/>
        </w:rPr>
      </w:pPr>
      <w:r w:rsidRPr="00857763">
        <w:rPr>
          <w:rFonts w:ascii="Time New Roman" w:eastAsia="黑体" w:hAnsi="Time New Roman" w:hint="eastAsia"/>
          <w:lang w:val="fr-CH"/>
        </w:rPr>
        <w:t>12.</w:t>
      </w:r>
      <w:r w:rsidRPr="00857763">
        <w:rPr>
          <w:rFonts w:ascii="Time New Roman" w:eastAsia="黑体" w:hAnsi="Time New Roman" w:hint="eastAsia"/>
          <w:lang w:val="fr-CH"/>
        </w:rPr>
        <w:tab/>
      </w:r>
      <w:r w:rsidRPr="00857763">
        <w:rPr>
          <w:rFonts w:ascii="Time New Roman" w:eastAsia="黑体" w:hAnsi="Time New Roman" w:hint="eastAsia"/>
          <w:lang w:val="fr-CH"/>
        </w:rPr>
        <w:t>委员会回顾其关于平等和不歧视的第</w:t>
      </w:r>
      <w:r w:rsidRPr="00857763">
        <w:rPr>
          <w:rFonts w:ascii="Time New Roman" w:eastAsia="黑体" w:hAnsi="Time New Roman" w:hint="eastAsia"/>
          <w:lang w:val="fr-CH"/>
        </w:rPr>
        <w:t>6</w:t>
      </w:r>
      <w:r w:rsidRPr="00857763">
        <w:rPr>
          <w:rFonts w:ascii="Time New Roman" w:eastAsia="黑体" w:hAnsi="Time New Roman" w:hint="eastAsia"/>
          <w:lang w:val="fr-CH"/>
        </w:rPr>
        <w:t>号一般性意见</w:t>
      </w:r>
      <w:r w:rsidRPr="00857763">
        <w:rPr>
          <w:rFonts w:ascii="Time New Roman" w:eastAsia="黑体" w:hAnsi="Time New Roman" w:hint="eastAsia"/>
          <w:lang w:val="fr-CH"/>
        </w:rPr>
        <w:t>(2018</w:t>
      </w:r>
      <w:r w:rsidRPr="00857763">
        <w:rPr>
          <w:rFonts w:ascii="Time New Roman" w:eastAsia="黑体" w:hAnsi="Time New Roman" w:hint="eastAsia"/>
          <w:lang w:val="fr-CH"/>
        </w:rPr>
        <w:t>年</w:t>
      </w:r>
      <w:r w:rsidRPr="00857763">
        <w:rPr>
          <w:rFonts w:ascii="Time New Roman" w:eastAsia="黑体" w:hAnsi="Time New Roman" w:hint="eastAsia"/>
          <w:lang w:val="fr-CH"/>
        </w:rPr>
        <w:t>)</w:t>
      </w:r>
      <w:r w:rsidRPr="00857763">
        <w:rPr>
          <w:rFonts w:ascii="Time New Roman" w:eastAsia="黑体" w:hAnsi="Time New Roman" w:hint="eastAsia"/>
          <w:lang w:val="fr-CH"/>
        </w:rPr>
        <w:t>，建议缔约国：</w:t>
      </w:r>
    </w:p>
    <w:p w14:paraId="7621A03A" w14:textId="0C1057BF" w:rsidR="00381C55" w:rsidRPr="00857763" w:rsidRDefault="00381C55" w:rsidP="00D26FA6">
      <w:pPr>
        <w:pStyle w:val="SingleTxtGC"/>
        <w:rPr>
          <w:rFonts w:ascii="Time New Roman" w:eastAsia="黑体" w:hAnsi="Time New Roman" w:hint="eastAsia"/>
          <w:lang w:val="fr-CH"/>
        </w:rPr>
      </w:pPr>
      <w:r w:rsidRPr="00857763">
        <w:rPr>
          <w:rFonts w:ascii="Time New Roman" w:eastAsia="黑体" w:hAnsi="Time New Roman" w:hint="eastAsia"/>
          <w:lang w:val="fr-CH"/>
        </w:rPr>
        <w:tab/>
      </w:r>
    </w:p>
    <w:p w14:paraId="030CD4A6" w14:textId="77777777" w:rsidR="00381C55" w:rsidRPr="00381C55" w:rsidRDefault="00381C55" w:rsidP="00681CC6">
      <w:pPr>
        <w:pStyle w:val="H23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残疾妇女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第六条</w:t>
      </w:r>
      <w:r w:rsidRPr="00381C55">
        <w:rPr>
          <w:rFonts w:hint="eastAsia"/>
          <w:lang w:val="fr-CH"/>
        </w:rPr>
        <w:t>)</w:t>
      </w:r>
    </w:p>
    <w:p w14:paraId="4F76A6BF" w14:textId="25CF5344" w:rsidR="00381C55" w:rsidRDefault="00381C55" w:rsidP="00381C55">
      <w:pPr>
        <w:pStyle w:val="SingleTxtGC"/>
        <w:rPr>
          <w:rFonts w:ascii="Time New Roman" w:eastAsia="黑体" w:hAnsi="Time New Roman" w:hint="eastAsia"/>
          <w:lang w:val="fr-CH"/>
        </w:rPr>
      </w:pPr>
      <w:r w:rsidRPr="00857763">
        <w:rPr>
          <w:rFonts w:ascii="Time New Roman" w:eastAsia="黑体" w:hAnsi="Time New Roman" w:hint="eastAsia"/>
          <w:lang w:val="fr-CH"/>
        </w:rPr>
        <w:t>14.</w:t>
      </w:r>
      <w:r w:rsidRPr="00857763">
        <w:rPr>
          <w:rFonts w:ascii="Time New Roman" w:eastAsia="黑体" w:hAnsi="Time New Roman" w:hint="eastAsia"/>
          <w:lang w:val="fr-CH"/>
        </w:rPr>
        <w:tab/>
      </w:r>
      <w:r w:rsidRPr="00857763">
        <w:rPr>
          <w:rFonts w:ascii="Time New Roman" w:eastAsia="黑体" w:hAnsi="Time New Roman" w:hint="eastAsia"/>
          <w:lang w:val="fr-CH"/>
        </w:rPr>
        <w:t>委员会回顾其关于残疾妇女和女</w:t>
      </w:r>
      <w:r w:rsidR="00D26FA6">
        <w:rPr>
          <w:rFonts w:ascii="Time New Roman" w:eastAsia="黑体" w:hAnsi="Time New Roman" w:hint="eastAsia"/>
          <w:lang w:val="fr-CH"/>
        </w:rPr>
        <w:t>童</w:t>
      </w:r>
      <w:r w:rsidRPr="00857763">
        <w:rPr>
          <w:rFonts w:ascii="Time New Roman" w:eastAsia="黑体" w:hAnsi="Time New Roman" w:hint="eastAsia"/>
          <w:lang w:val="fr-CH"/>
        </w:rPr>
        <w:t>的第</w:t>
      </w:r>
      <w:r w:rsidRPr="00857763">
        <w:rPr>
          <w:rFonts w:ascii="Time New Roman" w:eastAsia="黑体" w:hAnsi="Time New Roman" w:hint="eastAsia"/>
          <w:lang w:val="fr-CH"/>
        </w:rPr>
        <w:t>3</w:t>
      </w:r>
      <w:r w:rsidRPr="00857763">
        <w:rPr>
          <w:rFonts w:ascii="Time New Roman" w:eastAsia="黑体" w:hAnsi="Time New Roman" w:hint="eastAsia"/>
          <w:lang w:val="fr-CH"/>
        </w:rPr>
        <w:t>号一般性意见</w:t>
      </w:r>
      <w:r w:rsidRPr="00857763">
        <w:rPr>
          <w:rFonts w:ascii="Time New Roman" w:eastAsia="黑体" w:hAnsi="Time New Roman" w:hint="eastAsia"/>
          <w:lang w:val="fr-CH"/>
        </w:rPr>
        <w:t>(2016</w:t>
      </w:r>
      <w:r w:rsidRPr="00857763">
        <w:rPr>
          <w:rFonts w:ascii="Time New Roman" w:eastAsia="黑体" w:hAnsi="Time New Roman" w:hint="eastAsia"/>
          <w:lang w:val="fr-CH"/>
        </w:rPr>
        <w:t>年</w:t>
      </w:r>
      <w:r w:rsidRPr="00857763">
        <w:rPr>
          <w:rFonts w:ascii="Time New Roman" w:eastAsia="黑体" w:hAnsi="Time New Roman" w:hint="eastAsia"/>
          <w:lang w:val="fr-CH"/>
        </w:rPr>
        <w:t>)</w:t>
      </w:r>
      <w:r w:rsidRPr="00857763">
        <w:rPr>
          <w:rFonts w:ascii="Time New Roman" w:eastAsia="黑体" w:hAnsi="Time New Roman" w:hint="eastAsia"/>
          <w:lang w:val="fr-CH"/>
        </w:rPr>
        <w:t>，建议缔约国：</w:t>
      </w:r>
    </w:p>
    <w:p w14:paraId="7E6F57C5" w14:textId="34AE49CA" w:rsidR="00D26FA6" w:rsidRPr="00857763" w:rsidRDefault="00D26FA6" w:rsidP="00381C55">
      <w:pPr>
        <w:pStyle w:val="SingleTxtGC"/>
        <w:rPr>
          <w:rFonts w:ascii="Time New Roman" w:eastAsia="黑体" w:hAnsi="Time New Roman" w:hint="eastAsia"/>
          <w:lang w:val="fr-CH"/>
        </w:rPr>
      </w:pPr>
      <w:r>
        <w:rPr>
          <w:rFonts w:ascii="Time New Roman" w:eastAsia="黑体" w:hAnsi="Time New Roman" w:hint="eastAsia"/>
          <w:lang w:val="fr-CH"/>
        </w:rPr>
        <w:t>15.</w:t>
      </w:r>
      <w:r>
        <w:rPr>
          <w:rFonts w:ascii="Time New Roman" w:eastAsia="黑体" w:hAnsi="Time New Roman"/>
          <w:lang w:val="fr-CH"/>
        </w:rPr>
        <w:tab/>
      </w:r>
      <w:r w:rsidRPr="00344CE5">
        <w:rPr>
          <w:rFonts w:eastAsia="黑体"/>
          <w:lang w:val="zh-CN"/>
        </w:rPr>
        <w:t>委员会参照其关于残疾妇女和女童的第</w:t>
      </w:r>
      <w:r w:rsidRPr="00344CE5">
        <w:rPr>
          <w:rFonts w:eastAsia="黑体"/>
          <w:lang w:val="zh-CN"/>
        </w:rPr>
        <w:t>3</w:t>
      </w:r>
      <w:r w:rsidRPr="00344CE5">
        <w:rPr>
          <w:rFonts w:eastAsia="黑体"/>
          <w:lang w:val="zh-CN"/>
        </w:rPr>
        <w:t>号一般性意见</w:t>
      </w:r>
      <w:r w:rsidRPr="00344CE5">
        <w:rPr>
          <w:rFonts w:eastAsia="黑体"/>
          <w:lang w:val="zh-CN"/>
        </w:rPr>
        <w:t>(2016</w:t>
      </w:r>
      <w:r w:rsidRPr="00344CE5">
        <w:rPr>
          <w:rFonts w:eastAsia="黑体"/>
          <w:lang w:val="zh-CN"/>
        </w:rPr>
        <w:t>年</w:t>
      </w:r>
      <w:r w:rsidRPr="00344CE5">
        <w:rPr>
          <w:rFonts w:eastAsia="黑体"/>
          <w:lang w:val="zh-CN"/>
        </w:rPr>
        <w:t>)</w:t>
      </w:r>
      <w:r w:rsidRPr="00344CE5">
        <w:rPr>
          <w:rFonts w:eastAsia="黑体"/>
          <w:lang w:val="zh-CN"/>
        </w:rPr>
        <w:t>，并</w:t>
      </w:r>
      <w:r w:rsidR="00043E53">
        <w:rPr>
          <w:rFonts w:eastAsia="黑体" w:hint="eastAsia"/>
          <w:lang w:val="zh-CN"/>
        </w:rPr>
        <w:t>考虑到</w:t>
      </w:r>
      <w:r w:rsidRPr="00344CE5">
        <w:rPr>
          <w:rFonts w:eastAsia="黑体"/>
          <w:lang w:val="zh-CN"/>
        </w:rPr>
        <w:t>可持续发展目标</w:t>
      </w:r>
      <w:r w:rsidR="00043E53">
        <w:rPr>
          <w:rFonts w:eastAsia="黑体" w:hint="eastAsia"/>
          <w:lang w:val="zh-CN"/>
        </w:rPr>
        <w:t>的</w:t>
      </w:r>
      <w:r w:rsidRPr="00344CE5">
        <w:rPr>
          <w:rFonts w:eastAsia="黑体"/>
          <w:lang w:val="zh-CN"/>
        </w:rPr>
        <w:t>具体目标</w:t>
      </w:r>
      <w:r w:rsidRPr="00344CE5">
        <w:rPr>
          <w:rFonts w:eastAsia="黑体"/>
          <w:lang w:val="zh-CN"/>
        </w:rPr>
        <w:t>5.1</w:t>
      </w:r>
      <w:r w:rsidRPr="00344CE5">
        <w:rPr>
          <w:rFonts w:eastAsia="黑体"/>
          <w:lang w:val="zh-CN"/>
        </w:rPr>
        <w:t>、</w:t>
      </w:r>
      <w:r w:rsidRPr="00344CE5">
        <w:rPr>
          <w:rFonts w:eastAsia="黑体"/>
          <w:lang w:val="zh-CN"/>
        </w:rPr>
        <w:t>5.2</w:t>
      </w:r>
      <w:r w:rsidRPr="00344CE5">
        <w:rPr>
          <w:rFonts w:eastAsia="黑体"/>
          <w:lang w:val="zh-CN"/>
        </w:rPr>
        <w:t>和</w:t>
      </w:r>
      <w:r w:rsidRPr="00344CE5">
        <w:rPr>
          <w:rFonts w:eastAsia="黑体"/>
          <w:lang w:val="zh-CN"/>
        </w:rPr>
        <w:t>5.5</w:t>
      </w:r>
      <w:r>
        <w:rPr>
          <w:rFonts w:eastAsia="黑体" w:hint="eastAsia"/>
          <w:lang w:val="zh-CN"/>
        </w:rPr>
        <w:t>,</w:t>
      </w:r>
      <w:r>
        <w:rPr>
          <w:rFonts w:eastAsia="黑体"/>
        </w:rPr>
        <w:t xml:space="preserve"> </w:t>
      </w:r>
      <w:r w:rsidRPr="00344CE5">
        <w:rPr>
          <w:rFonts w:eastAsia="黑体"/>
          <w:lang w:val="zh-CN"/>
        </w:rPr>
        <w:t>建议缔约国：</w:t>
      </w:r>
    </w:p>
    <w:p w14:paraId="7AA44D47" w14:textId="6A02F940" w:rsidR="00381C55" w:rsidRPr="00857763" w:rsidRDefault="00381C55" w:rsidP="00D26FA6">
      <w:pPr>
        <w:pStyle w:val="SingleTxtGC"/>
        <w:rPr>
          <w:rFonts w:ascii="Time New Roman" w:eastAsia="黑体" w:hAnsi="Time New Roman" w:hint="eastAsia"/>
          <w:lang w:val="fr-CH"/>
        </w:rPr>
      </w:pPr>
      <w:r w:rsidRPr="00857763">
        <w:rPr>
          <w:rFonts w:ascii="Time New Roman" w:eastAsia="黑体" w:hAnsi="Time New Roman" w:hint="eastAsia"/>
          <w:lang w:val="fr-CH"/>
        </w:rPr>
        <w:tab/>
      </w:r>
    </w:p>
    <w:p w14:paraId="0C359DF9" w14:textId="77777777" w:rsidR="00381C55" w:rsidRPr="00381C55" w:rsidRDefault="00381C55" w:rsidP="00681CC6">
      <w:pPr>
        <w:pStyle w:val="H23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残疾儿童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第七条</w:t>
      </w:r>
      <w:r w:rsidRPr="00381C55">
        <w:rPr>
          <w:rFonts w:hint="eastAsia"/>
          <w:lang w:val="fr-CH"/>
        </w:rPr>
        <w:t>)</w:t>
      </w:r>
    </w:p>
    <w:p w14:paraId="75E309D7" w14:textId="77777777" w:rsidR="00381C55" w:rsidRPr="00381C55" w:rsidRDefault="00381C55" w:rsidP="00681CC6">
      <w:pPr>
        <w:pStyle w:val="H23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提高认识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第八条</w:t>
      </w:r>
      <w:r w:rsidRPr="00381C55">
        <w:rPr>
          <w:rFonts w:hint="eastAsia"/>
          <w:lang w:val="fr-CH"/>
        </w:rPr>
        <w:t>)</w:t>
      </w:r>
    </w:p>
    <w:p w14:paraId="55DF6AED" w14:textId="527B073F" w:rsidR="00381C55" w:rsidRDefault="00381C55" w:rsidP="00681CC6">
      <w:pPr>
        <w:pStyle w:val="H23GC"/>
        <w:rPr>
          <w:lang w:val="fr-CH"/>
        </w:rPr>
      </w:pP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ab/>
      </w:r>
      <w:r w:rsidRPr="00381C55">
        <w:rPr>
          <w:rFonts w:hint="eastAsia"/>
          <w:lang w:val="fr-CH"/>
        </w:rPr>
        <w:t>无障碍</w:t>
      </w:r>
      <w:r w:rsidRPr="00381C55">
        <w:rPr>
          <w:rFonts w:hint="eastAsia"/>
          <w:lang w:val="fr-CH"/>
        </w:rPr>
        <w:t>(</w:t>
      </w:r>
      <w:r w:rsidRPr="00381C55">
        <w:rPr>
          <w:rFonts w:hint="eastAsia"/>
          <w:lang w:val="fr-CH"/>
        </w:rPr>
        <w:t>第九条</w:t>
      </w:r>
      <w:r w:rsidRPr="00381C55">
        <w:rPr>
          <w:rFonts w:hint="eastAsia"/>
          <w:lang w:val="fr-CH"/>
        </w:rPr>
        <w:t>)</w:t>
      </w:r>
    </w:p>
    <w:p w14:paraId="54D1DEB7" w14:textId="07E7F5B1" w:rsidR="006459F0" w:rsidRPr="006459F0" w:rsidRDefault="006459F0" w:rsidP="006459F0">
      <w:pPr>
        <w:pStyle w:val="SingleTxtGC"/>
        <w:tabs>
          <w:tab w:val="clear" w:pos="1565"/>
          <w:tab w:val="clear" w:pos="1996"/>
          <w:tab w:val="left" w:pos="1350"/>
          <w:tab w:val="left" w:pos="1782"/>
        </w:tabs>
        <w:rPr>
          <w:lang w:val="fr-CH"/>
        </w:rPr>
      </w:pPr>
      <w:r w:rsidRPr="006459F0">
        <w:rPr>
          <w:rFonts w:ascii="Time New Roman" w:eastAsia="黑体" w:hAnsi="Time New Roman" w:hint="eastAsia"/>
          <w:lang w:val="fr-CH"/>
        </w:rPr>
        <w:t>16.</w:t>
      </w:r>
      <w:r w:rsidRPr="006459F0">
        <w:rPr>
          <w:rFonts w:ascii="Time New Roman" w:eastAsia="黑体" w:hAnsi="Time New Roman"/>
          <w:lang w:val="fr-CH"/>
        </w:rPr>
        <w:tab/>
      </w:r>
      <w:r w:rsidRPr="000F1A13">
        <w:rPr>
          <w:rFonts w:ascii="Time New Roman" w:eastAsia="黑体" w:hAnsi="Time New Roman" w:hint="eastAsia"/>
          <w:lang w:val="fr-CH"/>
        </w:rPr>
        <w:t>委员会参照</w:t>
      </w:r>
      <w:r w:rsidR="006D0172">
        <w:rPr>
          <w:rFonts w:ascii="Time New Roman" w:eastAsia="黑体" w:hAnsi="Time New Roman" w:hint="eastAsia"/>
          <w:lang w:val="fr-CH"/>
        </w:rPr>
        <w:t>其</w:t>
      </w:r>
      <w:r w:rsidRPr="000F1A13">
        <w:rPr>
          <w:rFonts w:ascii="Time New Roman" w:eastAsia="黑体" w:hAnsi="Time New Roman" w:hint="eastAsia"/>
          <w:lang w:val="fr-CH"/>
        </w:rPr>
        <w:t>关于无障碍的第</w:t>
      </w:r>
      <w:r w:rsidRPr="000F1A13">
        <w:rPr>
          <w:rFonts w:ascii="Time New Roman" w:eastAsia="黑体" w:hAnsi="Time New Roman" w:hint="eastAsia"/>
          <w:lang w:val="fr-CH"/>
        </w:rPr>
        <w:t>2</w:t>
      </w:r>
      <w:r w:rsidRPr="000F1A13">
        <w:rPr>
          <w:rFonts w:ascii="Time New Roman" w:eastAsia="黑体" w:hAnsi="Time New Roman" w:hint="eastAsia"/>
          <w:lang w:val="fr-CH"/>
        </w:rPr>
        <w:t>号一般性意见</w:t>
      </w:r>
      <w:r w:rsidRPr="000F1A13">
        <w:rPr>
          <w:rFonts w:ascii="Time New Roman" w:eastAsia="黑体" w:hAnsi="Time New Roman" w:hint="eastAsia"/>
          <w:lang w:val="fr-CH"/>
        </w:rPr>
        <w:t>(2014</w:t>
      </w:r>
      <w:r w:rsidRPr="000F1A13">
        <w:rPr>
          <w:rFonts w:ascii="Time New Roman" w:eastAsia="黑体" w:hAnsi="Time New Roman" w:hint="eastAsia"/>
          <w:lang w:val="fr-CH"/>
        </w:rPr>
        <w:t>年</w:t>
      </w:r>
      <w:r w:rsidRPr="000F1A13">
        <w:rPr>
          <w:rFonts w:ascii="Time New Roman" w:eastAsia="黑体" w:hAnsi="Time New Roman" w:hint="eastAsia"/>
          <w:lang w:val="fr-CH"/>
        </w:rPr>
        <w:t>)</w:t>
      </w:r>
      <w:r w:rsidRPr="000F1A13">
        <w:rPr>
          <w:rFonts w:ascii="Time New Roman" w:eastAsia="黑体" w:hAnsi="Time New Roman" w:hint="eastAsia"/>
          <w:lang w:val="fr-CH"/>
        </w:rPr>
        <w:t>和可持续发展目标</w:t>
      </w:r>
      <w:r w:rsidR="006D0172">
        <w:rPr>
          <w:rFonts w:ascii="Time New Roman" w:eastAsia="黑体" w:hAnsi="Time New Roman" w:hint="eastAsia"/>
          <w:lang w:val="fr-CH"/>
        </w:rPr>
        <w:t>之</w:t>
      </w:r>
      <w:r w:rsidRPr="000F1A13">
        <w:rPr>
          <w:rFonts w:ascii="Time New Roman" w:eastAsia="黑体" w:hAnsi="Time New Roman" w:hint="eastAsia"/>
          <w:lang w:val="fr-CH"/>
        </w:rPr>
        <w:t>目标</w:t>
      </w:r>
      <w:r w:rsidRPr="000F1A13">
        <w:rPr>
          <w:rFonts w:ascii="Time New Roman" w:eastAsia="黑体" w:hAnsi="Time New Roman" w:hint="eastAsia"/>
          <w:lang w:val="fr-CH"/>
        </w:rPr>
        <w:t>9</w:t>
      </w:r>
      <w:r w:rsidRPr="000F1A13">
        <w:rPr>
          <w:rFonts w:ascii="Time New Roman" w:eastAsia="黑体" w:hAnsi="Time New Roman" w:hint="eastAsia"/>
          <w:lang w:val="fr-CH"/>
        </w:rPr>
        <w:t>及具体目标</w:t>
      </w:r>
      <w:r w:rsidRPr="000F1A13">
        <w:rPr>
          <w:rFonts w:ascii="Time New Roman" w:eastAsia="黑体" w:hAnsi="Time New Roman" w:hint="eastAsia"/>
          <w:lang w:val="fr-CH"/>
        </w:rPr>
        <w:t>11.2</w:t>
      </w:r>
      <w:r w:rsidRPr="000F1A13">
        <w:rPr>
          <w:rFonts w:ascii="Time New Roman" w:eastAsia="黑体" w:hAnsi="Time New Roman" w:hint="eastAsia"/>
          <w:lang w:val="fr-CH"/>
        </w:rPr>
        <w:t>和</w:t>
      </w:r>
      <w:r w:rsidRPr="000F1A13">
        <w:rPr>
          <w:rFonts w:ascii="Time New Roman" w:eastAsia="黑体" w:hAnsi="Time New Roman" w:hint="eastAsia"/>
          <w:lang w:val="fr-CH"/>
        </w:rPr>
        <w:t>11.7,</w:t>
      </w:r>
      <w:r w:rsidRPr="000F1A13">
        <w:rPr>
          <w:rFonts w:ascii="Time New Roman" w:eastAsia="黑体" w:hAnsi="Time New Roman"/>
          <w:lang w:val="fr-CH"/>
        </w:rPr>
        <w:t xml:space="preserve"> </w:t>
      </w:r>
      <w:r w:rsidRPr="000F1A13">
        <w:rPr>
          <w:rFonts w:ascii="Time New Roman" w:eastAsia="黑体" w:hAnsi="Time New Roman" w:hint="eastAsia"/>
          <w:lang w:val="fr-CH"/>
        </w:rPr>
        <w:t>建议缔约国</w:t>
      </w:r>
      <w:r w:rsidRPr="00935B76">
        <w:rPr>
          <w:rFonts w:ascii="Time New Roman" w:eastAsia="黑体" w:hAnsi="Time New Roman" w:hint="eastAsia"/>
          <w:lang w:val="fr-CH"/>
        </w:rPr>
        <w:t>：</w:t>
      </w:r>
    </w:p>
    <w:p w14:paraId="76070F27" w14:textId="77777777" w:rsidR="006459F0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>
        <w:rPr>
          <w:rFonts w:eastAsia="黑体"/>
          <w:b w:val="0"/>
          <w:bCs/>
          <w:lang w:eastAsia="zh-CN"/>
        </w:rPr>
        <w:tab/>
      </w:r>
      <w:r>
        <w:rPr>
          <w:rFonts w:eastAsia="黑体"/>
          <w:b w:val="0"/>
          <w:bCs/>
          <w:lang w:eastAsia="zh-CN"/>
        </w:rPr>
        <w:tab/>
      </w:r>
    </w:p>
    <w:p w14:paraId="14BC05CF" w14:textId="550CAD40" w:rsidR="00566EA5" w:rsidRPr="004A669C" w:rsidRDefault="008764D0" w:rsidP="00566EA5">
      <w:pPr>
        <w:pStyle w:val="H23G"/>
        <w:keepNext w:val="0"/>
        <w:keepLines w:val="0"/>
        <w:rPr>
          <w:rFonts w:eastAsia="黑体" w:hint="eastAsia"/>
          <w:b w:val="0"/>
          <w:bCs/>
          <w:lang w:eastAsia="zh-CN"/>
        </w:rPr>
      </w:pPr>
      <w:r>
        <w:rPr>
          <w:rFonts w:eastAsia="黑体"/>
          <w:b w:val="0"/>
          <w:bCs/>
          <w:lang w:eastAsia="zh-CN"/>
        </w:rPr>
        <w:tab/>
      </w:r>
      <w:r>
        <w:rPr>
          <w:rFonts w:eastAsia="黑体"/>
          <w:b w:val="0"/>
          <w:bCs/>
          <w:lang w:eastAsia="zh-CN"/>
        </w:rPr>
        <w:tab/>
      </w:r>
      <w:r w:rsidR="00566EA5" w:rsidRPr="004A669C">
        <w:rPr>
          <w:rFonts w:eastAsia="黑体" w:hint="eastAsia"/>
          <w:b w:val="0"/>
          <w:bCs/>
          <w:lang w:eastAsia="zh-CN"/>
        </w:rPr>
        <w:t>生命权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="00566EA5" w:rsidRPr="004A669C">
        <w:rPr>
          <w:rFonts w:eastAsia="黑体" w:hint="eastAsia"/>
          <w:b w:val="0"/>
          <w:bCs/>
          <w:lang w:eastAsia="zh-CN"/>
        </w:rPr>
        <w:t>第十条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0C3795D1" w14:textId="55691D2F" w:rsidR="00566EA5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危难情况和人道主义紧急情况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第十一条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6E416180" w14:textId="1C8B78CD" w:rsidR="00810974" w:rsidRDefault="00810974" w:rsidP="00810974">
      <w:pPr>
        <w:pStyle w:val="SingleTxtGC"/>
        <w:tabs>
          <w:tab w:val="clear" w:pos="1565"/>
          <w:tab w:val="clear" w:pos="1996"/>
          <w:tab w:val="left" w:pos="1350"/>
          <w:tab w:val="left" w:pos="1578"/>
        </w:tabs>
        <w:rPr>
          <w:rFonts w:ascii="Time New Roman" w:eastAsia="黑体" w:hAnsi="Time New Roman" w:hint="eastAsia"/>
          <w:color w:val="FF0000"/>
          <w:lang w:val="fr-CH"/>
        </w:rPr>
      </w:pPr>
      <w:r w:rsidRPr="00810974">
        <w:rPr>
          <w:rFonts w:ascii="Time New Roman" w:eastAsia="黑体" w:hAnsi="Time New Roman"/>
          <w:lang w:val="fr-CH"/>
        </w:rPr>
        <w:t>17.</w:t>
      </w:r>
      <w:r w:rsidRPr="00810974">
        <w:rPr>
          <w:rFonts w:ascii="Time New Roman" w:eastAsia="黑体" w:hAnsi="Time New Roman"/>
          <w:lang w:val="fr-CH"/>
        </w:rPr>
        <w:tab/>
      </w:r>
      <w:r w:rsidRPr="00810974">
        <w:rPr>
          <w:rFonts w:ascii="Time New Roman" w:eastAsia="黑体" w:hAnsi="Time New Roman" w:hint="eastAsia"/>
          <w:lang w:val="fr-CH"/>
        </w:rPr>
        <w:t>委员会建议缔约国根据</w:t>
      </w:r>
      <w:r w:rsidRPr="00810974">
        <w:rPr>
          <w:rFonts w:ascii="Time New Roman" w:eastAsia="黑体" w:hAnsi="Time New Roman"/>
          <w:lang w:val="fr-CH"/>
        </w:rPr>
        <w:t>《</w:t>
      </w:r>
      <w:r w:rsidRPr="00810974">
        <w:rPr>
          <w:rFonts w:ascii="Time New Roman" w:eastAsia="黑体" w:hAnsi="Time New Roman"/>
          <w:lang w:val="fr-CH"/>
        </w:rPr>
        <w:t>2015-2030</w:t>
      </w:r>
      <w:r w:rsidRPr="00810974">
        <w:rPr>
          <w:rFonts w:ascii="Time New Roman" w:eastAsia="黑体" w:hAnsi="Time New Roman"/>
          <w:lang w:val="fr-CH"/>
        </w:rPr>
        <w:t>年仙台减少灾害风险框架》，</w:t>
      </w:r>
      <w:r w:rsidRPr="00810974">
        <w:rPr>
          <w:rFonts w:ascii="Time New Roman" w:eastAsia="黑体" w:hAnsi="Time New Roman" w:hint="eastAsia"/>
          <w:lang w:val="fr-CH"/>
        </w:rPr>
        <w:t>与</w:t>
      </w:r>
      <w:r w:rsidRPr="00810974">
        <w:rPr>
          <w:rFonts w:ascii="Time New Roman" w:eastAsia="黑体" w:hAnsi="Time New Roman"/>
          <w:lang w:val="fr-CH"/>
        </w:rPr>
        <w:t>残疾人代表组织</w:t>
      </w:r>
      <w:r w:rsidRPr="00810974">
        <w:rPr>
          <w:rFonts w:ascii="Time New Roman" w:eastAsia="黑体" w:hAnsi="Time New Roman" w:hint="eastAsia"/>
          <w:lang w:val="fr-CH"/>
        </w:rPr>
        <w:t>积极协商</w:t>
      </w:r>
      <w:r w:rsidRPr="00217440">
        <w:rPr>
          <w:rFonts w:ascii="Time New Roman" w:eastAsia="黑体" w:hAnsi="Time New Roman"/>
          <w:lang w:val="fr-CH"/>
        </w:rPr>
        <w:t>：</w:t>
      </w:r>
    </w:p>
    <w:p w14:paraId="2DA606DF" w14:textId="77777777" w:rsidR="00347B55" w:rsidRPr="00810974" w:rsidRDefault="00347B55" w:rsidP="00810974">
      <w:pPr>
        <w:pStyle w:val="SingleTxtGC"/>
        <w:tabs>
          <w:tab w:val="clear" w:pos="1565"/>
          <w:tab w:val="clear" w:pos="1996"/>
          <w:tab w:val="left" w:pos="1350"/>
          <w:tab w:val="left" w:pos="1578"/>
        </w:tabs>
        <w:rPr>
          <w:rFonts w:ascii="Time New Roman" w:eastAsia="黑体" w:hAnsi="Time New Roman" w:hint="eastAsia"/>
          <w:lang w:val="fr-CH"/>
        </w:rPr>
      </w:pPr>
    </w:p>
    <w:p w14:paraId="4B7B2E91" w14:textId="24EFB874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 w:hint="eastAsia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在法律面前获得平等承认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第十二条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4FB660FE" w14:textId="06275BE9" w:rsidR="00566EA5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 w:hint="eastAsia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获得司法保护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第十三条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444E993A" w14:textId="2E29A314" w:rsidR="00810974" w:rsidRPr="00810974" w:rsidRDefault="00810974" w:rsidP="00810974">
      <w:pPr>
        <w:pStyle w:val="SingleTxtGC"/>
        <w:tabs>
          <w:tab w:val="clear" w:pos="1565"/>
          <w:tab w:val="clear" w:pos="1996"/>
          <w:tab w:val="left" w:pos="1350"/>
          <w:tab w:val="left" w:pos="1782"/>
        </w:tabs>
        <w:rPr>
          <w:rFonts w:ascii="Time New Roman" w:eastAsia="黑体" w:hAnsi="Time New Roman" w:hint="eastAsia"/>
          <w:lang w:val="fr-CH"/>
        </w:rPr>
      </w:pPr>
      <w:r w:rsidRPr="00810974">
        <w:rPr>
          <w:rFonts w:ascii="Time New Roman" w:eastAsia="黑体" w:hAnsi="Time New Roman" w:hint="eastAsia"/>
          <w:lang w:val="fr-CH"/>
        </w:rPr>
        <w:t>18.</w:t>
      </w:r>
      <w:r w:rsidRPr="00810974">
        <w:rPr>
          <w:rFonts w:ascii="Time New Roman" w:eastAsia="黑体" w:hAnsi="Time New Roman"/>
          <w:lang w:val="fr-CH"/>
        </w:rPr>
        <w:tab/>
      </w:r>
      <w:r w:rsidRPr="00810974">
        <w:rPr>
          <w:rFonts w:ascii="Time New Roman" w:eastAsia="黑体" w:hAnsi="Time New Roman"/>
          <w:lang w:val="fr-CH"/>
        </w:rPr>
        <w:t>在落实可持续发展目标具体目标</w:t>
      </w:r>
      <w:r w:rsidRPr="00810974">
        <w:rPr>
          <w:rFonts w:ascii="Time New Roman" w:eastAsia="黑体" w:hAnsi="Time New Roman"/>
          <w:lang w:val="fr-CH"/>
        </w:rPr>
        <w:t>16.3</w:t>
      </w:r>
      <w:r w:rsidRPr="00810974">
        <w:rPr>
          <w:rFonts w:ascii="Time New Roman" w:eastAsia="黑体" w:hAnsi="Time New Roman"/>
          <w:lang w:val="fr-CH"/>
        </w:rPr>
        <w:t>时遵循《公约》第十三条。</w:t>
      </w:r>
    </w:p>
    <w:p w14:paraId="22B3D4D4" w14:textId="04460B88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 w:hint="eastAsia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自由和人身安全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第十四条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440FE31A" w14:textId="77777777" w:rsidR="00C82A73" w:rsidRPr="00935B76" w:rsidRDefault="00C82A73" w:rsidP="00566EA5">
      <w:pPr>
        <w:pStyle w:val="H23G"/>
        <w:rPr>
          <w:rFonts w:eastAsia="黑体"/>
          <w:b w:val="0"/>
          <w:bCs/>
          <w:lang w:eastAsia="zh-CN"/>
        </w:rPr>
      </w:pPr>
    </w:p>
    <w:p w14:paraId="67F899B6" w14:textId="6E3E9C6A" w:rsidR="00566EA5" w:rsidRPr="004A669C" w:rsidRDefault="00566EA5" w:rsidP="00566EA5">
      <w:pPr>
        <w:pStyle w:val="H23G"/>
        <w:rPr>
          <w:rFonts w:eastAsia="黑体" w:hint="eastAsia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val="en-US" w:eastAsia="zh-CN"/>
        </w:rPr>
        <w:t>免于酷刑</w:t>
      </w:r>
      <w:r w:rsidR="00EB749C">
        <w:rPr>
          <w:rFonts w:eastAsia="黑体" w:hint="eastAsia"/>
          <w:b w:val="0"/>
          <w:bCs/>
          <w:lang w:val="en-US" w:eastAsia="zh-CN"/>
        </w:rPr>
        <w:t>和</w:t>
      </w:r>
      <w:r w:rsidRPr="004A669C">
        <w:rPr>
          <w:rFonts w:eastAsia="黑体"/>
          <w:b w:val="0"/>
          <w:bCs/>
          <w:lang w:val="en-US" w:eastAsia="zh-CN"/>
        </w:rPr>
        <w:t>残忍、不人道或有辱人格的待遇或处罚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第十五条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472DCD02" w14:textId="0C515EAB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免于剥削、暴力和凌虐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第十六条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431EA32A" w14:textId="6D6BEAEC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 w:hint="eastAsia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保护人身完整性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第十七条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09664925" w14:textId="1A04D2EF" w:rsidR="00566EA5" w:rsidRPr="004A669C" w:rsidRDefault="00566EA5" w:rsidP="00566EA5">
      <w:pPr>
        <w:pStyle w:val="H23G"/>
        <w:rPr>
          <w:rFonts w:eastAsia="黑体" w:hint="eastAsia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val="en-US" w:eastAsia="zh-CN"/>
        </w:rPr>
        <w:t>迁徙自由和国籍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第十八条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3410BD79" w14:textId="39C5112B" w:rsidR="00566EA5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独立生活和融入社区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第十九条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5D521C5A" w14:textId="1B3949AB" w:rsidR="00C5002F" w:rsidRPr="00C5002F" w:rsidRDefault="00C5002F" w:rsidP="00C5002F">
      <w:pPr>
        <w:rPr>
          <w:lang w:val="en-GB"/>
        </w:rPr>
      </w:pPr>
      <w:r>
        <w:rPr>
          <w:rFonts w:ascii="Time New Roman" w:eastAsia="黑体" w:hAnsi="Time New Roman"/>
          <w:lang w:val="en-GB"/>
        </w:rPr>
        <w:tab/>
      </w:r>
      <w:r>
        <w:rPr>
          <w:rFonts w:ascii="Time New Roman" w:eastAsia="黑体" w:hAnsi="Time New Roman"/>
          <w:lang w:val="en-GB"/>
        </w:rPr>
        <w:tab/>
      </w:r>
      <w:r>
        <w:rPr>
          <w:rFonts w:ascii="Time New Roman" w:eastAsia="黑体" w:hAnsi="Time New Roman" w:hint="eastAsia"/>
          <w:lang w:val="en-GB"/>
        </w:rPr>
        <w:t>19.</w:t>
      </w:r>
      <w:r>
        <w:rPr>
          <w:rFonts w:ascii="Time New Roman" w:eastAsia="黑体" w:hAnsi="Time New Roman"/>
          <w:lang w:val="en-GB"/>
        </w:rPr>
        <w:tab/>
      </w:r>
      <w:r w:rsidRPr="00020359">
        <w:rPr>
          <w:rFonts w:ascii="Time New Roman" w:eastAsia="黑体" w:hAnsi="Time New Roman" w:hint="eastAsia"/>
          <w:lang w:val="en-GB"/>
        </w:rPr>
        <w:t>委员会参照</w:t>
      </w:r>
      <w:r>
        <w:rPr>
          <w:rFonts w:ascii="Time New Roman" w:eastAsia="黑体" w:hAnsi="Time New Roman" w:hint="eastAsia"/>
          <w:lang w:val="en-GB"/>
        </w:rPr>
        <w:t>其</w:t>
      </w:r>
      <w:r w:rsidRPr="00020359">
        <w:rPr>
          <w:rFonts w:ascii="Time New Roman" w:eastAsia="黑体" w:hAnsi="Time New Roman"/>
          <w:lang w:val="en-GB"/>
        </w:rPr>
        <w:t>关于独立生活和融入社区的第</w:t>
      </w:r>
      <w:r w:rsidRPr="00020359">
        <w:rPr>
          <w:rFonts w:ascii="Time New Roman" w:eastAsia="黑体" w:hAnsi="Time New Roman"/>
          <w:lang w:val="en-GB"/>
        </w:rPr>
        <w:t>5</w:t>
      </w:r>
      <w:r w:rsidRPr="00020359">
        <w:rPr>
          <w:rFonts w:ascii="Time New Roman" w:eastAsia="黑体" w:hAnsi="Time New Roman"/>
          <w:lang w:val="en-GB"/>
        </w:rPr>
        <w:t>号一般性意见</w:t>
      </w:r>
      <w:r w:rsidRPr="00020359">
        <w:rPr>
          <w:rFonts w:ascii="Time New Roman" w:eastAsia="黑体" w:hAnsi="Time New Roman"/>
          <w:lang w:val="en-GB"/>
        </w:rPr>
        <w:t>(2017</w:t>
      </w:r>
      <w:r w:rsidRPr="00020359">
        <w:rPr>
          <w:rFonts w:ascii="Time New Roman" w:eastAsia="黑体" w:hAnsi="Time New Roman"/>
          <w:lang w:val="en-GB"/>
        </w:rPr>
        <w:t>年</w:t>
      </w:r>
      <w:r w:rsidRPr="00020359">
        <w:rPr>
          <w:rFonts w:ascii="Time New Roman" w:eastAsia="黑体" w:hAnsi="Time New Roman"/>
          <w:lang w:val="en-GB"/>
        </w:rPr>
        <w:t>)</w:t>
      </w:r>
      <w:r w:rsidRPr="00020359">
        <w:rPr>
          <w:rFonts w:ascii="Time New Roman" w:eastAsia="黑体" w:hAnsi="Time New Roman"/>
          <w:lang w:val="en-GB"/>
        </w:rPr>
        <w:t>，</w:t>
      </w:r>
      <w:r w:rsidRPr="00020359">
        <w:rPr>
          <w:rFonts w:ascii="Time New Roman" w:eastAsia="黑体" w:hAnsi="Time New Roman" w:hint="eastAsia"/>
          <w:lang w:val="en-GB"/>
        </w:rPr>
        <w:t>建议缔约国</w:t>
      </w:r>
      <w:r w:rsidRPr="00020359">
        <w:rPr>
          <w:rFonts w:ascii="Time New Roman" w:eastAsia="黑体" w:hAnsi="Time New Roman"/>
          <w:lang w:val="en-GB"/>
        </w:rPr>
        <w:t>：</w:t>
      </w:r>
    </w:p>
    <w:p w14:paraId="0141AB2B" w14:textId="1EC313B2" w:rsidR="00566EA5" w:rsidRPr="004A669C" w:rsidRDefault="00566EA5" w:rsidP="00566EA5">
      <w:pPr>
        <w:pStyle w:val="H23G"/>
        <w:keepNext w:val="0"/>
        <w:keepLines w:val="0"/>
        <w:rPr>
          <w:rFonts w:eastAsia="黑体" w:hint="eastAsia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个人行动能力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4F504CCA" w14:textId="1C4067DC" w:rsidR="00566EA5" w:rsidRPr="004A669C" w:rsidRDefault="00566EA5" w:rsidP="00566EA5">
      <w:pPr>
        <w:pStyle w:val="H23G"/>
        <w:rPr>
          <w:rFonts w:eastAsia="黑体" w:hint="eastAsia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val="en-US" w:eastAsia="zh-CN"/>
        </w:rPr>
        <w:t>表达意见的自由和获得信息的机会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第二十一条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569EB5C1" w14:textId="40CC37FB" w:rsidR="00566EA5" w:rsidRPr="004A669C" w:rsidRDefault="00566EA5" w:rsidP="00566EA5">
      <w:pPr>
        <w:pStyle w:val="H23G"/>
        <w:keepNext w:val="0"/>
        <w:keepLines w:val="0"/>
        <w:rPr>
          <w:rFonts w:eastAsia="黑体" w:hint="eastAsia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尊重隐私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第二十二条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21AF8049" w14:textId="2C8F0F02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尊重家居和家庭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第二十三条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64D93BD2" w14:textId="77C9BA82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教育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第二十四条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7CD8D62E" w14:textId="1BA03694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健康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第二十五条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259D9C52" w14:textId="5C4D5E5F" w:rsidR="00566EA5" w:rsidRPr="004A669C" w:rsidRDefault="00566EA5" w:rsidP="00566EA5">
      <w:pPr>
        <w:pStyle w:val="H23G"/>
        <w:keepNext w:val="0"/>
        <w:keepLines w:val="0"/>
        <w:rPr>
          <w:rFonts w:eastAsia="黑体" w:hint="eastAsia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适应训练和康复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第二十六条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2A82C823" w14:textId="2D0C4CDD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工作和就业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第二十七条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7644B217" w14:textId="01947956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适足的生活水平和社会保护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第二十八条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44711238" w14:textId="7E0D6C86" w:rsidR="00566EA5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参与政治和公共生活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第二十九条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420F99A7" w14:textId="77777777" w:rsidR="00543EB0" w:rsidRPr="00543EB0" w:rsidRDefault="00543EB0" w:rsidP="00543EB0">
      <w:pPr>
        <w:rPr>
          <w:lang w:val="en-GB"/>
        </w:rPr>
      </w:pPr>
    </w:p>
    <w:p w14:paraId="0F787AA7" w14:textId="49A3675F" w:rsidR="0091721D" w:rsidRPr="0091721D" w:rsidRDefault="0091721D" w:rsidP="0091721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20.</w:t>
      </w:r>
      <w:r>
        <w:rPr>
          <w:lang w:val="en-GB"/>
        </w:rPr>
        <w:tab/>
      </w:r>
      <w:r w:rsidRPr="002329DA">
        <w:rPr>
          <w:rFonts w:ascii="Time New Roman" w:eastAsia="黑体" w:hAnsi="Time New Roman" w:hint="eastAsia"/>
          <w:lang w:val="en-GB"/>
        </w:rPr>
        <w:t>促进</w:t>
      </w:r>
      <w:r>
        <w:rPr>
          <w:rFonts w:ascii="Time New Roman" w:eastAsia="黑体" w:hAnsi="Time New Roman" w:hint="eastAsia"/>
          <w:lang w:val="en-GB"/>
        </w:rPr>
        <w:t>包括残疾妇女在内的</w:t>
      </w:r>
      <w:r w:rsidRPr="002329DA">
        <w:rPr>
          <w:rFonts w:ascii="Time New Roman" w:eastAsia="黑体" w:hAnsi="Time New Roman" w:hint="eastAsia"/>
          <w:lang w:val="en-GB"/>
        </w:rPr>
        <w:t>残疾人参与</w:t>
      </w:r>
      <w:r w:rsidRPr="002329DA">
        <w:rPr>
          <w:rFonts w:ascii="Time New Roman" w:eastAsia="黑体" w:hAnsi="Time New Roman"/>
          <w:lang w:val="en-GB"/>
        </w:rPr>
        <w:t>政治生活和公共</w:t>
      </w:r>
      <w:r w:rsidRPr="002329DA">
        <w:rPr>
          <w:rFonts w:ascii="Time New Roman" w:eastAsia="黑体" w:hAnsi="Time New Roman" w:hint="eastAsia"/>
          <w:lang w:val="en-GB"/>
        </w:rPr>
        <w:t>决策</w:t>
      </w:r>
      <w:r>
        <w:rPr>
          <w:rFonts w:ascii="Time New Roman" w:eastAsia="黑体" w:hAnsi="Time New Roman" w:hint="eastAsia"/>
          <w:lang w:val="en-GB"/>
        </w:rPr>
        <w:t>。</w:t>
      </w:r>
    </w:p>
    <w:p w14:paraId="40D4BD8B" w14:textId="54A23B4E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参与文化生活、娱乐、休闲和体育活动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第三十条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3C78571C" w14:textId="586AF4E8" w:rsidR="00566EA5" w:rsidRPr="004A669C" w:rsidRDefault="00566EA5" w:rsidP="00566EA5">
      <w:pPr>
        <w:pStyle w:val="H1G"/>
        <w:keepNext w:val="0"/>
        <w:keepLines w:val="0"/>
        <w:rPr>
          <w:rFonts w:eastAsia="黑体"/>
          <w:b w:val="0"/>
          <w:bCs/>
          <w:lang w:eastAsia="zh-CN"/>
        </w:rPr>
      </w:pPr>
      <w:r w:rsidRPr="009F09FF">
        <w:rPr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>C.</w:t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具体义务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第三十一至第三十三条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6FB2B04D" w14:textId="72337BE2" w:rsidR="00566EA5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统计和数据收集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第三十一条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3F9645A1" w14:textId="680533A7" w:rsidR="00CB0C9D" w:rsidRPr="00543EB0" w:rsidRDefault="00CB0C9D" w:rsidP="00CB0C9D">
      <w:pPr>
        <w:rPr>
          <w:rFonts w:asciiTheme="majorEastAsia" w:eastAsiaTheme="majorEastAsia" w:hAnsiTheme="majorEastAsia"/>
          <w:b/>
          <w:bCs/>
          <w:lang w:val="en-GB"/>
        </w:rPr>
      </w:pPr>
      <w:r w:rsidRPr="00CB0C9D">
        <w:rPr>
          <w:lang w:val="en-GB"/>
        </w:rPr>
        <w:tab/>
      </w:r>
      <w:r w:rsidRPr="00CB0C9D">
        <w:rPr>
          <w:lang w:val="en-GB"/>
        </w:rPr>
        <w:tab/>
      </w:r>
      <w:r w:rsidRPr="00543EB0">
        <w:rPr>
          <w:rFonts w:asciiTheme="majorEastAsia" w:eastAsiaTheme="majorEastAsia" w:hAnsiTheme="majorEastAsia" w:hint="eastAsia"/>
          <w:b/>
          <w:bCs/>
          <w:lang w:val="en-GB"/>
        </w:rPr>
        <w:t>21.</w:t>
      </w:r>
      <w:r w:rsidRPr="00543EB0">
        <w:rPr>
          <w:rFonts w:asciiTheme="majorEastAsia" w:eastAsiaTheme="majorEastAsia" w:hAnsiTheme="majorEastAsia"/>
          <w:b/>
          <w:bCs/>
          <w:lang w:val="en-GB"/>
        </w:rPr>
        <w:tab/>
        <w:t>委员会</w:t>
      </w:r>
      <w:r w:rsidRPr="00543EB0">
        <w:rPr>
          <w:rFonts w:asciiTheme="majorEastAsia" w:eastAsiaTheme="majorEastAsia" w:hAnsiTheme="majorEastAsia" w:hint="eastAsia"/>
          <w:b/>
          <w:bCs/>
          <w:lang w:val="en-GB"/>
        </w:rPr>
        <w:t>结合</w:t>
      </w:r>
      <w:r w:rsidRPr="00543EB0">
        <w:rPr>
          <w:rFonts w:asciiTheme="majorEastAsia" w:eastAsiaTheme="majorEastAsia" w:hAnsiTheme="majorEastAsia"/>
          <w:b/>
          <w:bCs/>
          <w:lang w:val="en-GB"/>
        </w:rPr>
        <w:t>可持续发展目标之具体目标17.18，建议缔约国：</w:t>
      </w:r>
    </w:p>
    <w:p w14:paraId="2A9B8089" w14:textId="5614E361" w:rsidR="00CB0C9D" w:rsidRPr="00CB0C9D" w:rsidRDefault="00CB0C9D" w:rsidP="00CB0C9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35225FBA" w14:textId="4FD8A117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szCs w:val="22"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国际合作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第三十二条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02BF2FD3" w14:textId="741C84F3" w:rsidR="00566EA5" w:rsidRPr="004A669C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/>
          <w:b w:val="0"/>
          <w:bCs/>
          <w:lang w:eastAsia="zh-CN"/>
        </w:rPr>
        <w:tab/>
      </w:r>
      <w:r w:rsidRPr="004A669C">
        <w:rPr>
          <w:rFonts w:eastAsia="黑体" w:hint="eastAsia"/>
          <w:b w:val="0"/>
          <w:bCs/>
          <w:lang w:eastAsia="zh-CN"/>
        </w:rPr>
        <w:t>国家实施和监测</w:t>
      </w:r>
      <w:r w:rsidR="00B45830">
        <w:rPr>
          <w:rFonts w:eastAsia="黑体" w:hint="eastAsia"/>
          <w:b w:val="0"/>
          <w:bCs/>
          <w:lang w:eastAsia="zh-CN"/>
        </w:rPr>
        <w:t>(</w:t>
      </w:r>
      <w:r w:rsidRPr="004A669C">
        <w:rPr>
          <w:rFonts w:eastAsia="黑体" w:hint="eastAsia"/>
          <w:b w:val="0"/>
          <w:bCs/>
          <w:lang w:eastAsia="zh-CN"/>
        </w:rPr>
        <w:t>第三十三条</w:t>
      </w:r>
      <w:r w:rsidR="00B45830">
        <w:rPr>
          <w:rFonts w:eastAsia="黑体" w:hint="eastAsia"/>
          <w:b w:val="0"/>
          <w:bCs/>
          <w:lang w:eastAsia="zh-CN"/>
        </w:rPr>
        <w:t>)</w:t>
      </w:r>
    </w:p>
    <w:p w14:paraId="7B9A6F8A" w14:textId="77777777" w:rsidR="00566EA5" w:rsidRPr="00C35AD0" w:rsidRDefault="00566EA5" w:rsidP="00566EA5">
      <w:pPr>
        <w:pStyle w:val="HChG"/>
        <w:keepNext w:val="0"/>
        <w:keepLines w:val="0"/>
        <w:rPr>
          <w:rFonts w:eastAsia="黑体"/>
          <w:b w:val="0"/>
          <w:bCs/>
          <w:lang w:eastAsia="zh-CN"/>
        </w:rPr>
      </w:pPr>
      <w:r w:rsidRPr="00C35AD0">
        <w:rPr>
          <w:rFonts w:eastAsia="黑体"/>
          <w:b w:val="0"/>
          <w:bCs/>
          <w:lang w:eastAsia="zh-CN"/>
        </w:rPr>
        <w:tab/>
      </w:r>
      <w:r w:rsidRPr="00C35AD0">
        <w:rPr>
          <w:rFonts w:eastAsia="黑体" w:hint="eastAsia"/>
          <w:b w:val="0"/>
          <w:bCs/>
          <w:lang w:eastAsia="zh-CN"/>
        </w:rPr>
        <w:t>四</w:t>
      </w:r>
      <w:r w:rsidRPr="00C35AD0">
        <w:rPr>
          <w:rFonts w:eastAsia="黑体"/>
          <w:b w:val="0"/>
          <w:bCs/>
          <w:lang w:eastAsia="zh-CN"/>
        </w:rPr>
        <w:t>.</w:t>
      </w:r>
      <w:r w:rsidRPr="00C35AD0">
        <w:rPr>
          <w:rFonts w:eastAsia="黑体"/>
          <w:b w:val="0"/>
          <w:bCs/>
          <w:lang w:eastAsia="zh-CN"/>
        </w:rPr>
        <w:tab/>
      </w:r>
      <w:r w:rsidRPr="00C35AD0">
        <w:rPr>
          <w:rFonts w:eastAsia="黑体" w:hint="eastAsia"/>
          <w:b w:val="0"/>
          <w:bCs/>
          <w:lang w:eastAsia="zh-CN"/>
        </w:rPr>
        <w:t>后续行动</w:t>
      </w:r>
    </w:p>
    <w:p w14:paraId="6EB602AF" w14:textId="2F3074C2" w:rsidR="00566EA5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 w:rsidRPr="00FD4666">
        <w:rPr>
          <w:rFonts w:eastAsia="黑体" w:hint="eastAsia"/>
          <w:b w:val="0"/>
          <w:bCs/>
          <w:lang w:eastAsia="zh-CN"/>
        </w:rPr>
        <w:t>传播相关信息</w:t>
      </w:r>
    </w:p>
    <w:p w14:paraId="70FBF9D6" w14:textId="5EA722A7" w:rsidR="000F6C82" w:rsidRPr="000F6C82" w:rsidRDefault="000F6C82" w:rsidP="000F6C82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791E697" w14:textId="3B65CAE6" w:rsidR="00566EA5" w:rsidRPr="00FD4666" w:rsidRDefault="00566EA5" w:rsidP="00566EA5">
      <w:pPr>
        <w:pStyle w:val="SingleTxtG"/>
        <w:tabs>
          <w:tab w:val="left" w:pos="1701"/>
          <w:tab w:val="left" w:pos="2410"/>
        </w:tabs>
        <w:spacing w:after="100" w:line="220" w:lineRule="atLeast"/>
        <w:rPr>
          <w:rFonts w:eastAsia="黑体"/>
          <w:b/>
          <w:bCs/>
          <w:lang w:eastAsia="zh-CN"/>
        </w:rPr>
      </w:pPr>
      <w:r w:rsidRPr="00FD4666">
        <w:rPr>
          <w:rFonts w:eastAsia="黑体"/>
          <w:lang w:eastAsia="zh-CN"/>
        </w:rPr>
        <w:lastRenderedPageBreak/>
        <w:t>63.</w:t>
      </w:r>
      <w:r w:rsidRPr="00FD4666">
        <w:rPr>
          <w:rFonts w:eastAsia="黑体"/>
          <w:lang w:eastAsia="zh-CN"/>
        </w:rPr>
        <w:tab/>
      </w:r>
      <w:r w:rsidRPr="00FD4666">
        <w:rPr>
          <w:rFonts w:eastAsia="黑体" w:hint="eastAsia"/>
          <w:lang w:eastAsia="zh-CN"/>
        </w:rPr>
        <w:t>委员会请缔约国在本结论性意见通过后</w:t>
      </w:r>
      <w:r w:rsidRPr="00FD4666">
        <w:rPr>
          <w:rFonts w:eastAsia="黑体" w:hint="eastAsia"/>
          <w:lang w:eastAsia="zh-CN"/>
        </w:rPr>
        <w:t>12</w:t>
      </w:r>
      <w:r w:rsidRPr="00FD4666">
        <w:rPr>
          <w:rFonts w:eastAsia="黑体" w:hint="eastAsia"/>
          <w:lang w:eastAsia="zh-CN"/>
        </w:rPr>
        <w:t>个月内，按照《公约》第三十五条第二款提供资料，说明为落实第</w:t>
      </w:r>
      <w:r w:rsidR="000F6C82" w:rsidRPr="000F6C82">
        <w:rPr>
          <w:rFonts w:eastAsia="黑体" w:hint="eastAsia"/>
          <w:lang w:eastAsia="zh-CN"/>
        </w:rPr>
        <w:t>20</w:t>
      </w:r>
      <w:r w:rsidRPr="000F6C82">
        <w:rPr>
          <w:rFonts w:eastAsia="黑体" w:hint="eastAsia"/>
          <w:lang w:eastAsia="zh-CN"/>
        </w:rPr>
        <w:t>段</w:t>
      </w:r>
      <w:r w:rsidRPr="000F6C82">
        <w:rPr>
          <w:rFonts w:eastAsia="黑体"/>
          <w:lang w:eastAsia="zh-CN"/>
        </w:rPr>
        <w:t>（</w:t>
      </w:r>
      <w:r w:rsidR="000F6C82" w:rsidRPr="000F6C82">
        <w:rPr>
          <w:rFonts w:eastAsia="黑体" w:hint="eastAsia"/>
          <w:lang w:eastAsia="zh-CN"/>
        </w:rPr>
        <w:t>危难情况和人道主义紧急情况</w:t>
      </w:r>
      <w:r w:rsidRPr="000F6C82">
        <w:rPr>
          <w:rFonts w:eastAsia="黑体"/>
          <w:lang w:eastAsia="zh-CN"/>
        </w:rPr>
        <w:t>）</w:t>
      </w:r>
      <w:r w:rsidRPr="00FD4666">
        <w:rPr>
          <w:rFonts w:eastAsia="黑体" w:hint="eastAsia"/>
          <w:lang w:eastAsia="zh-CN"/>
        </w:rPr>
        <w:t>所载建议而采取的措施。</w:t>
      </w:r>
    </w:p>
    <w:p w14:paraId="134801CE" w14:textId="4D6812B2" w:rsidR="00566EA5" w:rsidRPr="00FD4666" w:rsidRDefault="00566EA5" w:rsidP="00566EA5">
      <w:pPr>
        <w:pStyle w:val="SingleTxtG"/>
        <w:tabs>
          <w:tab w:val="left" w:pos="1701"/>
          <w:tab w:val="left" w:pos="2410"/>
        </w:tabs>
        <w:spacing w:after="100" w:line="220" w:lineRule="atLeast"/>
        <w:rPr>
          <w:rFonts w:eastAsia="黑体"/>
          <w:lang w:eastAsia="zh-CN"/>
        </w:rPr>
      </w:pPr>
      <w:r w:rsidRPr="00FD4666">
        <w:rPr>
          <w:rFonts w:eastAsia="黑体"/>
          <w:lang w:eastAsia="zh-CN"/>
        </w:rPr>
        <w:t>64.</w:t>
      </w:r>
      <w:r w:rsidRPr="00FD4666">
        <w:rPr>
          <w:rFonts w:eastAsia="黑体"/>
          <w:lang w:eastAsia="zh-CN"/>
        </w:rPr>
        <w:tab/>
      </w:r>
      <w:r w:rsidR="000F6C82" w:rsidRPr="000F6C82">
        <w:rPr>
          <w:rFonts w:eastAsia="黑体" w:hint="eastAsia"/>
          <w:lang w:eastAsia="zh-CN"/>
        </w:rPr>
        <w:t>委员会强调，本结论性意见所载所有建议都很重要。</w:t>
      </w:r>
      <w:r w:rsidRPr="00FD4666">
        <w:rPr>
          <w:rFonts w:eastAsia="黑体"/>
          <w:lang w:eastAsia="zh-CN"/>
        </w:rPr>
        <w:t>委员会请缔约国落实本结论性意见所载</w:t>
      </w:r>
      <w:r w:rsidRPr="00FD4666">
        <w:rPr>
          <w:rFonts w:eastAsia="黑体" w:hint="eastAsia"/>
          <w:lang w:eastAsia="zh-CN"/>
        </w:rPr>
        <w:t>各项</w:t>
      </w:r>
      <w:r w:rsidRPr="00FD4666">
        <w:rPr>
          <w:rFonts w:eastAsia="黑体"/>
          <w:lang w:eastAsia="zh-CN"/>
        </w:rPr>
        <w:t>建议</w:t>
      </w:r>
      <w:r w:rsidR="000F6C82">
        <w:rPr>
          <w:rFonts w:eastAsia="黑体" w:hint="eastAsia"/>
          <w:lang w:eastAsia="zh-CN"/>
        </w:rPr>
        <w:t>。委员会</w:t>
      </w:r>
      <w:r w:rsidRPr="00FD4666">
        <w:rPr>
          <w:rFonts w:eastAsia="黑体" w:hint="eastAsia"/>
          <w:lang w:eastAsia="zh-CN"/>
        </w:rPr>
        <w:t>建议缔约国利用现代社交传播</w:t>
      </w:r>
      <w:r w:rsidR="00E30BC9">
        <w:rPr>
          <w:rFonts w:eastAsia="黑体" w:hint="eastAsia"/>
          <w:lang w:eastAsia="zh-CN"/>
        </w:rPr>
        <w:t>战略</w:t>
      </w:r>
      <w:r w:rsidRPr="00FD4666">
        <w:rPr>
          <w:rFonts w:eastAsia="黑体" w:hint="eastAsia"/>
          <w:lang w:eastAsia="zh-CN"/>
        </w:rPr>
        <w:t>，向政府和议会成员、有关部委工作人员、司法部门、</w:t>
      </w:r>
      <w:r w:rsidRPr="00FD4666">
        <w:rPr>
          <w:rFonts w:eastAsia="黑体"/>
          <w:lang w:eastAsia="zh-CN"/>
        </w:rPr>
        <w:t>教育、医学和法律</w:t>
      </w:r>
      <w:r w:rsidRPr="00FD4666">
        <w:rPr>
          <w:rFonts w:eastAsia="黑体" w:hint="eastAsia"/>
          <w:lang w:eastAsia="zh-CN"/>
        </w:rPr>
        <w:t>等</w:t>
      </w:r>
      <w:r w:rsidRPr="00FD4666">
        <w:rPr>
          <w:rFonts w:eastAsia="黑体"/>
          <w:lang w:eastAsia="zh-CN"/>
        </w:rPr>
        <w:t>专业团体成员</w:t>
      </w:r>
      <w:r w:rsidRPr="00FD4666">
        <w:rPr>
          <w:rFonts w:eastAsia="黑体" w:hint="eastAsia"/>
          <w:lang w:eastAsia="zh-CN"/>
        </w:rPr>
        <w:t>以及地方当局、私营部门和媒体转发本结论性意见，供其考虑</w:t>
      </w:r>
      <w:r>
        <w:rPr>
          <w:rFonts w:eastAsia="黑体" w:hint="eastAsia"/>
          <w:lang w:eastAsia="zh-CN"/>
        </w:rPr>
        <w:t>并</w:t>
      </w:r>
      <w:r w:rsidRPr="00FD4666">
        <w:rPr>
          <w:rFonts w:eastAsia="黑体" w:hint="eastAsia"/>
          <w:lang w:eastAsia="zh-CN"/>
        </w:rPr>
        <w:t>采取行动。</w:t>
      </w:r>
      <w:r w:rsidRPr="00FD4666">
        <w:rPr>
          <w:rFonts w:eastAsia="黑体"/>
          <w:lang w:eastAsia="zh-CN"/>
        </w:rPr>
        <w:t xml:space="preserve"> </w:t>
      </w:r>
    </w:p>
    <w:p w14:paraId="4C79F23C" w14:textId="77777777" w:rsidR="00566EA5" w:rsidRPr="00FD4666" w:rsidRDefault="00566EA5" w:rsidP="00566EA5">
      <w:pPr>
        <w:pStyle w:val="SingleTxtG"/>
        <w:tabs>
          <w:tab w:val="left" w:pos="1701"/>
          <w:tab w:val="left" w:pos="2410"/>
        </w:tabs>
        <w:spacing w:after="100" w:line="220" w:lineRule="atLeast"/>
        <w:rPr>
          <w:rFonts w:eastAsia="黑体"/>
          <w:b/>
          <w:bCs/>
          <w:lang w:eastAsia="zh-CN"/>
        </w:rPr>
      </w:pPr>
      <w:r w:rsidRPr="00FD4666">
        <w:rPr>
          <w:rFonts w:eastAsia="黑体"/>
          <w:lang w:eastAsia="zh-CN"/>
        </w:rPr>
        <w:t>65.</w:t>
      </w:r>
      <w:r w:rsidRPr="00FD4666">
        <w:rPr>
          <w:rFonts w:eastAsia="黑体"/>
          <w:lang w:eastAsia="zh-CN"/>
        </w:rPr>
        <w:tab/>
      </w:r>
      <w:r w:rsidRPr="00FD4666">
        <w:rPr>
          <w:rFonts w:eastAsia="黑体"/>
          <w:lang w:eastAsia="zh-CN"/>
        </w:rPr>
        <w:t>委员会</w:t>
      </w:r>
      <w:r w:rsidRPr="00FD4666">
        <w:rPr>
          <w:rFonts w:eastAsia="黑体" w:hint="eastAsia"/>
          <w:lang w:eastAsia="zh-CN"/>
        </w:rPr>
        <w:t>大力</w:t>
      </w:r>
      <w:r w:rsidRPr="00FD4666">
        <w:rPr>
          <w:rFonts w:eastAsia="黑体"/>
          <w:lang w:eastAsia="zh-CN"/>
        </w:rPr>
        <w:t>鼓励缔约国</w:t>
      </w:r>
      <w:r w:rsidRPr="00FD4666">
        <w:rPr>
          <w:rFonts w:eastAsia="黑体" w:hint="eastAsia"/>
          <w:lang w:eastAsia="zh-CN"/>
        </w:rPr>
        <w:t>请</w:t>
      </w:r>
      <w:r w:rsidRPr="00FD4666">
        <w:rPr>
          <w:rFonts w:eastAsia="黑体"/>
          <w:lang w:eastAsia="zh-CN"/>
        </w:rPr>
        <w:t>民间社会组织</w:t>
      </w:r>
      <w:r w:rsidRPr="00FD4666">
        <w:rPr>
          <w:rFonts w:eastAsia="黑体" w:hint="eastAsia"/>
          <w:lang w:eastAsia="zh-CN"/>
        </w:rPr>
        <w:t>，</w:t>
      </w:r>
      <w:r w:rsidRPr="00FD4666">
        <w:rPr>
          <w:rFonts w:eastAsia="黑体"/>
          <w:lang w:eastAsia="zh-CN"/>
        </w:rPr>
        <w:t>特别是残疾人组织参与编写定期报告。</w:t>
      </w:r>
    </w:p>
    <w:p w14:paraId="7D4EBCB0" w14:textId="77777777" w:rsidR="00566EA5" w:rsidRPr="00FD4666" w:rsidRDefault="00566EA5" w:rsidP="00566EA5">
      <w:pPr>
        <w:pStyle w:val="SingleTxtG"/>
        <w:tabs>
          <w:tab w:val="left" w:pos="1701"/>
          <w:tab w:val="left" w:pos="2410"/>
        </w:tabs>
        <w:spacing w:after="100" w:line="220" w:lineRule="atLeast"/>
        <w:rPr>
          <w:rFonts w:eastAsia="黑体"/>
          <w:lang w:eastAsia="zh-CN"/>
        </w:rPr>
      </w:pPr>
      <w:r w:rsidRPr="00FD4666">
        <w:rPr>
          <w:rFonts w:eastAsia="黑体"/>
          <w:lang w:eastAsia="zh-CN"/>
        </w:rPr>
        <w:t>66.</w:t>
      </w:r>
      <w:r w:rsidRPr="00FD4666">
        <w:rPr>
          <w:rFonts w:eastAsia="黑体"/>
          <w:lang w:eastAsia="zh-CN"/>
        </w:rPr>
        <w:tab/>
      </w:r>
      <w:r w:rsidRPr="00FD4666">
        <w:rPr>
          <w:rFonts w:eastAsia="黑体"/>
          <w:lang w:eastAsia="zh-CN"/>
        </w:rPr>
        <w:t>委员会请缔约国</w:t>
      </w:r>
      <w:r w:rsidRPr="00FD4666">
        <w:rPr>
          <w:rFonts w:eastAsia="黑体" w:hint="eastAsia"/>
          <w:lang w:eastAsia="zh-CN"/>
        </w:rPr>
        <w:t>以本国官方</w:t>
      </w:r>
      <w:r w:rsidRPr="00FD4666">
        <w:rPr>
          <w:rFonts w:eastAsia="黑体"/>
          <w:lang w:eastAsia="zh-CN"/>
        </w:rPr>
        <w:t>语言和少数</w:t>
      </w:r>
      <w:r w:rsidRPr="00FD4666">
        <w:rPr>
          <w:rFonts w:eastAsia="黑体" w:hint="eastAsia"/>
          <w:lang w:eastAsia="zh-CN"/>
        </w:rPr>
        <w:t>群体</w:t>
      </w:r>
      <w:r w:rsidRPr="00FD4666">
        <w:rPr>
          <w:rFonts w:eastAsia="黑体"/>
          <w:lang w:eastAsia="zh-CN"/>
        </w:rPr>
        <w:t>语言，包括手语，</w:t>
      </w:r>
      <w:r w:rsidRPr="00FD4666">
        <w:rPr>
          <w:rFonts w:eastAsia="黑体" w:hint="eastAsia"/>
          <w:lang w:eastAsia="zh-CN"/>
        </w:rPr>
        <w:t>并以</w:t>
      </w:r>
      <w:r w:rsidRPr="00FD4666">
        <w:rPr>
          <w:rFonts w:eastAsia="黑体"/>
          <w:lang w:eastAsia="zh-CN"/>
        </w:rPr>
        <w:t>无障碍</w:t>
      </w:r>
      <w:r>
        <w:rPr>
          <w:rFonts w:eastAsia="黑体" w:hint="eastAsia"/>
          <w:lang w:eastAsia="zh-CN"/>
        </w:rPr>
        <w:t>形</w:t>
      </w:r>
      <w:r w:rsidRPr="00FD4666">
        <w:rPr>
          <w:rFonts w:eastAsia="黑体"/>
          <w:lang w:eastAsia="zh-CN"/>
        </w:rPr>
        <w:t>式</w:t>
      </w:r>
      <w:r w:rsidRPr="00FD4666">
        <w:rPr>
          <w:rFonts w:eastAsia="黑体" w:hint="eastAsia"/>
          <w:lang w:val="en-US" w:eastAsia="zh-CN"/>
        </w:rPr>
        <w:t>广泛</w:t>
      </w:r>
      <w:r w:rsidRPr="00FD4666">
        <w:rPr>
          <w:rFonts w:eastAsia="黑体" w:hint="eastAsia"/>
          <w:lang w:eastAsia="zh-CN"/>
        </w:rPr>
        <w:t>传</w:t>
      </w:r>
      <w:r>
        <w:rPr>
          <w:rFonts w:eastAsia="黑体" w:hint="eastAsia"/>
          <w:lang w:eastAsia="zh-CN"/>
        </w:rPr>
        <w:t>播</w:t>
      </w:r>
      <w:r w:rsidRPr="00FD4666">
        <w:rPr>
          <w:rFonts w:eastAsia="黑体"/>
          <w:lang w:eastAsia="zh-CN"/>
        </w:rPr>
        <w:t>本结论性意见，包括向非政府组织和残疾人组织以及残疾人本人及其家庭成员</w:t>
      </w:r>
      <w:r w:rsidRPr="00FD4666">
        <w:rPr>
          <w:rFonts w:eastAsia="黑体" w:hint="eastAsia"/>
          <w:lang w:eastAsia="zh-CN"/>
        </w:rPr>
        <w:t>传</w:t>
      </w:r>
      <w:r>
        <w:rPr>
          <w:rFonts w:eastAsia="黑体" w:hint="eastAsia"/>
          <w:lang w:eastAsia="zh-CN"/>
        </w:rPr>
        <w:t>播</w:t>
      </w:r>
      <w:r w:rsidRPr="00FD4666">
        <w:rPr>
          <w:rFonts w:eastAsia="黑体" w:hint="eastAsia"/>
          <w:lang w:eastAsia="zh-CN"/>
        </w:rPr>
        <w:t>本结论性意见</w:t>
      </w:r>
      <w:r w:rsidRPr="00FD4666">
        <w:rPr>
          <w:rFonts w:eastAsia="黑体"/>
          <w:lang w:eastAsia="zh-CN"/>
        </w:rPr>
        <w:t>，并在政府</w:t>
      </w:r>
      <w:r w:rsidRPr="00FD4666">
        <w:rPr>
          <w:rFonts w:eastAsia="黑体" w:hint="eastAsia"/>
          <w:lang w:eastAsia="zh-CN"/>
        </w:rPr>
        <w:t>的</w:t>
      </w:r>
      <w:r w:rsidRPr="00FD4666">
        <w:rPr>
          <w:rFonts w:eastAsia="黑体"/>
          <w:lang w:eastAsia="zh-CN"/>
        </w:rPr>
        <w:t>人权网站</w:t>
      </w:r>
      <w:r w:rsidRPr="00FD4666">
        <w:rPr>
          <w:rFonts w:eastAsia="黑体" w:hint="eastAsia"/>
          <w:lang w:eastAsia="zh-CN"/>
        </w:rPr>
        <w:t>上发布</w:t>
      </w:r>
      <w:r>
        <w:rPr>
          <w:rFonts w:eastAsia="黑体" w:hint="eastAsia"/>
          <w:lang w:eastAsia="zh-CN"/>
        </w:rPr>
        <w:t>本</w:t>
      </w:r>
      <w:r w:rsidRPr="00FD4666">
        <w:rPr>
          <w:rFonts w:eastAsia="黑体" w:hint="eastAsia"/>
          <w:lang w:eastAsia="zh-CN"/>
        </w:rPr>
        <w:t>结论性意见</w:t>
      </w:r>
      <w:r w:rsidRPr="00FD4666">
        <w:rPr>
          <w:rFonts w:eastAsia="黑体"/>
          <w:lang w:eastAsia="zh-CN"/>
        </w:rPr>
        <w:t>。</w:t>
      </w:r>
    </w:p>
    <w:p w14:paraId="50A9A46C" w14:textId="77777777" w:rsidR="00566EA5" w:rsidRPr="00C42D75" w:rsidRDefault="00566EA5" w:rsidP="00566EA5">
      <w:pPr>
        <w:pStyle w:val="H23G"/>
        <w:keepNext w:val="0"/>
        <w:keepLines w:val="0"/>
        <w:rPr>
          <w:rFonts w:eastAsia="黑体"/>
          <w:b w:val="0"/>
          <w:bCs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 w:rsidRPr="00C42D75">
        <w:rPr>
          <w:rFonts w:eastAsia="黑体" w:hint="eastAsia"/>
          <w:b w:val="0"/>
          <w:bCs/>
          <w:lang w:eastAsia="zh-CN"/>
        </w:rPr>
        <w:t>下次定期报告</w:t>
      </w:r>
    </w:p>
    <w:p w14:paraId="1715A013" w14:textId="0EF75D27" w:rsidR="00566EA5" w:rsidRPr="00C42D75" w:rsidRDefault="00566EA5" w:rsidP="00566EA5">
      <w:pPr>
        <w:pStyle w:val="SingleTxtG"/>
        <w:tabs>
          <w:tab w:val="left" w:pos="1701"/>
          <w:tab w:val="left" w:pos="2410"/>
        </w:tabs>
        <w:spacing w:after="80" w:line="220" w:lineRule="atLeast"/>
        <w:rPr>
          <w:rFonts w:eastAsia="黑体"/>
          <w:b/>
          <w:bCs/>
          <w:lang w:eastAsia="zh-CN"/>
        </w:rPr>
      </w:pPr>
      <w:r w:rsidRPr="00C42D75">
        <w:rPr>
          <w:rFonts w:eastAsia="黑体"/>
          <w:lang w:eastAsia="zh-CN"/>
        </w:rPr>
        <w:t>67.</w:t>
      </w:r>
      <w:r w:rsidRPr="00C42D75">
        <w:rPr>
          <w:rFonts w:eastAsia="黑体"/>
          <w:lang w:eastAsia="zh-CN"/>
        </w:rPr>
        <w:tab/>
      </w:r>
      <w:r w:rsidRPr="00C42D75">
        <w:rPr>
          <w:rFonts w:eastAsia="黑体" w:hint="eastAsia"/>
          <w:lang w:eastAsia="zh-CN"/>
        </w:rPr>
        <w:t>委员会请缔约国在</w:t>
      </w:r>
      <w:r w:rsidR="00056867" w:rsidRPr="00056867">
        <w:rPr>
          <w:rFonts w:eastAsia="黑体"/>
          <w:lang w:eastAsia="zh-CN"/>
        </w:rPr>
        <w:t>2023</w:t>
      </w:r>
      <w:r w:rsidRPr="00056867">
        <w:rPr>
          <w:rFonts w:eastAsia="黑体" w:hint="eastAsia"/>
          <w:lang w:eastAsia="zh-CN"/>
        </w:rPr>
        <w:t>年</w:t>
      </w:r>
      <w:r w:rsidR="00056867" w:rsidRPr="00056867">
        <w:rPr>
          <w:rFonts w:eastAsia="黑体" w:hint="eastAsia"/>
          <w:lang w:eastAsia="zh-CN"/>
        </w:rPr>
        <w:t>7</w:t>
      </w:r>
      <w:r w:rsidRPr="00056867">
        <w:rPr>
          <w:rFonts w:eastAsia="黑体" w:hint="eastAsia"/>
          <w:lang w:eastAsia="zh-CN"/>
        </w:rPr>
        <w:t>月</w:t>
      </w:r>
      <w:r w:rsidR="00056867" w:rsidRPr="00056867">
        <w:rPr>
          <w:rFonts w:eastAsia="黑体"/>
          <w:lang w:eastAsia="zh-CN"/>
        </w:rPr>
        <w:t>3</w:t>
      </w:r>
      <w:r w:rsidRPr="00056867">
        <w:rPr>
          <w:rFonts w:eastAsia="黑体" w:hint="eastAsia"/>
          <w:lang w:eastAsia="zh-CN"/>
        </w:rPr>
        <w:t>日前提交第</w:t>
      </w:r>
      <w:r w:rsidR="00056867" w:rsidRPr="00056867">
        <w:rPr>
          <w:rFonts w:eastAsia="黑体" w:hint="eastAsia"/>
          <w:lang w:eastAsia="zh-CN"/>
        </w:rPr>
        <w:t>二和</w:t>
      </w:r>
      <w:r w:rsidRPr="00056867">
        <w:rPr>
          <w:rFonts w:eastAsia="黑体" w:hint="eastAsia"/>
          <w:lang w:eastAsia="zh-CN"/>
        </w:rPr>
        <w:t>第</w:t>
      </w:r>
      <w:r w:rsidR="00056867" w:rsidRPr="00056867">
        <w:rPr>
          <w:rFonts w:eastAsia="黑体" w:hint="eastAsia"/>
          <w:lang w:eastAsia="zh-CN"/>
        </w:rPr>
        <w:t>三</w:t>
      </w:r>
      <w:r w:rsidRPr="00056867">
        <w:rPr>
          <w:rFonts w:eastAsia="黑体" w:hint="eastAsia"/>
          <w:lang w:eastAsia="zh-CN"/>
        </w:rPr>
        <w:t>次</w:t>
      </w:r>
      <w:r w:rsidR="00056867" w:rsidRPr="00056867">
        <w:rPr>
          <w:rFonts w:eastAsia="黑体" w:hint="eastAsia"/>
          <w:lang w:eastAsia="zh-CN"/>
        </w:rPr>
        <w:t>合并</w:t>
      </w:r>
      <w:r w:rsidRPr="00056867">
        <w:rPr>
          <w:rFonts w:eastAsia="黑体" w:hint="eastAsia"/>
          <w:lang w:eastAsia="zh-CN"/>
        </w:rPr>
        <w:t>定期</w:t>
      </w:r>
      <w:r w:rsidRPr="00C42D75">
        <w:rPr>
          <w:rFonts w:eastAsia="黑体" w:hint="eastAsia"/>
          <w:lang w:eastAsia="zh-CN"/>
        </w:rPr>
        <w:t>报告，</w:t>
      </w:r>
      <w:r>
        <w:rPr>
          <w:rFonts w:eastAsia="黑体" w:hint="eastAsia"/>
          <w:lang w:eastAsia="zh-CN"/>
        </w:rPr>
        <w:t>并</w:t>
      </w:r>
      <w:r w:rsidRPr="00C42D75">
        <w:rPr>
          <w:rFonts w:eastAsia="黑体" w:hint="eastAsia"/>
          <w:lang w:eastAsia="zh-CN"/>
        </w:rPr>
        <w:t>在报告中说明本结论性意见所提建议的落实情况。</w:t>
      </w:r>
      <w:r>
        <w:rPr>
          <w:rFonts w:eastAsia="黑体" w:hint="eastAsia"/>
          <w:lang w:eastAsia="zh-CN"/>
        </w:rPr>
        <w:t>委员会还请缔约国考虑按委员会</w:t>
      </w:r>
      <w:r w:rsidRPr="00C42D75">
        <w:rPr>
          <w:rFonts w:eastAsia="黑体" w:hint="eastAsia"/>
          <w:lang w:eastAsia="zh-CN"/>
        </w:rPr>
        <w:t>简化报告程序提交上述报告</w:t>
      </w:r>
      <w:r>
        <w:rPr>
          <w:rFonts w:eastAsia="黑体" w:hint="eastAsia"/>
          <w:lang w:eastAsia="zh-CN"/>
        </w:rPr>
        <w:t>，即由</w:t>
      </w:r>
      <w:r w:rsidRPr="00C42D75">
        <w:rPr>
          <w:rFonts w:eastAsia="黑体" w:hint="eastAsia"/>
          <w:lang w:eastAsia="zh-CN"/>
        </w:rPr>
        <w:t>委员会在缔约国提交报告</w:t>
      </w:r>
      <w:r>
        <w:rPr>
          <w:rFonts w:eastAsia="黑体" w:hint="eastAsia"/>
          <w:lang w:eastAsia="zh-CN"/>
        </w:rPr>
        <w:t>规定</w:t>
      </w:r>
      <w:r w:rsidRPr="00C42D75">
        <w:rPr>
          <w:rFonts w:eastAsia="黑体" w:hint="eastAsia"/>
          <w:lang w:eastAsia="zh-CN"/>
        </w:rPr>
        <w:t>日期前至少一年拟订一份问题清单。对</w:t>
      </w:r>
      <w:r>
        <w:rPr>
          <w:rFonts w:eastAsia="黑体" w:hint="eastAsia"/>
          <w:lang w:eastAsia="zh-CN"/>
        </w:rPr>
        <w:t>问题清单的答复便</w:t>
      </w:r>
      <w:r w:rsidRPr="00C42D75">
        <w:rPr>
          <w:rFonts w:eastAsia="黑体" w:hint="eastAsia"/>
          <w:lang w:eastAsia="zh-CN"/>
        </w:rPr>
        <w:t>构成缔约国的报告。</w:t>
      </w:r>
    </w:p>
    <w:p w14:paraId="3A6C772D" w14:textId="77777777" w:rsidR="008F44CB" w:rsidRPr="002D6A9C" w:rsidRDefault="008F44CB">
      <w:pPr>
        <w:spacing w:before="240"/>
        <w:jc w:val="center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</w:p>
    <w:p w14:paraId="6E24CF70" w14:textId="77777777" w:rsidR="008F44CB" w:rsidRPr="00E31647" w:rsidRDefault="008F44CB" w:rsidP="00381C55">
      <w:pPr>
        <w:pStyle w:val="SingleTxtGC"/>
      </w:pPr>
    </w:p>
    <w:sectPr w:rsidR="008F44CB" w:rsidRPr="00E31647" w:rsidSect="00C91F6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F062" w14:textId="77777777" w:rsidR="002905FE" w:rsidRPr="000D319F" w:rsidRDefault="002905FE" w:rsidP="000D319F">
      <w:pPr>
        <w:pStyle w:val="af0"/>
        <w:spacing w:after="240"/>
        <w:ind w:left="907"/>
        <w:rPr>
          <w:rFonts w:asciiTheme="majorBidi" w:eastAsia="宋体" w:hAnsiTheme="majorBidi" w:cstheme="majorBidi"/>
          <w:sz w:val="21"/>
          <w:szCs w:val="21"/>
          <w:lang w:val="en-US"/>
        </w:rPr>
      </w:pPr>
    </w:p>
    <w:p w14:paraId="3DB39D45" w14:textId="77777777" w:rsidR="002905FE" w:rsidRPr="000D319F" w:rsidRDefault="002905FE" w:rsidP="000D319F">
      <w:pPr>
        <w:pStyle w:val="af0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10BD0CB6" w14:textId="77777777" w:rsidR="002905FE" w:rsidRPr="000D319F" w:rsidRDefault="002905FE" w:rsidP="000D319F">
      <w:pPr>
        <w:pStyle w:val="af0"/>
      </w:pPr>
    </w:p>
  </w:endnote>
  <w:endnote w:type="continuationNotice" w:id="1">
    <w:p w14:paraId="120ED836" w14:textId="77777777" w:rsidR="002905FE" w:rsidRDefault="002905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20B0604020202020204"/>
    <w:charset w:val="00"/>
    <w:family w:val="roman"/>
    <w:notTrueType/>
    <w:pitch w:val="default"/>
  </w:font>
  <w:font w:name="C39T30Lfz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B47D" w14:textId="77777777" w:rsidR="00B45830" w:rsidRPr="00381C55" w:rsidRDefault="00381C55" w:rsidP="00381C55">
    <w:pPr>
      <w:pStyle w:val="af0"/>
      <w:tabs>
        <w:tab w:val="clear" w:pos="431"/>
        <w:tab w:val="right" w:pos="9638"/>
      </w:tabs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ab/>
    </w:r>
    <w:r w:rsidRPr="00381C55">
      <w:rPr>
        <w:rStyle w:val="af2"/>
        <w:b w:val="0"/>
        <w:snapToGrid w:val="0"/>
        <w:sz w:val="16"/>
      </w:rPr>
      <w:t>GE.19-18305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255E" w14:textId="77777777" w:rsidR="00B45830" w:rsidRPr="00381C55" w:rsidRDefault="00381C55" w:rsidP="00381C55">
    <w:pPr>
      <w:pStyle w:val="af0"/>
      <w:tabs>
        <w:tab w:val="clear" w:pos="431"/>
        <w:tab w:val="right" w:pos="9638"/>
      </w:tabs>
      <w:rPr>
        <w:rStyle w:val="af2"/>
      </w:rPr>
    </w:pPr>
    <w:r>
      <w:t>GE.19-18305</w:t>
    </w:r>
    <w:r>
      <w:tab/>
    </w: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8C01" w14:textId="77777777" w:rsidR="00B45830" w:rsidRPr="00B44B82" w:rsidRDefault="00381C55" w:rsidP="00487939">
    <w:pPr>
      <w:pStyle w:val="af0"/>
      <w:tabs>
        <w:tab w:val="left" w:pos="1701"/>
        <w:tab w:val="left" w:pos="2552"/>
        <w:tab w:val="left" w:pos="8448"/>
      </w:tabs>
      <w:spacing w:before="360"/>
      <w:rPr>
        <w:rFonts w:eastAsiaTheme="minorEastAsia"/>
        <w:b/>
        <w:sz w:val="21"/>
        <w:lang w:eastAsia="zh-CN"/>
      </w:rPr>
    </w:pPr>
    <w:r>
      <w:rPr>
        <w:sz w:val="20"/>
        <w:lang w:eastAsia="zh-CN"/>
      </w:rPr>
      <w:t>GE.19-18305</w:t>
    </w:r>
    <w:r w:rsidR="00731A42" w:rsidRPr="00EE277A">
      <w:rPr>
        <w:sz w:val="20"/>
        <w:lang w:eastAsia="zh-CN"/>
      </w:rPr>
      <w:t xml:space="preserve"> (C)</w:t>
    </w:r>
    <w:r w:rsidR="00B44B82">
      <w:rPr>
        <w:sz w:val="20"/>
        <w:lang w:eastAsia="zh-CN"/>
      </w:rPr>
      <w:tab/>
    </w:r>
    <w:r w:rsidR="00681CC6">
      <w:rPr>
        <w:sz w:val="20"/>
        <w:lang w:eastAsia="zh-CN"/>
      </w:rPr>
      <w:t>2911</w:t>
    </w:r>
    <w:r w:rsidR="00B44B82">
      <w:rPr>
        <w:sz w:val="20"/>
        <w:lang w:eastAsia="zh-CN"/>
      </w:rPr>
      <w:t>1</w:t>
    </w:r>
    <w:r w:rsidR="000B4967">
      <w:rPr>
        <w:rFonts w:eastAsiaTheme="minorEastAsia"/>
        <w:sz w:val="20"/>
        <w:lang w:eastAsia="zh-CN"/>
      </w:rPr>
      <w:t>9</w:t>
    </w:r>
    <w:r w:rsidR="00731A42">
      <w:rPr>
        <w:sz w:val="20"/>
        <w:lang w:eastAsia="zh-CN"/>
      </w:rPr>
      <w:tab/>
    </w:r>
    <w:r w:rsidR="00681CC6">
      <w:rPr>
        <w:sz w:val="20"/>
        <w:lang w:eastAsia="zh-CN"/>
      </w:rPr>
      <w:t>1612</w:t>
    </w:r>
    <w:r w:rsidR="00731A42">
      <w:rPr>
        <w:sz w:val="20"/>
        <w:lang w:eastAsia="zh-CN"/>
      </w:rPr>
      <w:t>1</w:t>
    </w:r>
    <w:r w:rsidR="000B4967">
      <w:rPr>
        <w:rFonts w:eastAsiaTheme="minorEastAsia"/>
        <w:sz w:val="20"/>
        <w:lang w:eastAsia="zh-CN"/>
      </w:rPr>
      <w:t>9</w:t>
    </w:r>
  </w:p>
  <w:p w14:paraId="28C3F468" w14:textId="77777777" w:rsidR="00B45830" w:rsidRPr="00487939" w:rsidRDefault="00381C55" w:rsidP="00487939">
    <w:pPr>
      <w:pStyle w:val="af0"/>
      <w:tabs>
        <w:tab w:val="clear" w:pos="431"/>
        <w:tab w:val="right" w:pos="8450"/>
      </w:tabs>
      <w:rPr>
        <w:sz w:val="20"/>
        <w:lang w:val="en-US" w:eastAsia="zh-CN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</w:t>
    </w:r>
    <w:r>
      <w:rPr>
        <w:b/>
        <w:noProof/>
        <w:snapToGrid/>
        <w:sz w:val="21"/>
      </w:rPr>
      <w:drawing>
        <wp:anchor distT="0" distB="0" distL="114300" distR="114300" simplePos="0" relativeHeight="251658240" behindDoc="0" locked="0" layoutInCell="1" allowOverlap="1" wp14:anchorId="3E2E5A1C" wp14:editId="1343C8CE">
          <wp:simplePos x="0" y="0"/>
          <wp:positionH relativeFrom="column">
            <wp:align>right</wp:align>
          </wp:positionH>
          <wp:positionV relativeFrom="paragraph">
            <wp:posOffset>-310515</wp:posOffset>
          </wp:positionV>
          <wp:extent cx="561975" cy="561975"/>
          <wp:effectExtent l="0" t="0" r="9525" b="9525"/>
          <wp:wrapNone/>
          <wp:docPr id="1" name="图片 1" descr="https://undocs.org/m2/QRCode.ashx?DS=CRPD/C/MMR/CO/1&amp;Size=2 &amp;Lang=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RPD/C/MMR/CO/1&amp;Size=2 &amp;Lang=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A42"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2A7B3824" wp14:editId="5425847C">
          <wp:extent cx="618490" cy="228600"/>
          <wp:effectExtent l="0" t="0" r="0" b="0"/>
          <wp:docPr id="2" name="图片 2" descr="recycle_Ch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EC1D" w14:textId="77777777" w:rsidR="002905FE" w:rsidRPr="000157B1" w:rsidRDefault="002905FE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556494B5" w14:textId="77777777" w:rsidR="002905FE" w:rsidRPr="000157B1" w:rsidRDefault="002905FE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20E6C160" w14:textId="77777777" w:rsidR="002905FE" w:rsidRDefault="002905FE"/>
  </w:footnote>
  <w:footnote w:id="2">
    <w:p w14:paraId="3E5866DC" w14:textId="77777777" w:rsidR="00381C55" w:rsidRPr="00681CC6" w:rsidRDefault="00381C55">
      <w:pPr>
        <w:pStyle w:val="a6"/>
      </w:pPr>
      <w:r w:rsidRPr="00681CC6">
        <w:rPr>
          <w:rStyle w:val="a8"/>
          <w:rFonts w:eastAsia="宋体"/>
          <w:vertAlign w:val="baseline"/>
        </w:rPr>
        <w:tab/>
        <w:t>*</w:t>
      </w:r>
      <w:r w:rsidRPr="00681CC6">
        <w:tab/>
      </w:r>
      <w:r w:rsidR="00681CC6" w:rsidRPr="00681CC6">
        <w:rPr>
          <w:rFonts w:hint="eastAsia"/>
        </w:rPr>
        <w:t>委员会第二十二届会议</w:t>
      </w:r>
      <w:r w:rsidR="00681CC6" w:rsidRPr="00681CC6">
        <w:rPr>
          <w:rFonts w:hint="eastAsia"/>
        </w:rPr>
        <w:t>(2019</w:t>
      </w:r>
      <w:r w:rsidR="00681CC6" w:rsidRPr="00681CC6">
        <w:rPr>
          <w:rFonts w:hint="eastAsia"/>
        </w:rPr>
        <w:t>年</w:t>
      </w:r>
      <w:r w:rsidR="00681CC6" w:rsidRPr="00681CC6">
        <w:rPr>
          <w:rFonts w:hint="eastAsia"/>
        </w:rPr>
        <w:t>8</w:t>
      </w:r>
      <w:r w:rsidR="00681CC6" w:rsidRPr="00681CC6">
        <w:rPr>
          <w:rFonts w:hint="eastAsia"/>
        </w:rPr>
        <w:t>月</w:t>
      </w:r>
      <w:r w:rsidR="00681CC6" w:rsidRPr="00681CC6">
        <w:rPr>
          <w:rFonts w:hint="eastAsia"/>
        </w:rPr>
        <w:t>26</w:t>
      </w:r>
      <w:r w:rsidR="00681CC6" w:rsidRPr="00681CC6">
        <w:rPr>
          <w:rFonts w:hint="eastAsia"/>
        </w:rPr>
        <w:t>日至</w:t>
      </w:r>
      <w:r w:rsidR="00681CC6" w:rsidRPr="00681CC6">
        <w:rPr>
          <w:rFonts w:hint="eastAsia"/>
        </w:rPr>
        <w:t>9</w:t>
      </w:r>
      <w:r w:rsidR="00681CC6" w:rsidRPr="00681CC6">
        <w:rPr>
          <w:rFonts w:hint="eastAsia"/>
        </w:rPr>
        <w:t>月</w:t>
      </w:r>
      <w:r w:rsidR="00681CC6" w:rsidRPr="00681CC6">
        <w:rPr>
          <w:rFonts w:hint="eastAsia"/>
        </w:rPr>
        <w:t>20</w:t>
      </w:r>
      <w:r w:rsidR="00681CC6" w:rsidRPr="00681CC6">
        <w:rPr>
          <w:rFonts w:hint="eastAsia"/>
        </w:rPr>
        <w:t>日</w:t>
      </w:r>
      <w:r w:rsidR="00681CC6" w:rsidRPr="00681CC6">
        <w:rPr>
          <w:rFonts w:hint="eastAsia"/>
        </w:rPr>
        <w:t>)</w:t>
      </w:r>
      <w:r w:rsidR="00681CC6" w:rsidRPr="00681CC6">
        <w:rPr>
          <w:rFonts w:hint="eastAsia"/>
        </w:rPr>
        <w:t>通过。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9EA3" w14:textId="77777777" w:rsidR="00B45830" w:rsidRDefault="00381C55" w:rsidP="00381C55">
    <w:pPr>
      <w:pStyle w:val="af3"/>
    </w:pPr>
    <w:r>
      <w:t>CRPD/C/MMR/CO/1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91EE" w14:textId="77777777" w:rsidR="00B45830" w:rsidRPr="00202A30" w:rsidRDefault="00381C55" w:rsidP="00381C55">
    <w:pPr>
      <w:pStyle w:val="af3"/>
      <w:jc w:val="right"/>
    </w:pPr>
    <w:r>
      <w:t>CRPD/C/MMR/CO/1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6556410">
    <w:abstractNumId w:val="1"/>
  </w:num>
  <w:num w:numId="2" w16cid:durableId="1412653721">
    <w:abstractNumId w:val="3"/>
  </w:num>
  <w:num w:numId="3" w16cid:durableId="2034459705">
    <w:abstractNumId w:val="2"/>
  </w:num>
  <w:num w:numId="4" w16cid:durableId="162183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57"/>
    <w:rsid w:val="00011483"/>
    <w:rsid w:val="00043E53"/>
    <w:rsid w:val="00056867"/>
    <w:rsid w:val="00074456"/>
    <w:rsid w:val="000A66AC"/>
    <w:rsid w:val="000B4967"/>
    <w:rsid w:val="000D319F"/>
    <w:rsid w:val="000E4D0E"/>
    <w:rsid w:val="000F000F"/>
    <w:rsid w:val="000F1845"/>
    <w:rsid w:val="000F6C82"/>
    <w:rsid w:val="00125AC6"/>
    <w:rsid w:val="00143646"/>
    <w:rsid w:val="00144B69"/>
    <w:rsid w:val="00153E86"/>
    <w:rsid w:val="001B1BD1"/>
    <w:rsid w:val="001C3EF2"/>
    <w:rsid w:val="001D17F6"/>
    <w:rsid w:val="001D2C3F"/>
    <w:rsid w:val="001E15E4"/>
    <w:rsid w:val="00201CD1"/>
    <w:rsid w:val="00204B42"/>
    <w:rsid w:val="00217440"/>
    <w:rsid w:val="002231C3"/>
    <w:rsid w:val="0024417F"/>
    <w:rsid w:val="00250F8D"/>
    <w:rsid w:val="002511F6"/>
    <w:rsid w:val="002905FE"/>
    <w:rsid w:val="002D4A20"/>
    <w:rsid w:val="002E1C97"/>
    <w:rsid w:val="002F5834"/>
    <w:rsid w:val="00317331"/>
    <w:rsid w:val="00326EBF"/>
    <w:rsid w:val="00327FE4"/>
    <w:rsid w:val="00347B55"/>
    <w:rsid w:val="003732F0"/>
    <w:rsid w:val="00381C55"/>
    <w:rsid w:val="00392F6C"/>
    <w:rsid w:val="0039782D"/>
    <w:rsid w:val="003B2D22"/>
    <w:rsid w:val="003D7D4D"/>
    <w:rsid w:val="003F27E8"/>
    <w:rsid w:val="00413D23"/>
    <w:rsid w:val="00427F63"/>
    <w:rsid w:val="004549DF"/>
    <w:rsid w:val="004A17D1"/>
    <w:rsid w:val="004C330B"/>
    <w:rsid w:val="004C4A0A"/>
    <w:rsid w:val="00507995"/>
    <w:rsid w:val="0051744F"/>
    <w:rsid w:val="00543EB0"/>
    <w:rsid w:val="00543EBA"/>
    <w:rsid w:val="00551C33"/>
    <w:rsid w:val="00566EA5"/>
    <w:rsid w:val="00581E42"/>
    <w:rsid w:val="00595B05"/>
    <w:rsid w:val="005D0F8B"/>
    <w:rsid w:val="005D3846"/>
    <w:rsid w:val="005E403A"/>
    <w:rsid w:val="005F00C7"/>
    <w:rsid w:val="00601B00"/>
    <w:rsid w:val="006459F0"/>
    <w:rsid w:val="00645F38"/>
    <w:rsid w:val="00680656"/>
    <w:rsid w:val="00681CC6"/>
    <w:rsid w:val="006B1119"/>
    <w:rsid w:val="006D0172"/>
    <w:rsid w:val="006E3E46"/>
    <w:rsid w:val="006E71B1"/>
    <w:rsid w:val="006E7655"/>
    <w:rsid w:val="006F3F80"/>
    <w:rsid w:val="00705D89"/>
    <w:rsid w:val="00731A42"/>
    <w:rsid w:val="00767E69"/>
    <w:rsid w:val="0077079A"/>
    <w:rsid w:val="00792994"/>
    <w:rsid w:val="007A4CB7"/>
    <w:rsid w:val="007A5599"/>
    <w:rsid w:val="007C1579"/>
    <w:rsid w:val="00801B48"/>
    <w:rsid w:val="00810974"/>
    <w:rsid w:val="008143C7"/>
    <w:rsid w:val="00816936"/>
    <w:rsid w:val="00856233"/>
    <w:rsid w:val="00857763"/>
    <w:rsid w:val="00860F27"/>
    <w:rsid w:val="00863E51"/>
    <w:rsid w:val="008764D0"/>
    <w:rsid w:val="008B0560"/>
    <w:rsid w:val="008B2BFA"/>
    <w:rsid w:val="008F44CB"/>
    <w:rsid w:val="009018EF"/>
    <w:rsid w:val="009134BB"/>
    <w:rsid w:val="0091721D"/>
    <w:rsid w:val="009178FC"/>
    <w:rsid w:val="00926F57"/>
    <w:rsid w:val="00935B76"/>
    <w:rsid w:val="00936F03"/>
    <w:rsid w:val="00943528"/>
    <w:rsid w:val="00943B69"/>
    <w:rsid w:val="00944CB3"/>
    <w:rsid w:val="009B09D7"/>
    <w:rsid w:val="009C72E7"/>
    <w:rsid w:val="009D35ED"/>
    <w:rsid w:val="00A03CB6"/>
    <w:rsid w:val="00A1364C"/>
    <w:rsid w:val="00A21076"/>
    <w:rsid w:val="00A3739A"/>
    <w:rsid w:val="00A52DAF"/>
    <w:rsid w:val="00A84072"/>
    <w:rsid w:val="00AF3118"/>
    <w:rsid w:val="00AF485A"/>
    <w:rsid w:val="00B16570"/>
    <w:rsid w:val="00B315E9"/>
    <w:rsid w:val="00B44B82"/>
    <w:rsid w:val="00B45830"/>
    <w:rsid w:val="00B53320"/>
    <w:rsid w:val="00B61858"/>
    <w:rsid w:val="00BC6522"/>
    <w:rsid w:val="00BE1905"/>
    <w:rsid w:val="00C121D5"/>
    <w:rsid w:val="00C134D9"/>
    <w:rsid w:val="00C17349"/>
    <w:rsid w:val="00C351AA"/>
    <w:rsid w:val="00C5002F"/>
    <w:rsid w:val="00C523D7"/>
    <w:rsid w:val="00C7253F"/>
    <w:rsid w:val="00C82A73"/>
    <w:rsid w:val="00C91F60"/>
    <w:rsid w:val="00CA5EDE"/>
    <w:rsid w:val="00CB0C9D"/>
    <w:rsid w:val="00CB680D"/>
    <w:rsid w:val="00CF3807"/>
    <w:rsid w:val="00D26A05"/>
    <w:rsid w:val="00D26FA6"/>
    <w:rsid w:val="00D322E0"/>
    <w:rsid w:val="00D32465"/>
    <w:rsid w:val="00D35B2A"/>
    <w:rsid w:val="00D622D8"/>
    <w:rsid w:val="00D94F15"/>
    <w:rsid w:val="00D97B98"/>
    <w:rsid w:val="00DC04B1"/>
    <w:rsid w:val="00DC671F"/>
    <w:rsid w:val="00DE4DA7"/>
    <w:rsid w:val="00E26C88"/>
    <w:rsid w:val="00E30BC9"/>
    <w:rsid w:val="00E31647"/>
    <w:rsid w:val="00E33B38"/>
    <w:rsid w:val="00E47FE5"/>
    <w:rsid w:val="00E574AF"/>
    <w:rsid w:val="00E61599"/>
    <w:rsid w:val="00EB749C"/>
    <w:rsid w:val="00F714DA"/>
    <w:rsid w:val="00F90004"/>
    <w:rsid w:val="00FB432F"/>
    <w:rsid w:val="00FB456B"/>
    <w:rsid w:val="00FB5E40"/>
    <w:rsid w:val="00FD51EE"/>
    <w:rsid w:val="00FE3AA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E1CC7"/>
  <w15:docId w15:val="{0201F16D-936A-429E-8D39-D568BD5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64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</w:rPr>
  </w:style>
  <w:style w:type="paragraph" w:styleId="1">
    <w:name w:val="heading 1"/>
    <w:basedOn w:val="a"/>
    <w:next w:val="a"/>
    <w:link w:val="10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61599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  <w:outlineLvl w:val="0"/>
    </w:pPr>
    <w:rPr>
      <w:rFonts w:eastAsia="黑体"/>
      <w:snapToGrid/>
      <w:sz w:val="34"/>
      <w:szCs w:val="34"/>
    </w:rPr>
  </w:style>
  <w:style w:type="paragraph" w:customStyle="1" w:styleId="HChGC">
    <w:name w:val="_ H _Ch_GC"/>
    <w:basedOn w:val="a"/>
    <w:next w:val="a"/>
    <w:qFormat/>
    <w:rsid w:val="00E61599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  <w:outlineLvl w:val="1"/>
    </w:pPr>
    <w:rPr>
      <w:rFonts w:eastAsia="黑体"/>
      <w:snapToGrid/>
      <w:sz w:val="28"/>
      <w:szCs w:val="28"/>
    </w:rPr>
  </w:style>
  <w:style w:type="paragraph" w:customStyle="1" w:styleId="H1GC">
    <w:name w:val="_ H_1_GC"/>
    <w:basedOn w:val="a"/>
    <w:next w:val="a"/>
    <w:qFormat/>
    <w:rsid w:val="00E61599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  <w:outlineLvl w:val="2"/>
    </w:pPr>
    <w:rPr>
      <w:rFonts w:eastAsia="黑体"/>
      <w:snapToGrid/>
      <w:sz w:val="24"/>
      <w:szCs w:val="24"/>
    </w:rPr>
  </w:style>
  <w:style w:type="paragraph" w:customStyle="1" w:styleId="H23GC">
    <w:name w:val="_ H_2/3_GC"/>
    <w:basedOn w:val="a"/>
    <w:next w:val="a"/>
    <w:qFormat/>
    <w:rsid w:val="00E61599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CA5EDE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4"/>
    </w:pPr>
    <w:rPr>
      <w:rFonts w:eastAsia="楷体_GB2312"/>
      <w:snapToGrid/>
      <w:sz w:val="23"/>
      <w:szCs w:val="23"/>
    </w:rPr>
  </w:style>
  <w:style w:type="paragraph" w:customStyle="1" w:styleId="H56GC">
    <w:name w:val="_ H_5/6_GC"/>
    <w:basedOn w:val="a"/>
    <w:next w:val="a"/>
    <w:qFormat/>
    <w:rsid w:val="00CA5EDE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5"/>
    </w:pPr>
    <w:rPr>
      <w:snapToGrid/>
      <w:szCs w:val="21"/>
    </w:rPr>
  </w:style>
  <w:style w:type="paragraph" w:customStyle="1" w:styleId="SingleTxtGC">
    <w:name w:val="_ Single Txt_GC"/>
    <w:basedOn w:val="a"/>
    <w:link w:val="SingleTxtGCChar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C17349"/>
    <w:rPr>
      <w:snapToGrid w:val="0"/>
      <w:sz w:val="21"/>
      <w:szCs w:val="21"/>
    </w:rPr>
  </w:style>
  <w:style w:type="paragraph" w:customStyle="1" w:styleId="SLGC">
    <w:name w:val="__S_L_GC"/>
    <w:basedOn w:val="a"/>
    <w:next w:val="a"/>
    <w:qFormat/>
    <w:rsid w:val="00C17349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8B0560"/>
    <w:pPr>
      <w:keepNext/>
      <w:keepLines/>
      <w:spacing w:before="240" w:after="240" w:line="300" w:lineRule="exact"/>
      <w:ind w:left="1134" w:right="1134"/>
    </w:pPr>
    <w:rPr>
      <w:rFonts w:eastAsia="黑体"/>
      <w:sz w:val="28"/>
    </w:rPr>
  </w:style>
  <w:style w:type="paragraph" w:customStyle="1" w:styleId="XLargeGC">
    <w:name w:val="__XLarge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C17349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C17349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C17349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5">
    <w:name w:val="表中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a6">
    <w:name w:val="footnote text"/>
    <w:aliases w:val="5_G"/>
    <w:basedOn w:val="a"/>
    <w:link w:val="a7"/>
    <w:qFormat/>
    <w:rsid w:val="003F27E8"/>
    <w:pPr>
      <w:keepLines/>
      <w:widowControl w:val="0"/>
      <w:tabs>
        <w:tab w:val="clear" w:pos="431"/>
        <w:tab w:val="right" w:pos="1021"/>
      </w:tabs>
      <w:spacing w:after="120" w:line="240" w:lineRule="exact"/>
      <w:ind w:left="1134" w:right="1134" w:hanging="1134"/>
      <w:jc w:val="left"/>
    </w:pPr>
    <w:rPr>
      <w:snapToGrid/>
      <w:sz w:val="18"/>
      <w:szCs w:val="18"/>
    </w:rPr>
  </w:style>
  <w:style w:type="character" w:customStyle="1" w:styleId="a7">
    <w:name w:val="脚注文本 字符"/>
    <w:aliases w:val="5_G 字符"/>
    <w:basedOn w:val="a0"/>
    <w:link w:val="a6"/>
    <w:rsid w:val="003F27E8"/>
    <w:rPr>
      <w:sz w:val="18"/>
      <w:szCs w:val="18"/>
    </w:rPr>
  </w:style>
  <w:style w:type="character" w:styleId="a8">
    <w:name w:val="footnote reference"/>
    <w:basedOn w:val="a0"/>
    <w:qFormat/>
    <w:rsid w:val="00551C33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9">
    <w:name w:val="目录段页次"/>
    <w:basedOn w:val="a"/>
    <w:qFormat/>
    <w:rsid w:val="00FD51EE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a">
    <w:name w:val="目录页次"/>
    <w:basedOn w:val="a"/>
    <w:qFormat/>
    <w:rsid w:val="003F27E8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b">
    <w:name w:val="缩进正文"/>
    <w:basedOn w:val="a"/>
    <w:qFormat/>
    <w:rsid w:val="003F27E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  <w:rPr>
      <w:szCs w:val="21"/>
    </w:rPr>
  </w:style>
  <w:style w:type="paragraph" w:styleId="ac">
    <w:name w:val="endnote text"/>
    <w:basedOn w:val="a"/>
    <w:link w:val="ad"/>
    <w:qFormat/>
    <w:rsid w:val="003F27E8"/>
    <w:pPr>
      <w:tabs>
        <w:tab w:val="clear" w:pos="431"/>
        <w:tab w:val="right" w:pos="1021"/>
      </w:tabs>
    </w:pPr>
    <w:rPr>
      <w:sz w:val="18"/>
    </w:rPr>
  </w:style>
  <w:style w:type="character" w:customStyle="1" w:styleId="ad">
    <w:name w:val="尾注文本 字符"/>
    <w:basedOn w:val="a0"/>
    <w:link w:val="ac"/>
    <w:rsid w:val="003F27E8"/>
    <w:rPr>
      <w:snapToGrid w:val="0"/>
      <w:sz w:val="18"/>
    </w:rPr>
  </w:style>
  <w:style w:type="character" w:styleId="ae">
    <w:name w:val="endnote reference"/>
    <w:basedOn w:val="a0"/>
    <w:qFormat/>
    <w:rsid w:val="00551C33"/>
    <w:rPr>
      <w:rFonts w:ascii="Times New Roman" w:eastAsia="Times New Roman" w:hAnsi="Times New Roman"/>
      <w:caps w:val="0"/>
      <w:smallCaps w:val="0"/>
      <w:strike w:val="0"/>
      <w:dstrike w:val="0"/>
      <w:snapToGrid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">
    <w:name w:val="悬挂"/>
    <w:basedOn w:val="a"/>
    <w:qFormat/>
    <w:rsid w:val="00D97B9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f0">
    <w:name w:val="footer"/>
    <w:basedOn w:val="a"/>
    <w:link w:val="af1"/>
    <w:qFormat/>
    <w:rsid w:val="005F00C7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1">
    <w:name w:val="页脚 字符"/>
    <w:basedOn w:val="a0"/>
    <w:link w:val="af0"/>
    <w:rsid w:val="005F00C7"/>
    <w:rPr>
      <w:rFonts w:eastAsia="Times New Roman"/>
      <w:snapToGrid w:val="0"/>
      <w:sz w:val="16"/>
      <w:szCs w:val="16"/>
      <w:lang w:val="en-GB" w:eastAsia="en-US"/>
    </w:rPr>
  </w:style>
  <w:style w:type="character" w:styleId="af2">
    <w:name w:val="page number"/>
    <w:basedOn w:val="a0"/>
    <w:qFormat/>
    <w:rsid w:val="005F00C7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af3">
    <w:name w:val="header"/>
    <w:basedOn w:val="a"/>
    <w:link w:val="af4"/>
    <w:qFormat/>
    <w:rsid w:val="005F00C7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af4">
    <w:name w:val="页眉 字符"/>
    <w:basedOn w:val="a0"/>
    <w:link w:val="af3"/>
    <w:rsid w:val="005F00C7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0">
    <w:name w:val="标题 1 字符"/>
    <w:basedOn w:val="a0"/>
    <w:link w:val="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sid w:val="008B0560"/>
    <w:pPr>
      <w:spacing w:after="200"/>
    </w:pPr>
    <w:rPr>
      <w:rFonts w:asciiTheme="minorHAnsi" w:eastAsiaTheme="minorEastAsia" w:hAnsiTheme="minorHAnsi"/>
      <w:b/>
      <w:bCs/>
      <w:snapToGrid/>
      <w:color w:val="4F81BD" w:themeColor="accent1"/>
      <w:sz w:val="18"/>
      <w:szCs w:val="18"/>
    </w:rPr>
  </w:style>
  <w:style w:type="paragraph" w:styleId="TOC">
    <w:name w:val="TOC Heading"/>
    <w:basedOn w:val="1"/>
    <w:next w:val="a"/>
    <w:uiPriority w:val="39"/>
    <w:semiHidden/>
    <w:qFormat/>
    <w:rsid w:val="008B0560"/>
    <w:pPr>
      <w:outlineLvl w:val="9"/>
    </w:pPr>
  </w:style>
  <w:style w:type="paragraph" w:styleId="af6">
    <w:name w:val="Balloon Text"/>
    <w:basedOn w:val="a"/>
    <w:link w:val="af7"/>
    <w:uiPriority w:val="99"/>
    <w:semiHidden/>
    <w:rsid w:val="009B09D7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153E86"/>
    <w:rPr>
      <w:rFonts w:ascii="Times New Roman" w:eastAsia="宋体" w:hAnsi="Times New Roman" w:cs="Times New Roman"/>
      <w:snapToGrid w:val="0"/>
      <w:sz w:val="18"/>
      <w:szCs w:val="18"/>
    </w:rPr>
  </w:style>
  <w:style w:type="character" w:styleId="af8">
    <w:name w:val="Placeholder Text"/>
    <w:basedOn w:val="a0"/>
    <w:uiPriority w:val="99"/>
    <w:semiHidden/>
    <w:rsid w:val="00680656"/>
    <w:rPr>
      <w:color w:val="808080"/>
    </w:rPr>
  </w:style>
  <w:style w:type="character" w:styleId="af9">
    <w:name w:val="Hyperlink"/>
    <w:semiHidden/>
    <w:rsid w:val="00645F38"/>
    <w:rPr>
      <w:color w:val="auto"/>
      <w:u w:val="none"/>
    </w:rPr>
  </w:style>
  <w:style w:type="paragraph" w:customStyle="1" w:styleId="HChG">
    <w:name w:val="_ H _Ch_G"/>
    <w:basedOn w:val="a"/>
    <w:next w:val="a"/>
    <w:rsid w:val="00566EA5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360" w:after="240" w:line="300" w:lineRule="exact"/>
      <w:ind w:left="1134" w:right="1134" w:hanging="1134"/>
      <w:jc w:val="left"/>
    </w:pPr>
    <w:rPr>
      <w:b/>
      <w:snapToGrid/>
      <w:sz w:val="28"/>
      <w:lang w:val="en-GB" w:eastAsia="en-US"/>
    </w:rPr>
  </w:style>
  <w:style w:type="paragraph" w:customStyle="1" w:styleId="SingleTxtG">
    <w:name w:val="_ Single Txt_G"/>
    <w:basedOn w:val="a"/>
    <w:link w:val="SingleTxtGChar"/>
    <w:rsid w:val="00566EA5"/>
    <w:pPr>
      <w:tabs>
        <w:tab w:val="clear" w:pos="431"/>
      </w:tabs>
      <w:suppressAutoHyphens/>
      <w:overflowPunct/>
      <w:adjustRightInd/>
      <w:snapToGrid/>
      <w:spacing w:after="120" w:line="240" w:lineRule="atLeast"/>
      <w:ind w:left="1134" w:right="1134"/>
    </w:pPr>
    <w:rPr>
      <w:snapToGrid/>
      <w:sz w:val="20"/>
      <w:lang w:val="en-GB" w:eastAsia="en-US"/>
    </w:rPr>
  </w:style>
  <w:style w:type="paragraph" w:customStyle="1" w:styleId="H1G">
    <w:name w:val="_ H_1_G"/>
    <w:basedOn w:val="a"/>
    <w:next w:val="a"/>
    <w:rsid w:val="00566EA5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360" w:after="240" w:line="270" w:lineRule="exact"/>
      <w:ind w:left="1134" w:right="1134" w:hanging="1134"/>
      <w:jc w:val="left"/>
    </w:pPr>
    <w:rPr>
      <w:b/>
      <w:snapToGrid/>
      <w:sz w:val="24"/>
      <w:lang w:val="en-GB" w:eastAsia="en-US"/>
    </w:rPr>
  </w:style>
  <w:style w:type="paragraph" w:customStyle="1" w:styleId="H23G">
    <w:name w:val="_ H_2/3_G"/>
    <w:basedOn w:val="a"/>
    <w:next w:val="a"/>
    <w:rsid w:val="00566EA5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240" w:after="120" w:line="240" w:lineRule="exact"/>
      <w:ind w:left="1134" w:right="1134" w:hanging="1134"/>
      <w:jc w:val="left"/>
    </w:pPr>
    <w:rPr>
      <w:b/>
      <w:snapToGrid/>
      <w:sz w:val="20"/>
      <w:lang w:val="en-GB" w:eastAsia="en-US"/>
    </w:rPr>
  </w:style>
  <w:style w:type="character" w:customStyle="1" w:styleId="SingleTxtGChar">
    <w:name w:val="_ Single Txt_G Char"/>
    <w:link w:val="SingleTxtG"/>
    <w:locked/>
    <w:rsid w:val="00566EA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RP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1676-0EBE-4A50-B392-136B8142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G:\WORD\OFFICE2016\CoverPages\CRPD.dotm</Template>
  <TotalTime>131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CRPD/C/MMR/CO/1</vt:lpstr>
    </vt:vector>
  </TitlesOfParts>
  <Company>DCM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CRPD/C/MMR/CO/1</dc:title>
  <dc:subject>1918305</dc:subject>
  <dc:creator>Xiaoling</dc:creator>
  <cp:keywords/>
  <dc:description/>
  <cp:lastModifiedBy>Lina Liu</cp:lastModifiedBy>
  <cp:revision>12</cp:revision>
  <cp:lastPrinted>2014-05-09T11:28:00Z</cp:lastPrinted>
  <dcterms:created xsi:type="dcterms:W3CDTF">2020-07-14T14:47:00Z</dcterms:created>
  <dcterms:modified xsi:type="dcterms:W3CDTF">2023-11-04T14:54:00Z</dcterms:modified>
</cp:coreProperties>
</file>