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470A3C" w:rsidRPr="00470A3C" w14:paraId="4916B6AB" w14:textId="77777777" w:rsidTr="00950CB1">
        <w:trPr>
          <w:cantSplit/>
          <w:trHeight w:hRule="exact" w:val="851"/>
        </w:trPr>
        <w:tc>
          <w:tcPr>
            <w:tcW w:w="1276" w:type="dxa"/>
            <w:tcBorders>
              <w:bottom w:val="single" w:sz="4" w:space="0" w:color="auto"/>
            </w:tcBorders>
            <w:shd w:val="clear" w:color="auto" w:fill="auto"/>
            <w:vAlign w:val="bottom"/>
          </w:tcPr>
          <w:p w14:paraId="36382C43" w14:textId="77777777" w:rsidR="00B56E9C" w:rsidRPr="00470A3C" w:rsidRDefault="00B56E9C" w:rsidP="00950CB1">
            <w:pPr>
              <w:pStyle w:val="SingleTxtG"/>
            </w:pPr>
          </w:p>
        </w:tc>
        <w:tc>
          <w:tcPr>
            <w:tcW w:w="2268" w:type="dxa"/>
            <w:tcBorders>
              <w:bottom w:val="single" w:sz="4" w:space="0" w:color="auto"/>
            </w:tcBorders>
            <w:shd w:val="clear" w:color="auto" w:fill="auto"/>
            <w:vAlign w:val="bottom"/>
          </w:tcPr>
          <w:p w14:paraId="2406E9FF" w14:textId="77777777" w:rsidR="00B56E9C" w:rsidRPr="00470A3C" w:rsidRDefault="001A25D2" w:rsidP="00950CB1">
            <w:pPr>
              <w:spacing w:after="80" w:line="300" w:lineRule="exact"/>
              <w:rPr>
                <w:rFonts w:eastAsia="黑体"/>
                <w:b/>
                <w:sz w:val="24"/>
                <w:szCs w:val="24"/>
              </w:rPr>
            </w:pPr>
            <w:r w:rsidRPr="00470A3C">
              <w:rPr>
                <w:rFonts w:eastAsia="黑体" w:hint="eastAsia"/>
                <w:sz w:val="28"/>
                <w:szCs w:val="28"/>
              </w:rPr>
              <w:t>联</w:t>
            </w:r>
            <w:r w:rsidRPr="00470A3C">
              <w:rPr>
                <w:rFonts w:eastAsia="黑体" w:hint="eastAsia"/>
                <w:sz w:val="28"/>
                <w:szCs w:val="28"/>
              </w:rPr>
              <w:t xml:space="preserve"> </w:t>
            </w:r>
            <w:r w:rsidRPr="00470A3C">
              <w:rPr>
                <w:rFonts w:eastAsia="黑体" w:hint="eastAsia"/>
                <w:sz w:val="28"/>
                <w:szCs w:val="28"/>
              </w:rPr>
              <w:t>合</w:t>
            </w:r>
            <w:r w:rsidRPr="00470A3C">
              <w:rPr>
                <w:rFonts w:eastAsia="黑体" w:hint="eastAsia"/>
                <w:sz w:val="28"/>
                <w:szCs w:val="28"/>
              </w:rPr>
              <w:t xml:space="preserve"> </w:t>
            </w:r>
            <w:r w:rsidRPr="00470A3C">
              <w:rPr>
                <w:rFonts w:eastAsia="黑体" w:hint="eastAsia"/>
                <w:sz w:val="28"/>
                <w:szCs w:val="28"/>
              </w:rPr>
              <w:t>国</w:t>
            </w:r>
          </w:p>
        </w:tc>
        <w:tc>
          <w:tcPr>
            <w:tcW w:w="6095" w:type="dxa"/>
            <w:gridSpan w:val="2"/>
            <w:tcBorders>
              <w:bottom w:val="single" w:sz="4" w:space="0" w:color="auto"/>
            </w:tcBorders>
            <w:shd w:val="clear" w:color="auto" w:fill="auto"/>
            <w:vAlign w:val="bottom"/>
          </w:tcPr>
          <w:p w14:paraId="384BA571" w14:textId="77777777" w:rsidR="00B56E9C" w:rsidRPr="00470A3C" w:rsidRDefault="00B56E9C" w:rsidP="00950CB1">
            <w:pPr>
              <w:suppressAutoHyphens w:val="0"/>
              <w:spacing w:after="20"/>
              <w:jc w:val="right"/>
            </w:pPr>
          </w:p>
        </w:tc>
      </w:tr>
      <w:tr w:rsidR="00470A3C" w:rsidRPr="00470A3C" w14:paraId="4BB4401B" w14:textId="77777777" w:rsidTr="001A25D2">
        <w:trPr>
          <w:cantSplit/>
          <w:trHeight w:hRule="exact" w:val="2835"/>
        </w:trPr>
        <w:tc>
          <w:tcPr>
            <w:tcW w:w="1276" w:type="dxa"/>
            <w:tcBorders>
              <w:top w:val="single" w:sz="4" w:space="0" w:color="auto"/>
              <w:bottom w:val="single" w:sz="12" w:space="0" w:color="auto"/>
            </w:tcBorders>
            <w:shd w:val="clear" w:color="auto" w:fill="auto"/>
          </w:tcPr>
          <w:p w14:paraId="076A9711" w14:textId="77777777" w:rsidR="00B56E9C" w:rsidRPr="00470A3C" w:rsidRDefault="00CE57BB" w:rsidP="00950CB1">
            <w:pPr>
              <w:spacing w:before="120"/>
              <w:jc w:val="center"/>
            </w:pPr>
            <w:r w:rsidRPr="00470A3C">
              <w:rPr>
                <w:noProof/>
                <w:lang w:val="en-US" w:eastAsia="zh-CN"/>
              </w:rPr>
              <w:drawing>
                <wp:inline distT="0" distB="0" distL="0" distR="0" wp14:anchorId="53CD9B9E" wp14:editId="11D7D93D">
                  <wp:extent cx="714375" cy="591185"/>
                  <wp:effectExtent l="0" t="0" r="9525"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1185"/>
                          </a:xfrm>
                          <a:prstGeom prst="rect">
                            <a:avLst/>
                          </a:prstGeom>
                          <a:noFill/>
                          <a:ln>
                            <a:noFill/>
                          </a:ln>
                        </pic:spPr>
                      </pic:pic>
                    </a:graphicData>
                  </a:graphic>
                </wp:inline>
              </w:drawing>
            </w:r>
          </w:p>
        </w:tc>
        <w:tc>
          <w:tcPr>
            <w:tcW w:w="5528" w:type="dxa"/>
            <w:gridSpan w:val="2"/>
            <w:tcBorders>
              <w:top w:val="single" w:sz="4" w:space="0" w:color="auto"/>
              <w:bottom w:val="single" w:sz="4" w:space="0" w:color="auto"/>
            </w:tcBorders>
            <w:shd w:val="clear" w:color="auto" w:fill="auto"/>
          </w:tcPr>
          <w:p w14:paraId="1F320B98" w14:textId="77777777" w:rsidR="001A25D2" w:rsidRPr="00470A3C" w:rsidRDefault="001A25D2" w:rsidP="001A25D2">
            <w:pPr>
              <w:spacing w:before="120" w:line="380" w:lineRule="exact"/>
              <w:rPr>
                <w:rFonts w:eastAsia="黑体"/>
                <w:bCs/>
                <w:sz w:val="34"/>
                <w:szCs w:val="40"/>
                <w:lang w:eastAsia="zh-CN"/>
              </w:rPr>
            </w:pPr>
            <w:r w:rsidRPr="00470A3C">
              <w:rPr>
                <w:rFonts w:eastAsia="黑体" w:hint="eastAsia"/>
                <w:bCs/>
                <w:sz w:val="34"/>
                <w:szCs w:val="40"/>
                <w:lang w:eastAsia="zh-CN"/>
              </w:rPr>
              <w:t>消除一切形式</w:t>
            </w:r>
          </w:p>
          <w:p w14:paraId="5DF38455" w14:textId="77777777" w:rsidR="00B56E9C" w:rsidRPr="00470A3C" w:rsidRDefault="001A25D2" w:rsidP="001A25D2">
            <w:pPr>
              <w:spacing w:before="120" w:line="380" w:lineRule="exact"/>
              <w:rPr>
                <w:b/>
                <w:sz w:val="34"/>
                <w:szCs w:val="40"/>
                <w:lang w:eastAsia="zh-CN"/>
              </w:rPr>
            </w:pPr>
            <w:r w:rsidRPr="00470A3C">
              <w:rPr>
                <w:rFonts w:eastAsia="黑体" w:hint="eastAsia"/>
                <w:bCs/>
                <w:sz w:val="34"/>
                <w:szCs w:val="40"/>
                <w:lang w:eastAsia="zh-CN"/>
              </w:rPr>
              <w:t>种族歧视国际公约</w:t>
            </w:r>
          </w:p>
        </w:tc>
        <w:tc>
          <w:tcPr>
            <w:tcW w:w="2835" w:type="dxa"/>
            <w:tcBorders>
              <w:top w:val="single" w:sz="4" w:space="0" w:color="auto"/>
              <w:bottom w:val="single" w:sz="12" w:space="0" w:color="auto"/>
            </w:tcBorders>
            <w:shd w:val="clear" w:color="auto" w:fill="auto"/>
          </w:tcPr>
          <w:p w14:paraId="6228A0F8" w14:textId="77777777" w:rsidR="00B56E9C" w:rsidRPr="00470A3C" w:rsidRDefault="00B56E9C" w:rsidP="00950CB1">
            <w:pPr>
              <w:suppressAutoHyphens w:val="0"/>
              <w:rPr>
                <w:lang w:eastAsia="zh-CN"/>
              </w:rPr>
            </w:pPr>
          </w:p>
        </w:tc>
      </w:tr>
    </w:tbl>
    <w:p w14:paraId="5D0C28DE" w14:textId="77777777" w:rsidR="00A91349" w:rsidRPr="00470A3C" w:rsidRDefault="001A25D2" w:rsidP="001A25D2">
      <w:pPr>
        <w:spacing w:before="120"/>
        <w:rPr>
          <w:rFonts w:eastAsia="黑体"/>
          <w:bCs/>
          <w:sz w:val="24"/>
          <w:szCs w:val="24"/>
          <w:lang w:val="en-US" w:eastAsia="zh-CN"/>
        </w:rPr>
      </w:pPr>
      <w:r w:rsidRPr="00470A3C">
        <w:rPr>
          <w:rFonts w:eastAsia="黑体" w:hint="eastAsia"/>
          <w:bCs/>
          <w:sz w:val="24"/>
          <w:szCs w:val="24"/>
          <w:lang w:eastAsia="zh-CN"/>
        </w:rPr>
        <w:t>消除种族歧视委员会</w:t>
      </w:r>
    </w:p>
    <w:p w14:paraId="3688BD6B" w14:textId="77777777" w:rsidR="00AB3CC5" w:rsidRPr="00470A3C" w:rsidRDefault="00A91349" w:rsidP="00AB3CC5">
      <w:pPr>
        <w:pStyle w:val="HChG"/>
        <w:rPr>
          <w:rFonts w:eastAsia="黑体"/>
          <w:lang w:eastAsia="zh-CN"/>
        </w:rPr>
      </w:pPr>
      <w:r w:rsidRPr="00470A3C">
        <w:rPr>
          <w:lang w:eastAsia="zh-CN"/>
        </w:rPr>
        <w:tab/>
      </w:r>
      <w:r w:rsidRPr="00470A3C">
        <w:rPr>
          <w:lang w:eastAsia="zh-CN"/>
        </w:rPr>
        <w:tab/>
      </w:r>
      <w:r w:rsidR="004F6E79" w:rsidRPr="00470A3C">
        <w:rPr>
          <w:rFonts w:eastAsia="黑体" w:hint="eastAsia"/>
          <w:b w:val="0"/>
          <w:bCs/>
          <w:sz w:val="24"/>
          <w:szCs w:val="24"/>
          <w:lang w:eastAsia="zh-CN"/>
        </w:rPr>
        <w:t>关于</w:t>
      </w:r>
      <w:r w:rsidR="00AB3CC5" w:rsidRPr="00470A3C">
        <w:rPr>
          <w:rFonts w:eastAsia="黑体" w:hint="eastAsia"/>
          <w:b w:val="0"/>
          <w:bCs/>
          <w:sz w:val="24"/>
          <w:szCs w:val="24"/>
          <w:lang w:eastAsia="zh-CN"/>
        </w:rPr>
        <w:t>秘鲁第八次定期报告的结论性意见</w:t>
      </w:r>
      <w:r w:rsidR="00AB3CC5" w:rsidRPr="00470A3C">
        <w:rPr>
          <w:rStyle w:val="ac"/>
          <w:rFonts w:eastAsia="黑体"/>
          <w:b w:val="0"/>
          <w:sz w:val="20"/>
          <w:vertAlign w:val="baseline"/>
          <w:lang w:eastAsia="zh-CN"/>
        </w:rPr>
        <w:footnoteReference w:customMarkFollows="1" w:id="2"/>
        <w:t>*</w:t>
      </w:r>
    </w:p>
    <w:p w14:paraId="36D77382" w14:textId="513F5ACA" w:rsidR="001A25D2" w:rsidRPr="00470A3C" w:rsidRDefault="001A25D2" w:rsidP="00E3089B">
      <w:pPr>
        <w:pStyle w:val="HChG"/>
        <w:ind w:left="2268"/>
        <w:rPr>
          <w:rFonts w:eastAsia="黑体"/>
          <w:lang w:eastAsia="zh-CN"/>
        </w:rPr>
      </w:pPr>
      <w:r w:rsidRPr="00470A3C">
        <w:rPr>
          <w:rFonts w:eastAsia="黑体" w:hint="eastAsia"/>
          <w:b w:val="0"/>
          <w:bCs/>
          <w:sz w:val="24"/>
          <w:szCs w:val="24"/>
          <w:lang w:eastAsia="zh-CN"/>
        </w:rPr>
        <w:t>关于</w:t>
      </w:r>
      <w:r w:rsidR="004F6E79" w:rsidRPr="00470A3C">
        <w:rPr>
          <w:rFonts w:eastAsia="黑体" w:hint="eastAsia"/>
          <w:b w:val="0"/>
          <w:bCs/>
          <w:sz w:val="24"/>
          <w:szCs w:val="24"/>
          <w:lang w:eastAsia="zh-CN"/>
        </w:rPr>
        <w:t>新西兰第二十一至第二十二次合并定期报告</w:t>
      </w:r>
      <w:r w:rsidRPr="00470A3C">
        <w:rPr>
          <w:rFonts w:eastAsia="黑体" w:hint="eastAsia"/>
          <w:b w:val="0"/>
          <w:bCs/>
          <w:sz w:val="24"/>
          <w:szCs w:val="24"/>
          <w:lang w:eastAsia="zh-CN"/>
        </w:rPr>
        <w:t>的结论性意见</w:t>
      </w:r>
    </w:p>
    <w:p w14:paraId="02772091" w14:textId="1A366EA1" w:rsidR="001A25D2" w:rsidRPr="00470A3C" w:rsidRDefault="001A25D2" w:rsidP="001B0060">
      <w:pPr>
        <w:pStyle w:val="SingleTxtG"/>
        <w:rPr>
          <w:lang w:eastAsia="zh-CN"/>
        </w:rPr>
      </w:pPr>
      <w:r w:rsidRPr="00470A3C">
        <w:rPr>
          <w:bCs/>
          <w:lang w:eastAsia="zh-CN"/>
        </w:rPr>
        <w:t>1.</w:t>
      </w:r>
      <w:r w:rsidRPr="00470A3C">
        <w:rPr>
          <w:bCs/>
          <w:lang w:eastAsia="zh-CN"/>
        </w:rPr>
        <w:tab/>
      </w:r>
      <w:r w:rsidR="00B561A9" w:rsidRPr="00470A3C">
        <w:rPr>
          <w:rFonts w:hint="eastAsia"/>
          <w:lang w:eastAsia="zh-CN"/>
        </w:rPr>
        <w:t>委员会在</w:t>
      </w:r>
      <w:r w:rsidR="00B561A9" w:rsidRPr="00470A3C">
        <w:rPr>
          <w:lang w:eastAsia="zh-CN"/>
        </w:rPr>
        <w:t>2017</w:t>
      </w:r>
      <w:r w:rsidR="00B561A9" w:rsidRPr="00470A3C">
        <w:rPr>
          <w:rFonts w:hint="eastAsia"/>
          <w:lang w:eastAsia="zh-CN"/>
        </w:rPr>
        <w:t>年</w:t>
      </w:r>
      <w:r w:rsidR="00B561A9" w:rsidRPr="00470A3C">
        <w:rPr>
          <w:lang w:eastAsia="zh-CN"/>
        </w:rPr>
        <w:t>8</w:t>
      </w:r>
      <w:r w:rsidR="00B561A9" w:rsidRPr="00470A3C">
        <w:rPr>
          <w:rFonts w:hint="eastAsia"/>
          <w:lang w:eastAsia="zh-CN"/>
        </w:rPr>
        <w:t>月</w:t>
      </w:r>
      <w:r w:rsidR="00B561A9" w:rsidRPr="00470A3C">
        <w:rPr>
          <w:lang w:eastAsia="zh-CN"/>
        </w:rPr>
        <w:t>15</w:t>
      </w:r>
      <w:r w:rsidR="00B561A9" w:rsidRPr="00470A3C">
        <w:rPr>
          <w:rFonts w:hint="eastAsia"/>
          <w:lang w:eastAsia="zh-CN"/>
        </w:rPr>
        <w:t>日和</w:t>
      </w:r>
      <w:r w:rsidR="00B561A9" w:rsidRPr="00470A3C">
        <w:rPr>
          <w:lang w:eastAsia="zh-CN"/>
        </w:rPr>
        <w:t>16</w:t>
      </w:r>
      <w:r w:rsidR="00B561A9" w:rsidRPr="00470A3C">
        <w:rPr>
          <w:rFonts w:hint="eastAsia"/>
          <w:lang w:eastAsia="zh-CN"/>
        </w:rPr>
        <w:t>日举行的第</w:t>
      </w:r>
      <w:r w:rsidR="00B561A9" w:rsidRPr="00470A3C">
        <w:rPr>
          <w:lang w:eastAsia="zh-CN"/>
        </w:rPr>
        <w:t>2568</w:t>
      </w:r>
      <w:r w:rsidR="00B561A9" w:rsidRPr="00470A3C">
        <w:rPr>
          <w:rFonts w:hint="eastAsia"/>
          <w:lang w:eastAsia="zh-CN"/>
        </w:rPr>
        <w:t>和第</w:t>
      </w:r>
      <w:r w:rsidR="00B561A9" w:rsidRPr="00470A3C">
        <w:rPr>
          <w:lang w:eastAsia="zh-CN"/>
        </w:rPr>
        <w:t>2569</w:t>
      </w:r>
      <w:r w:rsidR="00B561A9" w:rsidRPr="00470A3C">
        <w:rPr>
          <w:rFonts w:hint="eastAsia"/>
          <w:lang w:eastAsia="zh-CN"/>
        </w:rPr>
        <w:t>次会议</w:t>
      </w:r>
      <w:r w:rsidR="00B561A9" w:rsidRPr="00470A3C">
        <w:rPr>
          <w:rFonts w:hint="eastAsia"/>
          <w:lang w:eastAsia="zh-CN"/>
        </w:rPr>
        <w:t>(</w:t>
      </w:r>
      <w:r w:rsidR="00B561A9" w:rsidRPr="00470A3C">
        <w:rPr>
          <w:rFonts w:hint="eastAsia"/>
          <w:lang w:eastAsia="zh-CN"/>
        </w:rPr>
        <w:t>见</w:t>
      </w:r>
      <w:r w:rsidR="00B561A9" w:rsidRPr="00470A3C">
        <w:rPr>
          <w:lang w:eastAsia="zh-CN"/>
        </w:rPr>
        <w:t>CERD/C/SR.2568</w:t>
      </w:r>
      <w:r w:rsidR="00B561A9" w:rsidRPr="00470A3C">
        <w:rPr>
          <w:rFonts w:hint="eastAsia"/>
          <w:lang w:eastAsia="zh-CN"/>
        </w:rPr>
        <w:t>和</w:t>
      </w:r>
      <w:r w:rsidR="00B561A9" w:rsidRPr="00470A3C">
        <w:rPr>
          <w:lang w:eastAsia="zh-CN"/>
        </w:rPr>
        <w:t>2569</w:t>
      </w:r>
      <w:r w:rsidR="00B561A9" w:rsidRPr="00470A3C">
        <w:rPr>
          <w:rFonts w:hint="eastAsia"/>
          <w:lang w:eastAsia="zh-CN"/>
        </w:rPr>
        <w:t>)</w:t>
      </w:r>
      <w:r w:rsidR="00B561A9" w:rsidRPr="00470A3C">
        <w:rPr>
          <w:rFonts w:hint="eastAsia"/>
          <w:lang w:eastAsia="zh-CN"/>
        </w:rPr>
        <w:t>上审议了新西兰以一份文件提交的第二十一至第二十二次合并定期报告</w:t>
      </w:r>
      <w:r w:rsidR="00B561A9" w:rsidRPr="00470A3C">
        <w:rPr>
          <w:rFonts w:hint="eastAsia"/>
          <w:lang w:eastAsia="zh-CN"/>
        </w:rPr>
        <w:t>(</w:t>
      </w:r>
      <w:r w:rsidR="00B561A9" w:rsidRPr="00470A3C">
        <w:rPr>
          <w:lang w:eastAsia="zh-CN"/>
        </w:rPr>
        <w:t>CERD/C/NZL/21-22</w:t>
      </w:r>
      <w:r w:rsidR="00B561A9" w:rsidRPr="00470A3C">
        <w:rPr>
          <w:rFonts w:hint="eastAsia"/>
          <w:lang w:eastAsia="zh-CN"/>
        </w:rPr>
        <w:t>)</w:t>
      </w:r>
      <w:r w:rsidR="00B561A9" w:rsidRPr="00470A3C">
        <w:rPr>
          <w:rFonts w:hint="eastAsia"/>
          <w:lang w:eastAsia="zh-CN"/>
        </w:rPr>
        <w:t>，并在</w:t>
      </w:r>
      <w:r w:rsidR="00B561A9" w:rsidRPr="00470A3C">
        <w:rPr>
          <w:lang w:eastAsia="zh-CN"/>
        </w:rPr>
        <w:t>2017</w:t>
      </w:r>
      <w:r w:rsidR="00B561A9" w:rsidRPr="00470A3C">
        <w:rPr>
          <w:rFonts w:hint="eastAsia"/>
          <w:lang w:eastAsia="zh-CN"/>
        </w:rPr>
        <w:t>年</w:t>
      </w:r>
      <w:r w:rsidR="00B561A9" w:rsidRPr="00470A3C">
        <w:rPr>
          <w:lang w:eastAsia="zh-CN"/>
        </w:rPr>
        <w:t>8</w:t>
      </w:r>
      <w:r w:rsidR="00B561A9" w:rsidRPr="00470A3C">
        <w:rPr>
          <w:rFonts w:hint="eastAsia"/>
          <w:lang w:eastAsia="zh-CN"/>
        </w:rPr>
        <w:t>月</w:t>
      </w:r>
      <w:r w:rsidR="00B561A9" w:rsidRPr="00470A3C">
        <w:rPr>
          <w:lang w:eastAsia="zh-CN"/>
        </w:rPr>
        <w:t>22</w:t>
      </w:r>
      <w:r w:rsidR="00B561A9" w:rsidRPr="00470A3C">
        <w:rPr>
          <w:rFonts w:hint="eastAsia"/>
          <w:lang w:eastAsia="zh-CN"/>
        </w:rPr>
        <w:t>日和</w:t>
      </w:r>
      <w:r w:rsidR="00B561A9" w:rsidRPr="00470A3C">
        <w:rPr>
          <w:rFonts w:hint="eastAsia"/>
          <w:lang w:eastAsia="zh-CN"/>
        </w:rPr>
        <w:t>23</w:t>
      </w:r>
      <w:r w:rsidR="00B561A9" w:rsidRPr="00470A3C">
        <w:rPr>
          <w:rFonts w:hint="eastAsia"/>
          <w:lang w:eastAsia="zh-CN"/>
        </w:rPr>
        <w:t>日举行的第</w:t>
      </w:r>
      <w:r w:rsidR="00B561A9" w:rsidRPr="00470A3C">
        <w:rPr>
          <w:lang w:eastAsia="zh-CN"/>
        </w:rPr>
        <w:t>2578</w:t>
      </w:r>
      <w:r w:rsidR="00B561A9" w:rsidRPr="00470A3C">
        <w:rPr>
          <w:rFonts w:hint="eastAsia"/>
          <w:lang w:eastAsia="zh-CN"/>
        </w:rPr>
        <w:t>、第</w:t>
      </w:r>
      <w:r w:rsidR="00B561A9" w:rsidRPr="00470A3C">
        <w:rPr>
          <w:rFonts w:hint="eastAsia"/>
          <w:lang w:eastAsia="zh-CN"/>
        </w:rPr>
        <w:t>2579</w:t>
      </w:r>
      <w:r w:rsidR="00B561A9" w:rsidRPr="00470A3C">
        <w:rPr>
          <w:rFonts w:hint="eastAsia"/>
          <w:lang w:eastAsia="zh-CN"/>
        </w:rPr>
        <w:t>和第</w:t>
      </w:r>
      <w:r w:rsidR="00B561A9" w:rsidRPr="00470A3C">
        <w:rPr>
          <w:rFonts w:hint="eastAsia"/>
          <w:lang w:eastAsia="zh-CN"/>
        </w:rPr>
        <w:t>2580</w:t>
      </w:r>
      <w:r w:rsidR="00B561A9" w:rsidRPr="00470A3C">
        <w:rPr>
          <w:rFonts w:hint="eastAsia"/>
          <w:lang w:eastAsia="zh-CN"/>
        </w:rPr>
        <w:t>次会议上通过了本结论性意见。</w:t>
      </w:r>
    </w:p>
    <w:p w14:paraId="2F290217" w14:textId="77777777" w:rsidR="00C25527" w:rsidRPr="00470A3C" w:rsidRDefault="00C25527" w:rsidP="001A25D2">
      <w:pPr>
        <w:pStyle w:val="H1G"/>
        <w:rPr>
          <w:rFonts w:eastAsia="黑体"/>
          <w:b w:val="0"/>
          <w:bCs/>
          <w:lang w:eastAsia="zh-CN"/>
        </w:rPr>
      </w:pPr>
      <w:r w:rsidRPr="00470A3C">
        <w:rPr>
          <w:lang w:eastAsia="zh-CN"/>
        </w:rPr>
        <w:tab/>
      </w:r>
      <w:r w:rsidR="001A25D2" w:rsidRPr="00470A3C">
        <w:rPr>
          <w:rFonts w:eastAsia="黑体"/>
          <w:b w:val="0"/>
          <w:bCs/>
          <w:lang w:eastAsia="zh-CN"/>
        </w:rPr>
        <w:t>A.</w:t>
      </w:r>
      <w:r w:rsidR="001A25D2" w:rsidRPr="00470A3C">
        <w:rPr>
          <w:rFonts w:eastAsia="黑体"/>
          <w:b w:val="0"/>
          <w:bCs/>
          <w:lang w:eastAsia="zh-CN"/>
        </w:rPr>
        <w:tab/>
      </w:r>
      <w:r w:rsidR="001A25D2" w:rsidRPr="00470A3C">
        <w:rPr>
          <w:rFonts w:eastAsia="黑体" w:hint="eastAsia"/>
          <w:b w:val="0"/>
          <w:bCs/>
          <w:lang w:eastAsia="zh-CN"/>
        </w:rPr>
        <w:t>导言</w:t>
      </w:r>
    </w:p>
    <w:p w14:paraId="5341F4AA" w14:textId="77777777" w:rsidR="001A25D2" w:rsidRPr="00470A3C" w:rsidRDefault="001A25D2" w:rsidP="001A25D2">
      <w:pPr>
        <w:pStyle w:val="SingleTxtG"/>
        <w:rPr>
          <w:lang w:eastAsia="zh-CN"/>
        </w:rPr>
      </w:pPr>
      <w:r w:rsidRPr="00470A3C">
        <w:rPr>
          <w:lang w:eastAsia="zh-CN"/>
        </w:rPr>
        <w:t>2.</w:t>
      </w:r>
      <w:r w:rsidRPr="00470A3C">
        <w:rPr>
          <w:lang w:eastAsia="zh-CN"/>
        </w:rPr>
        <w:tab/>
      </w:r>
      <w:r w:rsidR="00C6463B" w:rsidRPr="00470A3C">
        <w:rPr>
          <w:rFonts w:hint="eastAsia"/>
          <w:lang w:eastAsia="zh-CN"/>
        </w:rPr>
        <w:t>委员会欢迎缔约国提交第二十一至第二十二次合并定期报告。委员会欢迎与缔约国多部门代表团</w:t>
      </w:r>
      <w:r w:rsidR="00546DB4" w:rsidRPr="00470A3C">
        <w:rPr>
          <w:rFonts w:hint="eastAsia"/>
          <w:lang w:eastAsia="zh-CN"/>
        </w:rPr>
        <w:t>开展</w:t>
      </w:r>
      <w:r w:rsidR="008A4AEE" w:rsidRPr="00470A3C">
        <w:rPr>
          <w:rFonts w:hint="eastAsia"/>
          <w:lang w:eastAsia="zh-CN"/>
        </w:rPr>
        <w:t>了</w:t>
      </w:r>
      <w:r w:rsidR="00C6463B" w:rsidRPr="00470A3C">
        <w:rPr>
          <w:rFonts w:hint="eastAsia"/>
          <w:lang w:eastAsia="zh-CN"/>
        </w:rPr>
        <w:t>公开的建设性对话，并对代表团在对话前提交的统计资料和在审议报告期间所作的口头介绍和详细答复并表示赞赏。</w:t>
      </w:r>
    </w:p>
    <w:p w14:paraId="2453F31A" w14:textId="382313DC" w:rsidR="008E20DC" w:rsidRPr="00470A3C" w:rsidRDefault="008E20DC" w:rsidP="001A25D2">
      <w:pPr>
        <w:pStyle w:val="SingleTxtG"/>
        <w:rPr>
          <w:lang w:eastAsia="zh-CN"/>
        </w:rPr>
      </w:pPr>
      <w:r w:rsidRPr="00470A3C">
        <w:rPr>
          <w:rFonts w:hint="eastAsia"/>
          <w:lang w:eastAsia="zh-CN"/>
        </w:rPr>
        <w:t>委员会欢迎缔约国提交</w:t>
      </w:r>
      <w:r w:rsidR="008A4AEE" w:rsidRPr="00470A3C">
        <w:rPr>
          <w:rFonts w:hint="eastAsia"/>
          <w:lang w:eastAsia="zh-CN"/>
        </w:rPr>
        <w:t>第八</w:t>
      </w:r>
      <w:r w:rsidRPr="00470A3C">
        <w:rPr>
          <w:rFonts w:hint="eastAsia"/>
          <w:lang w:eastAsia="zh-CN"/>
        </w:rPr>
        <w:t>次定期报告，报告载有对委员会在上一次结论性意见</w:t>
      </w:r>
      <w:r w:rsidRPr="00470A3C">
        <w:rPr>
          <w:lang w:eastAsia="zh-CN"/>
        </w:rPr>
        <w:t>(CERD/C/MUS/CO/</w:t>
      </w:r>
      <w:r w:rsidR="001F0108" w:rsidRPr="00470A3C">
        <w:rPr>
          <w:lang w:eastAsia="zh-CN"/>
        </w:rPr>
        <w:t>6-7</w:t>
      </w:r>
      <w:r w:rsidRPr="00470A3C">
        <w:rPr>
          <w:lang w:eastAsia="zh-CN"/>
        </w:rPr>
        <w:t>)</w:t>
      </w:r>
      <w:r w:rsidRPr="00470A3C">
        <w:rPr>
          <w:rFonts w:hint="eastAsia"/>
          <w:lang w:eastAsia="zh-CN"/>
        </w:rPr>
        <w:t>中提出关注的问题所做的一些答复。委员会还表示赞赏与缔约国高级别代表团开展</w:t>
      </w:r>
      <w:r w:rsidR="0068449F" w:rsidRPr="00470A3C">
        <w:rPr>
          <w:rFonts w:hint="eastAsia"/>
          <w:lang w:eastAsia="zh-CN"/>
        </w:rPr>
        <w:t>的</w:t>
      </w:r>
      <w:r w:rsidRPr="00470A3C">
        <w:rPr>
          <w:rFonts w:hint="eastAsia"/>
          <w:lang w:eastAsia="zh-CN"/>
        </w:rPr>
        <w:t>建设性对话，以及缔约国在对话后提</w:t>
      </w:r>
      <w:r w:rsidR="00266E09" w:rsidRPr="00470A3C">
        <w:rPr>
          <w:rFonts w:hint="eastAsia"/>
          <w:lang w:eastAsia="zh-CN"/>
        </w:rPr>
        <w:t>供</w:t>
      </w:r>
      <w:r w:rsidRPr="00470A3C">
        <w:rPr>
          <w:rFonts w:hint="eastAsia"/>
          <w:lang w:eastAsia="zh-CN"/>
        </w:rPr>
        <w:t>的书面补充资料。</w:t>
      </w:r>
    </w:p>
    <w:p w14:paraId="43A20203" w14:textId="77777777" w:rsidR="001A25D2" w:rsidRPr="00470A3C" w:rsidRDefault="00C25527" w:rsidP="00E70D9D">
      <w:pPr>
        <w:pStyle w:val="H1G"/>
        <w:rPr>
          <w:rFonts w:eastAsia="黑体"/>
          <w:b w:val="0"/>
          <w:bCs/>
          <w:lang w:eastAsia="zh-CN"/>
        </w:rPr>
      </w:pPr>
      <w:r w:rsidRPr="00470A3C">
        <w:rPr>
          <w:lang w:eastAsia="zh-CN"/>
        </w:rPr>
        <w:tab/>
      </w:r>
      <w:r w:rsidR="001A25D2" w:rsidRPr="00470A3C">
        <w:rPr>
          <w:rFonts w:eastAsia="黑体"/>
          <w:b w:val="0"/>
          <w:bCs/>
          <w:lang w:eastAsia="zh-CN"/>
        </w:rPr>
        <w:t>B.</w:t>
      </w:r>
      <w:r w:rsidR="001A25D2" w:rsidRPr="00470A3C">
        <w:rPr>
          <w:rFonts w:eastAsia="黑体"/>
          <w:b w:val="0"/>
          <w:bCs/>
          <w:lang w:eastAsia="zh-CN"/>
        </w:rPr>
        <w:tab/>
      </w:r>
      <w:r w:rsidR="001A25D2" w:rsidRPr="00470A3C">
        <w:rPr>
          <w:rFonts w:eastAsia="黑体"/>
          <w:b w:val="0"/>
          <w:bCs/>
          <w:lang w:eastAsia="zh-CN"/>
        </w:rPr>
        <w:t>妨碍执行《公约》的因素和困难</w:t>
      </w:r>
      <w:r w:rsidR="00C630FB" w:rsidRPr="00470A3C">
        <w:rPr>
          <w:rFonts w:eastAsia="黑体" w:hint="eastAsia"/>
          <w:b w:val="0"/>
          <w:bCs/>
          <w:lang w:eastAsia="zh-CN"/>
        </w:rPr>
        <w:t xml:space="preserve"> </w:t>
      </w:r>
    </w:p>
    <w:p w14:paraId="39341790" w14:textId="77777777" w:rsidR="00C25527" w:rsidRPr="00470A3C" w:rsidRDefault="00C25527" w:rsidP="001A25D2">
      <w:pPr>
        <w:pStyle w:val="H1G"/>
        <w:rPr>
          <w:rFonts w:eastAsia="黑体"/>
          <w:b w:val="0"/>
          <w:bCs/>
          <w:lang w:eastAsia="zh-CN"/>
        </w:rPr>
      </w:pPr>
      <w:r w:rsidRPr="00470A3C">
        <w:rPr>
          <w:lang w:eastAsia="zh-CN"/>
        </w:rPr>
        <w:tab/>
      </w:r>
      <w:r w:rsidR="001A25D2" w:rsidRPr="00470A3C">
        <w:rPr>
          <w:rFonts w:eastAsia="黑体"/>
          <w:b w:val="0"/>
          <w:bCs/>
          <w:lang w:eastAsia="zh-CN"/>
        </w:rPr>
        <w:t>C.</w:t>
      </w:r>
      <w:r w:rsidR="001A25D2" w:rsidRPr="00470A3C">
        <w:rPr>
          <w:rFonts w:eastAsia="黑体"/>
          <w:b w:val="0"/>
          <w:bCs/>
          <w:lang w:eastAsia="zh-CN"/>
        </w:rPr>
        <w:tab/>
      </w:r>
      <w:r w:rsidR="001A25D2" w:rsidRPr="00470A3C">
        <w:rPr>
          <w:rFonts w:eastAsia="黑体" w:hint="eastAsia"/>
          <w:b w:val="0"/>
          <w:bCs/>
          <w:lang w:eastAsia="zh-CN"/>
        </w:rPr>
        <w:t>积极方面</w:t>
      </w:r>
    </w:p>
    <w:p w14:paraId="1E78CD6D" w14:textId="77777777" w:rsidR="001A25D2" w:rsidRPr="00470A3C" w:rsidRDefault="007C0BDD" w:rsidP="00712435">
      <w:pPr>
        <w:pStyle w:val="SingleTxtG"/>
        <w:rPr>
          <w:lang w:val="en-US" w:eastAsia="zh-CN"/>
        </w:rPr>
      </w:pPr>
      <w:r w:rsidRPr="00470A3C">
        <w:rPr>
          <w:lang w:eastAsia="zh-CN"/>
        </w:rPr>
        <w:t>3</w:t>
      </w:r>
      <w:r w:rsidR="001A25D2" w:rsidRPr="00470A3C">
        <w:rPr>
          <w:lang w:eastAsia="zh-CN"/>
        </w:rPr>
        <w:t>.</w:t>
      </w:r>
      <w:r w:rsidR="001A25D2" w:rsidRPr="00470A3C">
        <w:rPr>
          <w:lang w:eastAsia="zh-CN"/>
        </w:rPr>
        <w:tab/>
      </w:r>
      <w:r w:rsidR="001A25D2" w:rsidRPr="00470A3C">
        <w:rPr>
          <w:rFonts w:hint="eastAsia"/>
          <w:lang w:val="en-US" w:eastAsia="zh-CN"/>
        </w:rPr>
        <w:t>委员会欢迎缔约国</w:t>
      </w:r>
      <w:r w:rsidR="00712435" w:rsidRPr="00470A3C">
        <w:rPr>
          <w:rFonts w:hint="eastAsia"/>
          <w:lang w:val="en-US" w:eastAsia="zh-CN"/>
        </w:rPr>
        <w:t>于</w:t>
      </w:r>
      <w:r w:rsidR="00230174" w:rsidRPr="00470A3C">
        <w:rPr>
          <w:lang w:eastAsia="zh-CN"/>
        </w:rPr>
        <w:t>2011</w:t>
      </w:r>
      <w:r w:rsidR="001A25D2" w:rsidRPr="00470A3C">
        <w:rPr>
          <w:rFonts w:hint="eastAsia"/>
          <w:lang w:eastAsia="zh-CN"/>
        </w:rPr>
        <w:t>年</w:t>
      </w:r>
      <w:r w:rsidR="001B0060" w:rsidRPr="00470A3C">
        <w:rPr>
          <w:rFonts w:hint="eastAsia"/>
          <w:lang w:eastAsia="zh-CN"/>
        </w:rPr>
        <w:t xml:space="preserve"> </w:t>
      </w:r>
      <w:r w:rsidR="00230174" w:rsidRPr="00470A3C">
        <w:rPr>
          <w:lang w:val="en-US" w:eastAsia="zh-CN"/>
        </w:rPr>
        <w:t>3</w:t>
      </w:r>
      <w:r w:rsidR="001A25D2" w:rsidRPr="00470A3C">
        <w:rPr>
          <w:rFonts w:hint="eastAsia"/>
          <w:lang w:eastAsia="zh-CN"/>
        </w:rPr>
        <w:t>月</w:t>
      </w:r>
      <w:r w:rsidR="00230174" w:rsidRPr="00470A3C">
        <w:rPr>
          <w:lang w:val="en-US" w:eastAsia="zh-CN"/>
        </w:rPr>
        <w:t>20</w:t>
      </w:r>
      <w:r w:rsidR="001A25D2" w:rsidRPr="00470A3C">
        <w:rPr>
          <w:rFonts w:hint="eastAsia"/>
          <w:lang w:eastAsia="zh-CN"/>
        </w:rPr>
        <w:t>日</w:t>
      </w:r>
      <w:r w:rsidR="001A25D2" w:rsidRPr="00470A3C">
        <w:rPr>
          <w:rFonts w:hint="eastAsia"/>
          <w:lang w:val="en-US" w:eastAsia="zh-CN"/>
        </w:rPr>
        <w:t>加入</w:t>
      </w:r>
      <w:r w:rsidR="00963FAF" w:rsidRPr="00470A3C">
        <w:rPr>
          <w:rFonts w:hint="eastAsia"/>
          <w:lang w:val="en-US" w:eastAsia="zh-CN"/>
        </w:rPr>
        <w:t>《</w:t>
      </w:r>
      <w:r w:rsidR="00C14231" w:rsidRPr="00470A3C">
        <w:rPr>
          <w:rFonts w:hint="eastAsia"/>
          <w:lang w:val="en-US" w:eastAsia="zh-CN"/>
        </w:rPr>
        <w:t>消除对妇女一切形式歧视公约任择议定书</w:t>
      </w:r>
      <w:r w:rsidR="00963FAF" w:rsidRPr="00470A3C">
        <w:rPr>
          <w:rFonts w:hint="eastAsia"/>
          <w:lang w:val="en-US" w:eastAsia="zh-CN"/>
        </w:rPr>
        <w:t>》</w:t>
      </w:r>
      <w:r w:rsidR="00C14231" w:rsidRPr="00470A3C">
        <w:rPr>
          <w:rFonts w:hint="eastAsia"/>
          <w:lang w:val="en-US" w:eastAsia="zh-CN"/>
        </w:rPr>
        <w:t>。</w:t>
      </w:r>
    </w:p>
    <w:p w14:paraId="1B6D8779" w14:textId="77777777" w:rsidR="001A25D2" w:rsidRPr="00470A3C" w:rsidRDefault="001A25D2" w:rsidP="001A25D2">
      <w:pPr>
        <w:pStyle w:val="SingleTxtG"/>
        <w:rPr>
          <w:lang w:eastAsia="zh-CN"/>
        </w:rPr>
      </w:pPr>
      <w:r w:rsidRPr="00470A3C">
        <w:rPr>
          <w:rFonts w:hint="eastAsia"/>
          <w:lang w:eastAsia="zh-CN"/>
        </w:rPr>
        <w:t>委员会</w:t>
      </w:r>
      <w:r w:rsidRPr="00470A3C">
        <w:rPr>
          <w:rFonts w:hint="eastAsia"/>
          <w:lang w:val="en-US" w:eastAsia="zh-CN"/>
        </w:rPr>
        <w:t>又</w:t>
      </w:r>
      <w:r w:rsidRPr="00470A3C">
        <w:rPr>
          <w:rFonts w:hint="eastAsia"/>
          <w:lang w:eastAsia="zh-CN"/>
        </w:rPr>
        <w:t>欢迎缔约国批准以下国际人权文书：</w:t>
      </w:r>
    </w:p>
    <w:p w14:paraId="53F2DB43" w14:textId="77777777" w:rsidR="00967C3C" w:rsidRPr="00470A3C" w:rsidRDefault="001A25D2" w:rsidP="00967C3C">
      <w:pPr>
        <w:pStyle w:val="SingleTxtG"/>
        <w:keepNext/>
        <w:rPr>
          <w:lang w:eastAsia="zh-CN"/>
        </w:rPr>
      </w:pPr>
      <w:r w:rsidRPr="00470A3C">
        <w:rPr>
          <w:rFonts w:hint="eastAsia"/>
          <w:lang w:eastAsia="zh-CN"/>
        </w:rPr>
        <w:lastRenderedPageBreak/>
        <w:t>委员会还欢迎缔约国采取以下立法</w:t>
      </w:r>
      <w:r w:rsidRPr="00470A3C">
        <w:rPr>
          <w:rFonts w:hint="eastAsia"/>
          <w:lang w:val="en-US" w:eastAsia="zh-CN"/>
        </w:rPr>
        <w:t>和体制</w:t>
      </w:r>
      <w:r w:rsidRPr="00470A3C">
        <w:rPr>
          <w:rFonts w:hint="eastAsia"/>
          <w:lang w:eastAsia="zh-CN"/>
        </w:rPr>
        <w:t>措施：</w:t>
      </w:r>
    </w:p>
    <w:p w14:paraId="26D27CEC" w14:textId="77777777" w:rsidR="00967C3C" w:rsidRPr="00470A3C" w:rsidRDefault="00401A12" w:rsidP="00967C3C">
      <w:pPr>
        <w:pStyle w:val="SingleTxtG"/>
        <w:keepNext/>
        <w:rPr>
          <w:lang w:eastAsia="zh-CN"/>
        </w:rPr>
      </w:pPr>
      <w:r w:rsidRPr="00470A3C">
        <w:rPr>
          <w:rFonts w:hint="eastAsia"/>
          <w:lang w:eastAsia="zh-CN"/>
        </w:rPr>
        <w:t>委员会还欢迎缔约国采取以下立法</w:t>
      </w:r>
      <w:r w:rsidRPr="00470A3C">
        <w:rPr>
          <w:rFonts w:hint="eastAsia"/>
          <w:lang w:val="en-US" w:eastAsia="zh-CN"/>
        </w:rPr>
        <w:t>和政策</w:t>
      </w:r>
      <w:r w:rsidRPr="00470A3C">
        <w:rPr>
          <w:rFonts w:hint="eastAsia"/>
          <w:lang w:eastAsia="zh-CN"/>
        </w:rPr>
        <w:t>措施：</w:t>
      </w:r>
    </w:p>
    <w:p w14:paraId="740F2C91" w14:textId="77777777" w:rsidR="001A25D2" w:rsidRPr="00470A3C" w:rsidRDefault="00401A12" w:rsidP="00967C3C">
      <w:pPr>
        <w:pStyle w:val="SingleTxtG"/>
        <w:keepNext/>
        <w:rPr>
          <w:lang w:eastAsia="zh-CN"/>
        </w:rPr>
      </w:pPr>
      <w:r w:rsidRPr="00470A3C">
        <w:rPr>
          <w:rFonts w:hint="eastAsia"/>
          <w:lang w:eastAsia="zh-CN"/>
        </w:rPr>
        <w:t>委员会</w:t>
      </w:r>
      <w:r w:rsidR="007C0BDD" w:rsidRPr="00470A3C">
        <w:rPr>
          <w:rFonts w:hint="eastAsia"/>
          <w:lang w:eastAsia="zh-CN"/>
        </w:rPr>
        <w:t>又</w:t>
      </w:r>
      <w:r w:rsidRPr="00470A3C">
        <w:rPr>
          <w:rFonts w:hint="eastAsia"/>
          <w:lang w:eastAsia="zh-CN"/>
        </w:rPr>
        <w:t>欢迎缔约国近期努力制定下列政策、方案和行政措施，进一步确保保护人权和执行《公约》：</w:t>
      </w:r>
    </w:p>
    <w:p w14:paraId="052DB7C8" w14:textId="77777777" w:rsidR="00C25527" w:rsidRPr="00470A3C" w:rsidRDefault="00C25527" w:rsidP="001A25D2">
      <w:pPr>
        <w:pStyle w:val="H1G"/>
        <w:rPr>
          <w:rFonts w:eastAsia="黑体"/>
          <w:b w:val="0"/>
          <w:bCs/>
          <w:lang w:eastAsia="zh-CN"/>
        </w:rPr>
      </w:pPr>
      <w:r w:rsidRPr="00470A3C">
        <w:rPr>
          <w:lang w:eastAsia="zh-CN"/>
        </w:rPr>
        <w:tab/>
      </w:r>
      <w:r w:rsidR="001A25D2" w:rsidRPr="00470A3C">
        <w:rPr>
          <w:rFonts w:eastAsia="黑体"/>
          <w:b w:val="0"/>
          <w:bCs/>
          <w:lang w:eastAsia="zh-CN"/>
        </w:rPr>
        <w:t>D.</w:t>
      </w:r>
      <w:r w:rsidR="001A25D2" w:rsidRPr="00470A3C">
        <w:rPr>
          <w:rFonts w:eastAsia="黑体"/>
          <w:b w:val="0"/>
          <w:bCs/>
          <w:lang w:eastAsia="zh-CN"/>
        </w:rPr>
        <w:tab/>
      </w:r>
      <w:r w:rsidR="001A25D2" w:rsidRPr="00470A3C">
        <w:rPr>
          <w:rFonts w:eastAsia="黑体" w:hint="eastAsia"/>
          <w:b w:val="0"/>
          <w:bCs/>
          <w:lang w:eastAsia="zh-CN"/>
        </w:rPr>
        <w:t>关注的问题及建议</w:t>
      </w:r>
      <w:r w:rsidRPr="00470A3C">
        <w:rPr>
          <w:rFonts w:eastAsia="黑体"/>
          <w:b w:val="0"/>
          <w:bCs/>
          <w:lang w:eastAsia="zh-CN"/>
        </w:rPr>
        <w:t xml:space="preserve"> </w:t>
      </w:r>
    </w:p>
    <w:p w14:paraId="45F025EF" w14:textId="77777777" w:rsidR="00EA1A72" w:rsidRPr="00470A3C" w:rsidRDefault="00C25527" w:rsidP="001A25D2">
      <w:pPr>
        <w:rPr>
          <w:rFonts w:eastAsia="黑体"/>
          <w:lang w:eastAsia="zh-CN"/>
        </w:rPr>
      </w:pPr>
      <w:r w:rsidRPr="00470A3C">
        <w:rPr>
          <w:lang w:eastAsia="zh-CN"/>
        </w:rPr>
        <w:tab/>
      </w:r>
      <w:r w:rsidRPr="00470A3C">
        <w:rPr>
          <w:lang w:eastAsia="zh-CN"/>
        </w:rPr>
        <w:tab/>
      </w:r>
      <w:r w:rsidR="00EA1A72" w:rsidRPr="00470A3C">
        <w:rPr>
          <w:rFonts w:eastAsia="黑体" w:hint="eastAsia"/>
          <w:lang w:eastAsia="zh-CN"/>
        </w:rPr>
        <w:t>《公约》</w:t>
      </w:r>
      <w:r w:rsidR="00954059" w:rsidRPr="00470A3C">
        <w:rPr>
          <w:rFonts w:eastAsia="黑体" w:hint="eastAsia"/>
          <w:lang w:eastAsia="zh-CN"/>
        </w:rPr>
        <w:t>的</w:t>
      </w:r>
      <w:r w:rsidR="00EA1A72" w:rsidRPr="00470A3C">
        <w:rPr>
          <w:rFonts w:eastAsia="黑体" w:hint="eastAsia"/>
          <w:lang w:eastAsia="zh-CN"/>
        </w:rPr>
        <w:t>法律地位</w:t>
      </w:r>
    </w:p>
    <w:p w14:paraId="28EC1718" w14:textId="77777777" w:rsidR="00A366AF" w:rsidRPr="00470A3C" w:rsidRDefault="00A366AF" w:rsidP="001A25D2">
      <w:pPr>
        <w:rPr>
          <w:rFonts w:eastAsia="黑体"/>
          <w:lang w:eastAsia="zh-CN"/>
        </w:rPr>
      </w:pPr>
    </w:p>
    <w:p w14:paraId="043EC253" w14:textId="77777777" w:rsidR="00A366AF" w:rsidRPr="00470A3C" w:rsidRDefault="00A366AF" w:rsidP="00A366AF">
      <w:pPr>
        <w:ind w:left="1134"/>
        <w:rPr>
          <w:rFonts w:eastAsia="黑体"/>
          <w:lang w:eastAsia="zh-CN"/>
        </w:rPr>
      </w:pPr>
      <w:r w:rsidRPr="00470A3C">
        <w:rPr>
          <w:rFonts w:eastAsia="黑体" w:hint="eastAsia"/>
          <w:lang w:eastAsia="zh-CN"/>
        </w:rPr>
        <w:t>国家人权机构</w:t>
      </w:r>
    </w:p>
    <w:p w14:paraId="76B18C04" w14:textId="77777777" w:rsidR="00A366AF" w:rsidRPr="00470A3C" w:rsidRDefault="00A366AF" w:rsidP="00A366AF">
      <w:pPr>
        <w:ind w:left="1134"/>
        <w:rPr>
          <w:rFonts w:eastAsia="黑体"/>
          <w:lang w:eastAsia="zh-CN"/>
        </w:rPr>
      </w:pPr>
    </w:p>
    <w:p w14:paraId="1455798E" w14:textId="77777777" w:rsidR="00F12478" w:rsidRPr="00470A3C" w:rsidRDefault="00F12478" w:rsidP="00A366AF">
      <w:pPr>
        <w:ind w:left="1134"/>
        <w:rPr>
          <w:rFonts w:eastAsia="黑体"/>
          <w:lang w:eastAsia="zh-CN"/>
        </w:rPr>
      </w:pPr>
      <w:r w:rsidRPr="00470A3C">
        <w:rPr>
          <w:rFonts w:eastAsia="黑体" w:hint="eastAsia"/>
          <w:lang w:eastAsia="zh-CN"/>
        </w:rPr>
        <w:t>种族主义仇恨言论和仇恨犯罪</w:t>
      </w:r>
    </w:p>
    <w:p w14:paraId="2E24F90E" w14:textId="77777777" w:rsidR="00F12478" w:rsidRPr="00470A3C" w:rsidRDefault="00F12478" w:rsidP="00F12478">
      <w:pPr>
        <w:ind w:left="1134"/>
        <w:rPr>
          <w:lang w:eastAsia="zh-CN"/>
        </w:rPr>
      </w:pPr>
    </w:p>
    <w:p w14:paraId="5B7357F7" w14:textId="77777777" w:rsidR="00F12478" w:rsidRPr="00470A3C" w:rsidRDefault="00F12478" w:rsidP="00F12478">
      <w:pPr>
        <w:ind w:left="1134"/>
        <w:rPr>
          <w:rFonts w:eastAsia="黑体"/>
          <w:lang w:val="en-US" w:eastAsia="zh-CN"/>
        </w:rPr>
      </w:pPr>
      <w:r w:rsidRPr="00470A3C">
        <w:rPr>
          <w:rFonts w:eastAsia="黑体" w:hint="eastAsia"/>
          <w:lang w:val="en-US" w:eastAsia="zh-CN"/>
        </w:rPr>
        <w:t>种族歧视行为</w:t>
      </w:r>
    </w:p>
    <w:p w14:paraId="73027C50" w14:textId="77777777" w:rsidR="00A366AF" w:rsidRPr="00470A3C" w:rsidRDefault="00A366AF" w:rsidP="00F12478">
      <w:pPr>
        <w:ind w:left="1134"/>
        <w:rPr>
          <w:rFonts w:eastAsia="黑体"/>
          <w:lang w:val="en-US" w:eastAsia="zh-CN"/>
        </w:rPr>
      </w:pPr>
    </w:p>
    <w:p w14:paraId="4168043F" w14:textId="77777777" w:rsidR="00A366AF" w:rsidRPr="00470A3C" w:rsidRDefault="00A366AF" w:rsidP="00F12478">
      <w:pPr>
        <w:ind w:left="1134"/>
        <w:rPr>
          <w:rFonts w:eastAsia="黑体"/>
          <w:lang w:eastAsia="zh-CN"/>
        </w:rPr>
      </w:pPr>
      <w:r w:rsidRPr="00470A3C">
        <w:rPr>
          <w:rFonts w:eastAsia="黑体" w:hint="eastAsia"/>
          <w:lang w:eastAsia="zh-CN"/>
        </w:rPr>
        <w:t>种族歧视申诉</w:t>
      </w:r>
    </w:p>
    <w:p w14:paraId="4E77B00A" w14:textId="77777777" w:rsidR="00A366AF" w:rsidRPr="00470A3C" w:rsidRDefault="00A366AF" w:rsidP="00F12478">
      <w:pPr>
        <w:ind w:left="1134"/>
        <w:rPr>
          <w:rFonts w:eastAsia="黑体"/>
          <w:lang w:eastAsia="zh-CN"/>
        </w:rPr>
      </w:pPr>
    </w:p>
    <w:p w14:paraId="60A95097" w14:textId="77777777" w:rsidR="00F12478" w:rsidRPr="00470A3C" w:rsidRDefault="00F12478" w:rsidP="00F12478">
      <w:pPr>
        <w:ind w:left="1134"/>
        <w:rPr>
          <w:rFonts w:eastAsia="黑体"/>
          <w:lang w:val="en-US" w:eastAsia="zh-CN"/>
        </w:rPr>
      </w:pPr>
      <w:r w:rsidRPr="00470A3C">
        <w:rPr>
          <w:rFonts w:eastAsia="黑体" w:hint="eastAsia"/>
          <w:lang w:val="en-US" w:eastAsia="zh-CN"/>
        </w:rPr>
        <w:t>刑事司法</w:t>
      </w:r>
    </w:p>
    <w:p w14:paraId="5A858C57" w14:textId="77777777" w:rsidR="00F12478" w:rsidRPr="00470A3C" w:rsidRDefault="00F12478" w:rsidP="00F12478">
      <w:pPr>
        <w:ind w:left="1134"/>
        <w:rPr>
          <w:rFonts w:eastAsia="黑体"/>
          <w:lang w:val="en-US" w:eastAsia="zh-CN"/>
        </w:rPr>
      </w:pPr>
    </w:p>
    <w:p w14:paraId="5065DD7D" w14:textId="77777777" w:rsidR="00F12478" w:rsidRPr="00470A3C" w:rsidRDefault="00F12478" w:rsidP="00F12478">
      <w:pPr>
        <w:ind w:left="1134"/>
        <w:rPr>
          <w:rFonts w:eastAsia="黑体"/>
          <w:lang w:val="en-US" w:eastAsia="zh-CN"/>
        </w:rPr>
      </w:pPr>
      <w:r w:rsidRPr="00470A3C">
        <w:rPr>
          <w:rFonts w:eastAsia="黑体" w:hint="eastAsia"/>
          <w:lang w:val="en-US" w:eastAsia="zh-CN"/>
        </w:rPr>
        <w:t>健康</w:t>
      </w:r>
    </w:p>
    <w:p w14:paraId="6EEEF639" w14:textId="77777777" w:rsidR="00F12478" w:rsidRPr="00470A3C" w:rsidRDefault="00F12478" w:rsidP="00F12478">
      <w:pPr>
        <w:ind w:left="1134"/>
        <w:rPr>
          <w:rFonts w:eastAsia="黑体"/>
          <w:lang w:val="en-US" w:eastAsia="zh-CN"/>
        </w:rPr>
      </w:pPr>
    </w:p>
    <w:p w14:paraId="6068E589" w14:textId="77777777" w:rsidR="00F12478" w:rsidRPr="00470A3C" w:rsidRDefault="00F12478" w:rsidP="00F12478">
      <w:pPr>
        <w:ind w:left="1134"/>
        <w:rPr>
          <w:rFonts w:eastAsia="黑体"/>
          <w:lang w:val="en-US" w:eastAsia="zh-CN"/>
        </w:rPr>
      </w:pPr>
      <w:r w:rsidRPr="00470A3C">
        <w:rPr>
          <w:rFonts w:eastAsia="黑体" w:hint="eastAsia"/>
          <w:lang w:val="en-US" w:eastAsia="zh-CN"/>
        </w:rPr>
        <w:t>就业</w:t>
      </w:r>
    </w:p>
    <w:p w14:paraId="333AAA49" w14:textId="77777777" w:rsidR="00F12478" w:rsidRPr="00470A3C" w:rsidRDefault="00F12478" w:rsidP="00F12478">
      <w:pPr>
        <w:ind w:left="1134"/>
        <w:rPr>
          <w:rFonts w:eastAsia="黑体"/>
          <w:lang w:val="en-US" w:eastAsia="zh-CN"/>
        </w:rPr>
      </w:pPr>
    </w:p>
    <w:p w14:paraId="6CA39379" w14:textId="77777777" w:rsidR="00096129" w:rsidRPr="00470A3C" w:rsidRDefault="00096129" w:rsidP="00F12478">
      <w:pPr>
        <w:ind w:left="1134"/>
        <w:rPr>
          <w:rFonts w:eastAsia="黑体"/>
          <w:lang w:val="en-US" w:eastAsia="zh-CN"/>
        </w:rPr>
      </w:pPr>
      <w:r w:rsidRPr="00470A3C">
        <w:rPr>
          <w:rFonts w:eastAsia="黑体" w:hint="eastAsia"/>
          <w:lang w:val="en-US" w:eastAsia="zh-CN"/>
        </w:rPr>
        <w:t>移民</w:t>
      </w:r>
    </w:p>
    <w:p w14:paraId="5A5D8ACE" w14:textId="77777777" w:rsidR="00096129" w:rsidRPr="00470A3C" w:rsidRDefault="00096129" w:rsidP="00F12478">
      <w:pPr>
        <w:ind w:left="1134"/>
        <w:rPr>
          <w:rFonts w:eastAsia="黑体"/>
          <w:lang w:val="en-US" w:eastAsia="zh-CN"/>
        </w:rPr>
      </w:pPr>
    </w:p>
    <w:p w14:paraId="51A2F8CC" w14:textId="77777777" w:rsidR="00096129" w:rsidRPr="00470A3C" w:rsidRDefault="00096129" w:rsidP="00F12478">
      <w:pPr>
        <w:ind w:left="1134"/>
        <w:rPr>
          <w:rFonts w:eastAsia="黑体"/>
          <w:lang w:val="en-US" w:eastAsia="zh-CN"/>
        </w:rPr>
      </w:pPr>
      <w:r w:rsidRPr="00470A3C">
        <w:rPr>
          <w:rFonts w:eastAsia="黑体" w:hint="eastAsia"/>
          <w:lang w:val="en-US" w:eastAsia="zh-CN"/>
        </w:rPr>
        <w:t>教育</w:t>
      </w:r>
    </w:p>
    <w:p w14:paraId="742F7C87" w14:textId="77777777" w:rsidR="00096129" w:rsidRPr="00470A3C" w:rsidRDefault="00096129" w:rsidP="00F12478">
      <w:pPr>
        <w:ind w:left="1134"/>
        <w:rPr>
          <w:rFonts w:eastAsia="黑体"/>
          <w:lang w:val="en-US" w:eastAsia="zh-CN"/>
        </w:rPr>
      </w:pPr>
    </w:p>
    <w:p w14:paraId="5CC93FC0" w14:textId="77777777" w:rsidR="00C25527" w:rsidRPr="00470A3C" w:rsidRDefault="001A25D2" w:rsidP="00F12478">
      <w:pPr>
        <w:ind w:left="1134"/>
        <w:rPr>
          <w:rFonts w:eastAsia="黑体"/>
          <w:lang w:val="en-US" w:eastAsia="zh-CN"/>
        </w:rPr>
      </w:pPr>
      <w:r w:rsidRPr="00470A3C">
        <w:rPr>
          <w:rFonts w:eastAsia="黑体" w:hint="eastAsia"/>
          <w:lang w:val="en-US" w:eastAsia="zh-CN"/>
        </w:rPr>
        <w:t>数据收集</w:t>
      </w:r>
    </w:p>
    <w:p w14:paraId="2F9F9A91" w14:textId="77777777" w:rsidR="00A366AF" w:rsidRPr="00470A3C" w:rsidRDefault="00A366AF" w:rsidP="00F12478">
      <w:pPr>
        <w:ind w:left="1134"/>
        <w:rPr>
          <w:rFonts w:eastAsia="黑体"/>
          <w:lang w:val="en-US" w:eastAsia="zh-CN"/>
        </w:rPr>
      </w:pPr>
    </w:p>
    <w:p w14:paraId="18F98325" w14:textId="77777777" w:rsidR="00A366AF" w:rsidRPr="00470A3C" w:rsidRDefault="00A366AF" w:rsidP="00F12478">
      <w:pPr>
        <w:ind w:left="1134"/>
        <w:rPr>
          <w:rFonts w:eastAsia="黑体"/>
          <w:lang w:val="en-US" w:eastAsia="zh-CN"/>
        </w:rPr>
      </w:pPr>
      <w:r w:rsidRPr="00470A3C">
        <w:rPr>
          <w:rFonts w:eastAsia="黑体" w:hint="eastAsia"/>
          <w:lang w:val="en-US" w:eastAsia="zh-CN"/>
        </w:rPr>
        <w:t>分类数据</w:t>
      </w:r>
    </w:p>
    <w:p w14:paraId="3728ED72" w14:textId="77777777" w:rsidR="001A25D2" w:rsidRPr="00470A3C" w:rsidRDefault="00C25527" w:rsidP="001A25D2">
      <w:pPr>
        <w:pStyle w:val="H1G"/>
        <w:rPr>
          <w:rFonts w:eastAsia="黑体"/>
          <w:b w:val="0"/>
          <w:bCs/>
          <w:lang w:eastAsia="zh-CN"/>
        </w:rPr>
      </w:pPr>
      <w:r w:rsidRPr="00470A3C">
        <w:rPr>
          <w:lang w:eastAsia="zh-CN"/>
        </w:rPr>
        <w:tab/>
      </w:r>
      <w:r w:rsidR="001A25D2" w:rsidRPr="00470A3C">
        <w:rPr>
          <w:rFonts w:eastAsia="黑体"/>
          <w:b w:val="0"/>
          <w:bCs/>
          <w:lang w:eastAsia="zh-CN"/>
        </w:rPr>
        <w:t>E.</w:t>
      </w:r>
      <w:r w:rsidR="001A25D2" w:rsidRPr="00470A3C">
        <w:rPr>
          <w:rFonts w:eastAsia="黑体"/>
          <w:b w:val="0"/>
          <w:bCs/>
          <w:lang w:eastAsia="zh-CN"/>
        </w:rPr>
        <w:tab/>
      </w:r>
      <w:r w:rsidR="001A25D2" w:rsidRPr="00470A3C">
        <w:rPr>
          <w:rFonts w:eastAsia="黑体" w:hint="eastAsia"/>
          <w:b w:val="0"/>
          <w:bCs/>
          <w:lang w:eastAsia="zh-CN"/>
        </w:rPr>
        <w:t>其他建议</w:t>
      </w:r>
    </w:p>
    <w:p w14:paraId="382A016F" w14:textId="77777777" w:rsidR="00096129" w:rsidRPr="00470A3C" w:rsidRDefault="001A25D2" w:rsidP="00E70D9D">
      <w:pPr>
        <w:pStyle w:val="H23G"/>
        <w:rPr>
          <w:rFonts w:eastAsia="黑体"/>
          <w:b w:val="0"/>
          <w:bCs/>
          <w:lang w:eastAsia="zh-CN"/>
        </w:rPr>
      </w:pPr>
      <w:r w:rsidRPr="00470A3C">
        <w:rPr>
          <w:rFonts w:eastAsia="黑体"/>
          <w:b w:val="0"/>
          <w:bCs/>
          <w:lang w:eastAsia="zh-CN"/>
        </w:rPr>
        <w:tab/>
      </w:r>
      <w:r w:rsidRPr="00470A3C">
        <w:rPr>
          <w:rFonts w:eastAsia="黑体"/>
          <w:b w:val="0"/>
          <w:bCs/>
          <w:lang w:eastAsia="zh-CN"/>
        </w:rPr>
        <w:tab/>
      </w:r>
      <w:r w:rsidR="00096129" w:rsidRPr="00470A3C">
        <w:rPr>
          <w:rFonts w:eastAsia="黑体" w:hint="eastAsia"/>
          <w:b w:val="0"/>
          <w:bCs/>
          <w:lang w:eastAsia="zh-CN"/>
        </w:rPr>
        <w:t>批准其他文书</w:t>
      </w:r>
    </w:p>
    <w:p w14:paraId="3E85E30E" w14:textId="77777777" w:rsidR="00967C3C" w:rsidRPr="00470A3C" w:rsidRDefault="00967C3C" w:rsidP="00A44488">
      <w:pPr>
        <w:ind w:left="1134" w:right="1134"/>
        <w:rPr>
          <w:lang w:eastAsia="zh-CN"/>
        </w:rPr>
      </w:pPr>
      <w:r w:rsidRPr="00470A3C">
        <w:rPr>
          <w:rFonts w:eastAsia="黑体"/>
          <w:lang w:eastAsia="zh-CN"/>
        </w:rPr>
        <w:t>2</w:t>
      </w:r>
      <w:r w:rsidR="007C0BDD" w:rsidRPr="00470A3C">
        <w:rPr>
          <w:rFonts w:eastAsia="黑体"/>
          <w:lang w:eastAsia="zh-CN"/>
        </w:rPr>
        <w:t>7</w:t>
      </w:r>
      <w:r w:rsidRPr="00470A3C">
        <w:rPr>
          <w:rFonts w:eastAsia="黑体"/>
          <w:lang w:eastAsia="zh-CN"/>
        </w:rPr>
        <w:t xml:space="preserve">. </w:t>
      </w:r>
      <w:r w:rsidRPr="00470A3C">
        <w:rPr>
          <w:rFonts w:eastAsia="黑体"/>
          <w:lang w:eastAsia="zh-CN"/>
        </w:rPr>
        <w:t>委员会鼓励缔约国考虑批准</w:t>
      </w:r>
      <w:r w:rsidRPr="00470A3C">
        <w:rPr>
          <w:rFonts w:eastAsia="黑体" w:hint="eastAsia"/>
          <w:lang w:eastAsia="zh-CN"/>
        </w:rPr>
        <w:t>《</w:t>
      </w:r>
      <w:r w:rsidRPr="00470A3C">
        <w:rPr>
          <w:rFonts w:eastAsia="黑体"/>
          <w:lang w:eastAsia="zh-CN"/>
        </w:rPr>
        <w:t>保护所有移徙工人及其家庭成员权利国际公约》</w:t>
      </w:r>
      <w:r w:rsidRPr="00470A3C">
        <w:rPr>
          <w:rFonts w:eastAsia="黑体" w:hint="eastAsia"/>
          <w:lang w:eastAsia="zh-CN"/>
        </w:rPr>
        <w:t>、国际劳工组织</w:t>
      </w:r>
      <w:r w:rsidRPr="00470A3C">
        <w:rPr>
          <w:rFonts w:eastAsia="黑体" w:hint="eastAsia"/>
          <w:lang w:eastAsia="zh-CN"/>
        </w:rPr>
        <w:t>1989</w:t>
      </w:r>
      <w:r w:rsidRPr="00470A3C">
        <w:rPr>
          <w:rFonts w:eastAsia="黑体" w:hint="eastAsia"/>
          <w:lang w:eastAsia="zh-CN"/>
        </w:rPr>
        <w:t>年《土著和部落人民公约》</w:t>
      </w:r>
      <w:r w:rsidRPr="00470A3C">
        <w:rPr>
          <w:rFonts w:eastAsia="黑体" w:hint="eastAsia"/>
          <w:lang w:eastAsia="zh-CN"/>
        </w:rPr>
        <w:t>(</w:t>
      </w:r>
      <w:r w:rsidRPr="00470A3C">
        <w:rPr>
          <w:rFonts w:eastAsia="黑体" w:hint="eastAsia"/>
          <w:lang w:eastAsia="zh-CN"/>
        </w:rPr>
        <w:t>第</w:t>
      </w:r>
      <w:r w:rsidRPr="00470A3C">
        <w:rPr>
          <w:rFonts w:eastAsia="黑体" w:hint="eastAsia"/>
          <w:lang w:eastAsia="zh-CN"/>
        </w:rPr>
        <w:t>169</w:t>
      </w:r>
      <w:r w:rsidRPr="00470A3C">
        <w:rPr>
          <w:rFonts w:eastAsia="黑体" w:hint="eastAsia"/>
          <w:lang w:eastAsia="zh-CN"/>
        </w:rPr>
        <w:t>号</w:t>
      </w:r>
      <w:r w:rsidRPr="00470A3C">
        <w:rPr>
          <w:rFonts w:eastAsia="黑体" w:hint="eastAsia"/>
          <w:lang w:eastAsia="zh-CN"/>
        </w:rPr>
        <w:t>)</w:t>
      </w:r>
      <w:r w:rsidRPr="00470A3C">
        <w:rPr>
          <w:rFonts w:eastAsia="黑体" w:hint="eastAsia"/>
          <w:lang w:eastAsia="zh-CN"/>
        </w:rPr>
        <w:t>和</w:t>
      </w:r>
      <w:r w:rsidRPr="00470A3C">
        <w:rPr>
          <w:rFonts w:eastAsia="黑体" w:hint="eastAsia"/>
          <w:lang w:eastAsia="zh-CN"/>
        </w:rPr>
        <w:t>2011</w:t>
      </w:r>
      <w:r w:rsidRPr="00470A3C">
        <w:rPr>
          <w:rFonts w:eastAsia="黑体" w:hint="eastAsia"/>
          <w:lang w:eastAsia="zh-CN"/>
        </w:rPr>
        <w:t>年《家庭工人公约》</w:t>
      </w:r>
      <w:r w:rsidRPr="00470A3C">
        <w:rPr>
          <w:rFonts w:eastAsia="黑体" w:hint="eastAsia"/>
          <w:lang w:eastAsia="zh-CN"/>
        </w:rPr>
        <w:t>(</w:t>
      </w:r>
      <w:r w:rsidRPr="00470A3C">
        <w:rPr>
          <w:rFonts w:eastAsia="黑体" w:hint="eastAsia"/>
          <w:lang w:eastAsia="zh-CN"/>
        </w:rPr>
        <w:t>第</w:t>
      </w:r>
      <w:r w:rsidRPr="00470A3C">
        <w:rPr>
          <w:rFonts w:eastAsia="黑体" w:hint="eastAsia"/>
          <w:lang w:eastAsia="zh-CN"/>
        </w:rPr>
        <w:t>189</w:t>
      </w:r>
      <w:r w:rsidRPr="00470A3C">
        <w:rPr>
          <w:rFonts w:eastAsia="黑体" w:hint="eastAsia"/>
          <w:lang w:eastAsia="zh-CN"/>
        </w:rPr>
        <w:t>号</w:t>
      </w:r>
      <w:r w:rsidRPr="00470A3C">
        <w:rPr>
          <w:rFonts w:eastAsia="黑体" w:hint="eastAsia"/>
          <w:lang w:eastAsia="zh-CN"/>
        </w:rPr>
        <w:t>)</w:t>
      </w:r>
      <w:r w:rsidRPr="00470A3C">
        <w:rPr>
          <w:rFonts w:eastAsia="黑体" w:hint="eastAsia"/>
          <w:lang w:eastAsia="zh-CN"/>
        </w:rPr>
        <w:t>。</w:t>
      </w:r>
    </w:p>
    <w:p w14:paraId="316460DC" w14:textId="77777777" w:rsidR="00C25527" w:rsidRPr="00470A3C" w:rsidRDefault="001A25D2" w:rsidP="00096129">
      <w:pPr>
        <w:pStyle w:val="H23G"/>
        <w:ind w:left="2268"/>
        <w:rPr>
          <w:rFonts w:eastAsia="黑体"/>
          <w:b w:val="0"/>
          <w:bCs/>
          <w:lang w:eastAsia="zh-CN"/>
        </w:rPr>
      </w:pPr>
      <w:r w:rsidRPr="00470A3C">
        <w:rPr>
          <w:rFonts w:eastAsia="黑体" w:hint="eastAsia"/>
          <w:b w:val="0"/>
          <w:bCs/>
          <w:lang w:eastAsia="zh-CN"/>
        </w:rPr>
        <w:t>批准其他条约</w:t>
      </w:r>
      <w:r w:rsidRPr="00470A3C">
        <w:rPr>
          <w:rFonts w:eastAsia="黑体"/>
          <w:b w:val="0"/>
          <w:bCs/>
          <w:lang w:eastAsia="zh-CN"/>
        </w:rPr>
        <w:t xml:space="preserve"> </w:t>
      </w:r>
    </w:p>
    <w:p w14:paraId="72E4AA6A" w14:textId="77777777" w:rsidR="001A25D2" w:rsidRPr="00470A3C" w:rsidRDefault="003937EF" w:rsidP="00DD5977">
      <w:pPr>
        <w:pStyle w:val="SingleTxtG"/>
        <w:rPr>
          <w:rFonts w:eastAsia="黑体"/>
          <w:b/>
          <w:bCs/>
          <w:lang w:eastAsia="zh-CN"/>
        </w:rPr>
      </w:pPr>
      <w:r w:rsidRPr="00470A3C">
        <w:rPr>
          <w:rFonts w:eastAsia="黑体"/>
          <w:lang w:eastAsia="zh-CN"/>
        </w:rPr>
        <w:t>28</w:t>
      </w:r>
      <w:r w:rsidR="00967C3C" w:rsidRPr="00470A3C">
        <w:rPr>
          <w:rFonts w:eastAsia="黑体"/>
          <w:lang w:eastAsia="zh-CN"/>
        </w:rPr>
        <w:t>.</w:t>
      </w:r>
      <w:r w:rsidR="001A25D2" w:rsidRPr="00470A3C">
        <w:rPr>
          <w:rFonts w:eastAsia="黑体"/>
          <w:lang w:eastAsia="zh-CN"/>
        </w:rPr>
        <w:tab/>
      </w:r>
      <w:r w:rsidR="001A25D2" w:rsidRPr="00470A3C">
        <w:rPr>
          <w:rFonts w:eastAsia="黑体" w:hint="eastAsia"/>
          <w:lang w:eastAsia="zh-CN"/>
        </w:rPr>
        <w:t>鉴于</w:t>
      </w:r>
      <w:r w:rsidR="001A25D2" w:rsidRPr="00470A3C">
        <w:rPr>
          <w:rFonts w:eastAsia="黑体"/>
          <w:lang w:eastAsia="zh-CN"/>
        </w:rPr>
        <w:t>所有人权不可分割，委员会鼓励缔约国考虑批准</w:t>
      </w:r>
      <w:r w:rsidR="001A25D2" w:rsidRPr="00470A3C">
        <w:rPr>
          <w:rFonts w:eastAsia="黑体" w:hint="eastAsia"/>
          <w:lang w:eastAsia="zh-CN"/>
        </w:rPr>
        <w:t>其</w:t>
      </w:r>
      <w:r w:rsidR="001A25D2" w:rsidRPr="00470A3C">
        <w:rPr>
          <w:rFonts w:eastAsia="黑体"/>
          <w:lang w:eastAsia="zh-CN"/>
        </w:rPr>
        <w:t>尚未批准的国际人权条约，</w:t>
      </w:r>
      <w:r w:rsidR="001A25D2" w:rsidRPr="00470A3C">
        <w:rPr>
          <w:rFonts w:eastAsia="黑体" w:hint="eastAsia"/>
          <w:lang w:eastAsia="zh-CN"/>
        </w:rPr>
        <w:t>尤其是</w:t>
      </w:r>
      <w:r w:rsidR="000B1D37" w:rsidRPr="00470A3C">
        <w:rPr>
          <w:rFonts w:eastAsia="黑体" w:hint="eastAsia"/>
          <w:lang w:eastAsia="zh-CN"/>
        </w:rPr>
        <w:t>其</w:t>
      </w:r>
      <w:r w:rsidR="001A25D2" w:rsidRPr="00470A3C">
        <w:rPr>
          <w:rFonts w:eastAsia="黑体" w:hint="eastAsia"/>
          <w:lang w:eastAsia="zh-CN"/>
        </w:rPr>
        <w:t>条款</w:t>
      </w:r>
      <w:r w:rsidR="001A25D2" w:rsidRPr="00470A3C">
        <w:rPr>
          <w:rFonts w:eastAsia="黑体"/>
          <w:lang w:eastAsia="zh-CN"/>
        </w:rPr>
        <w:t>与可能遭受种族歧视</w:t>
      </w:r>
      <w:r w:rsidR="001A25D2" w:rsidRPr="00470A3C">
        <w:rPr>
          <w:rFonts w:eastAsia="黑体" w:hint="eastAsia"/>
          <w:lang w:eastAsia="zh-CN"/>
        </w:rPr>
        <w:t>的</w:t>
      </w:r>
      <w:r w:rsidR="00663A83" w:rsidRPr="00470A3C">
        <w:rPr>
          <w:rFonts w:eastAsia="黑体"/>
          <w:lang w:eastAsia="zh-CN"/>
        </w:rPr>
        <w:t>族</w:t>
      </w:r>
      <w:r w:rsidR="001A25D2" w:rsidRPr="00470A3C">
        <w:rPr>
          <w:rFonts w:eastAsia="黑体"/>
          <w:lang w:eastAsia="zh-CN"/>
        </w:rPr>
        <w:t>群直接相关的条约，包括《保护所有移徙工人及其家庭成员权利国际公约》</w:t>
      </w:r>
      <w:r w:rsidR="00806DF0" w:rsidRPr="00470A3C">
        <w:rPr>
          <w:rFonts w:eastAsia="黑体" w:hint="eastAsia"/>
          <w:lang w:eastAsia="zh-CN"/>
        </w:rPr>
        <w:t>、</w:t>
      </w:r>
      <w:r w:rsidR="001A25D2" w:rsidRPr="00470A3C">
        <w:rPr>
          <w:rFonts w:eastAsia="黑体" w:hint="eastAsia"/>
          <w:lang w:eastAsia="zh-CN"/>
        </w:rPr>
        <w:t>国际劳工组织</w:t>
      </w:r>
      <w:r w:rsidR="001A25D2" w:rsidRPr="00470A3C">
        <w:rPr>
          <w:rFonts w:eastAsia="黑体" w:hint="eastAsia"/>
          <w:lang w:eastAsia="zh-CN"/>
        </w:rPr>
        <w:t>2011</w:t>
      </w:r>
      <w:r w:rsidR="001A25D2" w:rsidRPr="00470A3C">
        <w:rPr>
          <w:rFonts w:eastAsia="黑体" w:hint="eastAsia"/>
          <w:lang w:eastAsia="zh-CN"/>
        </w:rPr>
        <w:t>年《家庭工人公约》</w:t>
      </w:r>
      <w:r w:rsidR="001A25D2" w:rsidRPr="00470A3C">
        <w:rPr>
          <w:rFonts w:eastAsia="黑体" w:hint="eastAsia"/>
          <w:lang w:eastAsia="zh-CN"/>
        </w:rPr>
        <w:t>(</w:t>
      </w:r>
      <w:r w:rsidR="001A25D2" w:rsidRPr="00470A3C">
        <w:rPr>
          <w:rFonts w:eastAsia="黑体" w:hint="eastAsia"/>
          <w:lang w:eastAsia="zh-CN"/>
        </w:rPr>
        <w:t>第</w:t>
      </w:r>
      <w:r w:rsidR="001A25D2" w:rsidRPr="00470A3C">
        <w:rPr>
          <w:rFonts w:eastAsia="黑体" w:hint="eastAsia"/>
          <w:lang w:eastAsia="zh-CN"/>
        </w:rPr>
        <w:t>189</w:t>
      </w:r>
      <w:r w:rsidR="001A25D2" w:rsidRPr="00470A3C">
        <w:rPr>
          <w:rFonts w:eastAsia="黑体" w:hint="eastAsia"/>
          <w:lang w:eastAsia="zh-CN"/>
        </w:rPr>
        <w:t>号</w:t>
      </w:r>
      <w:r w:rsidR="001A25D2" w:rsidRPr="00470A3C">
        <w:rPr>
          <w:rFonts w:eastAsia="黑体" w:hint="eastAsia"/>
          <w:lang w:eastAsia="zh-CN"/>
        </w:rPr>
        <w:t>)</w:t>
      </w:r>
      <w:r w:rsidR="001A25D2" w:rsidRPr="00470A3C">
        <w:rPr>
          <w:rFonts w:eastAsia="黑体"/>
          <w:lang w:eastAsia="zh-CN"/>
        </w:rPr>
        <w:t xml:space="preserve"> </w:t>
      </w:r>
      <w:r w:rsidR="001A25D2" w:rsidRPr="00470A3C">
        <w:rPr>
          <w:rFonts w:eastAsia="黑体" w:hint="eastAsia"/>
          <w:lang w:eastAsia="zh-CN"/>
        </w:rPr>
        <w:t>和</w:t>
      </w:r>
      <w:r w:rsidR="001A25D2" w:rsidRPr="00470A3C">
        <w:rPr>
          <w:rFonts w:eastAsia="黑体"/>
          <w:lang w:eastAsia="zh-CN"/>
        </w:rPr>
        <w:t xml:space="preserve"> </w:t>
      </w:r>
      <w:r w:rsidR="00806DF0" w:rsidRPr="00470A3C">
        <w:rPr>
          <w:rFonts w:eastAsia="黑体" w:hint="eastAsia"/>
          <w:lang w:eastAsia="zh-CN"/>
        </w:rPr>
        <w:t>《保护所有人免遭强迫失踪国际公约》</w:t>
      </w:r>
      <w:r w:rsidR="001A25D2" w:rsidRPr="00470A3C">
        <w:rPr>
          <w:rFonts w:eastAsia="黑体" w:hint="eastAsia"/>
          <w:lang w:eastAsia="zh-CN"/>
        </w:rPr>
        <w:t>。委员会鼓励缔约国加入</w:t>
      </w:r>
      <w:r w:rsidR="001A25D2" w:rsidRPr="00470A3C">
        <w:rPr>
          <w:rFonts w:eastAsia="黑体"/>
          <w:lang w:eastAsia="zh-CN"/>
        </w:rPr>
        <w:t xml:space="preserve"> 1954</w:t>
      </w:r>
      <w:r w:rsidR="001A25D2" w:rsidRPr="00470A3C">
        <w:rPr>
          <w:rFonts w:eastAsia="黑体" w:hint="eastAsia"/>
          <w:lang w:eastAsia="zh-CN"/>
        </w:rPr>
        <w:t>年</w:t>
      </w:r>
      <w:r w:rsidR="001A25D2" w:rsidRPr="00470A3C">
        <w:rPr>
          <w:rFonts w:eastAsia="黑体"/>
          <w:lang w:eastAsia="zh-CN"/>
        </w:rPr>
        <w:t>《关于无国籍人地位的公约》</w:t>
      </w:r>
      <w:r w:rsidR="001A25D2" w:rsidRPr="00470A3C">
        <w:rPr>
          <w:rFonts w:eastAsia="黑体" w:hint="eastAsia"/>
          <w:lang w:eastAsia="zh-CN"/>
        </w:rPr>
        <w:t>和</w:t>
      </w:r>
      <w:r w:rsidR="001A25D2" w:rsidRPr="00470A3C">
        <w:rPr>
          <w:rFonts w:eastAsia="黑体"/>
          <w:lang w:eastAsia="zh-CN"/>
        </w:rPr>
        <w:t>1961</w:t>
      </w:r>
      <w:r w:rsidR="001A25D2" w:rsidRPr="00470A3C">
        <w:rPr>
          <w:rFonts w:eastAsia="黑体" w:hint="eastAsia"/>
          <w:lang w:eastAsia="zh-CN"/>
        </w:rPr>
        <w:t>年</w:t>
      </w:r>
      <w:r w:rsidR="001A25D2" w:rsidRPr="00470A3C">
        <w:rPr>
          <w:rFonts w:eastAsia="黑体"/>
          <w:lang w:eastAsia="zh-CN"/>
        </w:rPr>
        <w:t>《减少无国籍状态公约》</w:t>
      </w:r>
      <w:r w:rsidR="001A25D2" w:rsidRPr="00470A3C">
        <w:rPr>
          <w:rFonts w:eastAsia="黑体" w:hint="eastAsia"/>
          <w:lang w:eastAsia="zh-CN"/>
        </w:rPr>
        <w:t>。最后，委员会建议缔约国考虑批准《</w:t>
      </w:r>
      <w:r w:rsidR="001A25D2" w:rsidRPr="00470A3C">
        <w:rPr>
          <w:rFonts w:eastAsia="黑体"/>
          <w:lang w:eastAsia="zh-CN"/>
        </w:rPr>
        <w:t>美洲反对种族主义、种族歧视和相关不容忍</w:t>
      </w:r>
      <w:r w:rsidR="001A25D2" w:rsidRPr="00470A3C">
        <w:rPr>
          <w:rFonts w:eastAsia="黑体" w:hint="eastAsia"/>
          <w:lang w:eastAsia="zh-CN"/>
        </w:rPr>
        <w:t>行为</w:t>
      </w:r>
      <w:r w:rsidR="001A25D2" w:rsidRPr="00470A3C">
        <w:rPr>
          <w:rFonts w:eastAsia="黑体"/>
          <w:lang w:eastAsia="zh-CN"/>
        </w:rPr>
        <w:t>公约</w:t>
      </w:r>
      <w:r w:rsidR="001A25D2" w:rsidRPr="00470A3C">
        <w:rPr>
          <w:rFonts w:eastAsia="黑体" w:hint="eastAsia"/>
          <w:lang w:eastAsia="zh-CN"/>
        </w:rPr>
        <w:t>》</w:t>
      </w:r>
      <w:r w:rsidR="001A25D2" w:rsidRPr="00470A3C">
        <w:rPr>
          <w:rFonts w:eastAsia="黑体" w:hint="eastAsia"/>
          <w:b/>
          <w:bCs/>
          <w:lang w:eastAsia="zh-CN"/>
        </w:rPr>
        <w:t>。</w:t>
      </w:r>
    </w:p>
    <w:p w14:paraId="496AA42F" w14:textId="77777777" w:rsidR="001A25D2" w:rsidRPr="00470A3C" w:rsidRDefault="00C25527" w:rsidP="001A25D2">
      <w:pPr>
        <w:pStyle w:val="H23G"/>
        <w:rPr>
          <w:rFonts w:eastAsia="黑体"/>
          <w:b w:val="0"/>
          <w:bCs/>
          <w:lang w:eastAsia="zh-CN"/>
        </w:rPr>
      </w:pPr>
      <w:r w:rsidRPr="00470A3C">
        <w:rPr>
          <w:lang w:eastAsia="zh-CN"/>
        </w:rPr>
        <w:lastRenderedPageBreak/>
        <w:tab/>
      </w:r>
      <w:r w:rsidRPr="00470A3C">
        <w:rPr>
          <w:lang w:eastAsia="zh-CN"/>
        </w:rPr>
        <w:tab/>
      </w:r>
      <w:r w:rsidR="001A25D2" w:rsidRPr="00470A3C">
        <w:rPr>
          <w:rFonts w:eastAsia="黑体"/>
          <w:b w:val="0"/>
          <w:bCs/>
          <w:lang w:eastAsia="zh-CN"/>
        </w:rPr>
        <w:t>《公约》第八条修正案</w:t>
      </w:r>
    </w:p>
    <w:p w14:paraId="1B298CB2" w14:textId="77777777" w:rsidR="001A25D2" w:rsidRPr="00470A3C" w:rsidRDefault="003937EF" w:rsidP="001A25D2">
      <w:pPr>
        <w:pStyle w:val="SingleTxtG"/>
        <w:rPr>
          <w:rFonts w:eastAsia="黑体"/>
          <w:b/>
          <w:bCs/>
          <w:lang w:eastAsia="zh-CN"/>
        </w:rPr>
      </w:pPr>
      <w:r w:rsidRPr="00470A3C">
        <w:rPr>
          <w:rFonts w:eastAsia="黑体"/>
          <w:lang w:eastAsia="zh-CN"/>
        </w:rPr>
        <w:t>29</w:t>
      </w:r>
      <w:r w:rsidR="001A25D2" w:rsidRPr="00470A3C">
        <w:rPr>
          <w:rFonts w:eastAsia="黑体"/>
          <w:lang w:eastAsia="zh-CN"/>
        </w:rPr>
        <w:t>.</w:t>
      </w:r>
      <w:r w:rsidR="001A25D2" w:rsidRPr="00470A3C">
        <w:rPr>
          <w:rFonts w:eastAsia="黑体"/>
          <w:lang w:eastAsia="zh-CN"/>
        </w:rPr>
        <w:tab/>
      </w:r>
      <w:r w:rsidR="001A25D2" w:rsidRPr="00470A3C">
        <w:rPr>
          <w:rFonts w:eastAsia="黑体"/>
          <w:lang w:eastAsia="zh-CN"/>
        </w:rPr>
        <w:t>委员会建议缔约国批准《公约》缔约国第十四次会议</w:t>
      </w:r>
      <w:r w:rsidR="001A25D2" w:rsidRPr="00470A3C">
        <w:rPr>
          <w:rFonts w:eastAsia="黑体"/>
          <w:lang w:eastAsia="zh-CN"/>
        </w:rPr>
        <w:t>1992</w:t>
      </w:r>
      <w:r w:rsidR="001A25D2" w:rsidRPr="00470A3C">
        <w:rPr>
          <w:rFonts w:eastAsia="黑体"/>
          <w:lang w:eastAsia="zh-CN"/>
        </w:rPr>
        <w:t>年</w:t>
      </w:r>
      <w:r w:rsidR="001A25D2" w:rsidRPr="00470A3C">
        <w:rPr>
          <w:rFonts w:eastAsia="黑体"/>
          <w:lang w:eastAsia="zh-CN"/>
        </w:rPr>
        <w:t>1</w:t>
      </w:r>
      <w:r w:rsidR="001A25D2" w:rsidRPr="00470A3C">
        <w:rPr>
          <w:rFonts w:eastAsia="黑体"/>
          <w:lang w:eastAsia="zh-CN"/>
        </w:rPr>
        <w:t>月</w:t>
      </w:r>
      <w:r w:rsidR="001A25D2" w:rsidRPr="00470A3C">
        <w:rPr>
          <w:rFonts w:eastAsia="黑体"/>
          <w:lang w:eastAsia="zh-CN"/>
        </w:rPr>
        <w:t>15</w:t>
      </w:r>
      <w:r w:rsidR="001A25D2" w:rsidRPr="00470A3C">
        <w:rPr>
          <w:rFonts w:eastAsia="黑体"/>
          <w:lang w:eastAsia="zh-CN"/>
        </w:rPr>
        <w:t>日通过并经大会第</w:t>
      </w:r>
      <w:r w:rsidR="001A25D2" w:rsidRPr="00470A3C">
        <w:rPr>
          <w:rFonts w:eastAsia="黑体"/>
          <w:lang w:eastAsia="zh-CN"/>
        </w:rPr>
        <w:t>47/111</w:t>
      </w:r>
      <w:r w:rsidR="001A25D2" w:rsidRPr="00470A3C">
        <w:rPr>
          <w:rFonts w:eastAsia="黑体"/>
          <w:lang w:eastAsia="zh-CN"/>
        </w:rPr>
        <w:t>号决议核准的《公约》第八条第六款修正案</w:t>
      </w:r>
      <w:r w:rsidR="001A25D2" w:rsidRPr="00470A3C">
        <w:rPr>
          <w:rFonts w:eastAsia="黑体"/>
          <w:b/>
          <w:bCs/>
          <w:lang w:eastAsia="zh-CN"/>
        </w:rPr>
        <w:t>。</w:t>
      </w:r>
    </w:p>
    <w:p w14:paraId="2407588A" w14:textId="77777777" w:rsidR="001A25D2" w:rsidRPr="00470A3C" w:rsidRDefault="00C25527" w:rsidP="001A25D2">
      <w:pPr>
        <w:pStyle w:val="H23G"/>
        <w:spacing w:after="0"/>
        <w:rPr>
          <w:rFonts w:eastAsia="黑体"/>
          <w:b w:val="0"/>
          <w:bCs/>
          <w:lang w:eastAsia="zh-CN"/>
        </w:rPr>
      </w:pPr>
      <w:r w:rsidRPr="00470A3C">
        <w:rPr>
          <w:lang w:eastAsia="zh-CN"/>
        </w:rPr>
        <w:tab/>
      </w:r>
      <w:r w:rsidRPr="00470A3C">
        <w:rPr>
          <w:lang w:eastAsia="zh-CN"/>
        </w:rPr>
        <w:tab/>
      </w:r>
      <w:r w:rsidR="00C53558" w:rsidRPr="00470A3C">
        <w:rPr>
          <w:rFonts w:eastAsia="黑体" w:hint="eastAsia"/>
          <w:b w:val="0"/>
          <w:bCs/>
          <w:lang w:eastAsia="zh-CN"/>
        </w:rPr>
        <w:t>依照</w:t>
      </w:r>
      <w:r w:rsidR="001A25D2" w:rsidRPr="00470A3C">
        <w:rPr>
          <w:rFonts w:eastAsia="黑体"/>
          <w:b w:val="0"/>
          <w:bCs/>
          <w:lang w:eastAsia="zh-CN"/>
        </w:rPr>
        <w:t>《公约》第十四条</w:t>
      </w:r>
      <w:r w:rsidR="001A25D2" w:rsidRPr="00470A3C">
        <w:rPr>
          <w:rFonts w:eastAsia="黑体" w:hint="eastAsia"/>
          <w:b w:val="0"/>
          <w:bCs/>
          <w:lang w:eastAsia="zh-CN"/>
        </w:rPr>
        <w:t>作出声明</w:t>
      </w:r>
    </w:p>
    <w:p w14:paraId="48DC71BC" w14:textId="77777777" w:rsidR="001A25D2" w:rsidRPr="00470A3C" w:rsidRDefault="001A25D2" w:rsidP="001A25D2">
      <w:pPr>
        <w:rPr>
          <w:lang w:eastAsia="zh-CN"/>
        </w:rPr>
      </w:pPr>
    </w:p>
    <w:p w14:paraId="4C041DB3" w14:textId="77777777" w:rsidR="00721D36" w:rsidRPr="00470A3C" w:rsidRDefault="001A25D2" w:rsidP="001A25D2">
      <w:pPr>
        <w:pStyle w:val="SingleTxtG"/>
        <w:ind w:left="1135"/>
        <w:rPr>
          <w:rFonts w:eastAsia="黑体"/>
          <w:b/>
          <w:bCs/>
          <w:lang w:eastAsia="zh-CN"/>
        </w:rPr>
      </w:pPr>
      <w:r w:rsidRPr="00470A3C">
        <w:rPr>
          <w:rFonts w:eastAsia="黑体"/>
          <w:lang w:eastAsia="zh-CN"/>
        </w:rPr>
        <w:t>3</w:t>
      </w:r>
      <w:r w:rsidR="003937EF" w:rsidRPr="00470A3C">
        <w:rPr>
          <w:rFonts w:eastAsia="黑体"/>
          <w:lang w:eastAsia="zh-CN"/>
        </w:rPr>
        <w:t>0</w:t>
      </w:r>
      <w:r w:rsidRPr="00470A3C">
        <w:rPr>
          <w:rFonts w:eastAsia="黑体"/>
          <w:lang w:eastAsia="zh-CN"/>
        </w:rPr>
        <w:t>.</w:t>
      </w:r>
      <w:r w:rsidRPr="00470A3C">
        <w:rPr>
          <w:rFonts w:eastAsia="黑体"/>
          <w:lang w:eastAsia="zh-CN"/>
        </w:rPr>
        <w:tab/>
      </w:r>
      <w:r w:rsidRPr="00470A3C">
        <w:rPr>
          <w:rFonts w:eastAsia="黑体"/>
          <w:lang w:eastAsia="zh-CN"/>
        </w:rPr>
        <w:t>委员会鼓励缔约国</w:t>
      </w:r>
      <w:r w:rsidR="00C53558" w:rsidRPr="00470A3C">
        <w:rPr>
          <w:rFonts w:eastAsia="黑体" w:hint="eastAsia"/>
          <w:lang w:eastAsia="zh-CN"/>
        </w:rPr>
        <w:t>依照</w:t>
      </w:r>
      <w:r w:rsidRPr="00470A3C">
        <w:rPr>
          <w:rFonts w:eastAsia="黑体"/>
          <w:lang w:eastAsia="zh-CN"/>
        </w:rPr>
        <w:t>《公约》第十四条</w:t>
      </w:r>
      <w:r w:rsidRPr="00470A3C">
        <w:rPr>
          <w:rFonts w:eastAsia="黑体" w:hint="eastAsia"/>
          <w:lang w:eastAsia="zh-CN"/>
        </w:rPr>
        <w:t>作出</w:t>
      </w:r>
      <w:r w:rsidRPr="00470A3C">
        <w:rPr>
          <w:rFonts w:eastAsia="黑体"/>
          <w:lang w:eastAsia="zh-CN"/>
        </w:rPr>
        <w:t>任择</w:t>
      </w:r>
      <w:r w:rsidRPr="00470A3C">
        <w:rPr>
          <w:rFonts w:eastAsia="黑体" w:hint="eastAsia"/>
          <w:lang w:val="en-US" w:eastAsia="zh-CN"/>
        </w:rPr>
        <w:t>声明</w:t>
      </w:r>
      <w:r w:rsidRPr="00470A3C">
        <w:rPr>
          <w:rFonts w:eastAsia="黑体"/>
          <w:lang w:eastAsia="zh-CN"/>
        </w:rPr>
        <w:t>，承认委员会有权接受和</w:t>
      </w:r>
      <w:r w:rsidRPr="00470A3C">
        <w:rPr>
          <w:rFonts w:eastAsia="黑体" w:hint="eastAsia"/>
          <w:lang w:eastAsia="zh-CN"/>
        </w:rPr>
        <w:t>审查</w:t>
      </w:r>
      <w:r w:rsidRPr="00470A3C">
        <w:rPr>
          <w:rFonts w:eastAsia="黑体"/>
          <w:lang w:eastAsia="zh-CN"/>
        </w:rPr>
        <w:t>个人申诉</w:t>
      </w:r>
      <w:r w:rsidRPr="00470A3C">
        <w:rPr>
          <w:rFonts w:eastAsia="黑体"/>
          <w:b/>
          <w:bCs/>
          <w:lang w:eastAsia="zh-CN"/>
        </w:rPr>
        <w:t>。</w:t>
      </w:r>
    </w:p>
    <w:p w14:paraId="54F44527" w14:textId="46F5C0AD" w:rsidR="00D458BE" w:rsidRPr="00470A3C" w:rsidRDefault="00D458BE" w:rsidP="001A25D2">
      <w:pPr>
        <w:pStyle w:val="SingleTxtG"/>
        <w:ind w:left="1135"/>
        <w:rPr>
          <w:rFonts w:eastAsia="黑体"/>
          <w:b/>
          <w:bCs/>
          <w:lang w:eastAsia="zh-CN"/>
        </w:rPr>
      </w:pPr>
      <w:r w:rsidRPr="00470A3C">
        <w:rPr>
          <w:rFonts w:eastAsia="黑体"/>
          <w:lang w:eastAsia="zh-CN"/>
        </w:rPr>
        <w:t>委员会鼓励缔约国</w:t>
      </w:r>
      <w:r w:rsidR="0099000D" w:rsidRPr="00470A3C">
        <w:rPr>
          <w:rFonts w:eastAsia="黑体" w:hint="eastAsia"/>
          <w:lang w:eastAsia="zh-CN"/>
        </w:rPr>
        <w:t>考虑</w:t>
      </w:r>
      <w:r w:rsidRPr="00470A3C">
        <w:rPr>
          <w:rFonts w:eastAsia="黑体" w:hint="eastAsia"/>
          <w:lang w:eastAsia="zh-CN"/>
        </w:rPr>
        <w:t>依照</w:t>
      </w:r>
      <w:r w:rsidRPr="00470A3C">
        <w:rPr>
          <w:rFonts w:eastAsia="黑体"/>
          <w:lang w:eastAsia="zh-CN"/>
        </w:rPr>
        <w:t>《公约》第十四条</w:t>
      </w:r>
      <w:r w:rsidRPr="00470A3C">
        <w:rPr>
          <w:rFonts w:eastAsia="黑体" w:hint="eastAsia"/>
          <w:lang w:eastAsia="zh-CN"/>
        </w:rPr>
        <w:t>作出</w:t>
      </w:r>
      <w:r w:rsidRPr="00470A3C">
        <w:rPr>
          <w:rFonts w:eastAsia="黑体"/>
          <w:lang w:eastAsia="zh-CN"/>
        </w:rPr>
        <w:t>任择</w:t>
      </w:r>
      <w:r w:rsidRPr="00470A3C">
        <w:rPr>
          <w:rFonts w:eastAsia="黑体" w:hint="eastAsia"/>
          <w:lang w:val="en-US" w:eastAsia="zh-CN"/>
        </w:rPr>
        <w:t>声明</w:t>
      </w:r>
      <w:r w:rsidRPr="00470A3C">
        <w:rPr>
          <w:rFonts w:eastAsia="黑体"/>
          <w:lang w:eastAsia="zh-CN"/>
        </w:rPr>
        <w:t>，承认委员会有权接受和</w:t>
      </w:r>
      <w:r w:rsidRPr="00470A3C">
        <w:rPr>
          <w:rFonts w:eastAsia="黑体" w:hint="eastAsia"/>
          <w:lang w:eastAsia="zh-CN"/>
        </w:rPr>
        <w:t>审查</w:t>
      </w:r>
      <w:r w:rsidRPr="00470A3C">
        <w:rPr>
          <w:rFonts w:eastAsia="黑体"/>
          <w:lang w:eastAsia="zh-CN"/>
        </w:rPr>
        <w:t>个人申诉</w:t>
      </w:r>
      <w:r w:rsidRPr="00470A3C">
        <w:rPr>
          <w:rFonts w:eastAsia="黑体"/>
          <w:b/>
          <w:bCs/>
          <w:lang w:eastAsia="zh-CN"/>
        </w:rPr>
        <w:t>。</w:t>
      </w:r>
    </w:p>
    <w:p w14:paraId="3A0DBCF0" w14:textId="56E70CE5" w:rsidR="001A25D2" w:rsidRPr="00470A3C" w:rsidRDefault="00C25527" w:rsidP="001A25D2">
      <w:pPr>
        <w:pStyle w:val="H23G"/>
        <w:rPr>
          <w:rFonts w:eastAsia="黑体"/>
          <w:b w:val="0"/>
          <w:bCs/>
          <w:lang w:eastAsia="zh-CN"/>
        </w:rPr>
      </w:pPr>
      <w:r w:rsidRPr="00470A3C">
        <w:rPr>
          <w:lang w:eastAsia="zh-CN"/>
        </w:rPr>
        <w:tab/>
      </w:r>
      <w:r w:rsidRPr="00470A3C">
        <w:rPr>
          <w:lang w:eastAsia="zh-CN"/>
        </w:rPr>
        <w:tab/>
      </w:r>
      <w:r w:rsidR="001A25D2" w:rsidRPr="00470A3C">
        <w:rPr>
          <w:rFonts w:eastAsia="黑体" w:hint="eastAsia"/>
          <w:b w:val="0"/>
          <w:bCs/>
          <w:lang w:eastAsia="zh-CN"/>
        </w:rPr>
        <w:t>后续落实</w:t>
      </w:r>
      <w:r w:rsidR="001A25D2" w:rsidRPr="00470A3C">
        <w:rPr>
          <w:rFonts w:eastAsia="黑体"/>
          <w:b w:val="0"/>
          <w:bCs/>
          <w:lang w:eastAsia="zh-CN"/>
        </w:rPr>
        <w:t>《德班宣言和行动纲领》</w:t>
      </w:r>
    </w:p>
    <w:p w14:paraId="3C161FE0" w14:textId="77777777" w:rsidR="001A25D2" w:rsidRPr="00470A3C" w:rsidRDefault="001A25D2" w:rsidP="00C70F59">
      <w:pPr>
        <w:pStyle w:val="SingleTxtG"/>
        <w:rPr>
          <w:rFonts w:eastAsia="黑体"/>
          <w:lang w:eastAsia="zh-CN"/>
        </w:rPr>
      </w:pPr>
      <w:r w:rsidRPr="00470A3C">
        <w:rPr>
          <w:rFonts w:eastAsia="黑体"/>
          <w:lang w:eastAsia="zh-CN"/>
        </w:rPr>
        <w:t>3</w:t>
      </w:r>
      <w:r w:rsidR="003937EF" w:rsidRPr="00470A3C">
        <w:rPr>
          <w:rFonts w:eastAsia="黑体"/>
          <w:lang w:eastAsia="zh-CN"/>
        </w:rPr>
        <w:t>1</w:t>
      </w:r>
      <w:r w:rsidRPr="00470A3C">
        <w:rPr>
          <w:rFonts w:eastAsia="黑体"/>
          <w:lang w:eastAsia="zh-CN"/>
        </w:rPr>
        <w:t>.</w:t>
      </w:r>
      <w:r w:rsidRPr="00470A3C">
        <w:rPr>
          <w:rFonts w:eastAsia="黑体"/>
          <w:lang w:eastAsia="zh-CN"/>
        </w:rPr>
        <w:tab/>
      </w:r>
      <w:bookmarkStart w:id="0" w:name="_Hlk46151011"/>
      <w:r w:rsidR="00C70F59" w:rsidRPr="00470A3C">
        <w:rPr>
          <w:rFonts w:eastAsia="黑体"/>
          <w:lang w:eastAsia="zh-CN"/>
        </w:rPr>
        <w:t>委员会</w:t>
      </w:r>
      <w:r w:rsidRPr="00470A3C">
        <w:rPr>
          <w:rFonts w:eastAsia="黑体" w:hint="eastAsia"/>
          <w:lang w:eastAsia="zh-CN"/>
        </w:rPr>
        <w:t>参照</w:t>
      </w:r>
      <w:r w:rsidRPr="00470A3C">
        <w:rPr>
          <w:rFonts w:eastAsia="黑体"/>
          <w:lang w:eastAsia="zh-CN"/>
        </w:rPr>
        <w:t>关于德班审查会议后续</w:t>
      </w:r>
      <w:r w:rsidRPr="00470A3C">
        <w:rPr>
          <w:rFonts w:eastAsia="黑体" w:hint="eastAsia"/>
          <w:lang w:eastAsia="zh-CN"/>
        </w:rPr>
        <w:t>行</w:t>
      </w:r>
      <w:r w:rsidRPr="00470A3C">
        <w:rPr>
          <w:rFonts w:eastAsia="黑体"/>
          <w:lang w:eastAsia="zh-CN"/>
        </w:rPr>
        <w:t>动的第</w:t>
      </w:r>
      <w:r w:rsidRPr="00470A3C">
        <w:rPr>
          <w:rFonts w:eastAsia="黑体"/>
          <w:lang w:eastAsia="zh-CN"/>
        </w:rPr>
        <w:t>33</w:t>
      </w:r>
      <w:r w:rsidRPr="00470A3C">
        <w:rPr>
          <w:rFonts w:eastAsia="黑体"/>
          <w:lang w:eastAsia="zh-CN"/>
        </w:rPr>
        <w:t>号一般性建议</w:t>
      </w:r>
      <w:r w:rsidRPr="00470A3C">
        <w:rPr>
          <w:rFonts w:eastAsia="黑体"/>
          <w:lang w:eastAsia="zh-CN"/>
        </w:rPr>
        <w:t>(2009</w:t>
      </w:r>
      <w:r w:rsidRPr="00470A3C">
        <w:rPr>
          <w:rFonts w:eastAsia="黑体" w:hint="eastAsia"/>
          <w:lang w:eastAsia="zh-CN"/>
        </w:rPr>
        <w:t>年</w:t>
      </w:r>
      <w:r w:rsidRPr="00470A3C">
        <w:rPr>
          <w:rFonts w:eastAsia="黑体"/>
          <w:lang w:eastAsia="zh-CN"/>
        </w:rPr>
        <w:t>)</w:t>
      </w:r>
      <w:r w:rsidRPr="00470A3C">
        <w:rPr>
          <w:rFonts w:eastAsia="黑体"/>
          <w:lang w:eastAsia="zh-CN"/>
        </w:rPr>
        <w:t>，建议缔约国在国内法律秩序</w:t>
      </w:r>
      <w:r w:rsidR="0015007E" w:rsidRPr="00470A3C">
        <w:rPr>
          <w:rFonts w:eastAsia="黑体" w:hint="eastAsia"/>
          <w:lang w:eastAsia="zh-CN"/>
        </w:rPr>
        <w:t>中</w:t>
      </w:r>
      <w:r w:rsidRPr="00470A3C">
        <w:rPr>
          <w:rFonts w:eastAsia="黑体" w:hint="eastAsia"/>
          <w:lang w:eastAsia="zh-CN"/>
        </w:rPr>
        <w:t>执行《公约》</w:t>
      </w:r>
      <w:r w:rsidRPr="00470A3C">
        <w:rPr>
          <w:rFonts w:eastAsia="黑体"/>
          <w:lang w:eastAsia="zh-CN"/>
        </w:rPr>
        <w:t>时</w:t>
      </w:r>
      <w:r w:rsidRPr="00470A3C">
        <w:rPr>
          <w:rFonts w:eastAsia="黑体" w:hint="eastAsia"/>
          <w:lang w:val="en-US" w:eastAsia="zh-CN"/>
        </w:rPr>
        <w:t>落实</w:t>
      </w:r>
      <w:r w:rsidRPr="00470A3C">
        <w:rPr>
          <w:rFonts w:eastAsia="黑体" w:hint="eastAsia"/>
          <w:lang w:eastAsia="zh-CN"/>
        </w:rPr>
        <w:t>反对</w:t>
      </w:r>
      <w:r w:rsidRPr="00470A3C">
        <w:rPr>
          <w:rFonts w:eastAsia="黑体"/>
          <w:lang w:eastAsia="zh-CN"/>
        </w:rPr>
        <w:t>种族主义、种族歧视、仇外</w:t>
      </w:r>
      <w:r w:rsidR="0048400C" w:rsidRPr="00470A3C">
        <w:rPr>
          <w:rFonts w:eastAsia="黑体" w:hint="eastAsia"/>
          <w:lang w:eastAsia="zh-CN"/>
        </w:rPr>
        <w:t>心理</w:t>
      </w:r>
      <w:r w:rsidRPr="00470A3C">
        <w:rPr>
          <w:rFonts w:eastAsia="黑体"/>
          <w:lang w:eastAsia="zh-CN"/>
        </w:rPr>
        <w:t>和</w:t>
      </w:r>
      <w:r w:rsidRPr="00470A3C">
        <w:rPr>
          <w:rFonts w:eastAsia="黑体" w:hint="eastAsia"/>
          <w:lang w:eastAsia="zh-CN"/>
        </w:rPr>
        <w:t>相关</w:t>
      </w:r>
      <w:r w:rsidRPr="00470A3C">
        <w:rPr>
          <w:rFonts w:eastAsia="黑体"/>
          <w:lang w:eastAsia="zh-CN"/>
        </w:rPr>
        <w:t>不容忍</w:t>
      </w:r>
      <w:r w:rsidRPr="00470A3C">
        <w:rPr>
          <w:rFonts w:eastAsia="黑体" w:hint="eastAsia"/>
          <w:lang w:eastAsia="zh-CN"/>
        </w:rPr>
        <w:t>行为</w:t>
      </w:r>
      <w:r w:rsidRPr="00470A3C">
        <w:rPr>
          <w:rFonts w:eastAsia="黑体"/>
          <w:lang w:eastAsia="zh-CN"/>
        </w:rPr>
        <w:t>世界会议</w:t>
      </w:r>
      <w:r w:rsidRPr="00470A3C">
        <w:rPr>
          <w:rFonts w:eastAsia="黑体"/>
          <w:lang w:eastAsia="zh-CN"/>
        </w:rPr>
        <w:t>2001</w:t>
      </w:r>
      <w:r w:rsidRPr="00470A3C">
        <w:rPr>
          <w:rFonts w:eastAsia="黑体"/>
          <w:lang w:eastAsia="zh-CN"/>
        </w:rPr>
        <w:t>年</w:t>
      </w:r>
      <w:r w:rsidRPr="00470A3C">
        <w:rPr>
          <w:rFonts w:eastAsia="黑体"/>
          <w:lang w:eastAsia="zh-CN"/>
        </w:rPr>
        <w:t>9</w:t>
      </w:r>
      <w:r w:rsidRPr="00470A3C">
        <w:rPr>
          <w:rFonts w:eastAsia="黑体"/>
          <w:lang w:eastAsia="zh-CN"/>
        </w:rPr>
        <w:t>月通过的《德班宣言和行动纲领》</w:t>
      </w:r>
      <w:r w:rsidRPr="00470A3C">
        <w:rPr>
          <w:rFonts w:eastAsia="黑体" w:hint="eastAsia"/>
          <w:lang w:eastAsia="zh-CN"/>
        </w:rPr>
        <w:t>，同时考虑</w:t>
      </w:r>
      <w:r w:rsidR="003937EF" w:rsidRPr="00470A3C">
        <w:rPr>
          <w:rFonts w:eastAsia="黑体" w:hint="eastAsia"/>
          <w:lang w:eastAsia="zh-CN"/>
        </w:rPr>
        <w:t>到</w:t>
      </w:r>
      <w:r w:rsidRPr="00470A3C">
        <w:rPr>
          <w:rFonts w:eastAsia="黑体"/>
          <w:lang w:eastAsia="zh-CN"/>
        </w:rPr>
        <w:t>2009</w:t>
      </w:r>
      <w:r w:rsidRPr="00470A3C">
        <w:rPr>
          <w:rFonts w:eastAsia="黑体"/>
          <w:lang w:eastAsia="zh-CN"/>
        </w:rPr>
        <w:t>年</w:t>
      </w:r>
      <w:r w:rsidRPr="00470A3C">
        <w:rPr>
          <w:rFonts w:eastAsia="黑体"/>
          <w:lang w:eastAsia="zh-CN"/>
        </w:rPr>
        <w:t>4</w:t>
      </w:r>
      <w:r w:rsidRPr="00470A3C">
        <w:rPr>
          <w:rFonts w:eastAsia="黑体"/>
          <w:lang w:eastAsia="zh-CN"/>
        </w:rPr>
        <w:t>月在日内瓦举行的德班审查会议成果文件。</w:t>
      </w:r>
      <w:bookmarkEnd w:id="0"/>
      <w:r w:rsidRPr="00470A3C">
        <w:rPr>
          <w:rFonts w:eastAsia="黑体"/>
          <w:lang w:eastAsia="zh-CN"/>
        </w:rPr>
        <w:t>委员会请缔约国在下次定期报告</w:t>
      </w:r>
      <w:r w:rsidRPr="00470A3C">
        <w:rPr>
          <w:rFonts w:eastAsia="黑体" w:hint="eastAsia"/>
          <w:lang w:eastAsia="zh-CN"/>
        </w:rPr>
        <w:t>中</w:t>
      </w:r>
      <w:r w:rsidRPr="00470A3C">
        <w:rPr>
          <w:rFonts w:eastAsia="黑体"/>
          <w:lang w:eastAsia="zh-CN"/>
        </w:rPr>
        <w:t>具体说明国家贯彻</w:t>
      </w:r>
      <w:r w:rsidRPr="00470A3C">
        <w:rPr>
          <w:rFonts w:eastAsia="黑体" w:hint="eastAsia"/>
          <w:lang w:eastAsia="zh-CN"/>
        </w:rPr>
        <w:t>执行</w:t>
      </w:r>
      <w:r w:rsidRPr="00470A3C">
        <w:rPr>
          <w:rFonts w:eastAsia="黑体"/>
          <w:lang w:eastAsia="zh-CN"/>
        </w:rPr>
        <w:t>《德班宣言和行动纲领》的行动计划和其他措施</w:t>
      </w:r>
      <w:r w:rsidRPr="00470A3C">
        <w:rPr>
          <w:rFonts w:eastAsia="黑体"/>
          <w:b/>
          <w:bCs/>
          <w:lang w:eastAsia="zh-CN"/>
        </w:rPr>
        <w:t>。</w:t>
      </w:r>
    </w:p>
    <w:p w14:paraId="37D1A24D" w14:textId="77777777" w:rsidR="001A25D2" w:rsidRPr="00470A3C" w:rsidRDefault="00C25527" w:rsidP="001A25D2">
      <w:pPr>
        <w:pStyle w:val="H23G"/>
        <w:rPr>
          <w:rFonts w:eastAsia="黑体"/>
          <w:b w:val="0"/>
          <w:bCs/>
          <w:lang w:eastAsia="zh-CN"/>
        </w:rPr>
      </w:pPr>
      <w:r w:rsidRPr="00470A3C">
        <w:rPr>
          <w:lang w:eastAsia="zh-CN"/>
        </w:rPr>
        <w:tab/>
      </w:r>
      <w:r w:rsidRPr="00470A3C">
        <w:rPr>
          <w:lang w:eastAsia="zh-CN"/>
        </w:rPr>
        <w:tab/>
      </w:r>
      <w:r w:rsidR="001A25D2" w:rsidRPr="00470A3C">
        <w:rPr>
          <w:rFonts w:eastAsia="黑体"/>
          <w:b w:val="0"/>
          <w:bCs/>
          <w:lang w:eastAsia="zh-CN"/>
        </w:rPr>
        <w:t>非洲人后裔国际十年</w:t>
      </w:r>
    </w:p>
    <w:p w14:paraId="004C3A38" w14:textId="31389082" w:rsidR="00C25527" w:rsidRPr="00470A3C" w:rsidRDefault="001A25D2" w:rsidP="00D6446A">
      <w:pPr>
        <w:pStyle w:val="SingleTxtG"/>
        <w:rPr>
          <w:rFonts w:eastAsia="黑体"/>
          <w:b/>
          <w:bCs/>
          <w:lang w:eastAsia="zh-CN"/>
        </w:rPr>
      </w:pPr>
      <w:r w:rsidRPr="00470A3C">
        <w:rPr>
          <w:rFonts w:eastAsia="黑体"/>
          <w:lang w:eastAsia="zh-CN"/>
        </w:rPr>
        <w:t>3</w:t>
      </w:r>
      <w:r w:rsidR="003937EF" w:rsidRPr="00470A3C">
        <w:rPr>
          <w:rFonts w:eastAsia="黑体"/>
          <w:lang w:eastAsia="zh-CN"/>
        </w:rPr>
        <w:t>2</w:t>
      </w:r>
      <w:r w:rsidRPr="00470A3C">
        <w:rPr>
          <w:rFonts w:eastAsia="黑体"/>
          <w:lang w:eastAsia="zh-CN"/>
        </w:rPr>
        <w:t>.</w:t>
      </w:r>
      <w:r w:rsidRPr="00470A3C">
        <w:rPr>
          <w:rFonts w:eastAsia="黑体"/>
          <w:lang w:eastAsia="zh-CN"/>
        </w:rPr>
        <w:tab/>
      </w:r>
      <w:r w:rsidR="0048400C" w:rsidRPr="00470A3C">
        <w:rPr>
          <w:rFonts w:eastAsia="黑体"/>
          <w:lang w:eastAsia="zh-CN"/>
        </w:rPr>
        <w:t>委员会</w:t>
      </w:r>
      <w:r w:rsidR="0048400C" w:rsidRPr="00470A3C">
        <w:rPr>
          <w:rFonts w:eastAsia="黑体" w:hint="eastAsia"/>
          <w:lang w:eastAsia="zh-CN"/>
        </w:rPr>
        <w:t>参照</w:t>
      </w:r>
      <w:r w:rsidRPr="00470A3C">
        <w:rPr>
          <w:rFonts w:eastAsia="黑体"/>
          <w:lang w:eastAsia="zh-CN"/>
        </w:rPr>
        <w:t>大会宣布</w:t>
      </w:r>
      <w:r w:rsidRPr="00470A3C">
        <w:rPr>
          <w:rFonts w:eastAsia="黑体"/>
          <w:lang w:eastAsia="zh-CN"/>
        </w:rPr>
        <w:t>2015-2024</w:t>
      </w:r>
      <w:r w:rsidRPr="00470A3C">
        <w:rPr>
          <w:rFonts w:eastAsia="黑体"/>
          <w:lang w:eastAsia="zh-CN"/>
        </w:rPr>
        <w:t>年为</w:t>
      </w:r>
      <w:r w:rsidRPr="00470A3C">
        <w:rPr>
          <w:rFonts w:eastAsia="黑体" w:hint="eastAsia"/>
          <w:lang w:eastAsia="zh-CN"/>
        </w:rPr>
        <w:t>“</w:t>
      </w:r>
      <w:r w:rsidRPr="00470A3C">
        <w:rPr>
          <w:rFonts w:eastAsia="黑体"/>
          <w:lang w:eastAsia="zh-CN"/>
        </w:rPr>
        <w:t>非洲人后裔国际十年</w:t>
      </w:r>
      <w:r w:rsidRPr="00470A3C">
        <w:rPr>
          <w:rFonts w:eastAsia="黑体" w:hint="eastAsia"/>
          <w:lang w:eastAsia="zh-CN"/>
        </w:rPr>
        <w:t>”</w:t>
      </w:r>
      <w:r w:rsidRPr="00470A3C">
        <w:rPr>
          <w:rFonts w:eastAsia="黑体"/>
          <w:lang w:eastAsia="zh-CN"/>
        </w:rPr>
        <w:t>的第</w:t>
      </w:r>
      <w:r w:rsidRPr="00470A3C">
        <w:rPr>
          <w:rFonts w:eastAsia="黑体"/>
          <w:lang w:eastAsia="zh-CN"/>
        </w:rPr>
        <w:t>68/237</w:t>
      </w:r>
      <w:r w:rsidRPr="00470A3C">
        <w:rPr>
          <w:rFonts w:eastAsia="黑体"/>
          <w:lang w:eastAsia="zh-CN"/>
        </w:rPr>
        <w:t>号决议以及</w:t>
      </w:r>
      <w:r w:rsidRPr="00470A3C">
        <w:rPr>
          <w:rFonts w:eastAsia="黑体" w:hint="eastAsia"/>
          <w:lang w:eastAsia="zh-CN"/>
        </w:rPr>
        <w:t>大会</w:t>
      </w:r>
      <w:r w:rsidRPr="00470A3C">
        <w:rPr>
          <w:rFonts w:eastAsia="黑体"/>
          <w:lang w:eastAsia="zh-CN"/>
        </w:rPr>
        <w:t>关于</w:t>
      </w:r>
      <w:r w:rsidR="0048400C" w:rsidRPr="00470A3C">
        <w:rPr>
          <w:rFonts w:eastAsia="黑体" w:hint="eastAsia"/>
          <w:lang w:eastAsia="zh-CN"/>
        </w:rPr>
        <w:t>落实</w:t>
      </w:r>
      <w:r w:rsidRPr="00470A3C">
        <w:rPr>
          <w:rFonts w:eastAsia="黑体" w:hint="eastAsia"/>
          <w:lang w:val="en-US" w:eastAsia="zh-CN"/>
        </w:rPr>
        <w:t>“</w:t>
      </w:r>
      <w:r w:rsidRPr="00470A3C">
        <w:rPr>
          <w:rFonts w:eastAsia="黑体"/>
          <w:lang w:eastAsia="zh-CN"/>
        </w:rPr>
        <w:t>十年</w:t>
      </w:r>
      <w:r w:rsidRPr="00470A3C">
        <w:rPr>
          <w:rFonts w:eastAsia="黑体" w:hint="eastAsia"/>
          <w:lang w:val="en-US" w:eastAsia="zh-CN"/>
        </w:rPr>
        <w:t>”</w:t>
      </w:r>
      <w:r w:rsidRPr="00470A3C">
        <w:rPr>
          <w:rFonts w:eastAsia="黑体"/>
          <w:lang w:eastAsia="zh-CN"/>
        </w:rPr>
        <w:t>活动方案的第</w:t>
      </w:r>
      <w:r w:rsidRPr="00470A3C">
        <w:rPr>
          <w:rFonts w:eastAsia="黑体"/>
          <w:lang w:eastAsia="zh-CN"/>
        </w:rPr>
        <w:t>69/16</w:t>
      </w:r>
      <w:r w:rsidRPr="00470A3C">
        <w:rPr>
          <w:rFonts w:eastAsia="黑体"/>
          <w:lang w:eastAsia="zh-CN"/>
        </w:rPr>
        <w:t>号决议，建议缔约国</w:t>
      </w:r>
      <w:r w:rsidRPr="00470A3C">
        <w:rPr>
          <w:rFonts w:eastAsia="黑体" w:hint="eastAsia"/>
          <w:lang w:eastAsia="zh-CN"/>
        </w:rPr>
        <w:t>与非洲人后裔</w:t>
      </w:r>
      <w:r w:rsidR="00D6446A" w:rsidRPr="00470A3C">
        <w:rPr>
          <w:rFonts w:eastAsia="黑体" w:hint="eastAsia"/>
          <w:lang w:eastAsia="zh-CN"/>
        </w:rPr>
        <w:t>组织和非洲人后裔</w:t>
      </w:r>
      <w:r w:rsidRPr="00470A3C">
        <w:rPr>
          <w:rFonts w:eastAsia="黑体" w:hint="eastAsia"/>
          <w:lang w:eastAsia="zh-CN"/>
        </w:rPr>
        <w:t>合作</w:t>
      </w:r>
      <w:r w:rsidRPr="00470A3C">
        <w:rPr>
          <w:rFonts w:eastAsia="黑体"/>
          <w:lang w:eastAsia="zh-CN"/>
        </w:rPr>
        <w:t>制定</w:t>
      </w:r>
      <w:r w:rsidRPr="00470A3C">
        <w:rPr>
          <w:rFonts w:eastAsia="黑体" w:hint="eastAsia"/>
          <w:lang w:eastAsia="zh-CN"/>
        </w:rPr>
        <w:t>和</w:t>
      </w:r>
      <w:r w:rsidRPr="00470A3C">
        <w:rPr>
          <w:rFonts w:eastAsia="黑体"/>
          <w:lang w:eastAsia="zh-CN"/>
        </w:rPr>
        <w:t>执行</w:t>
      </w:r>
      <w:r w:rsidR="00C44DF1" w:rsidRPr="00470A3C">
        <w:rPr>
          <w:rFonts w:eastAsia="黑体" w:hint="eastAsia"/>
          <w:lang w:val="en-US" w:eastAsia="zh-CN"/>
        </w:rPr>
        <w:t>一个适当的</w:t>
      </w:r>
      <w:r w:rsidR="00C44DF1" w:rsidRPr="00470A3C">
        <w:rPr>
          <w:rFonts w:eastAsia="黑体" w:hint="eastAsia"/>
          <w:lang w:eastAsia="zh-CN"/>
        </w:rPr>
        <w:t>措施</w:t>
      </w:r>
      <w:r w:rsidR="00C44DF1" w:rsidRPr="00470A3C">
        <w:rPr>
          <w:rFonts w:eastAsia="黑体"/>
          <w:lang w:eastAsia="zh-CN"/>
        </w:rPr>
        <w:t>和政策方案</w:t>
      </w:r>
      <w:r w:rsidRPr="00470A3C">
        <w:rPr>
          <w:rFonts w:eastAsia="黑体"/>
          <w:lang w:eastAsia="zh-CN"/>
        </w:rPr>
        <w:t>。</w:t>
      </w:r>
      <w:r w:rsidRPr="00470A3C">
        <w:rPr>
          <w:rFonts w:eastAsia="黑体" w:hint="eastAsia"/>
          <w:lang w:eastAsia="zh-CN"/>
        </w:rPr>
        <w:t>委员会请缔约国</w:t>
      </w:r>
      <w:r w:rsidR="00922BA5" w:rsidRPr="00470A3C">
        <w:rPr>
          <w:rFonts w:eastAsia="黑体" w:hint="eastAsia"/>
          <w:lang w:eastAsia="zh-CN"/>
        </w:rPr>
        <w:t>考虑到</w:t>
      </w:r>
      <w:r w:rsidRPr="00470A3C">
        <w:rPr>
          <w:rFonts w:eastAsia="黑体" w:hint="eastAsia"/>
          <w:lang w:eastAsia="zh-CN"/>
        </w:rPr>
        <w:t>委员会关于</w:t>
      </w:r>
      <w:r w:rsidR="00D6446A" w:rsidRPr="00470A3C">
        <w:rPr>
          <w:rFonts w:eastAsia="黑体" w:hint="eastAsia"/>
          <w:lang w:eastAsia="zh-CN"/>
        </w:rPr>
        <w:t>针</w:t>
      </w:r>
      <w:r w:rsidRPr="00470A3C">
        <w:rPr>
          <w:rFonts w:eastAsia="黑体" w:hint="eastAsia"/>
          <w:lang w:eastAsia="zh-CN"/>
        </w:rPr>
        <w:t>对非洲人后裔的种族歧视的第</w:t>
      </w:r>
      <w:r w:rsidRPr="00470A3C">
        <w:rPr>
          <w:rFonts w:eastAsia="黑体" w:hint="eastAsia"/>
          <w:lang w:eastAsia="zh-CN"/>
        </w:rPr>
        <w:t>34</w:t>
      </w:r>
      <w:r w:rsidRPr="00470A3C">
        <w:rPr>
          <w:rFonts w:eastAsia="黑体" w:hint="eastAsia"/>
          <w:lang w:eastAsia="zh-CN"/>
        </w:rPr>
        <w:t>号一般性建议</w:t>
      </w:r>
      <w:r w:rsidRPr="00470A3C">
        <w:rPr>
          <w:rFonts w:eastAsia="黑体" w:hint="eastAsia"/>
          <w:lang w:eastAsia="zh-CN"/>
        </w:rPr>
        <w:t>(2011</w:t>
      </w:r>
      <w:r w:rsidRPr="00470A3C">
        <w:rPr>
          <w:rFonts w:eastAsia="黑体" w:hint="eastAsia"/>
          <w:lang w:eastAsia="zh-CN"/>
        </w:rPr>
        <w:t>年</w:t>
      </w:r>
      <w:r w:rsidRPr="00470A3C">
        <w:rPr>
          <w:rFonts w:eastAsia="黑体" w:hint="eastAsia"/>
          <w:lang w:eastAsia="zh-CN"/>
        </w:rPr>
        <w:t>)</w:t>
      </w:r>
      <w:r w:rsidRPr="00470A3C">
        <w:rPr>
          <w:rFonts w:eastAsia="黑体" w:hint="eastAsia"/>
          <w:lang w:eastAsia="zh-CN"/>
        </w:rPr>
        <w:t>，在下次报告中确切说明在这一框架内采取的具体措施</w:t>
      </w:r>
      <w:r w:rsidRPr="00470A3C">
        <w:rPr>
          <w:rFonts w:eastAsia="黑体" w:hint="eastAsia"/>
          <w:b/>
          <w:bCs/>
          <w:lang w:eastAsia="zh-CN"/>
        </w:rPr>
        <w:t>。</w:t>
      </w:r>
    </w:p>
    <w:p w14:paraId="07622C72" w14:textId="77777777" w:rsidR="00096129" w:rsidRPr="00470A3C" w:rsidRDefault="00096129" w:rsidP="00096129">
      <w:pPr>
        <w:pStyle w:val="SingleTxtGC"/>
        <w:rPr>
          <w:rFonts w:eastAsia="黑体"/>
        </w:rPr>
      </w:pPr>
      <w:r w:rsidRPr="00470A3C">
        <w:rPr>
          <w:rFonts w:eastAsia="黑体"/>
        </w:rPr>
        <w:t>委员会参照大会第</w:t>
      </w:r>
      <w:r w:rsidRPr="00470A3C">
        <w:rPr>
          <w:rFonts w:eastAsia="黑体"/>
        </w:rPr>
        <w:t>68/237</w:t>
      </w:r>
      <w:r w:rsidRPr="00470A3C">
        <w:rPr>
          <w:rFonts w:eastAsia="黑体"/>
        </w:rPr>
        <w:t>号决议，请缔约国</w:t>
      </w:r>
      <w:r w:rsidR="00922BA5" w:rsidRPr="00470A3C">
        <w:rPr>
          <w:rFonts w:eastAsia="黑体" w:hint="eastAsia"/>
        </w:rPr>
        <w:t>考虑到</w:t>
      </w:r>
      <w:r w:rsidRPr="00470A3C">
        <w:rPr>
          <w:rFonts w:eastAsia="黑体"/>
        </w:rPr>
        <w:t>委员会关于针对非洲人后裔的种族歧视的第</w:t>
      </w:r>
      <w:r w:rsidRPr="00470A3C">
        <w:rPr>
          <w:rFonts w:eastAsia="黑体"/>
        </w:rPr>
        <w:t>34</w:t>
      </w:r>
      <w:r w:rsidRPr="00470A3C">
        <w:rPr>
          <w:rFonts w:eastAsia="黑体"/>
        </w:rPr>
        <w:t>号一般性建议</w:t>
      </w:r>
      <w:r w:rsidRPr="00470A3C">
        <w:rPr>
          <w:rFonts w:eastAsia="黑体"/>
        </w:rPr>
        <w:t>(2011</w:t>
      </w:r>
      <w:r w:rsidRPr="00470A3C">
        <w:rPr>
          <w:rFonts w:eastAsia="黑体"/>
        </w:rPr>
        <w:t>年</w:t>
      </w:r>
      <w:r w:rsidRPr="00470A3C">
        <w:rPr>
          <w:rFonts w:eastAsia="黑体"/>
        </w:rPr>
        <w:t>)</w:t>
      </w:r>
      <w:r w:rsidRPr="00470A3C">
        <w:rPr>
          <w:rFonts w:eastAsia="黑体"/>
        </w:rPr>
        <w:t>，在下次</w:t>
      </w:r>
      <w:r w:rsidR="00747F56" w:rsidRPr="00470A3C">
        <w:rPr>
          <w:rFonts w:eastAsia="黑体" w:hint="eastAsia"/>
        </w:rPr>
        <w:t>定期</w:t>
      </w:r>
      <w:r w:rsidRPr="00470A3C">
        <w:rPr>
          <w:rFonts w:eastAsia="黑体"/>
        </w:rPr>
        <w:t>报告中确切说明在非洲人后裔国际十年这一框架内采取的具体措施。</w:t>
      </w:r>
    </w:p>
    <w:p w14:paraId="5C4FCA6F" w14:textId="77777777" w:rsidR="001A25D2" w:rsidRPr="00470A3C" w:rsidRDefault="00C25527" w:rsidP="001A25D2">
      <w:pPr>
        <w:pStyle w:val="H23G"/>
        <w:rPr>
          <w:rFonts w:eastAsia="黑体"/>
          <w:b w:val="0"/>
          <w:bCs/>
          <w:lang w:eastAsia="zh-CN"/>
        </w:rPr>
      </w:pPr>
      <w:r w:rsidRPr="00470A3C">
        <w:rPr>
          <w:lang w:eastAsia="zh-CN"/>
        </w:rPr>
        <w:tab/>
      </w:r>
      <w:r w:rsidRPr="00470A3C">
        <w:rPr>
          <w:lang w:eastAsia="zh-CN"/>
        </w:rPr>
        <w:tab/>
      </w:r>
      <w:r w:rsidR="001A25D2" w:rsidRPr="00470A3C">
        <w:rPr>
          <w:rFonts w:eastAsia="黑体"/>
          <w:b w:val="0"/>
          <w:bCs/>
          <w:lang w:eastAsia="zh-CN"/>
        </w:rPr>
        <w:t>与民间社会协商</w:t>
      </w:r>
    </w:p>
    <w:p w14:paraId="7C15F54E" w14:textId="77777777" w:rsidR="001A25D2" w:rsidRPr="00470A3C" w:rsidRDefault="00922BA5" w:rsidP="0048400C">
      <w:pPr>
        <w:pStyle w:val="SingleTxtG"/>
        <w:rPr>
          <w:rFonts w:eastAsia="黑体"/>
          <w:b/>
          <w:bCs/>
          <w:lang w:eastAsia="zh-CN"/>
        </w:rPr>
      </w:pPr>
      <w:r w:rsidRPr="00470A3C">
        <w:rPr>
          <w:rFonts w:eastAsia="黑体"/>
          <w:lang w:eastAsia="zh-CN"/>
        </w:rPr>
        <w:t>33</w:t>
      </w:r>
      <w:r w:rsidR="001A25D2" w:rsidRPr="00470A3C">
        <w:rPr>
          <w:rFonts w:eastAsia="黑体"/>
          <w:lang w:eastAsia="zh-CN"/>
        </w:rPr>
        <w:t>.</w:t>
      </w:r>
      <w:r w:rsidR="001A25D2" w:rsidRPr="00470A3C">
        <w:rPr>
          <w:rFonts w:eastAsia="黑体"/>
          <w:lang w:eastAsia="zh-CN"/>
        </w:rPr>
        <w:tab/>
      </w:r>
      <w:r w:rsidR="001A25D2" w:rsidRPr="00470A3C">
        <w:rPr>
          <w:rFonts w:eastAsia="黑体"/>
          <w:lang w:eastAsia="zh-CN"/>
        </w:rPr>
        <w:t>委员会建议缔约国在编写下次定期报告和</w:t>
      </w:r>
      <w:r w:rsidR="001A25D2" w:rsidRPr="00470A3C">
        <w:rPr>
          <w:rFonts w:eastAsia="黑体" w:hint="eastAsia"/>
          <w:lang w:val="en-US" w:eastAsia="zh-CN"/>
        </w:rPr>
        <w:t>后续落实</w:t>
      </w:r>
      <w:r w:rsidR="001A25D2" w:rsidRPr="00470A3C">
        <w:rPr>
          <w:rFonts w:eastAsia="黑体"/>
          <w:lang w:eastAsia="zh-CN"/>
        </w:rPr>
        <w:t>本结论性意见时</w:t>
      </w:r>
      <w:r w:rsidR="0048400C" w:rsidRPr="00470A3C">
        <w:rPr>
          <w:rFonts w:eastAsia="黑体" w:hint="eastAsia"/>
          <w:lang w:eastAsia="zh-CN"/>
        </w:rPr>
        <w:t>，</w:t>
      </w:r>
      <w:r w:rsidR="001A25D2" w:rsidRPr="00470A3C">
        <w:rPr>
          <w:rFonts w:eastAsia="黑体"/>
          <w:lang w:eastAsia="zh-CN"/>
        </w:rPr>
        <w:t>继续与人权保护</w:t>
      </w:r>
      <w:r w:rsidR="001A25D2" w:rsidRPr="00470A3C">
        <w:rPr>
          <w:rFonts w:eastAsia="黑体" w:hint="eastAsia"/>
          <w:lang w:eastAsia="zh-CN"/>
        </w:rPr>
        <w:t>领域</w:t>
      </w:r>
      <w:r w:rsidR="001A25D2" w:rsidRPr="00470A3C">
        <w:rPr>
          <w:rFonts w:eastAsia="黑体"/>
          <w:lang w:eastAsia="zh-CN"/>
        </w:rPr>
        <w:t>的民间社会组织</w:t>
      </w:r>
      <w:r w:rsidR="001A25D2" w:rsidRPr="00470A3C">
        <w:rPr>
          <w:rFonts w:eastAsia="黑体" w:hint="eastAsia"/>
          <w:lang w:eastAsia="zh-CN"/>
        </w:rPr>
        <w:t>，</w:t>
      </w:r>
      <w:r w:rsidR="001A25D2" w:rsidRPr="00470A3C">
        <w:rPr>
          <w:rFonts w:eastAsia="黑体"/>
          <w:lang w:eastAsia="zh-CN"/>
        </w:rPr>
        <w:t>特别是</w:t>
      </w:r>
      <w:r w:rsidR="001A25D2" w:rsidRPr="00470A3C">
        <w:rPr>
          <w:rFonts w:eastAsia="黑体" w:hint="eastAsia"/>
          <w:lang w:eastAsia="zh-CN"/>
        </w:rPr>
        <w:t>反</w:t>
      </w:r>
      <w:r w:rsidR="001A25D2" w:rsidRPr="00470A3C">
        <w:rPr>
          <w:rFonts w:eastAsia="黑体"/>
          <w:lang w:eastAsia="zh-CN"/>
        </w:rPr>
        <w:t>种族歧视</w:t>
      </w:r>
      <w:r w:rsidR="001A25D2" w:rsidRPr="00470A3C">
        <w:rPr>
          <w:rFonts w:eastAsia="黑体" w:hint="eastAsia"/>
          <w:lang w:eastAsia="zh-CN"/>
        </w:rPr>
        <w:t>组织</w:t>
      </w:r>
      <w:r w:rsidR="001A25D2" w:rsidRPr="00470A3C">
        <w:rPr>
          <w:rFonts w:eastAsia="黑体"/>
          <w:lang w:eastAsia="zh-CN"/>
        </w:rPr>
        <w:t>进行协商</w:t>
      </w:r>
      <w:r w:rsidR="0048400C" w:rsidRPr="00470A3C">
        <w:rPr>
          <w:rFonts w:eastAsia="黑体" w:hint="eastAsia"/>
          <w:lang w:eastAsia="zh-CN"/>
        </w:rPr>
        <w:t>并</w:t>
      </w:r>
      <w:r w:rsidR="001A25D2" w:rsidRPr="00470A3C">
        <w:rPr>
          <w:rFonts w:eastAsia="黑体" w:hint="eastAsia"/>
          <w:lang w:eastAsia="zh-CN"/>
        </w:rPr>
        <w:t>加强</w:t>
      </w:r>
      <w:r w:rsidR="001A25D2" w:rsidRPr="00470A3C">
        <w:rPr>
          <w:rFonts w:eastAsia="黑体"/>
          <w:lang w:eastAsia="zh-CN"/>
        </w:rPr>
        <w:t>对话</w:t>
      </w:r>
      <w:r w:rsidR="001A25D2" w:rsidRPr="00470A3C">
        <w:rPr>
          <w:rFonts w:eastAsia="黑体"/>
          <w:b/>
          <w:bCs/>
          <w:lang w:eastAsia="zh-CN"/>
        </w:rPr>
        <w:t>。</w:t>
      </w:r>
    </w:p>
    <w:p w14:paraId="71709EF4" w14:textId="77777777" w:rsidR="00096129" w:rsidRPr="00470A3C" w:rsidRDefault="00096129" w:rsidP="0048400C">
      <w:pPr>
        <w:pStyle w:val="SingleTxtG"/>
        <w:rPr>
          <w:rFonts w:eastAsia="黑体"/>
          <w:lang w:eastAsia="zh-CN"/>
        </w:rPr>
      </w:pPr>
      <w:r w:rsidRPr="00470A3C">
        <w:rPr>
          <w:rFonts w:ascii="黑体" w:eastAsia="黑体" w:hAnsi="黑体"/>
          <w:lang w:eastAsia="zh-CN"/>
        </w:rPr>
        <w:t>委员会建议缔约国在编写下次定期报告和</w:t>
      </w:r>
      <w:r w:rsidRPr="00470A3C">
        <w:rPr>
          <w:rFonts w:ascii="黑体" w:eastAsia="黑体" w:hAnsi="黑体" w:hint="eastAsia"/>
          <w:lang w:eastAsia="zh-CN"/>
        </w:rPr>
        <w:t>后续落实</w:t>
      </w:r>
      <w:r w:rsidRPr="00470A3C">
        <w:rPr>
          <w:rFonts w:ascii="黑体" w:eastAsia="黑体" w:hAnsi="黑体"/>
          <w:lang w:eastAsia="zh-CN"/>
        </w:rPr>
        <w:t>本结论性意见时</w:t>
      </w:r>
      <w:r w:rsidRPr="00470A3C">
        <w:rPr>
          <w:rFonts w:ascii="黑体" w:eastAsia="黑体" w:hAnsi="黑体" w:hint="eastAsia"/>
          <w:lang w:eastAsia="zh-CN"/>
        </w:rPr>
        <w:t>，</w:t>
      </w:r>
      <w:r w:rsidRPr="00470A3C">
        <w:rPr>
          <w:rFonts w:ascii="黑体" w:eastAsia="黑体" w:hAnsi="黑体"/>
          <w:lang w:eastAsia="zh-CN"/>
        </w:rPr>
        <w:t>与人权保护</w:t>
      </w:r>
      <w:r w:rsidRPr="00470A3C">
        <w:rPr>
          <w:rFonts w:ascii="黑体" w:eastAsia="黑体" w:hAnsi="黑体" w:hint="eastAsia"/>
          <w:lang w:eastAsia="zh-CN"/>
        </w:rPr>
        <w:t>领域</w:t>
      </w:r>
      <w:r w:rsidRPr="00470A3C">
        <w:rPr>
          <w:rFonts w:ascii="黑体" w:eastAsia="黑体" w:hAnsi="黑体"/>
          <w:lang w:eastAsia="zh-CN"/>
        </w:rPr>
        <w:t>的民间社会组织</w:t>
      </w:r>
      <w:r w:rsidRPr="00470A3C">
        <w:rPr>
          <w:rFonts w:ascii="黑体" w:eastAsia="黑体" w:hAnsi="黑体" w:hint="eastAsia"/>
          <w:lang w:eastAsia="zh-CN"/>
        </w:rPr>
        <w:t>，</w:t>
      </w:r>
      <w:r w:rsidRPr="00470A3C">
        <w:rPr>
          <w:rFonts w:ascii="黑体" w:eastAsia="黑体" w:hAnsi="黑体"/>
          <w:lang w:eastAsia="zh-CN"/>
        </w:rPr>
        <w:t>特别是</w:t>
      </w:r>
      <w:r w:rsidRPr="00470A3C">
        <w:rPr>
          <w:rFonts w:ascii="黑体" w:eastAsia="黑体" w:hAnsi="黑体" w:hint="eastAsia"/>
          <w:lang w:eastAsia="zh-CN"/>
        </w:rPr>
        <w:t>反</w:t>
      </w:r>
      <w:r w:rsidRPr="00470A3C">
        <w:rPr>
          <w:rFonts w:ascii="黑体" w:eastAsia="黑体" w:hAnsi="黑体"/>
          <w:lang w:eastAsia="zh-CN"/>
        </w:rPr>
        <w:t>种族歧视</w:t>
      </w:r>
      <w:r w:rsidRPr="00470A3C">
        <w:rPr>
          <w:rFonts w:ascii="黑体" w:eastAsia="黑体" w:hAnsi="黑体" w:hint="eastAsia"/>
          <w:lang w:eastAsia="zh-CN"/>
        </w:rPr>
        <w:t>组织</w:t>
      </w:r>
      <w:r w:rsidRPr="00470A3C">
        <w:rPr>
          <w:rFonts w:ascii="黑体" w:eastAsia="黑体" w:hAnsi="黑体"/>
          <w:lang w:eastAsia="zh-CN"/>
        </w:rPr>
        <w:t>进行协商</w:t>
      </w:r>
      <w:r w:rsidRPr="00470A3C">
        <w:rPr>
          <w:rFonts w:ascii="黑体" w:eastAsia="黑体" w:hAnsi="黑体" w:hint="eastAsia"/>
          <w:lang w:eastAsia="zh-CN"/>
        </w:rPr>
        <w:t>并扩大</w:t>
      </w:r>
      <w:r w:rsidRPr="00470A3C">
        <w:rPr>
          <w:rFonts w:ascii="黑体" w:eastAsia="黑体" w:hAnsi="黑体"/>
          <w:lang w:eastAsia="zh-CN"/>
        </w:rPr>
        <w:t>对话</w:t>
      </w:r>
      <w:r w:rsidRPr="00470A3C">
        <w:rPr>
          <w:rFonts w:ascii="黑体" w:eastAsia="黑体" w:hAnsi="黑体"/>
          <w:b/>
          <w:bCs/>
          <w:lang w:eastAsia="zh-CN"/>
        </w:rPr>
        <w:t>。</w:t>
      </w:r>
    </w:p>
    <w:p w14:paraId="088EECF5" w14:textId="77777777" w:rsidR="001A25D2" w:rsidRPr="00470A3C" w:rsidRDefault="00C25527" w:rsidP="0048400C">
      <w:pPr>
        <w:pStyle w:val="H23G"/>
        <w:rPr>
          <w:rFonts w:eastAsia="黑体"/>
          <w:b w:val="0"/>
          <w:bCs/>
          <w:lang w:eastAsia="zh-CN"/>
        </w:rPr>
      </w:pPr>
      <w:r w:rsidRPr="00470A3C">
        <w:rPr>
          <w:lang w:eastAsia="zh-CN"/>
        </w:rPr>
        <w:tab/>
      </w:r>
      <w:r w:rsidRPr="00470A3C">
        <w:rPr>
          <w:lang w:eastAsia="zh-CN"/>
        </w:rPr>
        <w:tab/>
      </w:r>
      <w:r w:rsidR="001A25D2" w:rsidRPr="00470A3C">
        <w:rPr>
          <w:rFonts w:eastAsia="黑体" w:hint="eastAsia"/>
          <w:b w:val="0"/>
          <w:bCs/>
          <w:lang w:eastAsia="zh-CN"/>
        </w:rPr>
        <w:t>传</w:t>
      </w:r>
      <w:r w:rsidR="0048400C" w:rsidRPr="00470A3C">
        <w:rPr>
          <w:rFonts w:eastAsia="黑体" w:hint="eastAsia"/>
          <w:b w:val="0"/>
          <w:bCs/>
          <w:lang w:eastAsia="zh-CN"/>
        </w:rPr>
        <w:t>播相关信息</w:t>
      </w:r>
    </w:p>
    <w:p w14:paraId="6E251F49" w14:textId="77777777" w:rsidR="001A25D2" w:rsidRPr="00470A3C" w:rsidRDefault="00922BA5" w:rsidP="001A25D2">
      <w:pPr>
        <w:pStyle w:val="SingleTxtG"/>
        <w:rPr>
          <w:rFonts w:eastAsia="黑体"/>
          <w:b/>
          <w:bCs/>
          <w:lang w:eastAsia="zh-CN"/>
        </w:rPr>
      </w:pPr>
      <w:r w:rsidRPr="00470A3C">
        <w:rPr>
          <w:rFonts w:eastAsia="黑体"/>
          <w:lang w:eastAsia="zh-CN"/>
        </w:rPr>
        <w:t>3</w:t>
      </w:r>
      <w:r w:rsidR="006361F5" w:rsidRPr="00470A3C">
        <w:rPr>
          <w:rFonts w:eastAsia="黑体"/>
          <w:lang w:eastAsia="zh-CN"/>
        </w:rPr>
        <w:t>4</w:t>
      </w:r>
      <w:r w:rsidR="001A25D2" w:rsidRPr="00470A3C">
        <w:rPr>
          <w:rFonts w:eastAsia="黑体"/>
          <w:lang w:eastAsia="zh-CN"/>
        </w:rPr>
        <w:t>.</w:t>
      </w:r>
      <w:r w:rsidR="001A25D2" w:rsidRPr="00470A3C">
        <w:rPr>
          <w:rFonts w:eastAsia="黑体"/>
          <w:lang w:eastAsia="zh-CN"/>
        </w:rPr>
        <w:tab/>
      </w:r>
      <w:r w:rsidR="001A25D2" w:rsidRPr="00470A3C">
        <w:rPr>
          <w:rFonts w:eastAsia="黑体"/>
          <w:lang w:eastAsia="zh-CN"/>
        </w:rPr>
        <w:t>委员会建议缔约国在提交报告时</w:t>
      </w:r>
      <w:r w:rsidR="001A25D2" w:rsidRPr="00470A3C">
        <w:rPr>
          <w:rFonts w:eastAsia="黑体" w:hint="eastAsia"/>
          <w:lang w:eastAsia="zh-CN"/>
        </w:rPr>
        <w:t>方便公众索取和查阅</w:t>
      </w:r>
      <w:r w:rsidR="0048400C" w:rsidRPr="00470A3C">
        <w:rPr>
          <w:rFonts w:eastAsia="黑体" w:hint="eastAsia"/>
          <w:lang w:eastAsia="zh-CN"/>
        </w:rPr>
        <w:t>，并</w:t>
      </w:r>
      <w:r w:rsidR="001A25D2" w:rsidRPr="00470A3C">
        <w:rPr>
          <w:rFonts w:eastAsia="黑体" w:hint="eastAsia"/>
          <w:lang w:eastAsia="zh-CN"/>
        </w:rPr>
        <w:t>建议缔约国酌情以官方语言和其他通用语言向负责执行《公约》的各国家机构包括市政当局转发委员会关于</w:t>
      </w:r>
      <w:r w:rsidR="001A25D2" w:rsidRPr="00470A3C">
        <w:rPr>
          <w:rFonts w:eastAsia="黑体" w:hint="eastAsia"/>
          <w:lang w:val="en-US" w:eastAsia="zh-CN"/>
        </w:rPr>
        <w:t>缔约国</w:t>
      </w:r>
      <w:r w:rsidR="001A25D2" w:rsidRPr="00470A3C">
        <w:rPr>
          <w:rFonts w:eastAsia="黑体" w:hint="eastAsia"/>
          <w:lang w:eastAsia="zh-CN"/>
        </w:rPr>
        <w:t>报告的结论性意见</w:t>
      </w:r>
      <w:r w:rsidR="001A25D2" w:rsidRPr="00470A3C">
        <w:rPr>
          <w:rFonts w:eastAsia="黑体" w:hint="eastAsia"/>
          <w:b/>
          <w:bCs/>
          <w:lang w:eastAsia="zh-CN"/>
        </w:rPr>
        <w:t>。</w:t>
      </w:r>
    </w:p>
    <w:p w14:paraId="212E1AC6" w14:textId="77777777" w:rsidR="00922BA5" w:rsidRPr="00470A3C" w:rsidRDefault="00922BA5" w:rsidP="001A25D2">
      <w:pPr>
        <w:pStyle w:val="SingleTxtG"/>
        <w:rPr>
          <w:rFonts w:eastAsia="黑体"/>
          <w:lang w:eastAsia="zh-CN"/>
        </w:rPr>
      </w:pPr>
      <w:r w:rsidRPr="00470A3C">
        <w:rPr>
          <w:rFonts w:eastAsia="黑体"/>
          <w:lang w:eastAsia="zh-CN"/>
        </w:rPr>
        <w:t>委员会建议缔约国在提交报告时</w:t>
      </w:r>
      <w:r w:rsidRPr="00470A3C">
        <w:rPr>
          <w:rFonts w:eastAsia="黑体" w:hint="eastAsia"/>
          <w:lang w:eastAsia="zh-CN"/>
        </w:rPr>
        <w:t>方便公众索取和查阅，并建议缔约国酌情以官方语言和其他通用语言在外交部网站上公布委员会关于</w:t>
      </w:r>
      <w:r w:rsidRPr="00470A3C">
        <w:rPr>
          <w:rFonts w:eastAsia="黑体" w:hint="eastAsia"/>
          <w:lang w:val="en-US" w:eastAsia="zh-CN"/>
        </w:rPr>
        <w:t>缔约国</w:t>
      </w:r>
      <w:r w:rsidRPr="00470A3C">
        <w:rPr>
          <w:rFonts w:eastAsia="黑体" w:hint="eastAsia"/>
          <w:lang w:eastAsia="zh-CN"/>
        </w:rPr>
        <w:t>报告的结论性意见</w:t>
      </w:r>
      <w:r w:rsidRPr="00470A3C">
        <w:rPr>
          <w:rFonts w:eastAsia="黑体" w:hint="eastAsia"/>
          <w:b/>
          <w:bCs/>
          <w:lang w:eastAsia="zh-CN"/>
        </w:rPr>
        <w:t>。</w:t>
      </w:r>
    </w:p>
    <w:p w14:paraId="00C5DD19" w14:textId="77777777" w:rsidR="00096129" w:rsidRPr="00470A3C" w:rsidRDefault="00096129" w:rsidP="001A25D2">
      <w:pPr>
        <w:pStyle w:val="SingleTxtG"/>
        <w:rPr>
          <w:rFonts w:eastAsia="黑体"/>
          <w:lang w:eastAsia="zh-CN"/>
        </w:rPr>
      </w:pPr>
      <w:r w:rsidRPr="00470A3C">
        <w:rPr>
          <w:rFonts w:ascii="黑体" w:eastAsia="黑体" w:hAnsi="黑体"/>
          <w:lang w:eastAsia="zh-CN"/>
        </w:rPr>
        <w:t>委员会建议缔约国在提交报告时</w:t>
      </w:r>
      <w:r w:rsidRPr="00470A3C">
        <w:rPr>
          <w:rFonts w:ascii="黑体" w:eastAsia="黑体" w:hAnsi="黑体" w:hint="eastAsia"/>
          <w:lang w:eastAsia="zh-CN"/>
        </w:rPr>
        <w:t>方便公众索取和查阅，并建议缔约国以官方语言和其他通用语言公布委员会关于缔约国报告的结论性意见。</w:t>
      </w:r>
    </w:p>
    <w:p w14:paraId="41BFC047" w14:textId="77777777" w:rsidR="001A25D2" w:rsidRPr="00470A3C" w:rsidRDefault="00C25527" w:rsidP="001A25D2">
      <w:pPr>
        <w:keepNext/>
        <w:keepLines/>
        <w:tabs>
          <w:tab w:val="left" w:pos="851"/>
        </w:tabs>
        <w:suppressAutoHyphens w:val="0"/>
        <w:autoSpaceDE w:val="0"/>
        <w:autoSpaceDN w:val="0"/>
        <w:adjustRightInd w:val="0"/>
        <w:spacing w:before="240" w:after="120" w:line="240" w:lineRule="auto"/>
        <w:ind w:left="1134" w:hanging="1134"/>
        <w:rPr>
          <w:rFonts w:eastAsia="黑体"/>
          <w:lang w:val="en-US" w:eastAsia="zh-CN"/>
        </w:rPr>
      </w:pPr>
      <w:r w:rsidRPr="00470A3C">
        <w:rPr>
          <w:lang w:eastAsia="zh-CN"/>
        </w:rPr>
        <w:lastRenderedPageBreak/>
        <w:tab/>
      </w:r>
      <w:r w:rsidRPr="00470A3C">
        <w:rPr>
          <w:lang w:eastAsia="zh-CN"/>
        </w:rPr>
        <w:tab/>
      </w:r>
      <w:r w:rsidR="001A25D2" w:rsidRPr="00470A3C">
        <w:rPr>
          <w:rFonts w:eastAsia="黑体" w:hint="eastAsia"/>
          <w:lang w:val="en-US" w:eastAsia="zh-CN"/>
        </w:rPr>
        <w:t>共同核心文件</w:t>
      </w:r>
    </w:p>
    <w:p w14:paraId="74404679" w14:textId="5F114971" w:rsidR="00C25527" w:rsidRPr="00470A3C" w:rsidRDefault="001A25D2" w:rsidP="00E11DD4">
      <w:pPr>
        <w:pStyle w:val="SingleTxtG"/>
        <w:rPr>
          <w:rFonts w:eastAsia="黑体"/>
          <w:b/>
          <w:bCs/>
          <w:lang w:val="en-US" w:eastAsia="zh-CN"/>
        </w:rPr>
      </w:pPr>
      <w:r w:rsidRPr="00470A3C">
        <w:rPr>
          <w:rFonts w:eastAsia="黑体"/>
          <w:lang w:val="en-US" w:eastAsia="zh-CN"/>
        </w:rPr>
        <w:t>35.</w:t>
      </w:r>
      <w:r w:rsidRPr="00470A3C">
        <w:rPr>
          <w:rFonts w:eastAsia="黑体"/>
          <w:lang w:val="en-US" w:eastAsia="zh-CN"/>
        </w:rPr>
        <w:tab/>
      </w:r>
      <w:r w:rsidRPr="00470A3C">
        <w:rPr>
          <w:rFonts w:eastAsia="黑体"/>
          <w:lang w:eastAsia="zh-CN"/>
        </w:rPr>
        <w:t>委员会鼓励缔约国按照</w:t>
      </w:r>
      <w:r w:rsidRPr="00470A3C">
        <w:rPr>
          <w:rFonts w:eastAsia="黑体"/>
          <w:lang w:eastAsia="zh-CN"/>
        </w:rPr>
        <w:t>2006</w:t>
      </w:r>
      <w:r w:rsidRPr="00470A3C">
        <w:rPr>
          <w:rFonts w:eastAsia="黑体"/>
          <w:lang w:eastAsia="zh-CN"/>
        </w:rPr>
        <w:t>年</w:t>
      </w:r>
      <w:r w:rsidRPr="00470A3C">
        <w:rPr>
          <w:rFonts w:eastAsia="黑体"/>
          <w:lang w:eastAsia="zh-CN"/>
        </w:rPr>
        <w:t>6</w:t>
      </w:r>
      <w:r w:rsidRPr="00470A3C">
        <w:rPr>
          <w:rFonts w:eastAsia="黑体"/>
          <w:lang w:eastAsia="zh-CN"/>
        </w:rPr>
        <w:t>月举行的人权条约机构第五次委员会间会议通过的</w:t>
      </w:r>
      <w:r w:rsidRPr="00470A3C">
        <w:rPr>
          <w:rFonts w:eastAsia="黑体" w:hint="eastAsia"/>
          <w:lang w:eastAsia="zh-CN"/>
        </w:rPr>
        <w:t>《</w:t>
      </w:r>
      <w:r w:rsidRPr="00470A3C">
        <w:rPr>
          <w:rFonts w:eastAsia="黑体"/>
          <w:lang w:eastAsia="zh-CN"/>
        </w:rPr>
        <w:t>根据国际人权条约提交报告的协调准则</w:t>
      </w:r>
      <w:r w:rsidRPr="00470A3C">
        <w:rPr>
          <w:rFonts w:eastAsia="黑体" w:hint="eastAsia"/>
          <w:lang w:eastAsia="zh-CN"/>
        </w:rPr>
        <w:t>》</w:t>
      </w:r>
      <w:r w:rsidRPr="00470A3C">
        <w:rPr>
          <w:rFonts w:eastAsia="黑体"/>
          <w:lang w:eastAsia="zh-CN"/>
        </w:rPr>
        <w:t>，尤其是</w:t>
      </w:r>
      <w:r w:rsidRPr="00470A3C">
        <w:rPr>
          <w:rFonts w:eastAsia="黑体" w:hint="eastAsia"/>
          <w:lang w:eastAsia="zh-CN"/>
        </w:rPr>
        <w:t>编写</w:t>
      </w:r>
      <w:r w:rsidRPr="00470A3C">
        <w:rPr>
          <w:rFonts w:eastAsia="黑体"/>
          <w:lang w:eastAsia="zh-CN"/>
        </w:rPr>
        <w:t>共同核心文件的准则，</w:t>
      </w:r>
      <w:r w:rsidRPr="00470A3C">
        <w:rPr>
          <w:rFonts w:eastAsia="黑体" w:hint="eastAsia"/>
          <w:lang w:eastAsia="zh-CN"/>
        </w:rPr>
        <w:t>更新</w:t>
      </w:r>
      <w:r w:rsidRPr="00470A3C">
        <w:rPr>
          <w:rFonts w:eastAsia="黑体"/>
          <w:lang w:eastAsia="zh-CN"/>
        </w:rPr>
        <w:t>共同核心文件。</w:t>
      </w:r>
      <w:r w:rsidR="00E11DD4" w:rsidRPr="00470A3C">
        <w:rPr>
          <w:rFonts w:eastAsia="黑体"/>
          <w:lang w:eastAsia="zh-CN"/>
        </w:rPr>
        <w:t>委员会</w:t>
      </w:r>
      <w:r w:rsidR="00E11DD4" w:rsidRPr="00470A3C">
        <w:rPr>
          <w:rFonts w:eastAsia="黑体" w:hint="eastAsia"/>
          <w:lang w:eastAsia="zh-CN"/>
        </w:rPr>
        <w:t>参照</w:t>
      </w:r>
      <w:r w:rsidRPr="00470A3C">
        <w:rPr>
          <w:rFonts w:eastAsia="黑体"/>
          <w:lang w:eastAsia="zh-CN"/>
        </w:rPr>
        <w:t>大会第</w:t>
      </w:r>
      <w:r w:rsidRPr="00470A3C">
        <w:rPr>
          <w:rFonts w:eastAsia="黑体"/>
          <w:lang w:eastAsia="zh-CN"/>
        </w:rPr>
        <w:t>68/268</w:t>
      </w:r>
      <w:r w:rsidRPr="00470A3C">
        <w:rPr>
          <w:rFonts w:eastAsia="黑体"/>
          <w:lang w:eastAsia="zh-CN"/>
        </w:rPr>
        <w:t>号决议，促请缔约国遵守此类文件</w:t>
      </w:r>
      <w:r w:rsidRPr="00470A3C">
        <w:rPr>
          <w:rFonts w:eastAsia="黑体" w:hint="eastAsia"/>
          <w:lang w:eastAsia="zh-CN"/>
        </w:rPr>
        <w:t>不超过</w:t>
      </w:r>
      <w:r w:rsidRPr="00470A3C">
        <w:rPr>
          <w:rFonts w:eastAsia="黑体"/>
          <w:lang w:eastAsia="zh-CN"/>
        </w:rPr>
        <w:t>42,400</w:t>
      </w:r>
      <w:r w:rsidRPr="00470A3C">
        <w:rPr>
          <w:rFonts w:eastAsia="黑体"/>
          <w:lang w:eastAsia="zh-CN"/>
        </w:rPr>
        <w:t>字的</w:t>
      </w:r>
      <w:r w:rsidRPr="00470A3C">
        <w:rPr>
          <w:rFonts w:eastAsia="黑体" w:hint="eastAsia"/>
          <w:lang w:eastAsia="zh-CN"/>
        </w:rPr>
        <w:t>字数</w:t>
      </w:r>
      <w:r w:rsidRPr="00470A3C">
        <w:rPr>
          <w:rFonts w:eastAsia="黑体"/>
          <w:lang w:eastAsia="zh-CN"/>
        </w:rPr>
        <w:t>限制</w:t>
      </w:r>
      <w:r w:rsidRPr="00470A3C">
        <w:rPr>
          <w:rFonts w:eastAsia="黑体"/>
          <w:b/>
          <w:bCs/>
          <w:lang w:eastAsia="zh-CN"/>
        </w:rPr>
        <w:t>。</w:t>
      </w:r>
    </w:p>
    <w:p w14:paraId="60DC7DBA" w14:textId="77777777" w:rsidR="001A25D2" w:rsidRPr="00470A3C" w:rsidRDefault="00C25527" w:rsidP="001A25D2">
      <w:pPr>
        <w:pStyle w:val="H23G"/>
        <w:spacing w:after="0"/>
        <w:rPr>
          <w:rFonts w:eastAsia="黑体"/>
          <w:b w:val="0"/>
          <w:bCs/>
          <w:lang w:eastAsia="zh-CN"/>
        </w:rPr>
      </w:pPr>
      <w:r w:rsidRPr="00470A3C">
        <w:rPr>
          <w:lang w:eastAsia="zh-CN"/>
        </w:rPr>
        <w:tab/>
      </w:r>
      <w:r w:rsidRPr="00470A3C">
        <w:rPr>
          <w:lang w:eastAsia="zh-CN"/>
        </w:rPr>
        <w:tab/>
      </w:r>
      <w:r w:rsidR="001A25D2" w:rsidRPr="00470A3C">
        <w:rPr>
          <w:rFonts w:eastAsia="黑体" w:hint="eastAsia"/>
          <w:b w:val="0"/>
          <w:bCs/>
          <w:lang w:eastAsia="zh-CN"/>
        </w:rPr>
        <w:t>后续落实本结论性意见</w:t>
      </w:r>
    </w:p>
    <w:p w14:paraId="05D02676" w14:textId="77777777" w:rsidR="001A25D2" w:rsidRPr="00470A3C" w:rsidRDefault="001A25D2" w:rsidP="001A25D2">
      <w:pPr>
        <w:rPr>
          <w:lang w:eastAsia="zh-CN"/>
        </w:rPr>
      </w:pPr>
    </w:p>
    <w:p w14:paraId="1D6020D6" w14:textId="1CB9DBB0" w:rsidR="00C25527" w:rsidRPr="00470A3C" w:rsidRDefault="001A25D2" w:rsidP="00C37FAB">
      <w:pPr>
        <w:pStyle w:val="SingleTxtG"/>
        <w:rPr>
          <w:rFonts w:eastAsia="黑体"/>
          <w:lang w:eastAsia="zh-CN"/>
        </w:rPr>
      </w:pPr>
      <w:r w:rsidRPr="00470A3C">
        <w:rPr>
          <w:rFonts w:eastAsia="黑体"/>
          <w:lang w:eastAsia="zh-CN"/>
        </w:rPr>
        <w:t>36.</w:t>
      </w:r>
      <w:r w:rsidRPr="00470A3C">
        <w:rPr>
          <w:rFonts w:eastAsia="黑体"/>
          <w:lang w:eastAsia="zh-CN"/>
        </w:rPr>
        <w:tab/>
      </w:r>
      <w:r w:rsidR="00C37FAB" w:rsidRPr="00470A3C">
        <w:rPr>
          <w:rFonts w:eastAsia="黑体"/>
          <w:lang w:eastAsia="zh-CN"/>
        </w:rPr>
        <w:t>委员会</w:t>
      </w:r>
      <w:r w:rsidRPr="00470A3C">
        <w:rPr>
          <w:rFonts w:eastAsia="黑体"/>
          <w:lang w:eastAsia="zh-CN"/>
        </w:rPr>
        <w:t>根据《公约》第九条第一款和委员会议事规则第</w:t>
      </w:r>
      <w:r w:rsidRPr="00470A3C">
        <w:rPr>
          <w:rFonts w:eastAsia="黑体"/>
          <w:lang w:eastAsia="zh-CN"/>
        </w:rPr>
        <w:t>65</w:t>
      </w:r>
      <w:r w:rsidRPr="00470A3C">
        <w:rPr>
          <w:rFonts w:eastAsia="黑体"/>
          <w:lang w:eastAsia="zh-CN"/>
        </w:rPr>
        <w:t>条，请缔约国在本结论性意见通过后一年内</w:t>
      </w:r>
      <w:r w:rsidR="006C0D06">
        <w:rPr>
          <w:rFonts w:eastAsia="黑体" w:hint="eastAsia"/>
          <w:lang w:eastAsia="zh-CN"/>
        </w:rPr>
        <w:t>提供资料，</w:t>
      </w:r>
      <w:r w:rsidRPr="00470A3C">
        <w:rPr>
          <w:rFonts w:eastAsia="黑体" w:hint="eastAsia"/>
          <w:lang w:eastAsia="zh-CN"/>
        </w:rPr>
        <w:t>说明</w:t>
      </w:r>
      <w:r w:rsidRPr="00470A3C">
        <w:rPr>
          <w:rFonts w:eastAsia="黑体"/>
          <w:lang w:eastAsia="zh-CN"/>
        </w:rPr>
        <w:t>上文第</w:t>
      </w:r>
      <w:r w:rsidR="00096129" w:rsidRPr="00470A3C">
        <w:rPr>
          <w:rFonts w:eastAsia="黑体"/>
          <w:lang w:eastAsia="zh-CN"/>
        </w:rPr>
        <w:t>15</w:t>
      </w:r>
      <w:r w:rsidRPr="00470A3C">
        <w:rPr>
          <w:rFonts w:eastAsia="黑体" w:hint="eastAsia"/>
          <w:lang w:eastAsia="zh-CN"/>
        </w:rPr>
        <w:t>、第</w:t>
      </w:r>
      <w:r w:rsidR="00096129" w:rsidRPr="00470A3C">
        <w:rPr>
          <w:rFonts w:eastAsia="黑体"/>
          <w:lang w:eastAsia="zh-CN"/>
        </w:rPr>
        <w:t>17</w:t>
      </w:r>
      <w:r w:rsidRPr="00470A3C">
        <w:rPr>
          <w:rFonts w:eastAsia="黑体" w:hint="eastAsia"/>
          <w:lang w:eastAsia="zh-CN"/>
        </w:rPr>
        <w:t>和第</w:t>
      </w:r>
      <w:r w:rsidR="00096129" w:rsidRPr="00470A3C">
        <w:rPr>
          <w:rFonts w:eastAsia="黑体"/>
          <w:lang w:eastAsia="zh-CN"/>
        </w:rPr>
        <w:t>34</w:t>
      </w:r>
      <w:r w:rsidRPr="00470A3C">
        <w:rPr>
          <w:rFonts w:eastAsia="黑体"/>
          <w:lang w:eastAsia="zh-CN"/>
        </w:rPr>
        <w:t>段所载建议的</w:t>
      </w:r>
      <w:r w:rsidRPr="00470A3C">
        <w:rPr>
          <w:rFonts w:eastAsia="黑体" w:hint="eastAsia"/>
          <w:lang w:eastAsia="zh-CN"/>
        </w:rPr>
        <w:t>落实</w:t>
      </w:r>
      <w:r w:rsidRPr="00470A3C">
        <w:rPr>
          <w:rFonts w:eastAsia="黑体"/>
          <w:lang w:eastAsia="zh-CN"/>
        </w:rPr>
        <w:t>情况</w:t>
      </w:r>
      <w:r w:rsidRPr="00470A3C">
        <w:rPr>
          <w:rFonts w:eastAsia="黑体"/>
          <w:b/>
          <w:bCs/>
          <w:lang w:eastAsia="zh-CN"/>
        </w:rPr>
        <w:t>。</w:t>
      </w:r>
    </w:p>
    <w:p w14:paraId="0BD86C6A" w14:textId="77777777" w:rsidR="001A25D2" w:rsidRPr="00470A3C" w:rsidRDefault="00C25527" w:rsidP="001A25D2">
      <w:pPr>
        <w:pStyle w:val="H23G"/>
        <w:rPr>
          <w:rFonts w:eastAsia="黑体"/>
          <w:b w:val="0"/>
          <w:bCs/>
          <w:lang w:eastAsia="zh-CN"/>
        </w:rPr>
      </w:pPr>
      <w:r w:rsidRPr="00470A3C">
        <w:rPr>
          <w:lang w:eastAsia="zh-CN"/>
        </w:rPr>
        <w:tab/>
      </w:r>
      <w:r w:rsidRPr="00470A3C">
        <w:rPr>
          <w:lang w:eastAsia="zh-CN"/>
        </w:rPr>
        <w:tab/>
      </w:r>
      <w:r w:rsidR="001A25D2" w:rsidRPr="00470A3C">
        <w:rPr>
          <w:rFonts w:eastAsia="黑体"/>
          <w:b w:val="0"/>
          <w:bCs/>
          <w:lang w:eastAsia="zh-CN"/>
        </w:rPr>
        <w:t>特别重要的段落</w:t>
      </w:r>
    </w:p>
    <w:p w14:paraId="08C3DA9B" w14:textId="77777777" w:rsidR="001A25D2" w:rsidRPr="00470A3C" w:rsidRDefault="001A25D2" w:rsidP="001B0060">
      <w:pPr>
        <w:pStyle w:val="SingleTxtG"/>
        <w:rPr>
          <w:rFonts w:eastAsia="黑体"/>
          <w:b/>
          <w:bCs/>
          <w:lang w:eastAsia="zh-CN"/>
        </w:rPr>
      </w:pPr>
      <w:r w:rsidRPr="00470A3C">
        <w:rPr>
          <w:rFonts w:eastAsia="黑体"/>
          <w:lang w:eastAsia="zh-CN"/>
        </w:rPr>
        <w:t>37.</w:t>
      </w:r>
      <w:r w:rsidRPr="00470A3C">
        <w:rPr>
          <w:rFonts w:eastAsia="黑体"/>
          <w:lang w:eastAsia="zh-CN"/>
        </w:rPr>
        <w:tab/>
      </w:r>
      <w:r w:rsidRPr="00470A3C">
        <w:rPr>
          <w:rFonts w:eastAsia="黑体"/>
          <w:lang w:eastAsia="zh-CN"/>
        </w:rPr>
        <w:t>委员会</w:t>
      </w:r>
      <w:r w:rsidRPr="00470A3C">
        <w:rPr>
          <w:rFonts w:eastAsia="黑体" w:hint="eastAsia"/>
          <w:lang w:eastAsia="zh-CN"/>
        </w:rPr>
        <w:t>谨</w:t>
      </w:r>
      <w:r w:rsidRPr="00470A3C">
        <w:rPr>
          <w:rFonts w:eastAsia="黑体"/>
          <w:lang w:eastAsia="zh-CN"/>
        </w:rPr>
        <w:t>请缔约国注意</w:t>
      </w:r>
      <w:r w:rsidRPr="00470A3C">
        <w:rPr>
          <w:rFonts w:eastAsia="黑体" w:hint="eastAsia"/>
          <w:lang w:eastAsia="zh-CN"/>
        </w:rPr>
        <w:t>，上文</w:t>
      </w:r>
      <w:r w:rsidRPr="00470A3C">
        <w:rPr>
          <w:rFonts w:eastAsia="黑体"/>
          <w:lang w:eastAsia="zh-CN"/>
        </w:rPr>
        <w:t>第</w:t>
      </w:r>
      <w:r w:rsidR="00A546E0" w:rsidRPr="00470A3C">
        <w:rPr>
          <w:rFonts w:eastAsia="黑体"/>
          <w:lang w:eastAsia="zh-CN"/>
        </w:rPr>
        <w:t>25</w:t>
      </w:r>
      <w:r w:rsidRPr="00470A3C">
        <w:rPr>
          <w:rFonts w:eastAsia="黑体" w:hint="eastAsia"/>
          <w:lang w:eastAsia="zh-CN"/>
        </w:rPr>
        <w:t>、第</w:t>
      </w:r>
      <w:r w:rsidR="00A546E0" w:rsidRPr="00470A3C">
        <w:rPr>
          <w:rFonts w:eastAsia="黑体"/>
          <w:lang w:eastAsia="zh-CN"/>
        </w:rPr>
        <w:t>26</w:t>
      </w:r>
      <w:r w:rsidRPr="00470A3C">
        <w:rPr>
          <w:rFonts w:eastAsia="黑体" w:hint="eastAsia"/>
          <w:lang w:eastAsia="zh-CN"/>
        </w:rPr>
        <w:t>和第</w:t>
      </w:r>
      <w:r w:rsidR="000D2804" w:rsidRPr="00470A3C">
        <w:rPr>
          <w:rFonts w:eastAsia="黑体"/>
          <w:lang w:eastAsia="zh-CN"/>
        </w:rPr>
        <w:t>3</w:t>
      </w:r>
      <w:r w:rsidR="00A546E0" w:rsidRPr="00470A3C">
        <w:rPr>
          <w:rFonts w:eastAsia="黑体"/>
          <w:lang w:eastAsia="zh-CN"/>
        </w:rPr>
        <w:t>7</w:t>
      </w:r>
      <w:r w:rsidRPr="00470A3C">
        <w:rPr>
          <w:rFonts w:eastAsia="黑体"/>
          <w:lang w:eastAsia="zh-CN"/>
        </w:rPr>
        <w:t>段所载建议特别重要</w:t>
      </w:r>
      <w:r w:rsidR="00F1397E" w:rsidRPr="00470A3C">
        <w:rPr>
          <w:rFonts w:eastAsia="黑体" w:hint="eastAsia"/>
          <w:lang w:eastAsia="zh-CN"/>
        </w:rPr>
        <w:t>，</w:t>
      </w:r>
      <w:r w:rsidR="001B0060" w:rsidRPr="00470A3C">
        <w:rPr>
          <w:rFonts w:eastAsia="黑体" w:hint="eastAsia"/>
          <w:lang w:eastAsia="zh-CN"/>
        </w:rPr>
        <w:t>并</w:t>
      </w:r>
      <w:r w:rsidRPr="00470A3C">
        <w:rPr>
          <w:rFonts w:eastAsia="黑体"/>
          <w:lang w:eastAsia="zh-CN"/>
        </w:rPr>
        <w:t>请缔约国在下次定期报告中详细说明为</w:t>
      </w:r>
      <w:r w:rsidRPr="00470A3C">
        <w:rPr>
          <w:rFonts w:eastAsia="黑体" w:hint="eastAsia"/>
          <w:lang w:eastAsia="zh-CN"/>
        </w:rPr>
        <w:t>落实</w:t>
      </w:r>
      <w:r w:rsidRPr="00470A3C">
        <w:rPr>
          <w:rFonts w:eastAsia="黑体"/>
          <w:lang w:eastAsia="zh-CN"/>
        </w:rPr>
        <w:t>这些建议</w:t>
      </w:r>
      <w:r w:rsidRPr="00470A3C">
        <w:rPr>
          <w:rFonts w:eastAsia="黑体" w:hint="eastAsia"/>
          <w:lang w:eastAsia="zh-CN"/>
        </w:rPr>
        <w:t>而</w:t>
      </w:r>
      <w:r w:rsidRPr="00470A3C">
        <w:rPr>
          <w:rFonts w:eastAsia="黑体"/>
          <w:lang w:eastAsia="zh-CN"/>
        </w:rPr>
        <w:t>采取的具体措施</w:t>
      </w:r>
      <w:r w:rsidRPr="00470A3C">
        <w:rPr>
          <w:rFonts w:eastAsia="黑体"/>
          <w:b/>
          <w:bCs/>
          <w:lang w:eastAsia="zh-CN"/>
        </w:rPr>
        <w:t>。</w:t>
      </w:r>
    </w:p>
    <w:p w14:paraId="5CA61358" w14:textId="77777777" w:rsidR="001E6CCA" w:rsidRPr="00470A3C" w:rsidRDefault="00C25527" w:rsidP="001E6CCA">
      <w:pPr>
        <w:pStyle w:val="H23G"/>
        <w:rPr>
          <w:rFonts w:eastAsia="黑体"/>
          <w:b w:val="0"/>
          <w:bCs/>
          <w:lang w:eastAsia="zh-CN"/>
        </w:rPr>
      </w:pPr>
      <w:r w:rsidRPr="00470A3C">
        <w:rPr>
          <w:lang w:eastAsia="zh-CN"/>
        </w:rPr>
        <w:tab/>
      </w:r>
      <w:r w:rsidRPr="00470A3C">
        <w:rPr>
          <w:lang w:eastAsia="zh-CN"/>
        </w:rPr>
        <w:tab/>
      </w:r>
      <w:r w:rsidR="001E6CCA" w:rsidRPr="00470A3C">
        <w:rPr>
          <w:rFonts w:eastAsia="黑体" w:hint="eastAsia"/>
          <w:b w:val="0"/>
          <w:bCs/>
          <w:lang w:eastAsia="zh-CN"/>
        </w:rPr>
        <w:t>编写下次定期报告</w:t>
      </w:r>
    </w:p>
    <w:p w14:paraId="6A410928" w14:textId="77777777" w:rsidR="001E6CCA" w:rsidRPr="00470A3C" w:rsidRDefault="001E6CCA" w:rsidP="00FC4953">
      <w:pPr>
        <w:pStyle w:val="SingleTxtG"/>
        <w:rPr>
          <w:rFonts w:eastAsia="黑体"/>
          <w:b/>
          <w:bCs/>
          <w:lang w:eastAsia="zh-CN"/>
        </w:rPr>
      </w:pPr>
      <w:r w:rsidRPr="00470A3C">
        <w:rPr>
          <w:rFonts w:eastAsia="黑体"/>
          <w:lang w:eastAsia="zh-CN"/>
        </w:rPr>
        <w:t>38.</w:t>
      </w:r>
      <w:r w:rsidRPr="00470A3C">
        <w:rPr>
          <w:rFonts w:eastAsia="黑体"/>
          <w:lang w:eastAsia="zh-CN"/>
        </w:rPr>
        <w:tab/>
      </w:r>
      <w:r w:rsidRPr="00470A3C">
        <w:rPr>
          <w:rFonts w:eastAsia="黑体" w:hint="eastAsia"/>
          <w:lang w:eastAsia="zh-CN"/>
        </w:rPr>
        <w:t>委员会建议缔约国在</w:t>
      </w:r>
      <w:r w:rsidR="00096129" w:rsidRPr="00470A3C">
        <w:rPr>
          <w:rFonts w:eastAsia="黑体"/>
          <w:lang w:eastAsia="zh-CN"/>
        </w:rPr>
        <w:t>2021</w:t>
      </w:r>
      <w:r w:rsidRPr="00470A3C">
        <w:rPr>
          <w:rFonts w:eastAsia="黑体" w:hint="eastAsia"/>
          <w:lang w:eastAsia="zh-CN"/>
        </w:rPr>
        <w:t>年</w:t>
      </w:r>
      <w:r w:rsidR="00096129" w:rsidRPr="00470A3C">
        <w:rPr>
          <w:rFonts w:eastAsia="黑体"/>
          <w:lang w:eastAsia="zh-CN"/>
        </w:rPr>
        <w:t>12</w:t>
      </w:r>
      <w:r w:rsidRPr="00470A3C">
        <w:rPr>
          <w:rFonts w:eastAsia="黑体" w:hint="eastAsia"/>
          <w:lang w:eastAsia="zh-CN"/>
        </w:rPr>
        <w:t>月</w:t>
      </w:r>
      <w:r w:rsidR="00096129" w:rsidRPr="00470A3C">
        <w:rPr>
          <w:rFonts w:eastAsia="黑体"/>
          <w:lang w:eastAsia="zh-CN"/>
        </w:rPr>
        <w:t>22</w:t>
      </w:r>
      <w:r w:rsidRPr="00470A3C">
        <w:rPr>
          <w:rFonts w:eastAsia="黑体" w:hint="eastAsia"/>
          <w:lang w:eastAsia="zh-CN"/>
        </w:rPr>
        <w:t>日前以一份文件提交</w:t>
      </w:r>
      <w:r w:rsidR="00096129" w:rsidRPr="00470A3C">
        <w:rPr>
          <w:rFonts w:eastAsia="黑体" w:hint="eastAsia"/>
          <w:lang w:eastAsia="zh-CN"/>
        </w:rPr>
        <w:t>第二十三至第二十四次</w:t>
      </w:r>
      <w:r w:rsidR="00935C99" w:rsidRPr="00470A3C">
        <w:rPr>
          <w:rFonts w:eastAsia="黑体" w:hint="eastAsia"/>
          <w:lang w:eastAsia="zh-CN"/>
        </w:rPr>
        <w:t>合并</w:t>
      </w:r>
      <w:r w:rsidRPr="00470A3C">
        <w:rPr>
          <w:rFonts w:eastAsia="黑体" w:hint="eastAsia"/>
          <w:lang w:eastAsia="zh-CN"/>
        </w:rPr>
        <w:t>定期报告，报告应遵循</w:t>
      </w:r>
      <w:r w:rsidRPr="00470A3C">
        <w:rPr>
          <w:rFonts w:eastAsia="黑体"/>
          <w:lang w:eastAsia="zh-CN"/>
        </w:rPr>
        <w:t>委员会第七十一届会议通过的报告准则</w:t>
      </w:r>
      <w:r w:rsidRPr="00470A3C">
        <w:rPr>
          <w:rFonts w:eastAsia="黑体"/>
          <w:lang w:eastAsia="zh-CN"/>
        </w:rPr>
        <w:t>(CERD/C/2007/1)</w:t>
      </w:r>
      <w:r w:rsidRPr="00470A3C">
        <w:rPr>
          <w:rFonts w:eastAsia="黑体" w:hint="eastAsia"/>
          <w:lang w:eastAsia="zh-CN"/>
        </w:rPr>
        <w:t>，回应本结论性意见提到的所有问题。</w:t>
      </w:r>
      <w:r w:rsidR="00FC4953" w:rsidRPr="00470A3C">
        <w:rPr>
          <w:rFonts w:eastAsia="黑体" w:hint="eastAsia"/>
          <w:lang w:eastAsia="zh-CN"/>
        </w:rPr>
        <w:t>委员会</w:t>
      </w:r>
      <w:r w:rsidR="00FC4953" w:rsidRPr="00470A3C">
        <w:rPr>
          <w:rFonts w:eastAsia="黑体" w:hint="eastAsia"/>
          <w:lang w:val="en-US" w:eastAsia="zh-CN"/>
        </w:rPr>
        <w:t>参照</w:t>
      </w:r>
      <w:r w:rsidRPr="00470A3C">
        <w:rPr>
          <w:rFonts w:eastAsia="黑体" w:hint="eastAsia"/>
          <w:lang w:eastAsia="zh-CN"/>
        </w:rPr>
        <w:t>大会第</w:t>
      </w:r>
      <w:r w:rsidRPr="00470A3C">
        <w:rPr>
          <w:rFonts w:eastAsia="黑体" w:hint="eastAsia"/>
          <w:lang w:eastAsia="zh-CN"/>
        </w:rPr>
        <w:t>68/268</w:t>
      </w:r>
      <w:r w:rsidRPr="00470A3C">
        <w:rPr>
          <w:rFonts w:eastAsia="黑体" w:hint="eastAsia"/>
          <w:lang w:eastAsia="zh-CN"/>
        </w:rPr>
        <w:t>号决议，促请缔约国遵守定期报告不超过</w:t>
      </w:r>
      <w:r w:rsidRPr="00470A3C">
        <w:rPr>
          <w:rFonts w:eastAsia="黑体" w:hint="eastAsia"/>
          <w:lang w:eastAsia="zh-CN"/>
        </w:rPr>
        <w:t>21,200</w:t>
      </w:r>
      <w:r w:rsidRPr="00470A3C">
        <w:rPr>
          <w:rFonts w:eastAsia="黑体" w:hint="eastAsia"/>
          <w:lang w:eastAsia="zh-CN"/>
        </w:rPr>
        <w:t>字的字数限制</w:t>
      </w:r>
      <w:r w:rsidRPr="00470A3C">
        <w:rPr>
          <w:rFonts w:eastAsia="黑体" w:hint="eastAsia"/>
          <w:b/>
          <w:bCs/>
          <w:lang w:eastAsia="zh-CN"/>
        </w:rPr>
        <w:t>。</w:t>
      </w:r>
    </w:p>
    <w:p w14:paraId="5C093CD7" w14:textId="77777777" w:rsidR="00935C99" w:rsidRPr="00470A3C" w:rsidRDefault="00935C99" w:rsidP="00FC4953">
      <w:pPr>
        <w:pStyle w:val="SingleTxtG"/>
        <w:rPr>
          <w:rFonts w:eastAsia="黑体"/>
          <w:b/>
          <w:bCs/>
          <w:lang w:eastAsia="zh-CN"/>
        </w:rPr>
      </w:pPr>
      <w:r w:rsidRPr="00470A3C">
        <w:rPr>
          <w:rFonts w:eastAsia="黑体" w:hint="eastAsia"/>
          <w:lang w:eastAsia="zh-CN"/>
        </w:rPr>
        <w:t>委员会建议缔约国在</w:t>
      </w:r>
      <w:r w:rsidRPr="00470A3C">
        <w:rPr>
          <w:rFonts w:eastAsia="黑体"/>
          <w:lang w:eastAsia="zh-CN"/>
        </w:rPr>
        <w:t>2021</w:t>
      </w:r>
      <w:r w:rsidRPr="00470A3C">
        <w:rPr>
          <w:rFonts w:eastAsia="黑体" w:hint="eastAsia"/>
          <w:lang w:eastAsia="zh-CN"/>
        </w:rPr>
        <w:t>年</w:t>
      </w:r>
      <w:r w:rsidRPr="00470A3C">
        <w:rPr>
          <w:rFonts w:eastAsia="黑体"/>
          <w:lang w:eastAsia="zh-CN"/>
        </w:rPr>
        <w:t>12</w:t>
      </w:r>
      <w:r w:rsidRPr="00470A3C">
        <w:rPr>
          <w:rFonts w:eastAsia="黑体" w:hint="eastAsia"/>
          <w:lang w:eastAsia="zh-CN"/>
        </w:rPr>
        <w:t>月</w:t>
      </w:r>
      <w:r w:rsidRPr="00470A3C">
        <w:rPr>
          <w:rFonts w:eastAsia="黑体"/>
          <w:lang w:eastAsia="zh-CN"/>
        </w:rPr>
        <w:t>22</w:t>
      </w:r>
      <w:r w:rsidRPr="00470A3C">
        <w:rPr>
          <w:rFonts w:eastAsia="黑体" w:hint="eastAsia"/>
          <w:lang w:eastAsia="zh-CN"/>
        </w:rPr>
        <w:t>日前以一份文件提交第二十三至第二十四次合并定期报告，报告应遵循</w:t>
      </w:r>
      <w:r w:rsidRPr="00470A3C">
        <w:rPr>
          <w:rFonts w:eastAsia="黑体"/>
          <w:lang w:eastAsia="zh-CN"/>
        </w:rPr>
        <w:t>委员会第七十一届会议通过的报告准则</w:t>
      </w:r>
      <w:r w:rsidRPr="00470A3C">
        <w:rPr>
          <w:rFonts w:eastAsia="黑体"/>
          <w:lang w:eastAsia="zh-CN"/>
        </w:rPr>
        <w:t>(CERD/C/2007/1)</w:t>
      </w:r>
      <w:r w:rsidRPr="00470A3C">
        <w:rPr>
          <w:rFonts w:eastAsia="黑体" w:hint="eastAsia"/>
          <w:lang w:eastAsia="zh-CN"/>
        </w:rPr>
        <w:t>，回应本结论性意见提到的所有问题。委员会</w:t>
      </w:r>
      <w:r w:rsidRPr="00470A3C">
        <w:rPr>
          <w:rFonts w:eastAsia="黑体" w:hint="eastAsia"/>
          <w:lang w:val="en-US" w:eastAsia="zh-CN"/>
        </w:rPr>
        <w:t>参照</w:t>
      </w:r>
      <w:r w:rsidRPr="00470A3C">
        <w:rPr>
          <w:rFonts w:eastAsia="黑体" w:hint="eastAsia"/>
          <w:lang w:eastAsia="zh-CN"/>
        </w:rPr>
        <w:t>大会第</w:t>
      </w:r>
      <w:r w:rsidRPr="00470A3C">
        <w:rPr>
          <w:rFonts w:eastAsia="黑体" w:hint="eastAsia"/>
          <w:lang w:eastAsia="zh-CN"/>
        </w:rPr>
        <w:t>68/268</w:t>
      </w:r>
      <w:r w:rsidRPr="00470A3C">
        <w:rPr>
          <w:rFonts w:eastAsia="黑体" w:hint="eastAsia"/>
          <w:lang w:eastAsia="zh-CN"/>
        </w:rPr>
        <w:t>号决议，促请缔约国遵守定期报告不超过</w:t>
      </w:r>
      <w:r w:rsidRPr="00470A3C">
        <w:rPr>
          <w:rFonts w:eastAsia="黑体" w:hint="eastAsia"/>
          <w:lang w:eastAsia="zh-CN"/>
        </w:rPr>
        <w:t>21,200</w:t>
      </w:r>
      <w:r w:rsidRPr="00470A3C">
        <w:rPr>
          <w:rFonts w:eastAsia="黑体" w:hint="eastAsia"/>
          <w:lang w:eastAsia="zh-CN"/>
        </w:rPr>
        <w:t>字和共同核心文件不超过</w:t>
      </w:r>
      <w:r w:rsidRPr="00470A3C">
        <w:rPr>
          <w:rFonts w:eastAsia="黑体"/>
          <w:lang w:eastAsia="zh-CN"/>
        </w:rPr>
        <w:t>42,400</w:t>
      </w:r>
      <w:r w:rsidRPr="00470A3C">
        <w:rPr>
          <w:rFonts w:eastAsia="黑体" w:hint="eastAsia"/>
          <w:lang w:eastAsia="zh-CN"/>
        </w:rPr>
        <w:t>字</w:t>
      </w:r>
      <w:r w:rsidRPr="00470A3C">
        <w:rPr>
          <w:rFonts w:eastAsia="黑体" w:hint="eastAsia"/>
          <w:lang w:eastAsia="zh-CN"/>
        </w:rPr>
        <w:t xml:space="preserve"> </w:t>
      </w:r>
      <w:r w:rsidRPr="00470A3C">
        <w:rPr>
          <w:rFonts w:eastAsia="黑体" w:hint="eastAsia"/>
          <w:lang w:eastAsia="zh-CN"/>
        </w:rPr>
        <w:t>的字数限制</w:t>
      </w:r>
      <w:r w:rsidRPr="00470A3C">
        <w:rPr>
          <w:rFonts w:eastAsia="黑体" w:hint="eastAsia"/>
          <w:b/>
          <w:bCs/>
          <w:lang w:eastAsia="zh-CN"/>
        </w:rPr>
        <w:t>。</w:t>
      </w:r>
    </w:p>
    <w:p w14:paraId="696FE0DD" w14:textId="77777777" w:rsidR="00C25527" w:rsidRPr="00470A3C" w:rsidRDefault="00C25527" w:rsidP="00C25527">
      <w:pPr>
        <w:pStyle w:val="SingleTxtG"/>
        <w:spacing w:before="240" w:after="0"/>
        <w:jc w:val="center"/>
        <w:rPr>
          <w:u w:val="single"/>
          <w:lang w:eastAsia="zh-CN"/>
        </w:rPr>
      </w:pPr>
      <w:r w:rsidRPr="00470A3C">
        <w:rPr>
          <w:u w:val="single"/>
          <w:lang w:eastAsia="zh-CN"/>
        </w:rPr>
        <w:tab/>
      </w:r>
      <w:r w:rsidRPr="00470A3C">
        <w:rPr>
          <w:u w:val="single"/>
          <w:lang w:eastAsia="zh-CN"/>
        </w:rPr>
        <w:tab/>
      </w:r>
      <w:r w:rsidRPr="00470A3C">
        <w:rPr>
          <w:u w:val="single"/>
          <w:lang w:eastAsia="zh-CN"/>
        </w:rPr>
        <w:tab/>
      </w:r>
    </w:p>
    <w:p w14:paraId="0412798C" w14:textId="77777777" w:rsidR="00A91349" w:rsidRPr="00470A3C" w:rsidRDefault="00A91349" w:rsidP="00A91349">
      <w:pPr>
        <w:pStyle w:val="SingleTxtG"/>
        <w:rPr>
          <w:lang w:eastAsia="zh-CN"/>
        </w:rPr>
      </w:pPr>
    </w:p>
    <w:sectPr w:rsidR="00A91349" w:rsidRPr="00470A3C" w:rsidSect="00552AD4">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FAB5" w14:textId="77777777" w:rsidR="00552AD4" w:rsidRDefault="00552AD4"/>
  </w:endnote>
  <w:endnote w:type="continuationSeparator" w:id="0">
    <w:p w14:paraId="38BDC197" w14:textId="77777777" w:rsidR="00552AD4" w:rsidRDefault="00552AD4"/>
  </w:endnote>
  <w:endnote w:type="continuationNotice" w:id="1">
    <w:p w14:paraId="5EE2765C" w14:textId="77777777" w:rsidR="00552AD4" w:rsidRDefault="00552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AD95" w14:textId="3E944A5E" w:rsidR="00A91349" w:rsidRPr="00003BE7" w:rsidRDefault="00A91349" w:rsidP="002077B5">
    <w:pPr>
      <w:pStyle w:val="affc"/>
      <w:tabs>
        <w:tab w:val="right" w:pos="9598"/>
      </w:tabs>
    </w:pPr>
    <w:r w:rsidRPr="00003BE7">
      <w:rPr>
        <w:b/>
        <w:sz w:val="18"/>
      </w:rPr>
      <w:fldChar w:fldCharType="begin"/>
    </w:r>
    <w:r w:rsidRPr="00003BE7">
      <w:rPr>
        <w:b/>
        <w:sz w:val="18"/>
      </w:rPr>
      <w:instrText xml:space="preserve"> PAGE  \* MERGEFORMAT </w:instrText>
    </w:r>
    <w:r w:rsidRPr="00003BE7">
      <w:rPr>
        <w:b/>
        <w:sz w:val="18"/>
      </w:rPr>
      <w:fldChar w:fldCharType="separate"/>
    </w:r>
    <w:r w:rsidR="00A91F17">
      <w:rPr>
        <w:b/>
        <w:noProof/>
        <w:sz w:val="18"/>
      </w:rPr>
      <w:t>2</w:t>
    </w:r>
    <w:r w:rsidRPr="00003BE7">
      <w:rPr>
        <w:b/>
        <w:sz w:val="18"/>
      </w:rPr>
      <w:fldChar w:fldCharType="end"/>
    </w:r>
    <w:r>
      <w:rPr>
        <w:sz w:val="18"/>
      </w:rPr>
      <w:tab/>
    </w:r>
    <w:r>
      <w:t>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AFA9" w14:textId="116DFE28" w:rsidR="00A91349" w:rsidRPr="00003BE7" w:rsidRDefault="00A91349" w:rsidP="00C25527">
    <w:pPr>
      <w:pStyle w:val="affc"/>
      <w:tabs>
        <w:tab w:val="right" w:pos="9598"/>
      </w:tabs>
      <w:rPr>
        <w:b/>
        <w:sz w:val="18"/>
      </w:rPr>
    </w:pPr>
    <w:r>
      <w:t>GE.</w:t>
    </w:r>
    <w:r>
      <w:tab/>
    </w:r>
    <w:r w:rsidRPr="00003BE7">
      <w:rPr>
        <w:b/>
        <w:sz w:val="18"/>
      </w:rPr>
      <w:fldChar w:fldCharType="begin"/>
    </w:r>
    <w:r w:rsidRPr="00003BE7">
      <w:rPr>
        <w:b/>
        <w:sz w:val="18"/>
      </w:rPr>
      <w:instrText xml:space="preserve"> PAGE  \* MERGEFORMAT </w:instrText>
    </w:r>
    <w:r w:rsidRPr="00003BE7">
      <w:rPr>
        <w:b/>
        <w:sz w:val="18"/>
      </w:rPr>
      <w:fldChar w:fldCharType="separate"/>
    </w:r>
    <w:r w:rsidR="00A91F17">
      <w:rPr>
        <w:b/>
        <w:noProof/>
        <w:sz w:val="18"/>
      </w:rPr>
      <w:t>3</w:t>
    </w:r>
    <w:r w:rsidRPr="00003BE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8B63" w14:textId="77777777" w:rsidR="00A91349" w:rsidRPr="009B4A1B" w:rsidRDefault="00A91349" w:rsidP="009B4A1B">
    <w:pPr>
      <w:pStyle w:val="affc"/>
    </w:pPr>
    <w:r>
      <w:rPr>
        <w:sz w:val="20"/>
      </w:rPr>
      <w:t>GE.</w:t>
    </w:r>
    <w:r w:rsidR="00CE57BB">
      <w:rPr>
        <w:noProof/>
        <w:lang w:val="en-US" w:eastAsia="zh-CN"/>
      </w:rPr>
      <w:drawing>
        <wp:anchor distT="0" distB="0" distL="114300" distR="114300" simplePos="0" relativeHeight="251657728" behindDoc="0" locked="1" layoutInCell="1" allowOverlap="1" wp14:anchorId="6C781BA1" wp14:editId="56C8E773">
          <wp:simplePos x="0" y="0"/>
          <wp:positionH relativeFrom="column">
            <wp:posOffset>5148580</wp:posOffset>
          </wp:positionH>
          <wp:positionV relativeFrom="paragraph">
            <wp:posOffset>-108585</wp:posOffset>
          </wp:positionV>
          <wp:extent cx="930275" cy="230505"/>
          <wp:effectExtent l="0" t="0" r="3175" b="0"/>
          <wp:wrapNone/>
          <wp:docPr id="4" name="图片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93CE" w14:textId="77777777" w:rsidR="00552AD4" w:rsidRPr="000B175B" w:rsidRDefault="00552AD4" w:rsidP="000B175B">
      <w:pPr>
        <w:tabs>
          <w:tab w:val="right" w:pos="2155"/>
        </w:tabs>
        <w:spacing w:after="80"/>
        <w:ind w:left="680"/>
        <w:rPr>
          <w:u w:val="single"/>
        </w:rPr>
      </w:pPr>
      <w:r>
        <w:rPr>
          <w:u w:val="single"/>
        </w:rPr>
        <w:tab/>
      </w:r>
    </w:p>
  </w:footnote>
  <w:footnote w:type="continuationSeparator" w:id="0">
    <w:p w14:paraId="135744D4" w14:textId="77777777" w:rsidR="00552AD4" w:rsidRPr="00FC68B7" w:rsidRDefault="00552AD4" w:rsidP="00FC68B7">
      <w:pPr>
        <w:tabs>
          <w:tab w:val="left" w:pos="2155"/>
        </w:tabs>
        <w:spacing w:after="80"/>
        <w:ind w:left="680"/>
        <w:rPr>
          <w:u w:val="single"/>
        </w:rPr>
      </w:pPr>
      <w:r>
        <w:rPr>
          <w:u w:val="single"/>
        </w:rPr>
        <w:tab/>
      </w:r>
    </w:p>
  </w:footnote>
  <w:footnote w:type="continuationNotice" w:id="1">
    <w:p w14:paraId="6E9E7A9F" w14:textId="77777777" w:rsidR="00552AD4" w:rsidRDefault="00552AD4"/>
  </w:footnote>
  <w:footnote w:id="2">
    <w:p w14:paraId="7463F945" w14:textId="77777777" w:rsidR="00AB3CC5" w:rsidRPr="00E057FE" w:rsidRDefault="00AB3CC5" w:rsidP="00AB3CC5">
      <w:pPr>
        <w:pStyle w:val="ad"/>
        <w:rPr>
          <w:lang w:eastAsia="zh-CN"/>
        </w:rPr>
      </w:pPr>
      <w:r>
        <w:tab/>
      </w:r>
      <w:r w:rsidRPr="0025679D">
        <w:rPr>
          <w:rStyle w:val="ac"/>
          <w:sz w:val="20"/>
          <w:vertAlign w:val="baseline"/>
          <w:lang w:eastAsia="zh-CN"/>
        </w:rPr>
        <w:t>*</w:t>
      </w:r>
      <w:r w:rsidRPr="00E057FE">
        <w:rPr>
          <w:lang w:eastAsia="zh-CN"/>
        </w:rPr>
        <w:tab/>
      </w:r>
      <w:r w:rsidRPr="0086078C">
        <w:rPr>
          <w:rFonts w:hint="eastAsia"/>
          <w:lang w:eastAsia="zh-CN"/>
        </w:rPr>
        <w:t>委员会第</w:t>
      </w:r>
      <w:r>
        <w:rPr>
          <w:rFonts w:hint="eastAsia"/>
          <w:lang w:eastAsia="zh-CN"/>
        </w:rPr>
        <w:t>九十三</w:t>
      </w:r>
      <w:r w:rsidRPr="0086078C">
        <w:rPr>
          <w:rFonts w:hint="eastAsia"/>
          <w:lang w:eastAsia="zh-CN"/>
        </w:rPr>
        <w:t>届会议</w:t>
      </w:r>
      <w:r>
        <w:rPr>
          <w:rFonts w:hint="eastAsia"/>
          <w:lang w:eastAsia="zh-CN"/>
        </w:rPr>
        <w:t>(</w:t>
      </w:r>
      <w:r>
        <w:rPr>
          <w:lang w:eastAsia="zh-CN"/>
        </w:rPr>
        <w:t>2017</w:t>
      </w:r>
      <w:r w:rsidRPr="0086078C">
        <w:rPr>
          <w:rFonts w:hint="eastAsia"/>
          <w:lang w:eastAsia="zh-CN"/>
        </w:rPr>
        <w:t>年</w:t>
      </w:r>
      <w:r>
        <w:rPr>
          <w:lang w:eastAsia="zh-CN"/>
        </w:rPr>
        <w:t>7</w:t>
      </w:r>
      <w:r w:rsidRPr="0086078C">
        <w:rPr>
          <w:rFonts w:hint="eastAsia"/>
          <w:lang w:eastAsia="zh-CN"/>
        </w:rPr>
        <w:t>月</w:t>
      </w:r>
      <w:r>
        <w:rPr>
          <w:lang w:eastAsia="zh-CN"/>
        </w:rPr>
        <w:t>31</w:t>
      </w:r>
      <w:r w:rsidRPr="0086078C">
        <w:rPr>
          <w:rFonts w:hint="eastAsia"/>
          <w:lang w:eastAsia="zh-CN"/>
        </w:rPr>
        <w:t>日至</w:t>
      </w:r>
      <w:r>
        <w:rPr>
          <w:lang w:eastAsia="zh-CN"/>
        </w:rPr>
        <w:t>8</w:t>
      </w:r>
      <w:r w:rsidRPr="0086078C">
        <w:rPr>
          <w:rFonts w:hint="eastAsia"/>
          <w:lang w:eastAsia="zh-CN"/>
        </w:rPr>
        <w:t>月</w:t>
      </w:r>
      <w:r>
        <w:rPr>
          <w:lang w:eastAsia="zh-CN"/>
        </w:rPr>
        <w:t>25</w:t>
      </w:r>
      <w:r w:rsidRPr="0086078C">
        <w:rPr>
          <w:rFonts w:hint="eastAsia"/>
          <w:lang w:eastAsia="zh-CN"/>
        </w:rPr>
        <w:t>日</w:t>
      </w:r>
      <w:r>
        <w:rPr>
          <w:rFonts w:hint="eastAsia"/>
          <w:lang w:eastAsia="zh-CN"/>
        </w:rPr>
        <w:t>)</w:t>
      </w:r>
      <w:r w:rsidRPr="0086078C">
        <w:rPr>
          <w:rFonts w:hint="eastAsia"/>
          <w:lang w:eastAsia="zh-CN"/>
        </w:rPr>
        <w:t>通过。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24E5" w14:textId="77777777" w:rsidR="00A91349" w:rsidRPr="00003BE7" w:rsidRDefault="00A91349" w:rsidP="00003BE7">
    <w:pPr>
      <w:pStyle w:val="affd"/>
      <w:jc w:val="right"/>
    </w:pPr>
    <w:r w:rsidRPr="00003BE7">
      <w:t>CERD/C/</w:t>
    </w:r>
    <w:r w:rsidRPr="002077B5">
      <w:rPr>
        <w:color w:val="FF0000"/>
      </w:rPr>
      <w:t>XXX</w:t>
    </w:r>
    <w:r w:rsidRPr="00003BE7">
      <w:t>/CO/</w:t>
    </w:r>
    <w:r w:rsidRPr="002077B5">
      <w:rPr>
        <w:color w:val="FF0000"/>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16cid:durableId="1148327691">
    <w:abstractNumId w:val="41"/>
  </w:num>
  <w:num w:numId="2" w16cid:durableId="382559574">
    <w:abstractNumId w:val="22"/>
  </w:num>
  <w:num w:numId="3" w16cid:durableId="378169932">
    <w:abstractNumId w:val="41"/>
  </w:num>
  <w:num w:numId="4" w16cid:durableId="240676759">
    <w:abstractNumId w:val="22"/>
  </w:num>
  <w:num w:numId="5" w16cid:durableId="262693999">
    <w:abstractNumId w:val="13"/>
  </w:num>
  <w:num w:numId="6" w16cid:durableId="1091584356">
    <w:abstractNumId w:val="27"/>
  </w:num>
  <w:num w:numId="7" w16cid:durableId="2046327249">
    <w:abstractNumId w:val="29"/>
  </w:num>
  <w:num w:numId="8" w16cid:durableId="1778141514">
    <w:abstractNumId w:val="39"/>
  </w:num>
  <w:num w:numId="9" w16cid:durableId="721752572">
    <w:abstractNumId w:val="32"/>
  </w:num>
  <w:num w:numId="10" w16cid:durableId="1208567311">
    <w:abstractNumId w:val="42"/>
  </w:num>
  <w:num w:numId="11" w16cid:durableId="2073963843">
    <w:abstractNumId w:val="29"/>
  </w:num>
  <w:num w:numId="12" w16cid:durableId="473256202">
    <w:abstractNumId w:val="31"/>
  </w:num>
  <w:num w:numId="13" w16cid:durableId="62413319">
    <w:abstractNumId w:val="31"/>
  </w:num>
  <w:num w:numId="14" w16cid:durableId="1491632052">
    <w:abstractNumId w:val="37"/>
  </w:num>
  <w:num w:numId="15" w16cid:durableId="1535070471">
    <w:abstractNumId w:val="28"/>
  </w:num>
  <w:num w:numId="16" w16cid:durableId="829490473">
    <w:abstractNumId w:val="28"/>
  </w:num>
  <w:num w:numId="17" w16cid:durableId="640811768">
    <w:abstractNumId w:val="41"/>
  </w:num>
  <w:num w:numId="18" w16cid:durableId="976031475">
    <w:abstractNumId w:val="22"/>
  </w:num>
  <w:num w:numId="19" w16cid:durableId="1289318056">
    <w:abstractNumId w:val="1"/>
  </w:num>
  <w:num w:numId="20" w16cid:durableId="434060089">
    <w:abstractNumId w:val="0"/>
  </w:num>
  <w:num w:numId="21" w16cid:durableId="326205312">
    <w:abstractNumId w:val="25"/>
  </w:num>
  <w:num w:numId="22" w16cid:durableId="1367487230">
    <w:abstractNumId w:val="11"/>
  </w:num>
  <w:num w:numId="23" w16cid:durableId="1403017241">
    <w:abstractNumId w:val="17"/>
  </w:num>
  <w:num w:numId="24" w16cid:durableId="1845821967">
    <w:abstractNumId w:val="14"/>
  </w:num>
  <w:num w:numId="25" w16cid:durableId="342365608">
    <w:abstractNumId w:val="30"/>
  </w:num>
  <w:num w:numId="26" w16cid:durableId="976567986">
    <w:abstractNumId w:val="34"/>
  </w:num>
  <w:num w:numId="27" w16cid:durableId="1144813823">
    <w:abstractNumId w:val="2"/>
  </w:num>
  <w:num w:numId="28" w16cid:durableId="1047681738">
    <w:abstractNumId w:val="3"/>
  </w:num>
  <w:num w:numId="29" w16cid:durableId="2062947360">
    <w:abstractNumId w:val="8"/>
  </w:num>
  <w:num w:numId="30" w16cid:durableId="114757184">
    <w:abstractNumId w:val="9"/>
  </w:num>
  <w:num w:numId="31" w16cid:durableId="1393194538">
    <w:abstractNumId w:val="7"/>
  </w:num>
  <w:num w:numId="32" w16cid:durableId="1802919680">
    <w:abstractNumId w:val="6"/>
  </w:num>
  <w:num w:numId="33" w16cid:durableId="1063991066">
    <w:abstractNumId w:val="5"/>
  </w:num>
  <w:num w:numId="34" w16cid:durableId="1191990629">
    <w:abstractNumId w:val="4"/>
  </w:num>
  <w:num w:numId="35" w16cid:durableId="1602254019">
    <w:abstractNumId w:val="15"/>
  </w:num>
  <w:num w:numId="36" w16cid:durableId="1879659013">
    <w:abstractNumId w:val="40"/>
  </w:num>
  <w:num w:numId="37" w16cid:durableId="752120839">
    <w:abstractNumId w:val="24"/>
  </w:num>
  <w:num w:numId="38" w16cid:durableId="1018116479">
    <w:abstractNumId w:val="21"/>
  </w:num>
  <w:num w:numId="39" w16cid:durableId="1102531479">
    <w:abstractNumId w:val="33"/>
  </w:num>
  <w:num w:numId="40" w16cid:durableId="1507939009">
    <w:abstractNumId w:val="26"/>
  </w:num>
  <w:num w:numId="41" w16cid:durableId="1501504120">
    <w:abstractNumId w:val="18"/>
  </w:num>
  <w:num w:numId="42" w16cid:durableId="203905824">
    <w:abstractNumId w:val="10"/>
  </w:num>
  <w:num w:numId="43" w16cid:durableId="1218930758">
    <w:abstractNumId w:val="23"/>
  </w:num>
  <w:num w:numId="44" w16cid:durableId="325786674">
    <w:abstractNumId w:val="20"/>
  </w:num>
  <w:num w:numId="45" w16cid:durableId="885947125">
    <w:abstractNumId w:val="35"/>
  </w:num>
  <w:num w:numId="46" w16cid:durableId="1839494416">
    <w:abstractNumId w:val="19"/>
  </w:num>
  <w:num w:numId="47" w16cid:durableId="1224952711">
    <w:abstractNumId w:val="38"/>
  </w:num>
  <w:num w:numId="48" w16cid:durableId="71439104">
    <w:abstractNumId w:val="36"/>
  </w:num>
  <w:num w:numId="49" w16cid:durableId="1341007491">
    <w:abstractNumId w:val="16"/>
  </w:num>
  <w:num w:numId="50" w16cid:durableId="12543186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2FC"/>
    <w:rsid w:val="00003BE7"/>
    <w:rsid w:val="00011928"/>
    <w:rsid w:val="00032FF2"/>
    <w:rsid w:val="00050F6B"/>
    <w:rsid w:val="000551DC"/>
    <w:rsid w:val="000620C0"/>
    <w:rsid w:val="00072C8C"/>
    <w:rsid w:val="000733B5"/>
    <w:rsid w:val="00077485"/>
    <w:rsid w:val="000814F4"/>
    <w:rsid w:val="000931C0"/>
    <w:rsid w:val="00096129"/>
    <w:rsid w:val="000A5D3B"/>
    <w:rsid w:val="000B175B"/>
    <w:rsid w:val="000B1D37"/>
    <w:rsid w:val="000B3A0F"/>
    <w:rsid w:val="000B4EF7"/>
    <w:rsid w:val="000C1462"/>
    <w:rsid w:val="000C2D2E"/>
    <w:rsid w:val="000D2804"/>
    <w:rsid w:val="000E0415"/>
    <w:rsid w:val="001103AA"/>
    <w:rsid w:val="00142D69"/>
    <w:rsid w:val="0015007E"/>
    <w:rsid w:val="00155467"/>
    <w:rsid w:val="00180D95"/>
    <w:rsid w:val="0018711F"/>
    <w:rsid w:val="001A25D2"/>
    <w:rsid w:val="001B0060"/>
    <w:rsid w:val="001B4B04"/>
    <w:rsid w:val="001B7A3B"/>
    <w:rsid w:val="001C6663"/>
    <w:rsid w:val="001C7895"/>
    <w:rsid w:val="001D0F28"/>
    <w:rsid w:val="001D26DF"/>
    <w:rsid w:val="001E5AA0"/>
    <w:rsid w:val="001E6CCA"/>
    <w:rsid w:val="001F0108"/>
    <w:rsid w:val="00202DA8"/>
    <w:rsid w:val="00205902"/>
    <w:rsid w:val="00206627"/>
    <w:rsid w:val="002077B5"/>
    <w:rsid w:val="00211E0B"/>
    <w:rsid w:val="00230174"/>
    <w:rsid w:val="00245B1A"/>
    <w:rsid w:val="002653D1"/>
    <w:rsid w:val="00266E09"/>
    <w:rsid w:val="002B0464"/>
    <w:rsid w:val="002E4CD7"/>
    <w:rsid w:val="002F175C"/>
    <w:rsid w:val="002F548F"/>
    <w:rsid w:val="003229D8"/>
    <w:rsid w:val="003305AB"/>
    <w:rsid w:val="00352709"/>
    <w:rsid w:val="003547A6"/>
    <w:rsid w:val="00371178"/>
    <w:rsid w:val="003937EF"/>
    <w:rsid w:val="003A4810"/>
    <w:rsid w:val="003A6810"/>
    <w:rsid w:val="003C2CC4"/>
    <w:rsid w:val="003C52FC"/>
    <w:rsid w:val="003D4B23"/>
    <w:rsid w:val="003E48D8"/>
    <w:rsid w:val="003E4941"/>
    <w:rsid w:val="00401A12"/>
    <w:rsid w:val="00405DDC"/>
    <w:rsid w:val="00410C89"/>
    <w:rsid w:val="004325CB"/>
    <w:rsid w:val="0045495B"/>
    <w:rsid w:val="00470A3C"/>
    <w:rsid w:val="0048400C"/>
    <w:rsid w:val="004978B8"/>
    <w:rsid w:val="004A2C42"/>
    <w:rsid w:val="004A6AA6"/>
    <w:rsid w:val="004B51BB"/>
    <w:rsid w:val="004B52DA"/>
    <w:rsid w:val="004D25E4"/>
    <w:rsid w:val="004D52B3"/>
    <w:rsid w:val="004E7DBF"/>
    <w:rsid w:val="004F43EA"/>
    <w:rsid w:val="004F6E79"/>
    <w:rsid w:val="00517B36"/>
    <w:rsid w:val="00521677"/>
    <w:rsid w:val="005420F2"/>
    <w:rsid w:val="00546DB4"/>
    <w:rsid w:val="00552AD4"/>
    <w:rsid w:val="00564D1F"/>
    <w:rsid w:val="00572A5A"/>
    <w:rsid w:val="005A2857"/>
    <w:rsid w:val="005B3DB3"/>
    <w:rsid w:val="005C6A79"/>
    <w:rsid w:val="006001EE"/>
    <w:rsid w:val="006050D0"/>
    <w:rsid w:val="00611FC4"/>
    <w:rsid w:val="00616F89"/>
    <w:rsid w:val="006176FB"/>
    <w:rsid w:val="00620A58"/>
    <w:rsid w:val="006361F5"/>
    <w:rsid w:val="00640B26"/>
    <w:rsid w:val="006454A1"/>
    <w:rsid w:val="00656572"/>
    <w:rsid w:val="00661164"/>
    <w:rsid w:val="00663A83"/>
    <w:rsid w:val="00683759"/>
    <w:rsid w:val="0068449F"/>
    <w:rsid w:val="006B3889"/>
    <w:rsid w:val="006C0D06"/>
    <w:rsid w:val="006E564B"/>
    <w:rsid w:val="00712435"/>
    <w:rsid w:val="00721D36"/>
    <w:rsid w:val="0072632A"/>
    <w:rsid w:val="00747F56"/>
    <w:rsid w:val="007512A5"/>
    <w:rsid w:val="00752EC9"/>
    <w:rsid w:val="00787747"/>
    <w:rsid w:val="007B112D"/>
    <w:rsid w:val="007B6BA5"/>
    <w:rsid w:val="007C0BDD"/>
    <w:rsid w:val="007C3390"/>
    <w:rsid w:val="007C4F4B"/>
    <w:rsid w:val="007F3D63"/>
    <w:rsid w:val="007F6462"/>
    <w:rsid w:val="007F6611"/>
    <w:rsid w:val="00806DF0"/>
    <w:rsid w:val="008174A9"/>
    <w:rsid w:val="008242D7"/>
    <w:rsid w:val="00832D01"/>
    <w:rsid w:val="00833D20"/>
    <w:rsid w:val="00851FE1"/>
    <w:rsid w:val="008979B1"/>
    <w:rsid w:val="008A4AEE"/>
    <w:rsid w:val="008A6B25"/>
    <w:rsid w:val="008A6C4F"/>
    <w:rsid w:val="008B2335"/>
    <w:rsid w:val="008C3149"/>
    <w:rsid w:val="008E20DC"/>
    <w:rsid w:val="00916443"/>
    <w:rsid w:val="0092168A"/>
    <w:rsid w:val="009223CA"/>
    <w:rsid w:val="00922BA5"/>
    <w:rsid w:val="00923D61"/>
    <w:rsid w:val="00935C99"/>
    <w:rsid w:val="009369F6"/>
    <w:rsid w:val="00940F93"/>
    <w:rsid w:val="00943BCA"/>
    <w:rsid w:val="00950CB1"/>
    <w:rsid w:val="00954059"/>
    <w:rsid w:val="009603EF"/>
    <w:rsid w:val="00963FAF"/>
    <w:rsid w:val="00967C3C"/>
    <w:rsid w:val="0099000D"/>
    <w:rsid w:val="009A3D56"/>
    <w:rsid w:val="009B4A1B"/>
    <w:rsid w:val="009C0EE8"/>
    <w:rsid w:val="009C14AA"/>
    <w:rsid w:val="00A01489"/>
    <w:rsid w:val="00A366AF"/>
    <w:rsid w:val="00A44488"/>
    <w:rsid w:val="00A546E0"/>
    <w:rsid w:val="00A61CCD"/>
    <w:rsid w:val="00A64909"/>
    <w:rsid w:val="00A72F22"/>
    <w:rsid w:val="00A748A6"/>
    <w:rsid w:val="00A776B4"/>
    <w:rsid w:val="00A91349"/>
    <w:rsid w:val="00A91F17"/>
    <w:rsid w:val="00A94361"/>
    <w:rsid w:val="00AB3CC5"/>
    <w:rsid w:val="00AC1552"/>
    <w:rsid w:val="00AC440B"/>
    <w:rsid w:val="00AE14BF"/>
    <w:rsid w:val="00B06775"/>
    <w:rsid w:val="00B30179"/>
    <w:rsid w:val="00B53AD6"/>
    <w:rsid w:val="00B561A9"/>
    <w:rsid w:val="00B56E9C"/>
    <w:rsid w:val="00B629FC"/>
    <w:rsid w:val="00B64B1F"/>
    <w:rsid w:val="00B6553F"/>
    <w:rsid w:val="00B81E12"/>
    <w:rsid w:val="00B938F1"/>
    <w:rsid w:val="00BB1D4A"/>
    <w:rsid w:val="00BC74E9"/>
    <w:rsid w:val="00BF68A8"/>
    <w:rsid w:val="00C14231"/>
    <w:rsid w:val="00C25527"/>
    <w:rsid w:val="00C3206E"/>
    <w:rsid w:val="00C37FAB"/>
    <w:rsid w:val="00C44DF1"/>
    <w:rsid w:val="00C463DD"/>
    <w:rsid w:val="00C4724C"/>
    <w:rsid w:val="00C475AB"/>
    <w:rsid w:val="00C53558"/>
    <w:rsid w:val="00C53A77"/>
    <w:rsid w:val="00C629A0"/>
    <w:rsid w:val="00C630FB"/>
    <w:rsid w:val="00C6463B"/>
    <w:rsid w:val="00C70F59"/>
    <w:rsid w:val="00C745C3"/>
    <w:rsid w:val="00C75FB9"/>
    <w:rsid w:val="00C82BF3"/>
    <w:rsid w:val="00CC00AC"/>
    <w:rsid w:val="00CC24D2"/>
    <w:rsid w:val="00CC3F8B"/>
    <w:rsid w:val="00CD596B"/>
    <w:rsid w:val="00CE4A8F"/>
    <w:rsid w:val="00CE57BB"/>
    <w:rsid w:val="00D06422"/>
    <w:rsid w:val="00D2031B"/>
    <w:rsid w:val="00D218CB"/>
    <w:rsid w:val="00D25FE2"/>
    <w:rsid w:val="00D43252"/>
    <w:rsid w:val="00D458BE"/>
    <w:rsid w:val="00D51E7F"/>
    <w:rsid w:val="00D6446A"/>
    <w:rsid w:val="00D7767E"/>
    <w:rsid w:val="00D978C6"/>
    <w:rsid w:val="00DA3C1C"/>
    <w:rsid w:val="00DC5DEA"/>
    <w:rsid w:val="00DD5977"/>
    <w:rsid w:val="00DE31C2"/>
    <w:rsid w:val="00E109FB"/>
    <w:rsid w:val="00E11DD4"/>
    <w:rsid w:val="00E3089B"/>
    <w:rsid w:val="00E63389"/>
    <w:rsid w:val="00E70D9D"/>
    <w:rsid w:val="00E71BC8"/>
    <w:rsid w:val="00E7260F"/>
    <w:rsid w:val="00E96630"/>
    <w:rsid w:val="00EA1762"/>
    <w:rsid w:val="00EA1A72"/>
    <w:rsid w:val="00EB63C8"/>
    <w:rsid w:val="00ED32A3"/>
    <w:rsid w:val="00ED616A"/>
    <w:rsid w:val="00ED7A2A"/>
    <w:rsid w:val="00EF1D7F"/>
    <w:rsid w:val="00F12478"/>
    <w:rsid w:val="00F1397E"/>
    <w:rsid w:val="00F32B3C"/>
    <w:rsid w:val="00F34583"/>
    <w:rsid w:val="00F400BA"/>
    <w:rsid w:val="00F504DF"/>
    <w:rsid w:val="00FA271C"/>
    <w:rsid w:val="00FA2F69"/>
    <w:rsid w:val="00FC4953"/>
    <w:rsid w:val="00FC68B7"/>
    <w:rsid w:val="00FD05BE"/>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7F265"/>
  <w15:docId w15:val="{7B681507-DC70-4424-882C-506E43E2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9C"/>
    <w:pPr>
      <w:suppressAutoHyphens/>
      <w:spacing w:line="240" w:lineRule="atLeast"/>
    </w:pPr>
    <w:rPr>
      <w:lang w:val="en-GB" w:eastAsia="en-US"/>
    </w:rPr>
  </w:style>
  <w:style w:type="paragraph" w:styleId="1">
    <w:name w:val="heading 1"/>
    <w:aliases w:val="Table_G"/>
    <w:basedOn w:val="SingleTxtG"/>
    <w:next w:val="SingleTxtG"/>
    <w:qFormat/>
    <w:rsid w:val="00ED7A2A"/>
    <w:pPr>
      <w:spacing w:after="0" w:line="240" w:lineRule="auto"/>
      <w:ind w:right="0"/>
      <w:jc w:val="left"/>
      <w:outlineLvl w:val="0"/>
    </w:pPr>
  </w:style>
  <w:style w:type="paragraph" w:styleId="21">
    <w:name w:val="heading 2"/>
    <w:basedOn w:val="a2"/>
    <w:next w:val="a2"/>
    <w:qFormat/>
    <w:pPr>
      <w:spacing w:line="240" w:lineRule="auto"/>
      <w:outlineLvl w:val="1"/>
    </w:pPr>
  </w:style>
  <w:style w:type="paragraph" w:styleId="31">
    <w:name w:val="heading 3"/>
    <w:basedOn w:val="a2"/>
    <w:next w:val="a2"/>
    <w:qFormat/>
    <w:pPr>
      <w:spacing w:line="240" w:lineRule="auto"/>
      <w:outlineLvl w:val="2"/>
    </w:pPr>
  </w:style>
  <w:style w:type="paragraph" w:styleId="41">
    <w:name w:val="heading 4"/>
    <w:basedOn w:val="a2"/>
    <w:next w:val="a2"/>
    <w:qFormat/>
    <w:pPr>
      <w:spacing w:line="240" w:lineRule="auto"/>
      <w:outlineLvl w:val="3"/>
    </w:pPr>
  </w:style>
  <w:style w:type="paragraph" w:styleId="51">
    <w:name w:val="heading 5"/>
    <w:basedOn w:val="a2"/>
    <w:next w:val="a2"/>
    <w:qFormat/>
    <w:pPr>
      <w:spacing w:line="240" w:lineRule="auto"/>
      <w:outlineLvl w:val="4"/>
    </w:pPr>
  </w:style>
  <w:style w:type="paragraph" w:styleId="6">
    <w:name w:val="heading 6"/>
    <w:basedOn w:val="a2"/>
    <w:next w:val="a2"/>
    <w:qFormat/>
    <w:pPr>
      <w:spacing w:line="240" w:lineRule="auto"/>
      <w:outlineLvl w:val="5"/>
    </w:pPr>
  </w:style>
  <w:style w:type="paragraph" w:styleId="7">
    <w:name w:val="heading 7"/>
    <w:basedOn w:val="a2"/>
    <w:next w:val="a2"/>
    <w:qFormat/>
    <w:pPr>
      <w:spacing w:line="240" w:lineRule="auto"/>
      <w:outlineLvl w:val="6"/>
    </w:pPr>
  </w:style>
  <w:style w:type="paragraph" w:styleId="8">
    <w:name w:val="heading 8"/>
    <w:basedOn w:val="a2"/>
    <w:next w:val="a2"/>
    <w:qFormat/>
    <w:pPr>
      <w:spacing w:line="240" w:lineRule="auto"/>
      <w:outlineLvl w:val="7"/>
    </w:pPr>
  </w:style>
  <w:style w:type="paragraph" w:styleId="9">
    <w:name w:val="heading 9"/>
    <w:basedOn w:val="a2"/>
    <w:next w:val="a2"/>
    <w:qFormat/>
    <w:pPr>
      <w:spacing w:line="240" w:lineRule="auto"/>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MG">
    <w:name w:val="_ H __M_G"/>
    <w:basedOn w:val="a2"/>
    <w:next w:val="a2"/>
    <w:pPr>
      <w:keepNext/>
      <w:keepLines/>
      <w:tabs>
        <w:tab w:val="right" w:pos="851"/>
      </w:tabs>
      <w:spacing w:before="240" w:after="240" w:line="360" w:lineRule="exact"/>
      <w:ind w:left="1134" w:right="1134" w:hanging="1134"/>
    </w:pPr>
    <w:rPr>
      <w:b/>
      <w:sz w:val="34"/>
    </w:rPr>
  </w:style>
  <w:style w:type="paragraph" w:customStyle="1" w:styleId="HChG">
    <w:name w:val="_ H _Ch_G"/>
    <w:basedOn w:val="a2"/>
    <w:next w:val="a2"/>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a2"/>
    <w:link w:val="SingleTxtGChar"/>
    <w:pPr>
      <w:spacing w:after="120"/>
      <w:ind w:left="1134" w:right="1134"/>
      <w:jc w:val="both"/>
    </w:pPr>
  </w:style>
  <w:style w:type="character" w:styleId="a6">
    <w:name w:val="page number"/>
    <w:aliases w:val="7_G"/>
    <w:rsid w:val="008979B1"/>
    <w:rPr>
      <w:rFonts w:ascii="Times New Roman" w:hAnsi="Times New Roman"/>
      <w:b/>
      <w:sz w:val="18"/>
    </w:rPr>
  </w:style>
  <w:style w:type="paragraph" w:styleId="a7">
    <w:name w:val="Plain Text"/>
    <w:basedOn w:val="a2"/>
    <w:semiHidden/>
    <w:rPr>
      <w:rFonts w:cs="Courier New"/>
    </w:rPr>
  </w:style>
  <w:style w:type="paragraph" w:styleId="a8">
    <w:name w:val="Body Text"/>
    <w:basedOn w:val="a2"/>
    <w:next w:val="a2"/>
    <w:semiHidden/>
  </w:style>
  <w:style w:type="paragraph" w:styleId="a9">
    <w:name w:val="Body Text Indent"/>
    <w:basedOn w:val="a2"/>
    <w:semiHidden/>
    <w:pPr>
      <w:spacing w:after="120"/>
      <w:ind w:left="283"/>
    </w:pPr>
  </w:style>
  <w:style w:type="paragraph" w:styleId="aa">
    <w:name w:val="Block Text"/>
    <w:basedOn w:val="a2"/>
    <w:semiHidden/>
    <w:pPr>
      <w:ind w:left="1440" w:right="1440"/>
    </w:pPr>
  </w:style>
  <w:style w:type="paragraph" w:customStyle="1" w:styleId="SMG">
    <w:name w:val="__S_M_G"/>
    <w:basedOn w:val="a2"/>
    <w:next w:val="a2"/>
    <w:rsid w:val="00E96630"/>
    <w:pPr>
      <w:keepNext/>
      <w:keepLines/>
      <w:spacing w:before="240" w:after="240" w:line="420" w:lineRule="exact"/>
      <w:ind w:left="1134" w:right="1134"/>
    </w:pPr>
    <w:rPr>
      <w:b/>
      <w:sz w:val="40"/>
    </w:rPr>
  </w:style>
  <w:style w:type="paragraph" w:customStyle="1" w:styleId="SLG">
    <w:name w:val="__S_L_G"/>
    <w:basedOn w:val="a2"/>
    <w:next w:val="a2"/>
    <w:rsid w:val="008A6B25"/>
    <w:pPr>
      <w:keepNext/>
      <w:keepLines/>
      <w:spacing w:before="240" w:after="240" w:line="580" w:lineRule="exact"/>
      <w:ind w:left="1134" w:right="1134"/>
    </w:pPr>
    <w:rPr>
      <w:b/>
      <w:sz w:val="56"/>
    </w:rPr>
  </w:style>
  <w:style w:type="paragraph" w:customStyle="1" w:styleId="SSG">
    <w:name w:val="__S_S_G"/>
    <w:basedOn w:val="a2"/>
    <w:next w:val="a2"/>
    <w:rsid w:val="00C745C3"/>
    <w:pPr>
      <w:keepNext/>
      <w:keepLines/>
      <w:spacing w:before="240" w:after="240" w:line="300" w:lineRule="exact"/>
      <w:ind w:left="1134" w:right="1134"/>
    </w:pPr>
    <w:rPr>
      <w:b/>
      <w:sz w:val="28"/>
    </w:rPr>
  </w:style>
  <w:style w:type="character" w:styleId="ab">
    <w:name w:val="endnote reference"/>
    <w:aliases w:val="1_G"/>
    <w:rsid w:val="007B6BA5"/>
    <w:rPr>
      <w:rFonts w:ascii="Times New Roman" w:hAnsi="Times New Roman"/>
      <w:sz w:val="18"/>
      <w:vertAlign w:val="superscript"/>
    </w:rPr>
  </w:style>
  <w:style w:type="character" w:styleId="ac">
    <w:name w:val="footnote reference"/>
    <w:aliases w:val="4_G"/>
    <w:rsid w:val="007B6BA5"/>
    <w:rPr>
      <w:rFonts w:ascii="Times New Roman" w:hAnsi="Times New Roman"/>
      <w:sz w:val="18"/>
      <w:vertAlign w:val="superscript"/>
    </w:rPr>
  </w:style>
  <w:style w:type="paragraph" w:styleId="ad">
    <w:name w:val="footnote text"/>
    <w:aliases w:val="5_G"/>
    <w:basedOn w:val="a2"/>
    <w:rsid w:val="00C3206E"/>
    <w:pPr>
      <w:tabs>
        <w:tab w:val="right" w:pos="1021"/>
      </w:tabs>
      <w:spacing w:line="220" w:lineRule="exact"/>
      <w:ind w:left="1134" w:right="1134" w:hanging="1134"/>
    </w:pPr>
    <w:rPr>
      <w:sz w:val="18"/>
    </w:rPr>
  </w:style>
  <w:style w:type="paragraph" w:customStyle="1" w:styleId="XLargeG">
    <w:name w:val="__XLarge_G"/>
    <w:basedOn w:val="a2"/>
    <w:next w:val="a2"/>
    <w:rsid w:val="000E0415"/>
    <w:pPr>
      <w:keepNext/>
      <w:keepLines/>
      <w:spacing w:before="240" w:after="240" w:line="420" w:lineRule="exact"/>
      <w:ind w:left="1134" w:right="1134"/>
    </w:pPr>
    <w:rPr>
      <w:b/>
      <w:sz w:val="40"/>
    </w:rPr>
  </w:style>
  <w:style w:type="paragraph" w:customStyle="1" w:styleId="Bullet1G">
    <w:name w:val="_Bullet 1_G"/>
    <w:basedOn w:val="a2"/>
    <w:rsid w:val="0072632A"/>
    <w:pPr>
      <w:numPr>
        <w:numId w:val="40"/>
      </w:numPr>
      <w:spacing w:after="120"/>
      <w:ind w:right="1134"/>
      <w:jc w:val="both"/>
    </w:pPr>
  </w:style>
  <w:style w:type="paragraph" w:styleId="ae">
    <w:name w:val="endnote text"/>
    <w:aliases w:val="2_G"/>
    <w:basedOn w:val="ad"/>
    <w:rsid w:val="007B6BA5"/>
  </w:style>
  <w:style w:type="character" w:styleId="af">
    <w:name w:val="annotation reference"/>
    <w:semiHidden/>
    <w:rPr>
      <w:sz w:val="6"/>
    </w:rPr>
  </w:style>
  <w:style w:type="paragraph" w:styleId="af0">
    <w:name w:val="annotation text"/>
    <w:basedOn w:val="a2"/>
    <w:link w:val="af1"/>
    <w:semiHidden/>
  </w:style>
  <w:style w:type="character" w:styleId="af2">
    <w:name w:val="line number"/>
    <w:semiHidden/>
    <w:rPr>
      <w:sz w:val="14"/>
    </w:rPr>
  </w:style>
  <w:style w:type="paragraph" w:customStyle="1" w:styleId="Bullet2G">
    <w:name w:val="_Bullet 2_G"/>
    <w:basedOn w:val="a2"/>
    <w:rsid w:val="003C2CC4"/>
    <w:pPr>
      <w:numPr>
        <w:numId w:val="41"/>
      </w:numPr>
      <w:spacing w:after="120"/>
      <w:ind w:right="1134"/>
      <w:jc w:val="both"/>
    </w:pPr>
  </w:style>
  <w:style w:type="paragraph" w:customStyle="1" w:styleId="H1G">
    <w:name w:val="_ H_1_G"/>
    <w:basedOn w:val="a2"/>
    <w:next w:val="a2"/>
    <w:pPr>
      <w:keepNext/>
      <w:keepLines/>
      <w:tabs>
        <w:tab w:val="right" w:pos="851"/>
      </w:tabs>
      <w:spacing w:before="360" w:after="240" w:line="270" w:lineRule="exact"/>
      <w:ind w:left="1134" w:right="1134" w:hanging="1134"/>
    </w:pPr>
    <w:rPr>
      <w:b/>
      <w:sz w:val="24"/>
    </w:rPr>
  </w:style>
  <w:style w:type="paragraph" w:customStyle="1" w:styleId="H23G">
    <w:name w:val="_ H_2/3_G"/>
    <w:basedOn w:val="a2"/>
    <w:next w:val="a2"/>
    <w:uiPriority w:val="99"/>
    <w:qFormat/>
    <w:pPr>
      <w:keepNext/>
      <w:keepLines/>
      <w:tabs>
        <w:tab w:val="right" w:pos="851"/>
      </w:tabs>
      <w:spacing w:before="240" w:after="120" w:line="240" w:lineRule="exact"/>
      <w:ind w:left="1134" w:right="1134" w:hanging="1134"/>
    </w:pPr>
    <w:rPr>
      <w:b/>
    </w:rPr>
  </w:style>
  <w:style w:type="paragraph" w:customStyle="1" w:styleId="H4G">
    <w:name w:val="_ H_4_G"/>
    <w:basedOn w:val="a2"/>
    <w:next w:val="a2"/>
    <w:pPr>
      <w:keepNext/>
      <w:keepLines/>
      <w:tabs>
        <w:tab w:val="right" w:pos="851"/>
      </w:tabs>
      <w:spacing w:before="240" w:after="120" w:line="240" w:lineRule="exact"/>
      <w:ind w:left="1134" w:right="1134" w:hanging="1134"/>
    </w:pPr>
    <w:rPr>
      <w:i/>
    </w:rPr>
  </w:style>
  <w:style w:type="paragraph" w:customStyle="1" w:styleId="H56G">
    <w:name w:val="_ H_5/6_G"/>
    <w:basedOn w:val="a2"/>
    <w:next w:val="a2"/>
    <w:pPr>
      <w:keepNext/>
      <w:keepLines/>
      <w:tabs>
        <w:tab w:val="right" w:pos="851"/>
      </w:tabs>
      <w:spacing w:before="240" w:after="120" w:line="240" w:lineRule="exact"/>
      <w:ind w:left="1134" w:right="1134" w:hanging="1134"/>
    </w:pPr>
  </w:style>
  <w:style w:type="numbering" w:styleId="1111110">
    <w:name w:val="Outline List 2"/>
    <w:basedOn w:val="a5"/>
    <w:semiHidden/>
    <w:rsid w:val="008A6C4F"/>
    <w:pPr>
      <w:numPr>
        <w:numId w:val="48"/>
      </w:numPr>
    </w:pPr>
  </w:style>
  <w:style w:type="numbering" w:styleId="111111">
    <w:name w:val="Outline List 1"/>
    <w:basedOn w:val="a5"/>
    <w:semiHidden/>
    <w:rsid w:val="008A6C4F"/>
    <w:pPr>
      <w:numPr>
        <w:numId w:val="49"/>
      </w:numPr>
    </w:pPr>
  </w:style>
  <w:style w:type="numbering" w:styleId="a1">
    <w:name w:val="Outline List 3"/>
    <w:basedOn w:val="a5"/>
    <w:semiHidden/>
    <w:rsid w:val="008A6C4F"/>
    <w:pPr>
      <w:numPr>
        <w:numId w:val="50"/>
      </w:numPr>
    </w:pPr>
  </w:style>
  <w:style w:type="paragraph" w:styleId="22">
    <w:name w:val="Body Text 2"/>
    <w:basedOn w:val="a2"/>
    <w:semiHidden/>
    <w:rsid w:val="008A6C4F"/>
    <w:pPr>
      <w:spacing w:after="120" w:line="480" w:lineRule="auto"/>
    </w:pPr>
  </w:style>
  <w:style w:type="paragraph" w:styleId="32">
    <w:name w:val="Body Text 3"/>
    <w:basedOn w:val="a2"/>
    <w:semiHidden/>
    <w:rsid w:val="008A6C4F"/>
    <w:pPr>
      <w:spacing w:after="120"/>
    </w:pPr>
    <w:rPr>
      <w:sz w:val="16"/>
      <w:szCs w:val="16"/>
    </w:rPr>
  </w:style>
  <w:style w:type="paragraph" w:styleId="af3">
    <w:name w:val="Body Text First Indent"/>
    <w:basedOn w:val="a8"/>
    <w:semiHidden/>
    <w:rsid w:val="008A6C4F"/>
    <w:pPr>
      <w:spacing w:after="120"/>
      <w:ind w:firstLine="210"/>
    </w:pPr>
  </w:style>
  <w:style w:type="paragraph" w:styleId="23">
    <w:name w:val="Body Text First Indent 2"/>
    <w:basedOn w:val="a9"/>
    <w:semiHidden/>
    <w:rsid w:val="008A6C4F"/>
    <w:pPr>
      <w:ind w:firstLine="210"/>
    </w:pPr>
  </w:style>
  <w:style w:type="paragraph" w:styleId="24">
    <w:name w:val="Body Text Indent 2"/>
    <w:basedOn w:val="a2"/>
    <w:semiHidden/>
    <w:rsid w:val="008A6C4F"/>
    <w:pPr>
      <w:spacing w:after="120" w:line="480" w:lineRule="auto"/>
      <w:ind w:left="283"/>
    </w:pPr>
  </w:style>
  <w:style w:type="paragraph" w:styleId="33">
    <w:name w:val="Body Text Indent 3"/>
    <w:basedOn w:val="a2"/>
    <w:semiHidden/>
    <w:rsid w:val="008A6C4F"/>
    <w:pPr>
      <w:spacing w:after="120"/>
      <w:ind w:left="283"/>
    </w:pPr>
    <w:rPr>
      <w:sz w:val="16"/>
      <w:szCs w:val="16"/>
    </w:rPr>
  </w:style>
  <w:style w:type="paragraph" w:styleId="af4">
    <w:name w:val="Closing"/>
    <w:basedOn w:val="a2"/>
    <w:semiHidden/>
    <w:rsid w:val="008A6C4F"/>
    <w:pPr>
      <w:ind w:left="4252"/>
    </w:pPr>
  </w:style>
  <w:style w:type="paragraph" w:styleId="af5">
    <w:name w:val="Date"/>
    <w:basedOn w:val="a2"/>
    <w:next w:val="a2"/>
    <w:semiHidden/>
    <w:rsid w:val="008A6C4F"/>
  </w:style>
  <w:style w:type="paragraph" w:styleId="af6">
    <w:name w:val="E-mail Signature"/>
    <w:basedOn w:val="a2"/>
    <w:semiHidden/>
    <w:rsid w:val="008A6C4F"/>
  </w:style>
  <w:style w:type="character" w:styleId="af7">
    <w:name w:val="Emphasis"/>
    <w:qFormat/>
    <w:rsid w:val="008A6C4F"/>
    <w:rPr>
      <w:i/>
      <w:iCs/>
    </w:rPr>
  </w:style>
  <w:style w:type="paragraph" w:styleId="af8">
    <w:name w:val="envelope return"/>
    <w:basedOn w:val="a2"/>
    <w:semiHidden/>
    <w:rsid w:val="008A6C4F"/>
    <w:rPr>
      <w:rFonts w:ascii="Arial" w:hAnsi="Arial" w:cs="Arial"/>
    </w:rPr>
  </w:style>
  <w:style w:type="character" w:styleId="af9">
    <w:name w:val="FollowedHyperlink"/>
    <w:semiHidden/>
    <w:rsid w:val="008A6C4F"/>
    <w:rPr>
      <w:color w:val="800080"/>
      <w:u w:val="single"/>
    </w:rPr>
  </w:style>
  <w:style w:type="character" w:styleId="HTML">
    <w:name w:val="HTML Acronym"/>
    <w:basedOn w:val="a3"/>
    <w:semiHidden/>
    <w:rsid w:val="008A6C4F"/>
  </w:style>
  <w:style w:type="paragraph" w:styleId="HTML0">
    <w:name w:val="HTML Address"/>
    <w:basedOn w:val="a2"/>
    <w:semiHidden/>
    <w:rsid w:val="008A6C4F"/>
    <w:rPr>
      <w:i/>
      <w:iCs/>
    </w:rPr>
  </w:style>
  <w:style w:type="character" w:styleId="HTML1">
    <w:name w:val="HTML Cite"/>
    <w:semiHidden/>
    <w:rsid w:val="008A6C4F"/>
    <w:rPr>
      <w:i/>
      <w:iCs/>
    </w:rPr>
  </w:style>
  <w:style w:type="character" w:styleId="HTML2">
    <w:name w:val="HTML Code"/>
    <w:semiHidden/>
    <w:rsid w:val="008A6C4F"/>
    <w:rPr>
      <w:rFonts w:ascii="Courier New" w:hAnsi="Courier New" w:cs="Courier New"/>
      <w:sz w:val="20"/>
      <w:szCs w:val="20"/>
    </w:rPr>
  </w:style>
  <w:style w:type="character" w:styleId="HTML3">
    <w:name w:val="HTML Definition"/>
    <w:semiHidden/>
    <w:rsid w:val="008A6C4F"/>
    <w:rPr>
      <w:i/>
      <w:iCs/>
    </w:rPr>
  </w:style>
  <w:style w:type="character" w:styleId="HTML4">
    <w:name w:val="HTML Keyboard"/>
    <w:semiHidden/>
    <w:rsid w:val="008A6C4F"/>
    <w:rPr>
      <w:rFonts w:ascii="Courier New" w:hAnsi="Courier New" w:cs="Courier New"/>
      <w:sz w:val="20"/>
      <w:szCs w:val="20"/>
    </w:rPr>
  </w:style>
  <w:style w:type="paragraph" w:styleId="HTML5">
    <w:name w:val="HTML Preformatted"/>
    <w:basedOn w:val="a2"/>
    <w:semiHidden/>
    <w:rsid w:val="008A6C4F"/>
    <w:rPr>
      <w:rFonts w:ascii="Courier New" w:hAnsi="Courier New" w:cs="Courier New"/>
    </w:rPr>
  </w:style>
  <w:style w:type="character" w:styleId="HTML6">
    <w:name w:val="HTML Sample"/>
    <w:semiHidden/>
    <w:rsid w:val="008A6C4F"/>
    <w:rPr>
      <w:rFonts w:ascii="Courier New" w:hAnsi="Courier New" w:cs="Courier New"/>
    </w:rPr>
  </w:style>
  <w:style w:type="character" w:styleId="HTML7">
    <w:name w:val="HTML Typewriter"/>
    <w:semiHidden/>
    <w:rsid w:val="008A6C4F"/>
    <w:rPr>
      <w:rFonts w:ascii="Courier New" w:hAnsi="Courier New" w:cs="Courier New"/>
      <w:sz w:val="20"/>
      <w:szCs w:val="20"/>
    </w:rPr>
  </w:style>
  <w:style w:type="character" w:styleId="HTML8">
    <w:name w:val="HTML Variable"/>
    <w:semiHidden/>
    <w:rsid w:val="008A6C4F"/>
    <w:rPr>
      <w:i/>
      <w:iCs/>
    </w:rPr>
  </w:style>
  <w:style w:type="character" w:styleId="afa">
    <w:name w:val="Hyperlink"/>
    <w:semiHidden/>
    <w:rsid w:val="008A6C4F"/>
    <w:rPr>
      <w:color w:val="0000FF"/>
      <w:u w:val="single"/>
    </w:rPr>
  </w:style>
  <w:style w:type="paragraph" w:styleId="afb">
    <w:name w:val="List"/>
    <w:basedOn w:val="a2"/>
    <w:semiHidden/>
    <w:rsid w:val="008A6C4F"/>
    <w:pPr>
      <w:ind w:left="283" w:hanging="283"/>
    </w:pPr>
  </w:style>
  <w:style w:type="paragraph" w:styleId="25">
    <w:name w:val="List 2"/>
    <w:basedOn w:val="a2"/>
    <w:semiHidden/>
    <w:rsid w:val="008A6C4F"/>
    <w:pPr>
      <w:ind w:left="566" w:hanging="283"/>
    </w:pPr>
  </w:style>
  <w:style w:type="paragraph" w:styleId="34">
    <w:name w:val="List 3"/>
    <w:basedOn w:val="a2"/>
    <w:semiHidden/>
    <w:rsid w:val="008A6C4F"/>
    <w:pPr>
      <w:ind w:left="849" w:hanging="283"/>
    </w:pPr>
  </w:style>
  <w:style w:type="paragraph" w:styleId="42">
    <w:name w:val="List 4"/>
    <w:basedOn w:val="a2"/>
    <w:semiHidden/>
    <w:rsid w:val="008A6C4F"/>
    <w:pPr>
      <w:ind w:left="1132" w:hanging="283"/>
    </w:pPr>
  </w:style>
  <w:style w:type="paragraph" w:styleId="52">
    <w:name w:val="List 5"/>
    <w:basedOn w:val="a2"/>
    <w:semiHidden/>
    <w:rsid w:val="008A6C4F"/>
    <w:pPr>
      <w:ind w:left="1415" w:hanging="283"/>
    </w:pPr>
  </w:style>
  <w:style w:type="paragraph" w:styleId="a0">
    <w:name w:val="List Bullet"/>
    <w:basedOn w:val="a2"/>
    <w:semiHidden/>
    <w:rsid w:val="008A6C4F"/>
    <w:pPr>
      <w:numPr>
        <w:numId w:val="30"/>
      </w:numPr>
    </w:pPr>
  </w:style>
  <w:style w:type="paragraph" w:styleId="20">
    <w:name w:val="List Bullet 2"/>
    <w:basedOn w:val="a2"/>
    <w:semiHidden/>
    <w:rsid w:val="008A6C4F"/>
    <w:pPr>
      <w:numPr>
        <w:numId w:val="31"/>
      </w:numPr>
    </w:pPr>
  </w:style>
  <w:style w:type="paragraph" w:styleId="30">
    <w:name w:val="List Bullet 3"/>
    <w:basedOn w:val="a2"/>
    <w:semiHidden/>
    <w:rsid w:val="008A6C4F"/>
    <w:pPr>
      <w:numPr>
        <w:numId w:val="32"/>
      </w:numPr>
    </w:pPr>
  </w:style>
  <w:style w:type="paragraph" w:styleId="40">
    <w:name w:val="List Bullet 4"/>
    <w:basedOn w:val="a2"/>
    <w:semiHidden/>
    <w:rsid w:val="008A6C4F"/>
    <w:pPr>
      <w:numPr>
        <w:numId w:val="33"/>
      </w:numPr>
    </w:pPr>
  </w:style>
  <w:style w:type="paragraph" w:styleId="50">
    <w:name w:val="List Bullet 5"/>
    <w:basedOn w:val="a2"/>
    <w:semiHidden/>
    <w:rsid w:val="008A6C4F"/>
    <w:pPr>
      <w:numPr>
        <w:numId w:val="34"/>
      </w:numPr>
    </w:pPr>
  </w:style>
  <w:style w:type="paragraph" w:styleId="afc">
    <w:name w:val="List Continue"/>
    <w:basedOn w:val="a2"/>
    <w:semiHidden/>
    <w:rsid w:val="008A6C4F"/>
    <w:pPr>
      <w:spacing w:after="120"/>
      <w:ind w:left="283"/>
    </w:pPr>
  </w:style>
  <w:style w:type="paragraph" w:styleId="26">
    <w:name w:val="List Continue 2"/>
    <w:basedOn w:val="a2"/>
    <w:semiHidden/>
    <w:rsid w:val="008A6C4F"/>
    <w:pPr>
      <w:spacing w:after="120"/>
      <w:ind w:left="566"/>
    </w:pPr>
  </w:style>
  <w:style w:type="paragraph" w:styleId="35">
    <w:name w:val="List Continue 3"/>
    <w:basedOn w:val="a2"/>
    <w:semiHidden/>
    <w:rsid w:val="008A6C4F"/>
    <w:pPr>
      <w:spacing w:after="120"/>
      <w:ind w:left="849"/>
    </w:pPr>
  </w:style>
  <w:style w:type="paragraph" w:styleId="43">
    <w:name w:val="List Continue 4"/>
    <w:basedOn w:val="a2"/>
    <w:semiHidden/>
    <w:rsid w:val="008A6C4F"/>
    <w:pPr>
      <w:spacing w:after="120"/>
      <w:ind w:left="1132"/>
    </w:pPr>
  </w:style>
  <w:style w:type="paragraph" w:styleId="53">
    <w:name w:val="List Continue 5"/>
    <w:basedOn w:val="a2"/>
    <w:semiHidden/>
    <w:rsid w:val="008A6C4F"/>
    <w:pPr>
      <w:spacing w:after="120"/>
      <w:ind w:left="1415"/>
    </w:pPr>
  </w:style>
  <w:style w:type="paragraph" w:styleId="a">
    <w:name w:val="List Number"/>
    <w:basedOn w:val="a2"/>
    <w:semiHidden/>
    <w:rsid w:val="008A6C4F"/>
    <w:pPr>
      <w:numPr>
        <w:numId w:val="29"/>
      </w:numPr>
    </w:pPr>
  </w:style>
  <w:style w:type="paragraph" w:styleId="2">
    <w:name w:val="List Number 2"/>
    <w:basedOn w:val="a2"/>
    <w:semiHidden/>
    <w:rsid w:val="008A6C4F"/>
    <w:pPr>
      <w:numPr>
        <w:numId w:val="28"/>
      </w:numPr>
    </w:pPr>
  </w:style>
  <w:style w:type="paragraph" w:styleId="3">
    <w:name w:val="List Number 3"/>
    <w:basedOn w:val="a2"/>
    <w:semiHidden/>
    <w:rsid w:val="008A6C4F"/>
    <w:pPr>
      <w:numPr>
        <w:numId w:val="27"/>
      </w:numPr>
    </w:pPr>
  </w:style>
  <w:style w:type="paragraph" w:styleId="4">
    <w:name w:val="List Number 4"/>
    <w:basedOn w:val="a2"/>
    <w:semiHidden/>
    <w:rsid w:val="008A6C4F"/>
    <w:pPr>
      <w:numPr>
        <w:numId w:val="19"/>
      </w:numPr>
    </w:pPr>
  </w:style>
  <w:style w:type="paragraph" w:styleId="5">
    <w:name w:val="List Number 5"/>
    <w:basedOn w:val="a2"/>
    <w:semiHidden/>
    <w:rsid w:val="008A6C4F"/>
    <w:pPr>
      <w:numPr>
        <w:numId w:val="20"/>
      </w:numPr>
    </w:pPr>
  </w:style>
  <w:style w:type="paragraph" w:styleId="afd">
    <w:name w:val="Message Header"/>
    <w:basedOn w:val="a2"/>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Web)"/>
    <w:basedOn w:val="a2"/>
    <w:semiHidden/>
    <w:rsid w:val="008A6C4F"/>
    <w:rPr>
      <w:sz w:val="24"/>
      <w:szCs w:val="24"/>
    </w:rPr>
  </w:style>
  <w:style w:type="paragraph" w:styleId="aff">
    <w:name w:val="Normal Indent"/>
    <w:basedOn w:val="a2"/>
    <w:semiHidden/>
    <w:rsid w:val="008A6C4F"/>
    <w:pPr>
      <w:ind w:left="567"/>
    </w:pPr>
  </w:style>
  <w:style w:type="paragraph" w:styleId="aff0">
    <w:name w:val="Note Heading"/>
    <w:basedOn w:val="a2"/>
    <w:next w:val="a2"/>
    <w:semiHidden/>
    <w:rsid w:val="008A6C4F"/>
  </w:style>
  <w:style w:type="paragraph" w:styleId="aff1">
    <w:name w:val="Salutation"/>
    <w:basedOn w:val="a2"/>
    <w:next w:val="a2"/>
    <w:semiHidden/>
    <w:rsid w:val="008A6C4F"/>
  </w:style>
  <w:style w:type="paragraph" w:styleId="aff2">
    <w:name w:val="Signature"/>
    <w:basedOn w:val="a2"/>
    <w:semiHidden/>
    <w:rsid w:val="008A6C4F"/>
    <w:pPr>
      <w:ind w:left="4252"/>
    </w:pPr>
  </w:style>
  <w:style w:type="character" w:styleId="aff3">
    <w:name w:val="Strong"/>
    <w:qFormat/>
    <w:rsid w:val="008A6C4F"/>
    <w:rPr>
      <w:b/>
      <w:bCs/>
    </w:rPr>
  </w:style>
  <w:style w:type="paragraph" w:styleId="aff4">
    <w:name w:val="Subtitle"/>
    <w:basedOn w:val="a2"/>
    <w:qFormat/>
    <w:rsid w:val="008A6C4F"/>
    <w:pPr>
      <w:spacing w:after="60"/>
      <w:jc w:val="center"/>
      <w:outlineLvl w:val="1"/>
    </w:pPr>
    <w:rPr>
      <w:rFonts w:ascii="Arial" w:hAnsi="Arial" w:cs="Arial"/>
      <w:sz w:val="24"/>
      <w:szCs w:val="24"/>
    </w:rPr>
  </w:style>
  <w:style w:type="table" w:styleId="10">
    <w:name w:val="Table 3D effects 1"/>
    <w:basedOn w:val="a4"/>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Contemporary"/>
    <w:basedOn w:val="a4"/>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6">
    <w:name w:val="Table Elegant"/>
    <w:basedOn w:val="a4"/>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7">
    <w:name w:val="Table Grid"/>
    <w:basedOn w:val="a4"/>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4"/>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qFormat/>
    <w:rsid w:val="008A6C4F"/>
    <w:pPr>
      <w:spacing w:before="240" w:after="60"/>
      <w:jc w:val="center"/>
      <w:outlineLvl w:val="0"/>
    </w:pPr>
    <w:rPr>
      <w:rFonts w:ascii="Arial" w:hAnsi="Arial" w:cs="Arial"/>
      <w:b/>
      <w:bCs/>
      <w:kern w:val="28"/>
      <w:sz w:val="32"/>
      <w:szCs w:val="32"/>
    </w:rPr>
  </w:style>
  <w:style w:type="paragraph" w:styleId="affb">
    <w:name w:val="envelope address"/>
    <w:basedOn w:val="a2"/>
    <w:semiHidden/>
    <w:rsid w:val="008A6C4F"/>
    <w:pPr>
      <w:framePr w:w="7920" w:h="1980" w:hRule="exact" w:hSpace="180" w:wrap="auto" w:hAnchor="page" w:xAlign="center" w:yAlign="bottom"/>
      <w:ind w:left="2880"/>
    </w:pPr>
    <w:rPr>
      <w:rFonts w:ascii="Arial" w:hAnsi="Arial" w:cs="Arial"/>
      <w:sz w:val="24"/>
      <w:szCs w:val="24"/>
    </w:rPr>
  </w:style>
  <w:style w:type="paragraph" w:styleId="affc">
    <w:name w:val="footer"/>
    <w:aliases w:val="3_G"/>
    <w:basedOn w:val="a2"/>
    <w:rsid w:val="00F504DF"/>
    <w:pPr>
      <w:spacing w:line="240" w:lineRule="auto"/>
    </w:pPr>
    <w:rPr>
      <w:sz w:val="16"/>
    </w:rPr>
  </w:style>
  <w:style w:type="paragraph" w:styleId="affd">
    <w:name w:val="header"/>
    <w:aliases w:val="6_G"/>
    <w:basedOn w:val="a2"/>
    <w:rsid w:val="00050F6B"/>
    <w:pPr>
      <w:pBdr>
        <w:bottom w:val="single" w:sz="4" w:space="4" w:color="auto"/>
      </w:pBdr>
      <w:spacing w:line="240" w:lineRule="auto"/>
    </w:pPr>
    <w:rPr>
      <w:b/>
      <w:sz w:val="18"/>
    </w:rPr>
  </w:style>
  <w:style w:type="character" w:customStyle="1" w:styleId="SingleTxtGChar">
    <w:name w:val="_ Single Txt_G Char"/>
    <w:link w:val="SingleTxtG"/>
    <w:locked/>
    <w:rsid w:val="00C25527"/>
    <w:rPr>
      <w:lang w:val="en-GB" w:eastAsia="en-US"/>
    </w:rPr>
  </w:style>
  <w:style w:type="character" w:customStyle="1" w:styleId="SingleTxtGCar">
    <w:name w:val="_ Single Txt_G Car"/>
    <w:locked/>
    <w:rsid w:val="00C25527"/>
    <w:rPr>
      <w:lang w:eastAsia="en-US"/>
    </w:rPr>
  </w:style>
  <w:style w:type="paragraph" w:styleId="affe">
    <w:name w:val="Balloon Text"/>
    <w:basedOn w:val="a2"/>
    <w:link w:val="afff"/>
    <w:semiHidden/>
    <w:unhideWhenUsed/>
    <w:rsid w:val="000B1D37"/>
    <w:pPr>
      <w:spacing w:line="240" w:lineRule="auto"/>
    </w:pPr>
    <w:rPr>
      <w:rFonts w:ascii="Microsoft YaHei UI" w:eastAsia="Microsoft YaHei UI"/>
      <w:sz w:val="18"/>
      <w:szCs w:val="18"/>
    </w:rPr>
  </w:style>
  <w:style w:type="character" w:customStyle="1" w:styleId="afff">
    <w:name w:val="批注框文本 字符"/>
    <w:basedOn w:val="a3"/>
    <w:link w:val="affe"/>
    <w:semiHidden/>
    <w:rsid w:val="000B1D37"/>
    <w:rPr>
      <w:rFonts w:ascii="Microsoft YaHei UI" w:eastAsia="Microsoft YaHei UI"/>
      <w:sz w:val="18"/>
      <w:szCs w:val="18"/>
      <w:lang w:val="en-GB" w:eastAsia="en-US"/>
    </w:rPr>
  </w:style>
  <w:style w:type="paragraph" w:customStyle="1" w:styleId="SingleTxtGC">
    <w:name w:val="_ Single Txt_GC"/>
    <w:basedOn w:val="a2"/>
    <w:link w:val="SingleTxtGCChar"/>
    <w:qFormat/>
    <w:rsid w:val="00096129"/>
    <w:pPr>
      <w:tabs>
        <w:tab w:val="left" w:pos="431"/>
        <w:tab w:val="left" w:pos="1134"/>
        <w:tab w:val="left" w:pos="1565"/>
        <w:tab w:val="left" w:pos="1996"/>
        <w:tab w:val="left" w:pos="2427"/>
      </w:tabs>
      <w:suppressAutoHyphens w:val="0"/>
      <w:overflowPunct w:val="0"/>
      <w:adjustRightInd w:val="0"/>
      <w:snapToGrid w:val="0"/>
      <w:spacing w:after="120" w:line="320" w:lineRule="exact"/>
      <w:ind w:left="1134" w:right="1134"/>
      <w:jc w:val="both"/>
    </w:pPr>
    <w:rPr>
      <w:snapToGrid w:val="0"/>
      <w:sz w:val="21"/>
      <w:lang w:val="en-US" w:eastAsia="zh-CN"/>
    </w:rPr>
  </w:style>
  <w:style w:type="character" w:customStyle="1" w:styleId="SingleTxtGCChar">
    <w:name w:val="_ Single Txt_GC Char"/>
    <w:basedOn w:val="a3"/>
    <w:link w:val="SingleTxtGC"/>
    <w:locked/>
    <w:rsid w:val="00096129"/>
    <w:rPr>
      <w:snapToGrid w:val="0"/>
      <w:sz w:val="21"/>
    </w:rPr>
  </w:style>
  <w:style w:type="paragraph" w:styleId="afff0">
    <w:name w:val="annotation subject"/>
    <w:basedOn w:val="af0"/>
    <w:next w:val="af0"/>
    <w:link w:val="afff1"/>
    <w:semiHidden/>
    <w:unhideWhenUsed/>
    <w:rsid w:val="00CD596B"/>
    <w:rPr>
      <w:b/>
      <w:bCs/>
    </w:rPr>
  </w:style>
  <w:style w:type="character" w:customStyle="1" w:styleId="af1">
    <w:name w:val="批注文字 字符"/>
    <w:basedOn w:val="a3"/>
    <w:link w:val="af0"/>
    <w:semiHidden/>
    <w:rsid w:val="00CD596B"/>
    <w:rPr>
      <w:lang w:val="en-GB" w:eastAsia="en-US"/>
    </w:rPr>
  </w:style>
  <w:style w:type="character" w:customStyle="1" w:styleId="afff1">
    <w:name w:val="批注主题 字符"/>
    <w:basedOn w:val="af1"/>
    <w:link w:val="afff0"/>
    <w:semiHidden/>
    <w:rsid w:val="00CD596B"/>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ERD.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A8CFB-5F68-41F9-BD29-E0F2C126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g:\WORD\NEWFORMAT\Cover Pages\CERD.dot</Template>
  <TotalTime>6</TotalTime>
  <Pages>4</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1363909</vt:lpstr>
    </vt:vector>
  </TitlesOfParts>
  <Company>CSD</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1363909</dc:title>
  <dc:subject>CERD/C/XXX/CO/Y</dc:subject>
  <dc:creator>Morris</dc:creator>
  <dc:description>Final</dc:description>
  <cp:lastModifiedBy>Lina Liu</cp:lastModifiedBy>
  <cp:revision>6</cp:revision>
  <cp:lastPrinted>2008-01-29T12:17:00Z</cp:lastPrinted>
  <dcterms:created xsi:type="dcterms:W3CDTF">2020-08-07T08:44:00Z</dcterms:created>
  <dcterms:modified xsi:type="dcterms:W3CDTF">2024-02-04T16:47:00Z</dcterms:modified>
</cp:coreProperties>
</file>