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52DF2" w14:textId="77777777" w:rsidR="00483E94" w:rsidRPr="00C2512C" w:rsidRDefault="00145146" w:rsidP="00483E94">
      <w:pPr>
        <w:spacing w:after="360"/>
        <w:jc w:val="right"/>
        <w:outlineLvl w:val="0"/>
        <w:rPr>
          <w:bCs/>
          <w:lang w:val="fr-FR"/>
        </w:rPr>
      </w:pPr>
      <w:r>
        <w:rPr>
          <w:bCs/>
          <w:lang w:val="fr-FR"/>
        </w:rPr>
        <w:t>A/79/10</w:t>
      </w:r>
    </w:p>
    <w:p w14:paraId="55C049DF" w14:textId="77777777" w:rsidR="00483E94" w:rsidRPr="00FA3966" w:rsidRDefault="001D12EC" w:rsidP="00483E94">
      <w:pPr>
        <w:ind w:left="1134"/>
        <w:rPr>
          <w:lang w:val="fr-FR"/>
        </w:rPr>
      </w:pPr>
      <w:r>
        <w:rPr>
          <w:noProof/>
          <w:lang w:eastAsia="fr-CH"/>
        </w:rPr>
        <w:drawing>
          <wp:inline distT="0" distB="0" distL="0" distR="0" wp14:anchorId="60D1913F" wp14:editId="62BDFFBE">
            <wp:extent cx="1190625" cy="1019175"/>
            <wp:effectExtent l="0" t="0" r="9525" b="9525"/>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p>
    <w:p w14:paraId="4CDEC940" w14:textId="77777777" w:rsidR="00483E94" w:rsidRPr="00FA3966" w:rsidRDefault="00483E94" w:rsidP="00C2512C">
      <w:pPr>
        <w:pStyle w:val="XLargeG"/>
        <w:spacing w:after="800"/>
        <w:rPr>
          <w:lang w:val="fr-FR"/>
        </w:rPr>
      </w:pPr>
      <w:r w:rsidRPr="00FA3966">
        <w:rPr>
          <w:lang w:val="fr-FR"/>
        </w:rPr>
        <w:t>Nations Unies</w:t>
      </w:r>
    </w:p>
    <w:p w14:paraId="19DB82E8" w14:textId="3F769541" w:rsidR="00483E94" w:rsidRPr="00C66C3B" w:rsidRDefault="00483E94" w:rsidP="00A271C5">
      <w:pPr>
        <w:pStyle w:val="SLG"/>
        <w:spacing w:before="240" w:after="960"/>
        <w:outlineLvl w:val="9"/>
      </w:pPr>
      <w:r w:rsidRPr="00C66C3B">
        <w:t xml:space="preserve">Rapport </w:t>
      </w:r>
      <w:r w:rsidR="00145146" w:rsidRPr="00145146">
        <w:t>de la Commission</w:t>
      </w:r>
      <w:r w:rsidR="00145146" w:rsidRPr="00145146">
        <w:br/>
        <w:t>du droit international</w:t>
      </w:r>
    </w:p>
    <w:p w14:paraId="6084FB3C" w14:textId="74AB6B44" w:rsidR="00D944F3" w:rsidRPr="00A271C5" w:rsidRDefault="00145146" w:rsidP="00A271C5">
      <w:pPr>
        <w:ind w:left="1134"/>
        <w:rPr>
          <w:b/>
          <w:sz w:val="36"/>
          <w:szCs w:val="36"/>
          <w:lang w:val="fr-FR"/>
        </w:rPr>
      </w:pPr>
      <w:r w:rsidRPr="00A271C5">
        <w:rPr>
          <w:b/>
          <w:sz w:val="36"/>
          <w:szCs w:val="36"/>
          <w:lang w:val="fr-FR"/>
        </w:rPr>
        <w:t>Soixante-quinzième session</w:t>
      </w:r>
      <w:r w:rsidRPr="00A271C5">
        <w:rPr>
          <w:b/>
          <w:sz w:val="36"/>
          <w:szCs w:val="36"/>
          <w:lang w:val="fr-FR"/>
        </w:rPr>
        <w:br/>
        <w:t>(29 avril-31 mai et 1</w:t>
      </w:r>
      <w:r w:rsidRPr="00E9227E">
        <w:rPr>
          <w:b/>
          <w:sz w:val="36"/>
          <w:szCs w:val="36"/>
          <w:vertAlign w:val="superscript"/>
          <w:lang w:val="fr-FR"/>
        </w:rPr>
        <w:t>er</w:t>
      </w:r>
      <w:r w:rsidR="00E9227E">
        <w:rPr>
          <w:b/>
          <w:sz w:val="36"/>
          <w:szCs w:val="36"/>
          <w:lang w:val="fr-FR"/>
        </w:rPr>
        <w:t xml:space="preserve"> </w:t>
      </w:r>
      <w:r w:rsidRPr="00A271C5">
        <w:rPr>
          <w:b/>
          <w:sz w:val="36"/>
          <w:szCs w:val="36"/>
          <w:lang w:val="fr-FR"/>
        </w:rPr>
        <w:t>juillet-2 août 2024)</w:t>
      </w:r>
    </w:p>
    <w:p w14:paraId="68A714B8" w14:textId="77777777" w:rsidR="00483E94" w:rsidRPr="00FA3966" w:rsidRDefault="00483E94" w:rsidP="00FC4149">
      <w:pPr>
        <w:pStyle w:val="XLargeG"/>
        <w:spacing w:before="4000"/>
        <w:rPr>
          <w:lang w:val="fr-FR"/>
        </w:rPr>
      </w:pPr>
      <w:r w:rsidRPr="00FA3966">
        <w:rPr>
          <w:lang w:val="fr-FR"/>
        </w:rPr>
        <w:t>Assemblée générale</w:t>
      </w:r>
    </w:p>
    <w:p w14:paraId="6CD2D492" w14:textId="21723E4E" w:rsidR="003D346F" w:rsidRDefault="00483E94" w:rsidP="00FC4149">
      <w:pPr>
        <w:pStyle w:val="HChG"/>
        <w:tabs>
          <w:tab w:val="clear" w:pos="851"/>
        </w:tabs>
        <w:spacing w:before="0" w:after="0"/>
        <w:ind w:firstLine="0"/>
        <w:rPr>
          <w:lang w:val="fr-FR"/>
        </w:rPr>
      </w:pPr>
      <w:r w:rsidRPr="00FA3966">
        <w:rPr>
          <w:lang w:val="fr-FR"/>
        </w:rPr>
        <w:t>Documents officiels</w:t>
      </w:r>
      <w:r w:rsidR="00FC4149">
        <w:rPr>
          <w:lang w:val="fr-FR"/>
        </w:rPr>
        <w:br/>
      </w:r>
      <w:r w:rsidR="00145146" w:rsidRPr="00145146">
        <w:rPr>
          <w:lang w:val="fr-FR"/>
        </w:rPr>
        <w:t xml:space="preserve">Soixante-dix-neuvième session </w:t>
      </w:r>
      <w:r w:rsidR="00FC4149">
        <w:rPr>
          <w:lang w:val="fr-FR"/>
        </w:rPr>
        <w:br/>
      </w:r>
      <w:r w:rsidRPr="00FA3966">
        <w:rPr>
          <w:lang w:val="fr-FR"/>
        </w:rPr>
        <w:t>Supplément n</w:t>
      </w:r>
      <w:r w:rsidRPr="00FA3966">
        <w:rPr>
          <w:vertAlign w:val="superscript"/>
          <w:lang w:val="fr-FR"/>
        </w:rPr>
        <w:t>o</w:t>
      </w:r>
      <w:r w:rsidRPr="00FA3966">
        <w:rPr>
          <w:lang w:val="fr-FR"/>
        </w:rPr>
        <w:t xml:space="preserve"> </w:t>
      </w:r>
      <w:r w:rsidR="00145146">
        <w:rPr>
          <w:lang w:val="fr-FR"/>
        </w:rPr>
        <w:t>10</w:t>
      </w:r>
      <w:r w:rsidR="00FB1C8F">
        <w:rPr>
          <w:lang w:val="fr-FR"/>
        </w:rPr>
        <w:t xml:space="preserve"> </w:t>
      </w:r>
      <w:r w:rsidRPr="00FA3966">
        <w:rPr>
          <w:lang w:val="fr-FR"/>
        </w:rPr>
        <w:t>(</w:t>
      </w:r>
      <w:r w:rsidR="00145146">
        <w:rPr>
          <w:lang w:val="fr-FR"/>
        </w:rPr>
        <w:t>A/79/10</w:t>
      </w:r>
      <w:r w:rsidRPr="00FA3966">
        <w:rPr>
          <w:lang w:val="fr-FR"/>
        </w:rPr>
        <w:t>)</w:t>
      </w:r>
    </w:p>
    <w:p w14:paraId="67039AFA" w14:textId="77777777" w:rsidR="00483E94" w:rsidRDefault="00483E94" w:rsidP="003D346F">
      <w:pPr>
        <w:rPr>
          <w:lang w:val="fr-FR"/>
        </w:rPr>
      </w:pPr>
    </w:p>
    <w:p w14:paraId="105D5818" w14:textId="77777777" w:rsidR="00483E94" w:rsidRDefault="00483E94" w:rsidP="00C451B9">
      <w:pPr>
        <w:sectPr w:rsidR="00483E94" w:rsidSect="00145146">
          <w:headerReference w:type="even" r:id="rId9"/>
          <w:footerReference w:type="first" r:id="rId10"/>
          <w:endnotePr>
            <w:numFmt w:val="decimal"/>
          </w:endnotePr>
          <w:type w:val="oddPage"/>
          <w:pgSz w:w="11907" w:h="16840" w:code="9"/>
          <w:pgMar w:top="1417" w:right="1134" w:bottom="1134" w:left="1134" w:header="850" w:footer="567" w:gutter="0"/>
          <w:cols w:space="720"/>
          <w:titlePg/>
          <w:docGrid w:linePitch="272"/>
        </w:sect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44F3" w14:paraId="5A1386EC" w14:textId="77777777" w:rsidTr="00D944F3">
        <w:tc>
          <w:tcPr>
            <w:tcW w:w="4814" w:type="dxa"/>
          </w:tcPr>
          <w:p w14:paraId="68093A14" w14:textId="77777777" w:rsidR="00D944F3" w:rsidRPr="00FA3966" w:rsidRDefault="00D944F3" w:rsidP="00D944F3">
            <w:pPr>
              <w:rPr>
                <w:b/>
                <w:sz w:val="24"/>
                <w:szCs w:val="24"/>
                <w:lang w:val="fr-FR"/>
              </w:rPr>
            </w:pPr>
            <w:r w:rsidRPr="00FA3966">
              <w:rPr>
                <w:b/>
                <w:sz w:val="24"/>
                <w:szCs w:val="24"/>
                <w:lang w:val="fr-FR"/>
              </w:rPr>
              <w:lastRenderedPageBreak/>
              <w:t>Assemblée générale</w:t>
            </w:r>
          </w:p>
          <w:p w14:paraId="4505F54B" w14:textId="77777777" w:rsidR="00D944F3" w:rsidRPr="00FA3966" w:rsidRDefault="00D944F3" w:rsidP="00D944F3">
            <w:pPr>
              <w:rPr>
                <w:sz w:val="24"/>
                <w:szCs w:val="24"/>
                <w:lang w:val="fr-FR"/>
              </w:rPr>
            </w:pPr>
            <w:r w:rsidRPr="00FA3966">
              <w:rPr>
                <w:sz w:val="24"/>
                <w:szCs w:val="24"/>
                <w:lang w:val="fr-FR"/>
              </w:rPr>
              <w:t>Documents officiels</w:t>
            </w:r>
          </w:p>
          <w:p w14:paraId="10A02AE5" w14:textId="333F9FF2" w:rsidR="00D944F3" w:rsidRPr="00FA3966" w:rsidRDefault="00145146" w:rsidP="00D944F3">
            <w:pPr>
              <w:rPr>
                <w:sz w:val="24"/>
                <w:szCs w:val="24"/>
                <w:lang w:val="fr-FR"/>
              </w:rPr>
            </w:pPr>
            <w:r w:rsidRPr="00145146">
              <w:rPr>
                <w:sz w:val="24"/>
                <w:szCs w:val="24"/>
                <w:lang w:val="fr-FR"/>
              </w:rPr>
              <w:t xml:space="preserve">Soixante-dix-neuvième </w:t>
            </w:r>
            <w:r w:rsidR="00D944F3" w:rsidRPr="00FA3966">
              <w:rPr>
                <w:sz w:val="24"/>
                <w:szCs w:val="24"/>
                <w:lang w:val="fr-FR"/>
              </w:rPr>
              <w:t>session</w:t>
            </w:r>
          </w:p>
          <w:p w14:paraId="6B9A5533" w14:textId="2435F128" w:rsidR="00D944F3" w:rsidRDefault="00D944F3" w:rsidP="00D944F3">
            <w:pPr>
              <w:rPr>
                <w:lang w:val="fr-FR"/>
              </w:rPr>
            </w:pPr>
            <w:r w:rsidRPr="00FA3966">
              <w:rPr>
                <w:sz w:val="24"/>
                <w:szCs w:val="24"/>
                <w:lang w:val="fr-FR"/>
              </w:rPr>
              <w:t>Supplément n</w:t>
            </w:r>
            <w:r w:rsidRPr="00FA3966">
              <w:rPr>
                <w:sz w:val="24"/>
                <w:szCs w:val="24"/>
                <w:vertAlign w:val="superscript"/>
                <w:lang w:val="fr-FR"/>
              </w:rPr>
              <w:t>o</w:t>
            </w:r>
            <w:r w:rsidRPr="00FA3966">
              <w:rPr>
                <w:sz w:val="24"/>
                <w:szCs w:val="24"/>
                <w:lang w:val="fr-FR"/>
              </w:rPr>
              <w:t xml:space="preserve"> </w:t>
            </w:r>
            <w:r w:rsidR="00145146">
              <w:rPr>
                <w:sz w:val="24"/>
                <w:szCs w:val="24"/>
                <w:lang w:val="fr-FR"/>
              </w:rPr>
              <w:t>10</w:t>
            </w:r>
          </w:p>
        </w:tc>
        <w:tc>
          <w:tcPr>
            <w:tcW w:w="4815" w:type="dxa"/>
          </w:tcPr>
          <w:p w14:paraId="1AC386B5" w14:textId="77777777" w:rsidR="00D944F3" w:rsidRDefault="00145146" w:rsidP="00D944F3">
            <w:pPr>
              <w:jc w:val="right"/>
              <w:rPr>
                <w:lang w:val="fr-FR"/>
              </w:rPr>
            </w:pPr>
            <w:r>
              <w:rPr>
                <w:bCs/>
                <w:lang w:val="fr-FR"/>
              </w:rPr>
              <w:t>A/79/10</w:t>
            </w:r>
          </w:p>
        </w:tc>
      </w:tr>
    </w:tbl>
    <w:p w14:paraId="3A2BFC47" w14:textId="16391F2F" w:rsidR="00541BE4" w:rsidRPr="00FA3966" w:rsidRDefault="00541BE4" w:rsidP="00D944F3">
      <w:pPr>
        <w:pStyle w:val="SMG"/>
        <w:spacing w:before="1134" w:after="480"/>
        <w:rPr>
          <w:szCs w:val="40"/>
          <w:lang w:val="fr-FR"/>
        </w:rPr>
      </w:pPr>
      <w:r w:rsidRPr="00FA3966">
        <w:rPr>
          <w:lang w:val="fr-FR"/>
        </w:rPr>
        <w:t xml:space="preserve">Rapport </w:t>
      </w:r>
      <w:r w:rsidR="00145146" w:rsidRPr="00145146">
        <w:rPr>
          <w:lang w:val="fr-FR"/>
        </w:rPr>
        <w:t>de la Commission</w:t>
      </w:r>
      <w:r w:rsidR="00145146" w:rsidRPr="00145146">
        <w:rPr>
          <w:lang w:val="fr-FR"/>
        </w:rPr>
        <w:br/>
        <w:t xml:space="preserve">du droit international </w:t>
      </w:r>
    </w:p>
    <w:p w14:paraId="17CDA92A" w14:textId="2A5016CE" w:rsidR="00541BE4" w:rsidRPr="00FA3966" w:rsidRDefault="00145146" w:rsidP="00145146">
      <w:pPr>
        <w:pStyle w:val="SSG"/>
        <w:rPr>
          <w:lang w:val="fr-FR"/>
        </w:rPr>
      </w:pPr>
      <w:r w:rsidRPr="00145146">
        <w:rPr>
          <w:lang w:val="fr-FR"/>
        </w:rPr>
        <w:t>Soixante</w:t>
      </w:r>
      <w:r w:rsidRPr="00145146">
        <w:rPr>
          <w:lang w:val="fr-FR"/>
        </w:rPr>
        <w:noBreakHyphen/>
        <w:t xml:space="preserve">quinzième </w:t>
      </w:r>
      <w:r w:rsidR="00541BE4" w:rsidRPr="00FA3966">
        <w:rPr>
          <w:lang w:val="fr-FR"/>
        </w:rPr>
        <w:t>session</w:t>
      </w:r>
      <w:r>
        <w:rPr>
          <w:lang w:val="fr-FR"/>
        </w:rPr>
        <w:br/>
      </w:r>
      <w:r w:rsidRPr="00145146">
        <w:rPr>
          <w:lang w:val="fr-FR"/>
        </w:rPr>
        <w:t>(29 avril-31 mai et 1</w:t>
      </w:r>
      <w:r w:rsidRPr="00145146">
        <w:rPr>
          <w:vertAlign w:val="superscript"/>
          <w:lang w:val="fr-FR"/>
        </w:rPr>
        <w:t>er</w:t>
      </w:r>
      <w:r w:rsidRPr="00145146">
        <w:rPr>
          <w:lang w:val="fr-FR"/>
        </w:rPr>
        <w:t> juillet-2 août 2024)</w:t>
      </w:r>
    </w:p>
    <w:p w14:paraId="47DF7CE9" w14:textId="7136BEAE" w:rsidR="00DF4D0D" w:rsidRDefault="001D12EC" w:rsidP="00BF2362">
      <w:pPr>
        <w:spacing w:before="6400"/>
        <w:ind w:left="1134"/>
        <w:outlineLvl w:val="0"/>
      </w:pPr>
      <w:r>
        <w:rPr>
          <w:noProof/>
          <w:lang w:eastAsia="fr-CH"/>
        </w:rPr>
        <w:drawing>
          <wp:inline distT="0" distB="0" distL="0" distR="0" wp14:anchorId="6BD38A0A" wp14:editId="2D63982C">
            <wp:extent cx="5334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25" t="-133" r="-125" b="-133"/>
                    <a:stretch>
                      <a:fillRect/>
                    </a:stretch>
                  </pic:blipFill>
                  <pic:spPr bwMode="auto">
                    <a:xfrm>
                      <a:off x="0" y="0"/>
                      <a:ext cx="533400" cy="495300"/>
                    </a:xfrm>
                    <a:prstGeom prst="rect">
                      <a:avLst/>
                    </a:prstGeom>
                    <a:noFill/>
                    <a:ln>
                      <a:noFill/>
                    </a:ln>
                  </pic:spPr>
                </pic:pic>
              </a:graphicData>
            </a:graphic>
          </wp:inline>
        </w:drawing>
      </w:r>
    </w:p>
    <w:p w14:paraId="63C7C983" w14:textId="44CD2C45" w:rsidR="00541BE4" w:rsidRPr="00B840C1" w:rsidRDefault="00541BE4" w:rsidP="00541BE4">
      <w:pPr>
        <w:ind w:left="1134"/>
        <w:outlineLvl w:val="0"/>
        <w:rPr>
          <w:bCs/>
          <w:sz w:val="24"/>
          <w:szCs w:val="24"/>
          <w:lang w:val="fr-FR"/>
        </w:rPr>
      </w:pPr>
      <w:r w:rsidRPr="00B840C1">
        <w:rPr>
          <w:bCs/>
          <w:noProof/>
          <w:sz w:val="28"/>
          <w:lang w:val="fr-FR"/>
        </w:rPr>
        <w:t>Nations Unies</w:t>
      </w:r>
      <w:r w:rsidRPr="00B840C1">
        <w:rPr>
          <w:bCs/>
          <w:sz w:val="28"/>
          <w:lang w:val="fr-FR"/>
        </w:rPr>
        <w:t xml:space="preserve"> • New York, </w:t>
      </w:r>
      <w:r w:rsidR="00145146">
        <w:rPr>
          <w:bCs/>
          <w:sz w:val="28"/>
          <w:lang w:val="fr-FR"/>
        </w:rPr>
        <w:t>2024</w:t>
      </w:r>
    </w:p>
    <w:p w14:paraId="028AA2C0" w14:textId="77777777" w:rsidR="007B0ECA" w:rsidRDefault="00541BE4" w:rsidP="00541BE4">
      <w:pPr>
        <w:spacing w:before="4800" w:after="120"/>
        <w:ind w:left="1134"/>
        <w:rPr>
          <w:lang w:val="fr-FR"/>
        </w:rPr>
      </w:pPr>
      <w:r w:rsidRPr="00FA3966">
        <w:rPr>
          <w:lang w:val="fr-FR"/>
        </w:rPr>
        <w:br w:type="page"/>
      </w:r>
    </w:p>
    <w:p w14:paraId="1B925267" w14:textId="77777777" w:rsidR="007B0ECA" w:rsidRDefault="007B0ECA" w:rsidP="005813E3">
      <w:pPr>
        <w:tabs>
          <w:tab w:val="left" w:pos="2035"/>
        </w:tabs>
        <w:spacing w:before="4800" w:after="120"/>
        <w:ind w:left="1134" w:firstLine="567"/>
        <w:rPr>
          <w:lang w:val="fr-FR"/>
        </w:rPr>
      </w:pPr>
    </w:p>
    <w:p w14:paraId="57700B2A" w14:textId="77777777" w:rsidR="00541BE4" w:rsidRPr="00FA3966" w:rsidRDefault="00541BE4" w:rsidP="007B0ECA">
      <w:pPr>
        <w:spacing w:before="1400" w:after="120"/>
        <w:ind w:left="1134"/>
        <w:rPr>
          <w:i/>
          <w:lang w:val="fr-FR"/>
        </w:rPr>
      </w:pPr>
      <w:r w:rsidRPr="00FA3966">
        <w:rPr>
          <w:i/>
          <w:lang w:val="fr-FR"/>
        </w:rPr>
        <w:t>Note</w:t>
      </w:r>
    </w:p>
    <w:p w14:paraId="0069419F" w14:textId="1283EC68" w:rsidR="00541BE4" w:rsidRDefault="00145146" w:rsidP="00270821">
      <w:pPr>
        <w:pStyle w:val="SingleTxtG"/>
        <w:ind w:firstLine="567"/>
        <w:rPr>
          <w:bCs/>
          <w:lang w:val="fr-FR"/>
        </w:rPr>
      </w:pPr>
      <w:r w:rsidRPr="00145146">
        <w:rPr>
          <w:bCs/>
          <w:lang w:val="fr-FR"/>
        </w:rPr>
        <w:t>Les cotes des documents de l</w:t>
      </w:r>
      <w:r w:rsidR="004C5E26">
        <w:rPr>
          <w:bCs/>
          <w:lang w:val="fr-FR"/>
        </w:rPr>
        <w:t>’</w:t>
      </w:r>
      <w:r w:rsidRPr="00145146">
        <w:rPr>
          <w:bCs/>
          <w:lang w:val="fr-FR"/>
        </w:rPr>
        <w:t>Organisation des Nations Unies se composent de lettres majuscules et de chiffres. La simple mention d</w:t>
      </w:r>
      <w:r w:rsidR="004C5E26">
        <w:rPr>
          <w:bCs/>
          <w:lang w:val="fr-FR"/>
        </w:rPr>
        <w:t>’</w:t>
      </w:r>
      <w:r w:rsidRPr="00145146">
        <w:rPr>
          <w:bCs/>
          <w:lang w:val="fr-FR"/>
        </w:rPr>
        <w:t>une cote dans un texte signifie qu</w:t>
      </w:r>
      <w:r w:rsidR="004C5E26">
        <w:rPr>
          <w:bCs/>
          <w:lang w:val="fr-FR"/>
        </w:rPr>
        <w:t>’</w:t>
      </w:r>
      <w:r w:rsidRPr="00145146">
        <w:rPr>
          <w:bCs/>
          <w:lang w:val="fr-FR"/>
        </w:rPr>
        <w:t>il s</w:t>
      </w:r>
      <w:r w:rsidR="004C5E26">
        <w:rPr>
          <w:bCs/>
          <w:lang w:val="fr-FR"/>
        </w:rPr>
        <w:t>’</w:t>
      </w:r>
      <w:r w:rsidRPr="00145146">
        <w:rPr>
          <w:bCs/>
          <w:lang w:val="fr-FR"/>
        </w:rPr>
        <w:t>agit d</w:t>
      </w:r>
      <w:r w:rsidR="004C5E26">
        <w:rPr>
          <w:bCs/>
          <w:lang w:val="fr-FR"/>
        </w:rPr>
        <w:t>’</w:t>
      </w:r>
      <w:r w:rsidRPr="00145146">
        <w:rPr>
          <w:bCs/>
          <w:lang w:val="fr-FR"/>
        </w:rPr>
        <w:t>un document de l</w:t>
      </w:r>
      <w:r w:rsidR="004C5E26">
        <w:rPr>
          <w:bCs/>
          <w:lang w:val="fr-FR"/>
        </w:rPr>
        <w:t>’</w:t>
      </w:r>
      <w:r w:rsidRPr="00145146">
        <w:rPr>
          <w:bCs/>
          <w:lang w:val="fr-FR"/>
        </w:rPr>
        <w:t>Organisation.</w:t>
      </w:r>
    </w:p>
    <w:p w14:paraId="37801B3F" w14:textId="3E12787A" w:rsidR="00145146" w:rsidRDefault="00145146" w:rsidP="00270821">
      <w:pPr>
        <w:pStyle w:val="SingleTxtG"/>
        <w:ind w:firstLine="567"/>
        <w:rPr>
          <w:bCs/>
          <w:i/>
          <w:lang w:val="fr-FR"/>
        </w:rPr>
      </w:pPr>
      <w:r w:rsidRPr="00145146">
        <w:rPr>
          <w:bCs/>
          <w:lang w:val="fr-FR"/>
        </w:rPr>
        <w:t xml:space="preserve">Le mot </w:t>
      </w:r>
      <w:r w:rsidRPr="00145146">
        <w:rPr>
          <w:bCs/>
          <w:i/>
          <w:lang w:val="fr-FR"/>
        </w:rPr>
        <w:t xml:space="preserve">Annuaire </w:t>
      </w:r>
      <w:r w:rsidRPr="00145146">
        <w:rPr>
          <w:bCs/>
          <w:lang w:val="fr-FR"/>
        </w:rPr>
        <w:t>suivi de points de suspension et de l</w:t>
      </w:r>
      <w:r w:rsidR="004C5E26">
        <w:rPr>
          <w:bCs/>
          <w:lang w:val="fr-FR"/>
        </w:rPr>
        <w:t>’</w:t>
      </w:r>
      <w:r w:rsidRPr="00145146">
        <w:rPr>
          <w:bCs/>
          <w:lang w:val="fr-FR"/>
        </w:rPr>
        <w:t xml:space="preserve">année (par exemple, </w:t>
      </w:r>
      <w:r w:rsidRPr="00145146">
        <w:rPr>
          <w:bCs/>
          <w:i/>
          <w:lang w:val="fr-FR"/>
        </w:rPr>
        <w:t>Annuaire … 1971</w:t>
      </w:r>
      <w:r w:rsidRPr="00145146">
        <w:rPr>
          <w:bCs/>
          <w:lang w:val="fr-FR"/>
        </w:rPr>
        <w:t>) s</w:t>
      </w:r>
      <w:r w:rsidR="004C5E26">
        <w:rPr>
          <w:bCs/>
          <w:lang w:val="fr-FR"/>
        </w:rPr>
        <w:t>’</w:t>
      </w:r>
      <w:r w:rsidRPr="00145146">
        <w:rPr>
          <w:bCs/>
          <w:lang w:val="fr-FR"/>
        </w:rPr>
        <w:t>entend de l</w:t>
      </w:r>
      <w:r w:rsidR="004C5E26">
        <w:rPr>
          <w:bCs/>
          <w:lang w:val="fr-FR"/>
        </w:rPr>
        <w:t>’</w:t>
      </w:r>
      <w:r w:rsidRPr="00145146">
        <w:rPr>
          <w:bCs/>
          <w:i/>
          <w:lang w:val="fr-FR"/>
        </w:rPr>
        <w:t>Annuaire de la Commission du droit international.</w:t>
      </w:r>
    </w:p>
    <w:p w14:paraId="115F4068" w14:textId="7AC3115B" w:rsidR="00145146" w:rsidRDefault="00145146" w:rsidP="00145146">
      <w:pPr>
        <w:pStyle w:val="SingleTxtG"/>
        <w:spacing w:after="2640"/>
        <w:ind w:firstLine="567"/>
        <w:rPr>
          <w:bCs/>
          <w:i/>
          <w:lang w:val="fr-FR"/>
        </w:rPr>
      </w:pPr>
      <w:r w:rsidRPr="00145146">
        <w:rPr>
          <w:bCs/>
          <w:lang w:val="fr-FR"/>
        </w:rPr>
        <w:t xml:space="preserve">Une version </w:t>
      </w:r>
      <w:proofErr w:type="spellStart"/>
      <w:r w:rsidRPr="00145146">
        <w:rPr>
          <w:bCs/>
          <w:lang w:val="fr-FR"/>
        </w:rPr>
        <w:t>linotypée</w:t>
      </w:r>
      <w:proofErr w:type="spellEnd"/>
      <w:r w:rsidRPr="00145146">
        <w:rPr>
          <w:bCs/>
          <w:lang w:val="fr-FR"/>
        </w:rPr>
        <w:t xml:space="preserve"> du rapport de la Commission paraîtra dans la deuxième partie du volume II de l</w:t>
      </w:r>
      <w:r w:rsidR="004C5E26">
        <w:rPr>
          <w:bCs/>
          <w:lang w:val="fr-FR"/>
        </w:rPr>
        <w:t>’</w:t>
      </w:r>
      <w:r w:rsidRPr="00145146">
        <w:rPr>
          <w:bCs/>
          <w:i/>
          <w:lang w:val="fr-FR"/>
        </w:rPr>
        <w:t>Annuaire de la Commission du droit international 2024.</w:t>
      </w:r>
    </w:p>
    <w:p w14:paraId="13951FD4" w14:textId="0D358CC5" w:rsidR="00145146" w:rsidRPr="00FA3966" w:rsidRDefault="00145146" w:rsidP="00145146">
      <w:pPr>
        <w:pStyle w:val="SingleTxtG"/>
        <w:tabs>
          <w:tab w:val="clear" w:pos="2835"/>
        </w:tabs>
        <w:kinsoku/>
        <w:overflowPunct/>
        <w:autoSpaceDE/>
        <w:autoSpaceDN/>
        <w:adjustRightInd/>
        <w:snapToGrid/>
        <w:ind w:firstLine="567"/>
        <w:rPr>
          <w:lang w:val="fr-FR"/>
        </w:rPr>
      </w:pPr>
      <w:r w:rsidRPr="0037569D">
        <w:t>ISSN 0251-8589</w:t>
      </w:r>
    </w:p>
    <w:p w14:paraId="610731CC" w14:textId="77777777" w:rsidR="00541BE4" w:rsidRDefault="00541BE4" w:rsidP="00C451B9">
      <w:pPr>
        <w:sectPr w:rsidR="00541BE4" w:rsidSect="00145146">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1907" w:h="16840" w:code="9"/>
          <w:pgMar w:top="1417" w:right="1134" w:bottom="1134" w:left="1134" w:header="850" w:footer="567" w:gutter="0"/>
          <w:cols w:space="720"/>
          <w:titlePg/>
          <w:docGrid w:linePitch="272"/>
        </w:sectPr>
      </w:pPr>
    </w:p>
    <w:p w14:paraId="4AC96562" w14:textId="77777777" w:rsidR="00EA5197" w:rsidRDefault="00EA5197" w:rsidP="00EA5197">
      <w:pPr>
        <w:pStyle w:val="SingleTxtG"/>
        <w:jc w:val="right"/>
        <w:rPr>
          <w:sz w:val="28"/>
        </w:rPr>
      </w:pPr>
      <w:r w:rsidRPr="0077491F">
        <w:rPr>
          <w:lang w:val="fr-FR"/>
        </w:rPr>
        <w:lastRenderedPageBreak/>
        <w:t>[8 août 2024]</w:t>
      </w:r>
    </w:p>
    <w:p w14:paraId="7C7CF65C" w14:textId="77777777" w:rsidR="00A669DA" w:rsidRDefault="00A669DA" w:rsidP="0060322E">
      <w:pPr>
        <w:spacing w:after="120"/>
        <w:rPr>
          <w:sz w:val="28"/>
        </w:rPr>
      </w:pPr>
      <w:r>
        <w:rPr>
          <w:sz w:val="28"/>
        </w:rPr>
        <w:t>Table des matières</w:t>
      </w:r>
    </w:p>
    <w:p w14:paraId="3413F80E" w14:textId="77777777" w:rsidR="00145146" w:rsidRPr="00145146" w:rsidRDefault="00145146" w:rsidP="00145146">
      <w:pPr>
        <w:tabs>
          <w:tab w:val="right" w:pos="9638"/>
        </w:tabs>
        <w:spacing w:after="120"/>
        <w:ind w:left="283"/>
        <w:rPr>
          <w:i/>
          <w:sz w:val="18"/>
        </w:rPr>
      </w:pPr>
      <w:r w:rsidRPr="00145146">
        <w:rPr>
          <w:i/>
          <w:sz w:val="18"/>
        </w:rPr>
        <w:t>Chapitre</w:t>
      </w:r>
      <w:r w:rsidRPr="00145146">
        <w:rPr>
          <w:i/>
          <w:sz w:val="18"/>
        </w:rPr>
        <w:tab/>
        <w:t>Page</w:t>
      </w:r>
    </w:p>
    <w:p w14:paraId="50F4DF83" w14:textId="77777777" w:rsidR="005F7996" w:rsidRDefault="005F7996" w:rsidP="005F7996">
      <w:pPr>
        <w:tabs>
          <w:tab w:val="right" w:pos="850"/>
          <w:tab w:val="right" w:leader="dot" w:pos="8787"/>
          <w:tab w:val="right" w:pos="9638"/>
        </w:tabs>
        <w:spacing w:after="120"/>
        <w:ind w:left="1134" w:hanging="1134"/>
        <w:rPr>
          <w:iCs/>
        </w:rPr>
      </w:pPr>
      <w:r w:rsidRPr="00145146">
        <w:rPr>
          <w:iCs/>
        </w:rPr>
        <w:tab/>
        <w:t>I.</w:t>
      </w:r>
      <w:r w:rsidRPr="00145146">
        <w:rPr>
          <w:iCs/>
        </w:rPr>
        <w:tab/>
      </w:r>
      <w:r w:rsidRPr="004B5FB2">
        <w:t>Introduction</w:t>
      </w:r>
      <w:r w:rsidRPr="00145146">
        <w:rPr>
          <w:iCs/>
        </w:rPr>
        <w:tab/>
      </w:r>
      <w:r>
        <w:rPr>
          <w:iCs/>
        </w:rPr>
        <w:tab/>
        <w:t>1</w:t>
      </w:r>
    </w:p>
    <w:p w14:paraId="5D2F87A5"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I</w:t>
      </w:r>
      <w:r w:rsidRPr="00145146">
        <w:rPr>
          <w:iCs/>
        </w:rPr>
        <w:t>I.</w:t>
      </w:r>
      <w:r w:rsidRPr="00145146">
        <w:rPr>
          <w:iCs/>
        </w:rPr>
        <w:tab/>
      </w:r>
      <w:r w:rsidRPr="00E76779">
        <w:rPr>
          <w:lang w:val="fr-FR"/>
        </w:rPr>
        <w:t>Résumé des travaux de la Commission à sa soixante-quinzième session</w:t>
      </w:r>
      <w:r w:rsidRPr="00145146">
        <w:rPr>
          <w:iCs/>
        </w:rPr>
        <w:tab/>
      </w:r>
      <w:r>
        <w:rPr>
          <w:iCs/>
        </w:rPr>
        <w:tab/>
        <w:t>6</w:t>
      </w:r>
    </w:p>
    <w:p w14:paraId="0373BABC"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II</w:t>
      </w:r>
      <w:r w:rsidRPr="00145146">
        <w:rPr>
          <w:iCs/>
        </w:rPr>
        <w:t>I.</w:t>
      </w:r>
      <w:r w:rsidRPr="00145146">
        <w:rPr>
          <w:iCs/>
        </w:rPr>
        <w:tab/>
      </w:r>
      <w:r>
        <w:rPr>
          <w:lang w:val="fr-FR"/>
        </w:rPr>
        <w:t>Points sur lesquels des observations seraient particulièrement intéressantes pour la Commission</w:t>
      </w:r>
      <w:r w:rsidRPr="00145146">
        <w:rPr>
          <w:iCs/>
        </w:rPr>
        <w:tab/>
      </w:r>
      <w:r>
        <w:rPr>
          <w:iCs/>
        </w:rPr>
        <w:tab/>
        <w:t>16</w:t>
      </w:r>
    </w:p>
    <w:p w14:paraId="09CF6018"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t>I</w:t>
      </w:r>
      <w:r>
        <w:rPr>
          <w:iCs/>
        </w:rPr>
        <w:t>V</w:t>
      </w:r>
      <w:r w:rsidRPr="00145146">
        <w:rPr>
          <w:iCs/>
        </w:rPr>
        <w:t>.</w:t>
      </w:r>
      <w:r w:rsidRPr="00145146">
        <w:rPr>
          <w:iCs/>
        </w:rPr>
        <w:tab/>
      </w:r>
      <w:r>
        <w:rPr>
          <w:bCs/>
          <w:lang w:val="fr-FR"/>
        </w:rPr>
        <w:t>Règlement des différends auxquels des organisations internationales sont parties</w:t>
      </w:r>
      <w:r w:rsidRPr="00145146">
        <w:rPr>
          <w:iCs/>
        </w:rPr>
        <w:tab/>
      </w:r>
      <w:r>
        <w:rPr>
          <w:iCs/>
        </w:rPr>
        <w:tab/>
        <w:t>18</w:t>
      </w:r>
    </w:p>
    <w:p w14:paraId="73A6291F"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V</w:t>
      </w:r>
      <w:r w:rsidRPr="00145146">
        <w:rPr>
          <w:iCs/>
        </w:rPr>
        <w:t>.</w:t>
      </w:r>
      <w:r w:rsidRPr="00145146">
        <w:rPr>
          <w:iCs/>
        </w:rPr>
        <w:tab/>
      </w:r>
      <w:r w:rsidRPr="00452CA5">
        <w:rPr>
          <w:lang w:val="fr-FR"/>
        </w:rPr>
        <w:t>Moyens auxiliaires de détermination des règles de droit international</w:t>
      </w:r>
      <w:r w:rsidRPr="00145146">
        <w:rPr>
          <w:iCs/>
        </w:rPr>
        <w:tab/>
      </w:r>
      <w:r>
        <w:rPr>
          <w:iCs/>
        </w:rPr>
        <w:tab/>
        <w:t>31</w:t>
      </w:r>
    </w:p>
    <w:p w14:paraId="48847123"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V</w:t>
      </w:r>
      <w:r w:rsidRPr="00145146">
        <w:rPr>
          <w:iCs/>
        </w:rPr>
        <w:t>I.</w:t>
      </w:r>
      <w:r w:rsidRPr="00145146">
        <w:rPr>
          <w:iCs/>
        </w:rPr>
        <w:tab/>
      </w:r>
      <w:r w:rsidRPr="00E31FBF">
        <w:rPr>
          <w:lang w:val="fr-FR"/>
        </w:rPr>
        <w:t>Prévention et répression de la piraterie et du vol à main armée en mer</w:t>
      </w:r>
      <w:r w:rsidRPr="00145146">
        <w:rPr>
          <w:iCs/>
        </w:rPr>
        <w:tab/>
      </w:r>
      <w:r>
        <w:rPr>
          <w:iCs/>
        </w:rPr>
        <w:tab/>
        <w:t>59</w:t>
      </w:r>
    </w:p>
    <w:p w14:paraId="1BF534B1"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VI</w:t>
      </w:r>
      <w:r w:rsidRPr="00145146">
        <w:rPr>
          <w:iCs/>
        </w:rPr>
        <w:t>I.</w:t>
      </w:r>
      <w:r w:rsidRPr="00145146">
        <w:rPr>
          <w:iCs/>
        </w:rPr>
        <w:tab/>
      </w:r>
      <w:r w:rsidRPr="0048459D">
        <w:rPr>
          <w:lang w:val="fr-FR"/>
        </w:rPr>
        <w:t>Immunité de juridiction pénale étrangère des représentants de l</w:t>
      </w:r>
      <w:r>
        <w:rPr>
          <w:lang w:val="fr-FR"/>
        </w:rPr>
        <w:t>’</w:t>
      </w:r>
      <w:r w:rsidRPr="0048459D">
        <w:rPr>
          <w:lang w:val="fr-FR"/>
        </w:rPr>
        <w:t>État</w:t>
      </w:r>
      <w:r w:rsidRPr="00145146">
        <w:rPr>
          <w:iCs/>
        </w:rPr>
        <w:tab/>
      </w:r>
      <w:r>
        <w:rPr>
          <w:iCs/>
        </w:rPr>
        <w:tab/>
        <w:t>70</w:t>
      </w:r>
    </w:p>
    <w:p w14:paraId="28F33023"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VII</w:t>
      </w:r>
      <w:r w:rsidRPr="00145146">
        <w:rPr>
          <w:iCs/>
        </w:rPr>
        <w:t>I.</w:t>
      </w:r>
      <w:r w:rsidRPr="00145146">
        <w:rPr>
          <w:iCs/>
        </w:rPr>
        <w:tab/>
      </w:r>
      <w:r w:rsidRPr="00841601">
        <w:rPr>
          <w:bCs/>
          <w:lang w:val="fr-FR"/>
        </w:rPr>
        <w:t>Les accords internationaux juridiquement non contraignants</w:t>
      </w:r>
      <w:r w:rsidRPr="00145146">
        <w:rPr>
          <w:iCs/>
        </w:rPr>
        <w:tab/>
      </w:r>
      <w:r>
        <w:rPr>
          <w:iCs/>
        </w:rPr>
        <w:tab/>
        <w:t>85</w:t>
      </w:r>
    </w:p>
    <w:p w14:paraId="148A6D48"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t>I</w:t>
      </w:r>
      <w:r>
        <w:rPr>
          <w:iCs/>
        </w:rPr>
        <w:t>X</w:t>
      </w:r>
      <w:r w:rsidRPr="00145146">
        <w:rPr>
          <w:iCs/>
        </w:rPr>
        <w:t>.</w:t>
      </w:r>
      <w:r w:rsidRPr="00145146">
        <w:rPr>
          <w:iCs/>
        </w:rPr>
        <w:tab/>
      </w:r>
      <w:r w:rsidRPr="00470AD5">
        <w:rPr>
          <w:lang w:val="fr-FR"/>
        </w:rPr>
        <w:t>Succession d’États en matière de responsabilité de l’État</w:t>
      </w:r>
      <w:r w:rsidRPr="00145146">
        <w:rPr>
          <w:iCs/>
        </w:rPr>
        <w:tab/>
      </w:r>
      <w:r>
        <w:rPr>
          <w:iCs/>
        </w:rPr>
        <w:tab/>
        <w:t>98</w:t>
      </w:r>
    </w:p>
    <w:p w14:paraId="1D8F3056"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X</w:t>
      </w:r>
      <w:r w:rsidRPr="00145146">
        <w:rPr>
          <w:iCs/>
        </w:rPr>
        <w:t>.</w:t>
      </w:r>
      <w:r w:rsidRPr="00145146">
        <w:rPr>
          <w:iCs/>
        </w:rPr>
        <w:tab/>
      </w:r>
      <w:r>
        <w:rPr>
          <w:lang w:val="fr-FR"/>
        </w:rPr>
        <w:t>L’</w:t>
      </w:r>
      <w:r w:rsidRPr="00016AD6">
        <w:rPr>
          <w:lang w:val="fr-FR"/>
        </w:rPr>
        <w:t>élévation du niveau de la mer au regard du droit international</w:t>
      </w:r>
      <w:r w:rsidRPr="00145146">
        <w:rPr>
          <w:iCs/>
        </w:rPr>
        <w:tab/>
      </w:r>
      <w:r>
        <w:rPr>
          <w:iCs/>
        </w:rPr>
        <w:tab/>
        <w:t>103</w:t>
      </w:r>
    </w:p>
    <w:p w14:paraId="193E0A2B" w14:textId="77777777" w:rsidR="005F7996" w:rsidRPr="00145146" w:rsidRDefault="005F7996" w:rsidP="005F7996">
      <w:pPr>
        <w:tabs>
          <w:tab w:val="right" w:pos="850"/>
          <w:tab w:val="right" w:leader="dot" w:pos="8787"/>
          <w:tab w:val="right" w:pos="9638"/>
        </w:tabs>
        <w:spacing w:after="120"/>
        <w:ind w:left="1134" w:hanging="1134"/>
        <w:rPr>
          <w:iCs/>
        </w:rPr>
      </w:pPr>
      <w:r w:rsidRPr="00145146">
        <w:rPr>
          <w:iCs/>
        </w:rPr>
        <w:tab/>
      </w:r>
      <w:r>
        <w:rPr>
          <w:iCs/>
        </w:rPr>
        <w:t>X</w:t>
      </w:r>
      <w:r w:rsidRPr="00145146">
        <w:rPr>
          <w:iCs/>
        </w:rPr>
        <w:t>I.</w:t>
      </w:r>
      <w:r w:rsidRPr="00145146">
        <w:rPr>
          <w:iCs/>
        </w:rPr>
        <w:tab/>
      </w:r>
      <w:r>
        <w:rPr>
          <w:lang w:val="fr-FR"/>
        </w:rPr>
        <w:t>Autres décisions et conclusions de la Commission</w:t>
      </w:r>
      <w:r w:rsidRPr="00145146">
        <w:rPr>
          <w:iCs/>
        </w:rPr>
        <w:tab/>
      </w:r>
      <w:r>
        <w:rPr>
          <w:iCs/>
        </w:rPr>
        <w:tab/>
        <w:t>124</w:t>
      </w:r>
    </w:p>
    <w:p w14:paraId="7C18CC90" w14:textId="77777777" w:rsidR="005F7996" w:rsidRPr="00145146" w:rsidRDefault="005F7996" w:rsidP="005F7996">
      <w:pPr>
        <w:tabs>
          <w:tab w:val="right" w:pos="850"/>
        </w:tabs>
        <w:spacing w:after="120"/>
      </w:pPr>
      <w:r>
        <w:tab/>
        <w:t>Annexes</w:t>
      </w:r>
    </w:p>
    <w:p w14:paraId="5E6CB250" w14:textId="77777777" w:rsidR="005F7996" w:rsidRDefault="005F7996" w:rsidP="005F7996">
      <w:pPr>
        <w:tabs>
          <w:tab w:val="right" w:pos="850"/>
          <w:tab w:val="right" w:leader="dot" w:pos="8787"/>
          <w:tab w:val="right" w:pos="9638"/>
        </w:tabs>
        <w:spacing w:after="120"/>
        <w:ind w:left="1134" w:hanging="1134"/>
      </w:pPr>
      <w:r>
        <w:tab/>
        <w:t>I.</w:t>
      </w:r>
      <w:r>
        <w:tab/>
      </w:r>
      <w:r w:rsidRPr="001448A7">
        <w:rPr>
          <w:lang w:val="fr-FR"/>
        </w:rPr>
        <w:t>Indemnisation des dommages causés par un fait internationalement illicite</w:t>
      </w:r>
      <w:r>
        <w:tab/>
      </w:r>
      <w:r>
        <w:tab/>
        <w:t>137</w:t>
      </w:r>
    </w:p>
    <w:p w14:paraId="0B01869A" w14:textId="77777777" w:rsidR="005F7996" w:rsidRDefault="005F7996" w:rsidP="005F7996">
      <w:pPr>
        <w:tabs>
          <w:tab w:val="right" w:pos="850"/>
          <w:tab w:val="right" w:leader="dot" w:pos="8787"/>
          <w:tab w:val="right" w:pos="9638"/>
        </w:tabs>
        <w:spacing w:after="120"/>
        <w:ind w:left="1134" w:hanging="1134"/>
      </w:pPr>
      <w:r>
        <w:tab/>
        <w:t>II.</w:t>
      </w:r>
      <w:r>
        <w:tab/>
      </w:r>
      <w:r w:rsidRPr="004B1202">
        <w:t>La diligence due en droit international</w:t>
      </w:r>
      <w:r>
        <w:tab/>
      </w:r>
      <w:r>
        <w:tab/>
        <w:t>160</w:t>
      </w:r>
    </w:p>
    <w:p w14:paraId="7AD3C13D" w14:textId="77777777" w:rsidR="00145146" w:rsidRDefault="00145146">
      <w:pPr>
        <w:suppressAutoHyphens w:val="0"/>
        <w:kinsoku/>
        <w:overflowPunct/>
        <w:autoSpaceDE/>
        <w:autoSpaceDN/>
        <w:adjustRightInd/>
        <w:snapToGrid/>
        <w:spacing w:line="240" w:lineRule="auto"/>
      </w:pPr>
      <w:r>
        <w:br w:type="page"/>
      </w:r>
    </w:p>
    <w:p w14:paraId="62777B97" w14:textId="466CF95C" w:rsidR="00145146" w:rsidRPr="00111047" w:rsidRDefault="00145146" w:rsidP="00145146">
      <w:pPr>
        <w:spacing w:after="120"/>
        <w:rPr>
          <w:sz w:val="28"/>
        </w:rPr>
      </w:pPr>
      <w:r w:rsidRPr="00111047">
        <w:rPr>
          <w:sz w:val="28"/>
        </w:rPr>
        <w:lastRenderedPageBreak/>
        <w:t>Table des matières</w:t>
      </w:r>
    </w:p>
    <w:p w14:paraId="1CCD2C2B" w14:textId="77777777" w:rsidR="00145146" w:rsidRPr="006B0C33" w:rsidRDefault="00145146" w:rsidP="00145146">
      <w:pPr>
        <w:tabs>
          <w:tab w:val="right" w:pos="9638"/>
        </w:tabs>
        <w:spacing w:after="120"/>
        <w:ind w:left="283"/>
        <w:rPr>
          <w:i/>
          <w:sz w:val="18"/>
        </w:rPr>
      </w:pPr>
      <w:r w:rsidRPr="006B0C33">
        <w:rPr>
          <w:i/>
          <w:sz w:val="18"/>
        </w:rPr>
        <w:t>Chapitre</w:t>
      </w:r>
      <w:r w:rsidRPr="006B0C33">
        <w:rPr>
          <w:i/>
          <w:sz w:val="18"/>
        </w:rPr>
        <w:tab/>
        <w:t>Page</w:t>
      </w:r>
    </w:p>
    <w:p w14:paraId="10B8A66F" w14:textId="77777777" w:rsidR="005D1772" w:rsidRPr="006B0C33" w:rsidRDefault="005D1772" w:rsidP="005D1772">
      <w:pPr>
        <w:tabs>
          <w:tab w:val="right" w:pos="850"/>
          <w:tab w:val="right" w:leader="dot" w:pos="8787"/>
          <w:tab w:val="right" w:pos="9638"/>
        </w:tabs>
        <w:spacing w:after="120"/>
        <w:ind w:left="1134" w:hanging="1134"/>
      </w:pPr>
      <w:r w:rsidRPr="006B0C33">
        <w:tab/>
        <w:t>I.</w:t>
      </w:r>
      <w:r w:rsidRPr="006B0C33">
        <w:tab/>
      </w:r>
      <w:r w:rsidRPr="006B0C33">
        <w:rPr>
          <w:lang w:val="fr-FR"/>
        </w:rPr>
        <w:t>Introduction</w:t>
      </w:r>
      <w:r w:rsidRPr="006B0C33">
        <w:tab/>
      </w:r>
      <w:r w:rsidRPr="006B0C33">
        <w:tab/>
      </w:r>
      <w:r>
        <w:t>1</w:t>
      </w:r>
    </w:p>
    <w:p w14:paraId="16D5A23B" w14:textId="77777777" w:rsidR="005D1772" w:rsidRPr="006B0C33" w:rsidRDefault="005D1772" w:rsidP="005D1772">
      <w:pPr>
        <w:tabs>
          <w:tab w:val="right" w:leader="dot" w:pos="8787"/>
          <w:tab w:val="right" w:pos="9638"/>
        </w:tabs>
        <w:spacing w:after="120"/>
        <w:ind w:left="1559" w:hanging="425"/>
      </w:pPr>
      <w:r w:rsidRPr="006B0C33">
        <w:t>A.</w:t>
      </w:r>
      <w:r w:rsidRPr="006B0C33">
        <w:tab/>
      </w:r>
      <w:r>
        <w:rPr>
          <w:lang w:val="fr-FR"/>
        </w:rPr>
        <w:t>Membres de la Commission</w:t>
      </w:r>
      <w:r w:rsidRPr="006B0C33">
        <w:tab/>
      </w:r>
      <w:r w:rsidRPr="006B0C33">
        <w:tab/>
      </w:r>
      <w:r>
        <w:t>1</w:t>
      </w:r>
    </w:p>
    <w:p w14:paraId="1CBD63DD" w14:textId="77777777" w:rsidR="005D1772" w:rsidRPr="006B0C33" w:rsidRDefault="005D1772" w:rsidP="005D1772">
      <w:pPr>
        <w:tabs>
          <w:tab w:val="right" w:leader="dot" w:pos="8787"/>
          <w:tab w:val="right" w:pos="9638"/>
        </w:tabs>
        <w:spacing w:after="120"/>
        <w:ind w:left="1559" w:hanging="425"/>
      </w:pPr>
      <w:r w:rsidRPr="006B0C33">
        <w:t>B.</w:t>
      </w:r>
      <w:r w:rsidRPr="006B0C33">
        <w:tab/>
      </w:r>
      <w:r>
        <w:rPr>
          <w:lang w:val="fr-FR"/>
        </w:rPr>
        <w:t>Sièges devenus vacants après l’élection</w:t>
      </w:r>
      <w:r w:rsidRPr="006B0C33">
        <w:tab/>
      </w:r>
      <w:r w:rsidRPr="006B0C33">
        <w:tab/>
      </w:r>
      <w:r>
        <w:t>2</w:t>
      </w:r>
    </w:p>
    <w:p w14:paraId="28ACD221" w14:textId="77777777" w:rsidR="005D1772" w:rsidRPr="006B0C33" w:rsidRDefault="005D1772" w:rsidP="005D1772">
      <w:pPr>
        <w:tabs>
          <w:tab w:val="right" w:leader="dot" w:pos="8787"/>
          <w:tab w:val="right" w:pos="9638"/>
        </w:tabs>
        <w:spacing w:after="120"/>
        <w:ind w:left="1559" w:hanging="425"/>
      </w:pPr>
      <w:r w:rsidRPr="006B0C33">
        <w:t>C.</w:t>
      </w:r>
      <w:r w:rsidRPr="006B0C33">
        <w:tab/>
      </w:r>
      <w:r>
        <w:rPr>
          <w:lang w:val="fr-FR"/>
        </w:rPr>
        <w:t>Bureau et bureau élargi</w:t>
      </w:r>
      <w:r w:rsidRPr="006B0C33">
        <w:tab/>
      </w:r>
      <w:r w:rsidRPr="006B0C33">
        <w:tab/>
      </w:r>
      <w:r>
        <w:t>2</w:t>
      </w:r>
    </w:p>
    <w:p w14:paraId="0906025A" w14:textId="77777777" w:rsidR="005D1772" w:rsidRPr="006B0C33" w:rsidRDefault="005D1772" w:rsidP="005D1772">
      <w:pPr>
        <w:tabs>
          <w:tab w:val="right" w:leader="dot" w:pos="8787"/>
          <w:tab w:val="right" w:pos="9638"/>
        </w:tabs>
        <w:spacing w:after="120"/>
        <w:ind w:left="1559" w:hanging="425"/>
      </w:pPr>
      <w:r w:rsidRPr="006B0C33">
        <w:t>D.</w:t>
      </w:r>
      <w:r w:rsidRPr="006B0C33">
        <w:tab/>
      </w:r>
      <w:r>
        <w:rPr>
          <w:lang w:val="fr-FR"/>
        </w:rPr>
        <w:t>Comité de rédaction</w:t>
      </w:r>
      <w:r w:rsidRPr="006B0C33">
        <w:tab/>
      </w:r>
      <w:r w:rsidRPr="006B0C33">
        <w:tab/>
      </w:r>
      <w:r>
        <w:t>3</w:t>
      </w:r>
    </w:p>
    <w:p w14:paraId="4694D950" w14:textId="77777777" w:rsidR="005D1772" w:rsidRPr="006B0C33" w:rsidRDefault="005D1772" w:rsidP="005D1772">
      <w:pPr>
        <w:tabs>
          <w:tab w:val="right" w:leader="dot" w:pos="8787"/>
          <w:tab w:val="right" w:pos="9638"/>
        </w:tabs>
        <w:spacing w:after="120"/>
        <w:ind w:left="1559" w:hanging="425"/>
      </w:pPr>
      <w:r w:rsidRPr="006B0C33">
        <w:t>E.</w:t>
      </w:r>
      <w:r w:rsidRPr="006B0C33">
        <w:tab/>
      </w:r>
      <w:r w:rsidRPr="00DE447F">
        <w:rPr>
          <w:lang w:val="fr-FR"/>
        </w:rPr>
        <w:t>Groupes de travail et Groupe d</w:t>
      </w:r>
      <w:r>
        <w:rPr>
          <w:lang w:val="fr-FR"/>
        </w:rPr>
        <w:t>’</w:t>
      </w:r>
      <w:r w:rsidRPr="00DE447F">
        <w:rPr>
          <w:lang w:val="fr-FR"/>
        </w:rPr>
        <w:t>étude</w:t>
      </w:r>
      <w:r w:rsidRPr="006B0C33">
        <w:tab/>
      </w:r>
      <w:r w:rsidRPr="006B0C33">
        <w:tab/>
      </w:r>
      <w:r>
        <w:t>3</w:t>
      </w:r>
    </w:p>
    <w:p w14:paraId="5761A8C1" w14:textId="77777777" w:rsidR="005D1772" w:rsidRDefault="005D1772" w:rsidP="005D1772">
      <w:pPr>
        <w:tabs>
          <w:tab w:val="right" w:leader="dot" w:pos="8787"/>
          <w:tab w:val="right" w:pos="9638"/>
        </w:tabs>
        <w:spacing w:after="120"/>
        <w:ind w:left="1559" w:hanging="425"/>
      </w:pPr>
      <w:r w:rsidRPr="006B0C33">
        <w:t>F.</w:t>
      </w:r>
      <w:r w:rsidRPr="006B0C33">
        <w:tab/>
      </w:r>
      <w:r>
        <w:rPr>
          <w:lang w:val="fr-FR"/>
        </w:rPr>
        <w:t>Secrétariat</w:t>
      </w:r>
      <w:r w:rsidRPr="006B0C33">
        <w:tab/>
      </w:r>
      <w:r w:rsidRPr="006B0C33">
        <w:tab/>
      </w:r>
      <w:r>
        <w:t>4</w:t>
      </w:r>
    </w:p>
    <w:p w14:paraId="5893D405" w14:textId="77777777" w:rsidR="005D1772" w:rsidRPr="006B0C33" w:rsidRDefault="005D1772" w:rsidP="005D1772">
      <w:pPr>
        <w:tabs>
          <w:tab w:val="right" w:leader="dot" w:pos="8787"/>
          <w:tab w:val="right" w:pos="9638"/>
        </w:tabs>
        <w:spacing w:after="120"/>
        <w:ind w:left="1559" w:hanging="425"/>
      </w:pPr>
      <w:r>
        <w:t>G.</w:t>
      </w:r>
      <w:r>
        <w:tab/>
      </w:r>
      <w:r>
        <w:rPr>
          <w:lang w:val="fr-FR"/>
        </w:rPr>
        <w:t>Ordre du jour</w:t>
      </w:r>
      <w:r>
        <w:tab/>
      </w:r>
      <w:r>
        <w:tab/>
        <w:t>4</w:t>
      </w:r>
    </w:p>
    <w:p w14:paraId="3A39B0D6" w14:textId="77777777" w:rsidR="005D1772" w:rsidRPr="00A770E8" w:rsidRDefault="005D1772" w:rsidP="005D1772">
      <w:pPr>
        <w:tabs>
          <w:tab w:val="right" w:pos="850"/>
          <w:tab w:val="right" w:leader="dot" w:pos="8787"/>
          <w:tab w:val="right" w:pos="9638"/>
        </w:tabs>
        <w:spacing w:after="120"/>
        <w:ind w:left="1134" w:hanging="1134"/>
      </w:pPr>
      <w:r w:rsidRPr="00A770E8">
        <w:tab/>
        <w:t>II.</w:t>
      </w:r>
      <w:r w:rsidRPr="00A770E8">
        <w:tab/>
      </w:r>
      <w:r w:rsidRPr="00E76779">
        <w:rPr>
          <w:lang w:val="fr-FR"/>
        </w:rPr>
        <w:t>Résumé des travaux de la Commission à sa soixante-quinzième session</w:t>
      </w:r>
      <w:r w:rsidRPr="00A770E8">
        <w:tab/>
      </w:r>
      <w:r w:rsidRPr="00A770E8">
        <w:tab/>
      </w:r>
      <w:r>
        <w:t>6</w:t>
      </w:r>
    </w:p>
    <w:p w14:paraId="5241E698" w14:textId="77777777" w:rsidR="005D1772" w:rsidRPr="005C06AD" w:rsidRDefault="005D1772" w:rsidP="005D1772">
      <w:pPr>
        <w:tabs>
          <w:tab w:val="right" w:pos="850"/>
          <w:tab w:val="right" w:leader="dot" w:pos="8787"/>
          <w:tab w:val="right" w:pos="9638"/>
        </w:tabs>
        <w:spacing w:after="120"/>
        <w:ind w:left="1134" w:hanging="1134"/>
      </w:pPr>
      <w:r w:rsidRPr="005C06AD">
        <w:tab/>
        <w:t>III.</w:t>
      </w:r>
      <w:r w:rsidRPr="005C06AD">
        <w:tab/>
      </w:r>
      <w:r w:rsidRPr="001F4635">
        <w:rPr>
          <w:spacing w:val="-4"/>
          <w:lang w:val="fr-FR"/>
        </w:rPr>
        <w:t>Points sur lesquels des observations seraient particulièrement intéressantes pour la Commission</w:t>
      </w:r>
      <w:r w:rsidRPr="005C06AD">
        <w:tab/>
      </w:r>
      <w:r w:rsidRPr="005C06AD">
        <w:tab/>
      </w:r>
      <w:r>
        <w:t>16</w:t>
      </w:r>
    </w:p>
    <w:p w14:paraId="453841CA" w14:textId="77777777" w:rsidR="005D1772" w:rsidRPr="005C06AD" w:rsidRDefault="005D1772" w:rsidP="005D1772">
      <w:pPr>
        <w:tabs>
          <w:tab w:val="right" w:leader="dot" w:pos="8787"/>
          <w:tab w:val="right" w:pos="9638"/>
        </w:tabs>
        <w:spacing w:after="120"/>
        <w:ind w:left="1559" w:hanging="425"/>
      </w:pPr>
      <w:r w:rsidRPr="005C06AD">
        <w:t>A.</w:t>
      </w:r>
      <w:r w:rsidRPr="005C06AD">
        <w:tab/>
      </w:r>
      <w:r>
        <w:rPr>
          <w:lang w:val="fr-FR"/>
        </w:rPr>
        <w:t>Immunité de juridiction pénale étrangère des représentants de l’État</w:t>
      </w:r>
      <w:r w:rsidRPr="005C06AD">
        <w:tab/>
      </w:r>
      <w:r w:rsidRPr="005C06AD">
        <w:tab/>
      </w:r>
      <w:r>
        <w:t>16</w:t>
      </w:r>
    </w:p>
    <w:p w14:paraId="1A40C3CB" w14:textId="77777777" w:rsidR="005D1772" w:rsidRPr="005C06AD" w:rsidRDefault="005D1772" w:rsidP="005D1772">
      <w:pPr>
        <w:tabs>
          <w:tab w:val="right" w:leader="dot" w:pos="8787"/>
          <w:tab w:val="right" w:pos="9638"/>
        </w:tabs>
        <w:spacing w:after="120"/>
        <w:ind w:left="1559" w:hanging="425"/>
      </w:pPr>
      <w:r w:rsidRPr="005C06AD">
        <w:t>B.</w:t>
      </w:r>
      <w:r w:rsidRPr="005C06AD">
        <w:tab/>
      </w:r>
      <w:r>
        <w:rPr>
          <w:lang w:val="fr-FR"/>
        </w:rPr>
        <w:t>Principes généraux du droit</w:t>
      </w:r>
      <w:r w:rsidRPr="005C06AD">
        <w:tab/>
      </w:r>
      <w:r w:rsidRPr="005C06AD">
        <w:tab/>
      </w:r>
      <w:r>
        <w:t>16</w:t>
      </w:r>
    </w:p>
    <w:p w14:paraId="41A3FB51" w14:textId="77777777" w:rsidR="005D1772" w:rsidRPr="005C06AD" w:rsidRDefault="005D1772" w:rsidP="005D1772">
      <w:pPr>
        <w:tabs>
          <w:tab w:val="right" w:leader="dot" w:pos="8787"/>
          <w:tab w:val="right" w:pos="9638"/>
        </w:tabs>
        <w:spacing w:after="120"/>
        <w:ind w:left="1559" w:hanging="425"/>
      </w:pPr>
      <w:r w:rsidRPr="005C06AD">
        <w:t>C.</w:t>
      </w:r>
      <w:r w:rsidRPr="005C06AD">
        <w:tab/>
      </w:r>
      <w:r>
        <w:rPr>
          <w:bCs/>
          <w:lang w:val="fr-FR"/>
        </w:rPr>
        <w:t xml:space="preserve">L’élévation du niveau de la mer au </w:t>
      </w:r>
      <w:r w:rsidRPr="00344648">
        <w:rPr>
          <w:lang w:val="fr-FR"/>
        </w:rPr>
        <w:t>regard</w:t>
      </w:r>
      <w:r>
        <w:rPr>
          <w:bCs/>
          <w:lang w:val="fr-FR"/>
        </w:rPr>
        <w:t xml:space="preserve"> du droit international</w:t>
      </w:r>
      <w:r w:rsidRPr="005C06AD">
        <w:tab/>
      </w:r>
      <w:r w:rsidRPr="005C06AD">
        <w:tab/>
      </w:r>
      <w:r>
        <w:t>16</w:t>
      </w:r>
    </w:p>
    <w:p w14:paraId="4AED3196" w14:textId="77777777" w:rsidR="005D1772" w:rsidRPr="005C06AD" w:rsidRDefault="005D1772" w:rsidP="005D1772">
      <w:pPr>
        <w:tabs>
          <w:tab w:val="right" w:leader="dot" w:pos="8787"/>
          <w:tab w:val="right" w:pos="9638"/>
        </w:tabs>
        <w:spacing w:after="120"/>
        <w:ind w:left="1559" w:hanging="425"/>
      </w:pPr>
      <w:r w:rsidRPr="005C06AD">
        <w:t>D.</w:t>
      </w:r>
      <w:r w:rsidRPr="005C06AD">
        <w:tab/>
      </w:r>
      <w:r>
        <w:rPr>
          <w:bCs/>
          <w:lang w:val="fr-FR"/>
        </w:rPr>
        <w:t>Les accords internationaux juridiquement non contraignants</w:t>
      </w:r>
      <w:r w:rsidRPr="005C06AD">
        <w:tab/>
      </w:r>
      <w:r w:rsidRPr="005C06AD">
        <w:tab/>
      </w:r>
      <w:r>
        <w:t>16</w:t>
      </w:r>
    </w:p>
    <w:p w14:paraId="08941532" w14:textId="77777777" w:rsidR="005D1772" w:rsidRPr="000E6EFE" w:rsidRDefault="005D1772" w:rsidP="005D1772">
      <w:pPr>
        <w:tabs>
          <w:tab w:val="right" w:pos="850"/>
          <w:tab w:val="right" w:leader="dot" w:pos="8787"/>
          <w:tab w:val="right" w:pos="9638"/>
        </w:tabs>
        <w:spacing w:after="120"/>
        <w:ind w:left="1134" w:hanging="1134"/>
      </w:pPr>
      <w:r w:rsidRPr="000E6EFE">
        <w:tab/>
        <w:t>IV.</w:t>
      </w:r>
      <w:r w:rsidRPr="000E6EFE">
        <w:tab/>
      </w:r>
      <w:r>
        <w:rPr>
          <w:bCs/>
          <w:lang w:val="fr-FR"/>
        </w:rPr>
        <w:t>Règlement des différends auxquels des organisations internationales sont parties</w:t>
      </w:r>
      <w:r w:rsidRPr="000E6EFE">
        <w:tab/>
      </w:r>
      <w:r w:rsidRPr="000E6EFE">
        <w:tab/>
      </w:r>
      <w:r>
        <w:t>18</w:t>
      </w:r>
    </w:p>
    <w:p w14:paraId="33FDE081" w14:textId="77777777" w:rsidR="005D1772" w:rsidRPr="000E6EFE" w:rsidRDefault="005D1772" w:rsidP="005D1772">
      <w:pPr>
        <w:tabs>
          <w:tab w:val="left" w:pos="1903"/>
          <w:tab w:val="right" w:leader="dot" w:pos="8787"/>
          <w:tab w:val="right" w:pos="9638"/>
        </w:tabs>
        <w:spacing w:after="120"/>
        <w:ind w:left="1559" w:hanging="425"/>
      </w:pPr>
      <w:r w:rsidRPr="000E6EFE">
        <w:t>A.</w:t>
      </w:r>
      <w:r w:rsidRPr="000E6EFE">
        <w:tab/>
      </w:r>
      <w:r w:rsidRPr="000E6EFE">
        <w:rPr>
          <w:lang w:val="fr-CA"/>
        </w:rPr>
        <w:t>Introduction</w:t>
      </w:r>
      <w:r w:rsidRPr="000E6EFE">
        <w:tab/>
      </w:r>
      <w:r w:rsidRPr="000E6EFE">
        <w:tab/>
      </w:r>
      <w:r>
        <w:t>18</w:t>
      </w:r>
    </w:p>
    <w:p w14:paraId="2D9A7753" w14:textId="77777777" w:rsidR="005D1772" w:rsidRPr="000E6EFE" w:rsidRDefault="005D1772" w:rsidP="005D1772">
      <w:pPr>
        <w:tabs>
          <w:tab w:val="right" w:leader="dot" w:pos="8787"/>
          <w:tab w:val="right" w:pos="9638"/>
        </w:tabs>
        <w:spacing w:after="120"/>
        <w:ind w:left="1559" w:hanging="425"/>
      </w:pPr>
      <w:r w:rsidRPr="000E6EFE">
        <w:t>B.</w:t>
      </w:r>
      <w:r w:rsidRPr="000E6EFE">
        <w:tab/>
      </w:r>
      <w:r>
        <w:rPr>
          <w:lang w:val="fr-FR"/>
        </w:rPr>
        <w:t>Examen du sujet à la présente session</w:t>
      </w:r>
      <w:r w:rsidRPr="000E6EFE">
        <w:tab/>
      </w:r>
      <w:r w:rsidRPr="000E6EFE">
        <w:tab/>
      </w:r>
      <w:r>
        <w:t>18</w:t>
      </w:r>
    </w:p>
    <w:p w14:paraId="19E0896A" w14:textId="77777777" w:rsidR="005D1772" w:rsidRPr="000E6EFE" w:rsidRDefault="005D1772" w:rsidP="005D1772">
      <w:pPr>
        <w:tabs>
          <w:tab w:val="right" w:leader="dot" w:pos="8787"/>
          <w:tab w:val="right" w:pos="9638"/>
        </w:tabs>
        <w:spacing w:after="120"/>
        <w:ind w:left="1559" w:hanging="425"/>
      </w:pPr>
      <w:r w:rsidRPr="000E6EFE">
        <w:t>C.</w:t>
      </w:r>
      <w:r w:rsidRPr="000E6EFE">
        <w:tab/>
      </w:r>
      <w:r>
        <w:rPr>
          <w:lang w:val="fr-FR"/>
        </w:rPr>
        <w:t>Texte</w:t>
      </w:r>
      <w:r w:rsidRPr="005771D8">
        <w:rPr>
          <w:lang w:val="fr-FR"/>
        </w:rPr>
        <w:t xml:space="preserve"> des projets de directive sur le règlement des différends auxquels des organisations internationales sont parties provisoirement adoptés </w:t>
      </w:r>
      <w:r>
        <w:rPr>
          <w:lang w:val="fr-FR"/>
        </w:rPr>
        <w:t xml:space="preserve">à ce jour </w:t>
      </w:r>
      <w:r w:rsidRPr="005771D8">
        <w:rPr>
          <w:lang w:val="fr-FR"/>
        </w:rPr>
        <w:t>par la Commission</w:t>
      </w:r>
      <w:r w:rsidRPr="000E6EFE">
        <w:tab/>
      </w:r>
      <w:r w:rsidRPr="000E6EFE">
        <w:tab/>
      </w:r>
      <w:r>
        <w:t>19</w:t>
      </w:r>
    </w:p>
    <w:p w14:paraId="56046E50" w14:textId="77777777" w:rsidR="005D1772" w:rsidRDefault="005D1772" w:rsidP="005D1772">
      <w:pPr>
        <w:tabs>
          <w:tab w:val="right" w:leader="dot" w:pos="8787"/>
          <w:tab w:val="right" w:pos="9638"/>
        </w:tabs>
        <w:spacing w:after="120"/>
        <w:ind w:left="1984" w:hanging="425"/>
      </w:pPr>
      <w:r w:rsidRPr="000E6EFE">
        <w:t>1.</w:t>
      </w:r>
      <w:r w:rsidRPr="000E6EFE">
        <w:tab/>
      </w:r>
      <w:r w:rsidRPr="005771D8">
        <w:rPr>
          <w:bCs/>
          <w:lang w:val="fr-FR"/>
        </w:rPr>
        <w:t>Texte des projets de directive</w:t>
      </w:r>
      <w:r w:rsidRPr="000E6EFE">
        <w:tab/>
      </w:r>
      <w:r w:rsidRPr="000E6EFE">
        <w:tab/>
      </w:r>
      <w:r>
        <w:t>19</w:t>
      </w:r>
    </w:p>
    <w:p w14:paraId="0308E5DB" w14:textId="77777777" w:rsidR="005D1772" w:rsidRPr="000E6EFE" w:rsidRDefault="005D1772" w:rsidP="005D1772">
      <w:pPr>
        <w:tabs>
          <w:tab w:val="right" w:leader="dot" w:pos="8787"/>
          <w:tab w:val="right" w:pos="9638"/>
        </w:tabs>
        <w:spacing w:after="120"/>
        <w:ind w:left="1984" w:hanging="425"/>
      </w:pPr>
      <w:r w:rsidRPr="000E6EFE">
        <w:t>2.</w:t>
      </w:r>
      <w:r w:rsidRPr="000E6EFE">
        <w:tab/>
      </w:r>
      <w:r w:rsidRPr="005771D8">
        <w:rPr>
          <w:lang w:val="fr-FR"/>
        </w:rPr>
        <w:t xml:space="preserve">Texte des projets de directive et des commentaires y relatifs provisoirement </w:t>
      </w:r>
      <w:r>
        <w:rPr>
          <w:lang w:val="fr-FR"/>
        </w:rPr>
        <w:br/>
      </w:r>
      <w:r w:rsidRPr="005771D8">
        <w:rPr>
          <w:lang w:val="fr-FR"/>
        </w:rPr>
        <w:t>adoptés par la Commission à sa soixante-quinzième session</w:t>
      </w:r>
      <w:r w:rsidRPr="000E6EFE">
        <w:tab/>
      </w:r>
      <w:r w:rsidRPr="000E6EFE">
        <w:tab/>
      </w:r>
      <w:r>
        <w:t>20</w:t>
      </w:r>
    </w:p>
    <w:p w14:paraId="0766C087" w14:textId="77777777" w:rsidR="005D1772" w:rsidRPr="000E6EFE" w:rsidRDefault="005D1772" w:rsidP="005D1772">
      <w:pPr>
        <w:tabs>
          <w:tab w:val="left" w:pos="3402"/>
          <w:tab w:val="right" w:leader="dot" w:pos="8787"/>
          <w:tab w:val="right" w:pos="9638"/>
        </w:tabs>
        <w:spacing w:after="120"/>
        <w:ind w:left="1985"/>
      </w:pPr>
      <w:r w:rsidRPr="005771D8">
        <w:rPr>
          <w:lang w:val="fr-FR"/>
        </w:rPr>
        <w:t xml:space="preserve">Directive </w:t>
      </w:r>
      <w:r>
        <w:t>3</w:t>
      </w:r>
      <w:r w:rsidRPr="000E6EFE">
        <w:tab/>
      </w:r>
      <w:r w:rsidRPr="005771D8">
        <w:rPr>
          <w:lang w:val="fr-FR"/>
        </w:rPr>
        <w:t>Objet de la présente partie</w:t>
      </w:r>
      <w:r w:rsidRPr="000E6EFE">
        <w:tab/>
      </w:r>
      <w:r w:rsidRPr="000E6EFE">
        <w:tab/>
      </w:r>
      <w:r>
        <w:t>20</w:t>
      </w:r>
    </w:p>
    <w:p w14:paraId="0BF4B6D7"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20</w:t>
      </w:r>
    </w:p>
    <w:p w14:paraId="46171EA0" w14:textId="77777777" w:rsidR="005D1772" w:rsidRPr="000E6EFE" w:rsidRDefault="005D1772" w:rsidP="005D1772">
      <w:pPr>
        <w:tabs>
          <w:tab w:val="left" w:pos="3402"/>
          <w:tab w:val="right" w:leader="dot" w:pos="8787"/>
          <w:tab w:val="right" w:pos="9638"/>
        </w:tabs>
        <w:spacing w:after="120"/>
        <w:ind w:left="3402" w:hanging="1417"/>
      </w:pPr>
      <w:r w:rsidRPr="005771D8">
        <w:rPr>
          <w:lang w:val="fr-FR"/>
        </w:rPr>
        <w:t xml:space="preserve">Directive </w:t>
      </w:r>
      <w:r>
        <w:t>4</w:t>
      </w:r>
      <w:r w:rsidRPr="000E6EFE">
        <w:tab/>
      </w:r>
      <w:r w:rsidRPr="005771D8">
        <w:rPr>
          <w:bCs/>
          <w:lang w:val="fr-FR"/>
        </w:rPr>
        <w:t>Recours aux moyens de règlement des différends</w:t>
      </w:r>
      <w:r w:rsidRPr="000E6EFE">
        <w:tab/>
      </w:r>
      <w:r w:rsidRPr="000E6EFE">
        <w:tab/>
      </w:r>
      <w:r>
        <w:t>24</w:t>
      </w:r>
    </w:p>
    <w:p w14:paraId="7FFECA79"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24</w:t>
      </w:r>
    </w:p>
    <w:p w14:paraId="6CAA81E9" w14:textId="77777777" w:rsidR="005D1772" w:rsidRPr="000E6EFE" w:rsidRDefault="005D1772" w:rsidP="005D1772">
      <w:pPr>
        <w:tabs>
          <w:tab w:val="left" w:pos="3402"/>
          <w:tab w:val="right" w:leader="dot" w:pos="8787"/>
          <w:tab w:val="right" w:pos="9638"/>
        </w:tabs>
        <w:spacing w:after="120"/>
        <w:ind w:left="3402" w:hanging="1417"/>
        <w:rPr>
          <w:lang w:val="fr-FR"/>
        </w:rPr>
      </w:pPr>
      <w:r w:rsidRPr="005771D8">
        <w:rPr>
          <w:lang w:val="fr-FR"/>
        </w:rPr>
        <w:t xml:space="preserve">Directive </w:t>
      </w:r>
      <w:r>
        <w:t>5</w:t>
      </w:r>
      <w:r w:rsidRPr="000E6EFE">
        <w:tab/>
      </w:r>
      <w:r w:rsidRPr="005771D8">
        <w:rPr>
          <w:lang w:val="fr-FR"/>
        </w:rPr>
        <w:t>Caractère accessible des moyens de règlement des différends</w:t>
      </w:r>
      <w:r w:rsidRPr="000E6EFE">
        <w:rPr>
          <w:lang w:val="fr-FR"/>
        </w:rPr>
        <w:tab/>
      </w:r>
      <w:r w:rsidRPr="000E6EFE">
        <w:rPr>
          <w:lang w:val="fr-FR"/>
        </w:rPr>
        <w:tab/>
      </w:r>
      <w:r>
        <w:rPr>
          <w:lang w:val="fr-FR"/>
        </w:rPr>
        <w:t>25</w:t>
      </w:r>
    </w:p>
    <w:p w14:paraId="6446AE85"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26</w:t>
      </w:r>
    </w:p>
    <w:p w14:paraId="06A20D4B" w14:textId="77777777" w:rsidR="005D1772" w:rsidRPr="000E6EFE" w:rsidRDefault="005D1772" w:rsidP="005D1772">
      <w:pPr>
        <w:tabs>
          <w:tab w:val="left" w:pos="3402"/>
          <w:tab w:val="right" w:leader="dot" w:pos="8787"/>
          <w:tab w:val="right" w:pos="9638"/>
        </w:tabs>
        <w:spacing w:after="120"/>
        <w:ind w:left="3402" w:hanging="1417"/>
      </w:pPr>
      <w:r w:rsidRPr="005771D8">
        <w:rPr>
          <w:lang w:val="fr-FR"/>
        </w:rPr>
        <w:t xml:space="preserve">Directive </w:t>
      </w:r>
      <w:r>
        <w:t>6</w:t>
      </w:r>
      <w:r w:rsidRPr="000E6EFE">
        <w:tab/>
      </w:r>
      <w:r w:rsidRPr="005771D8">
        <w:rPr>
          <w:lang w:val="fr-FR"/>
        </w:rPr>
        <w:t>Exigences relatives au règlement juridictionnel</w:t>
      </w:r>
      <w:r w:rsidRPr="000E6EFE">
        <w:tab/>
      </w:r>
      <w:r w:rsidRPr="000E6EFE">
        <w:tab/>
      </w:r>
      <w:r>
        <w:t>27</w:t>
      </w:r>
    </w:p>
    <w:p w14:paraId="11E4BC15"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27</w:t>
      </w:r>
    </w:p>
    <w:p w14:paraId="0F103033" w14:textId="77777777" w:rsidR="005D1772" w:rsidRPr="00E72834" w:rsidRDefault="005D1772" w:rsidP="005D1772">
      <w:pPr>
        <w:tabs>
          <w:tab w:val="right" w:pos="850"/>
          <w:tab w:val="right" w:leader="dot" w:pos="8787"/>
          <w:tab w:val="right" w:pos="9638"/>
        </w:tabs>
        <w:spacing w:after="120"/>
        <w:ind w:left="1134" w:hanging="1134"/>
      </w:pPr>
      <w:r w:rsidRPr="00E72834">
        <w:tab/>
        <w:t>V.</w:t>
      </w:r>
      <w:r w:rsidRPr="00E72834">
        <w:tab/>
      </w:r>
      <w:r w:rsidRPr="00452CA5">
        <w:rPr>
          <w:lang w:val="fr-FR"/>
        </w:rPr>
        <w:t>Moyens auxiliaires de détermination des règles de droit international</w:t>
      </w:r>
      <w:r w:rsidRPr="00E72834">
        <w:tab/>
      </w:r>
      <w:r w:rsidRPr="00E72834">
        <w:tab/>
      </w:r>
      <w:r>
        <w:t>31</w:t>
      </w:r>
    </w:p>
    <w:p w14:paraId="7B15BB56" w14:textId="77777777" w:rsidR="005D1772" w:rsidRPr="00E72834" w:rsidRDefault="005D1772" w:rsidP="005D1772">
      <w:pPr>
        <w:tabs>
          <w:tab w:val="right" w:leader="dot" w:pos="8787"/>
          <w:tab w:val="right" w:pos="9638"/>
        </w:tabs>
        <w:spacing w:after="120"/>
        <w:ind w:left="1559" w:hanging="425"/>
      </w:pPr>
      <w:r w:rsidRPr="00E72834">
        <w:t>A.</w:t>
      </w:r>
      <w:r w:rsidRPr="00E72834">
        <w:tab/>
      </w:r>
      <w:r w:rsidRPr="00E72834">
        <w:rPr>
          <w:lang w:val="fr-FR"/>
        </w:rPr>
        <w:t>Introduction</w:t>
      </w:r>
      <w:r w:rsidRPr="00E72834">
        <w:tab/>
      </w:r>
      <w:r w:rsidRPr="00E72834">
        <w:tab/>
      </w:r>
      <w:r>
        <w:t>31</w:t>
      </w:r>
    </w:p>
    <w:p w14:paraId="0BC0D5E5" w14:textId="77777777" w:rsidR="005D1772" w:rsidRPr="00E72834" w:rsidRDefault="005D1772" w:rsidP="005D1772">
      <w:pPr>
        <w:tabs>
          <w:tab w:val="right" w:leader="dot" w:pos="8787"/>
          <w:tab w:val="right" w:pos="9638"/>
        </w:tabs>
        <w:spacing w:after="120"/>
        <w:ind w:left="1559" w:hanging="425"/>
      </w:pPr>
      <w:r w:rsidRPr="00E72834">
        <w:t>B.</w:t>
      </w:r>
      <w:r w:rsidRPr="00E72834">
        <w:tab/>
      </w:r>
      <w:r w:rsidRPr="00452CA5">
        <w:rPr>
          <w:shd w:val="clear" w:color="000000" w:fill="FFFFFF"/>
          <w:lang w:val="fr-FR"/>
        </w:rPr>
        <w:t>Examen du sujet à la présente session</w:t>
      </w:r>
      <w:r w:rsidRPr="00E72834">
        <w:tab/>
      </w:r>
      <w:r w:rsidRPr="00E72834">
        <w:tab/>
      </w:r>
      <w:r>
        <w:t>31</w:t>
      </w:r>
    </w:p>
    <w:p w14:paraId="7FDA6B35" w14:textId="77777777" w:rsidR="005D1772" w:rsidRPr="00E72834" w:rsidRDefault="005D1772" w:rsidP="005D1772">
      <w:pPr>
        <w:tabs>
          <w:tab w:val="right" w:leader="dot" w:pos="8787"/>
          <w:tab w:val="right" w:pos="9638"/>
        </w:tabs>
        <w:spacing w:after="120"/>
        <w:ind w:left="1559" w:hanging="425"/>
      </w:pPr>
      <w:r w:rsidRPr="00E72834">
        <w:t>C.</w:t>
      </w:r>
      <w:r w:rsidRPr="00E72834">
        <w:tab/>
      </w:r>
      <w:r w:rsidRPr="00452CA5">
        <w:rPr>
          <w:shd w:val="clear" w:color="000000" w:fill="FFFFFF"/>
          <w:lang w:val="fr-FR"/>
        </w:rPr>
        <w:t xml:space="preserve">Texte des projets de conclusion sur les </w:t>
      </w:r>
      <w:r w:rsidRPr="00452CA5">
        <w:rPr>
          <w:lang w:val="fr-FR"/>
        </w:rPr>
        <w:t xml:space="preserve">moyens auxiliaires </w:t>
      </w:r>
      <w:r w:rsidRPr="00452CA5">
        <w:rPr>
          <w:spacing w:val="4"/>
          <w:lang w:val="fr-FR"/>
        </w:rPr>
        <w:t xml:space="preserve">de détermination des règles </w:t>
      </w:r>
      <w:r>
        <w:rPr>
          <w:spacing w:val="4"/>
          <w:lang w:val="fr-FR"/>
        </w:rPr>
        <w:br/>
      </w:r>
      <w:r w:rsidRPr="00452CA5">
        <w:rPr>
          <w:spacing w:val="4"/>
          <w:lang w:val="fr-FR"/>
        </w:rPr>
        <w:t>de droit international</w:t>
      </w:r>
      <w:r w:rsidRPr="00452CA5">
        <w:rPr>
          <w:shd w:val="clear" w:color="000000" w:fill="FFFFFF"/>
          <w:lang w:val="fr-FR"/>
        </w:rPr>
        <w:t xml:space="preserve"> </w:t>
      </w:r>
      <w:r w:rsidRPr="00452CA5">
        <w:rPr>
          <w:spacing w:val="-4"/>
          <w:shd w:val="clear" w:color="000000" w:fill="FFFFFF"/>
          <w:lang w:val="fr-FR"/>
        </w:rPr>
        <w:t>provisoirement adoptés à ce jour par la Commission</w:t>
      </w:r>
      <w:r w:rsidRPr="00E72834">
        <w:tab/>
      </w:r>
      <w:r w:rsidRPr="00E72834">
        <w:tab/>
      </w:r>
      <w:r>
        <w:t>32</w:t>
      </w:r>
    </w:p>
    <w:p w14:paraId="794FD938" w14:textId="77777777" w:rsidR="005D1772" w:rsidRPr="00E72834" w:rsidRDefault="005D1772" w:rsidP="005D1772">
      <w:pPr>
        <w:tabs>
          <w:tab w:val="right" w:leader="dot" w:pos="8787"/>
          <w:tab w:val="right" w:pos="9638"/>
        </w:tabs>
        <w:spacing w:after="120"/>
        <w:ind w:left="1984" w:hanging="425"/>
      </w:pPr>
      <w:r w:rsidRPr="00E72834">
        <w:t>1.</w:t>
      </w:r>
      <w:r w:rsidRPr="00E72834">
        <w:tab/>
      </w:r>
      <w:r w:rsidRPr="00452CA5">
        <w:rPr>
          <w:shd w:val="clear" w:color="000000" w:fill="FFFFFF"/>
          <w:lang w:val="fr-FR"/>
        </w:rPr>
        <w:t>Texte des projets de conclusion</w:t>
      </w:r>
      <w:r w:rsidRPr="00E72834">
        <w:tab/>
      </w:r>
      <w:r w:rsidRPr="00E72834">
        <w:tab/>
      </w:r>
      <w:r>
        <w:t>32</w:t>
      </w:r>
    </w:p>
    <w:p w14:paraId="074D3B0C" w14:textId="77777777" w:rsidR="005D1772" w:rsidRDefault="005D1772" w:rsidP="005D1772">
      <w:pPr>
        <w:keepNext/>
        <w:tabs>
          <w:tab w:val="right" w:leader="dot" w:pos="8787"/>
          <w:tab w:val="right" w:pos="9638"/>
        </w:tabs>
        <w:spacing w:after="120"/>
        <w:ind w:left="1984" w:hanging="425"/>
      </w:pPr>
      <w:r w:rsidRPr="00E72834">
        <w:lastRenderedPageBreak/>
        <w:t>2.</w:t>
      </w:r>
      <w:r w:rsidRPr="00E72834">
        <w:tab/>
      </w:r>
      <w:r w:rsidRPr="005B4699">
        <w:rPr>
          <w:shd w:val="clear" w:color="000000" w:fill="FFFFFF"/>
          <w:lang w:val="fr-FR"/>
        </w:rPr>
        <w:t xml:space="preserve">Texte des projets de conclusion et </w:t>
      </w:r>
      <w:r>
        <w:rPr>
          <w:shd w:val="clear" w:color="000000" w:fill="FFFFFF"/>
          <w:lang w:val="fr-FR"/>
        </w:rPr>
        <w:t xml:space="preserve">des </w:t>
      </w:r>
      <w:r w:rsidRPr="005B4699">
        <w:rPr>
          <w:shd w:val="clear" w:color="000000" w:fill="FFFFFF"/>
          <w:lang w:val="fr-FR"/>
        </w:rPr>
        <w:t xml:space="preserve">commentaires y relatifs provisoirement </w:t>
      </w:r>
      <w:r>
        <w:rPr>
          <w:shd w:val="clear" w:color="000000" w:fill="FFFFFF"/>
          <w:lang w:val="fr-FR"/>
        </w:rPr>
        <w:br/>
      </w:r>
      <w:r w:rsidRPr="005B4699">
        <w:rPr>
          <w:shd w:val="clear" w:color="000000" w:fill="FFFFFF"/>
          <w:lang w:val="fr-FR"/>
        </w:rPr>
        <w:t>adoptés par</w:t>
      </w:r>
      <w:r>
        <w:rPr>
          <w:shd w:val="clear" w:color="000000" w:fill="FFFFFF"/>
          <w:lang w:val="fr-FR"/>
        </w:rPr>
        <w:t> </w:t>
      </w:r>
      <w:r w:rsidRPr="005B4699">
        <w:rPr>
          <w:shd w:val="clear" w:color="000000" w:fill="FFFFFF"/>
          <w:lang w:val="fr-FR"/>
        </w:rPr>
        <w:t>la Commission à sa soixante-quinzième session</w:t>
      </w:r>
      <w:r w:rsidRPr="00E72834">
        <w:tab/>
      </w:r>
      <w:r w:rsidRPr="00E72834">
        <w:tab/>
      </w:r>
      <w:r>
        <w:t>34</w:t>
      </w:r>
    </w:p>
    <w:p w14:paraId="38DEFF05" w14:textId="77777777" w:rsidR="005D1772" w:rsidRPr="000E6EFE" w:rsidRDefault="005D1772" w:rsidP="005D1772">
      <w:pPr>
        <w:keepNext/>
        <w:tabs>
          <w:tab w:val="left" w:pos="3402"/>
          <w:tab w:val="right" w:leader="dot" w:pos="8787"/>
          <w:tab w:val="right" w:pos="9638"/>
        </w:tabs>
        <w:spacing w:after="120"/>
        <w:ind w:left="3402" w:hanging="1417"/>
      </w:pPr>
      <w:r w:rsidRPr="000E6EFE">
        <w:t xml:space="preserve">Conclusion </w:t>
      </w:r>
      <w:r>
        <w:t>4</w:t>
      </w:r>
      <w:r w:rsidRPr="000E6EFE">
        <w:tab/>
      </w:r>
      <w:r w:rsidRPr="00993A70">
        <w:rPr>
          <w:bCs/>
          <w:lang w:val="fr-FR"/>
        </w:rPr>
        <w:t>Décisions de juridictions</w:t>
      </w:r>
      <w:r w:rsidRPr="000E6EFE">
        <w:tab/>
      </w:r>
      <w:r w:rsidRPr="000E6EFE">
        <w:tab/>
      </w:r>
      <w:r>
        <w:t>34</w:t>
      </w:r>
    </w:p>
    <w:p w14:paraId="5DEA3D7A"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34</w:t>
      </w:r>
    </w:p>
    <w:p w14:paraId="7E456947" w14:textId="77777777" w:rsidR="005D1772" w:rsidRPr="000E6EFE" w:rsidRDefault="005D1772" w:rsidP="005D1772">
      <w:pPr>
        <w:tabs>
          <w:tab w:val="left" w:pos="3402"/>
          <w:tab w:val="right" w:leader="dot" w:pos="8787"/>
          <w:tab w:val="right" w:pos="9638"/>
        </w:tabs>
        <w:spacing w:after="120"/>
        <w:ind w:left="3402" w:hanging="1417"/>
        <w:rPr>
          <w:lang w:val="fr-FR"/>
        </w:rPr>
      </w:pPr>
      <w:r w:rsidRPr="000E6EFE">
        <w:t xml:space="preserve">Conclusion </w:t>
      </w:r>
      <w:r>
        <w:t>5</w:t>
      </w:r>
      <w:r w:rsidRPr="000E6EFE">
        <w:tab/>
      </w:r>
      <w:r w:rsidRPr="005B4699">
        <w:rPr>
          <w:rFonts w:eastAsia="Times New Roman"/>
          <w:lang w:val="fr-FR"/>
        </w:rPr>
        <w:t>Doctrine</w:t>
      </w:r>
      <w:r w:rsidRPr="000E6EFE">
        <w:rPr>
          <w:lang w:val="fr-FR"/>
        </w:rPr>
        <w:tab/>
      </w:r>
      <w:r w:rsidRPr="000E6EFE">
        <w:rPr>
          <w:lang w:val="fr-FR"/>
        </w:rPr>
        <w:tab/>
      </w:r>
      <w:r>
        <w:rPr>
          <w:lang w:val="fr-FR"/>
        </w:rPr>
        <w:t>41</w:t>
      </w:r>
    </w:p>
    <w:p w14:paraId="47E4C194"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41</w:t>
      </w:r>
    </w:p>
    <w:p w14:paraId="2DE31D1D" w14:textId="77777777" w:rsidR="005D1772" w:rsidRPr="000E6EFE" w:rsidRDefault="005D1772" w:rsidP="005D1772">
      <w:pPr>
        <w:tabs>
          <w:tab w:val="left" w:pos="3402"/>
          <w:tab w:val="right" w:leader="dot" w:pos="8787"/>
          <w:tab w:val="right" w:pos="9638"/>
        </w:tabs>
        <w:spacing w:after="120"/>
        <w:ind w:left="3402" w:hanging="1417"/>
      </w:pPr>
      <w:r w:rsidRPr="000E6EFE">
        <w:t xml:space="preserve">Conclusion </w:t>
      </w:r>
      <w:r>
        <w:t>6</w:t>
      </w:r>
      <w:r w:rsidRPr="000E6EFE">
        <w:tab/>
      </w:r>
      <w:r w:rsidRPr="005B4699">
        <w:rPr>
          <w:rFonts w:eastAsia="Times New Roman"/>
          <w:color w:val="000000"/>
          <w:lang w:val="fr-FR"/>
        </w:rPr>
        <w:t>Nature et fonction des moyens auxiliaires</w:t>
      </w:r>
      <w:r w:rsidRPr="000E6EFE">
        <w:tab/>
      </w:r>
      <w:r w:rsidRPr="000E6EFE">
        <w:tab/>
      </w:r>
      <w:r>
        <w:t>44</w:t>
      </w:r>
    </w:p>
    <w:p w14:paraId="7CE0ACE9"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44</w:t>
      </w:r>
    </w:p>
    <w:p w14:paraId="52565C82" w14:textId="77777777" w:rsidR="005D1772" w:rsidRPr="000E6EFE" w:rsidRDefault="005D1772" w:rsidP="005D1772">
      <w:pPr>
        <w:tabs>
          <w:tab w:val="left" w:pos="3402"/>
          <w:tab w:val="right" w:leader="dot" w:pos="8787"/>
          <w:tab w:val="right" w:pos="9638"/>
        </w:tabs>
        <w:spacing w:after="120"/>
        <w:ind w:left="3402" w:hanging="1417"/>
      </w:pPr>
      <w:r w:rsidRPr="000E6EFE">
        <w:t xml:space="preserve">Conclusion </w:t>
      </w:r>
      <w:r>
        <w:t>7</w:t>
      </w:r>
      <w:r w:rsidRPr="000E6EFE">
        <w:tab/>
      </w:r>
      <w:r w:rsidRPr="005B4699">
        <w:rPr>
          <w:rFonts w:eastAsia="Times New Roman"/>
          <w:lang w:val="fr-FR"/>
        </w:rPr>
        <w:t xml:space="preserve">Absence de précédents juridiquement contraignants en droit </w:t>
      </w:r>
      <w:r>
        <w:rPr>
          <w:rFonts w:eastAsia="Times New Roman"/>
          <w:lang w:val="fr-FR"/>
        </w:rPr>
        <w:br/>
      </w:r>
      <w:r w:rsidRPr="005B4699">
        <w:rPr>
          <w:rFonts w:eastAsia="Times New Roman"/>
          <w:lang w:val="fr-FR"/>
        </w:rPr>
        <w:t>international</w:t>
      </w:r>
      <w:r w:rsidRPr="000E6EFE">
        <w:tab/>
      </w:r>
      <w:r w:rsidRPr="000E6EFE">
        <w:tab/>
      </w:r>
      <w:r>
        <w:t>46</w:t>
      </w:r>
    </w:p>
    <w:p w14:paraId="5627B66D"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46</w:t>
      </w:r>
    </w:p>
    <w:p w14:paraId="4C8E4D36" w14:textId="77777777" w:rsidR="005D1772" w:rsidRPr="000E6EFE" w:rsidRDefault="005D1772" w:rsidP="005D1772">
      <w:pPr>
        <w:tabs>
          <w:tab w:val="left" w:pos="3402"/>
          <w:tab w:val="right" w:leader="dot" w:pos="8787"/>
          <w:tab w:val="right" w:pos="9638"/>
        </w:tabs>
        <w:spacing w:after="120"/>
        <w:ind w:left="3402" w:hanging="1417"/>
      </w:pPr>
      <w:r w:rsidRPr="000E6EFE">
        <w:t xml:space="preserve">Conclusion </w:t>
      </w:r>
      <w:r>
        <w:t>8</w:t>
      </w:r>
      <w:r w:rsidRPr="000E6EFE">
        <w:tab/>
      </w:r>
      <w:r w:rsidRPr="005B4699">
        <w:rPr>
          <w:rFonts w:eastAsia="Times New Roman"/>
          <w:lang w:val="fr-FR"/>
        </w:rPr>
        <w:t>Poids des décisions des juridictions</w:t>
      </w:r>
      <w:r w:rsidRPr="000E6EFE">
        <w:tab/>
      </w:r>
      <w:r w:rsidRPr="000E6EFE">
        <w:tab/>
      </w:r>
      <w:r>
        <w:t>51</w:t>
      </w:r>
    </w:p>
    <w:p w14:paraId="0A34F3C0" w14:textId="77777777" w:rsidR="005D1772" w:rsidRPr="000E6EFE" w:rsidRDefault="005D1772" w:rsidP="005D1772">
      <w:pPr>
        <w:tabs>
          <w:tab w:val="right" w:leader="dot" w:pos="8787"/>
          <w:tab w:val="right" w:pos="9638"/>
        </w:tabs>
        <w:spacing w:after="120"/>
        <w:ind w:left="3402"/>
      </w:pPr>
      <w:r w:rsidRPr="000E6EFE">
        <w:t>Commentaire</w:t>
      </w:r>
      <w:r w:rsidRPr="000E6EFE">
        <w:tab/>
      </w:r>
      <w:r w:rsidRPr="000E6EFE">
        <w:tab/>
      </w:r>
      <w:r>
        <w:t>51</w:t>
      </w:r>
    </w:p>
    <w:p w14:paraId="2C77CC24" w14:textId="77777777" w:rsidR="005D1772" w:rsidRPr="005C06AD" w:rsidRDefault="005D1772" w:rsidP="005D1772">
      <w:pPr>
        <w:tabs>
          <w:tab w:val="right" w:pos="850"/>
          <w:tab w:val="right" w:leader="dot" w:pos="8787"/>
          <w:tab w:val="right" w:pos="9638"/>
        </w:tabs>
        <w:spacing w:after="120"/>
        <w:ind w:left="1134" w:hanging="1134"/>
      </w:pPr>
      <w:r w:rsidRPr="00E72834">
        <w:tab/>
      </w:r>
      <w:r w:rsidRPr="005C06AD">
        <w:t>VI.</w:t>
      </w:r>
      <w:r w:rsidRPr="005C06AD">
        <w:tab/>
      </w:r>
      <w:r w:rsidRPr="00E31FBF">
        <w:rPr>
          <w:lang w:val="fr-FR"/>
        </w:rPr>
        <w:t>Prévention et répression de la piraterie et du vol à main armée en mer</w:t>
      </w:r>
      <w:r w:rsidRPr="005C06AD">
        <w:tab/>
      </w:r>
      <w:r w:rsidRPr="005C06AD">
        <w:tab/>
      </w:r>
      <w:r>
        <w:t>59</w:t>
      </w:r>
    </w:p>
    <w:p w14:paraId="0ADF4E2F" w14:textId="77777777" w:rsidR="005D1772" w:rsidRPr="005C06AD" w:rsidRDefault="005D1772" w:rsidP="005D1772">
      <w:pPr>
        <w:tabs>
          <w:tab w:val="right" w:leader="dot" w:pos="8787"/>
          <w:tab w:val="right" w:pos="9638"/>
        </w:tabs>
        <w:spacing w:after="120"/>
        <w:ind w:left="1559" w:hanging="425"/>
      </w:pPr>
      <w:r w:rsidRPr="005C06AD">
        <w:t>A.</w:t>
      </w:r>
      <w:r w:rsidRPr="005C06AD">
        <w:tab/>
      </w:r>
      <w:r w:rsidRPr="00E31FBF">
        <w:rPr>
          <w:lang w:val="fr-FR"/>
        </w:rPr>
        <w:t>Introduction</w:t>
      </w:r>
      <w:r w:rsidRPr="005C06AD">
        <w:tab/>
      </w:r>
      <w:r w:rsidRPr="005C06AD">
        <w:tab/>
      </w:r>
      <w:r>
        <w:t>59</w:t>
      </w:r>
    </w:p>
    <w:p w14:paraId="33C71108" w14:textId="77777777" w:rsidR="005D1772" w:rsidRPr="005C06AD" w:rsidRDefault="005D1772" w:rsidP="005D1772">
      <w:pPr>
        <w:tabs>
          <w:tab w:val="right" w:leader="dot" w:pos="8787"/>
          <w:tab w:val="right" w:pos="9638"/>
        </w:tabs>
        <w:spacing w:after="120"/>
        <w:ind w:left="1559" w:hanging="425"/>
      </w:pPr>
      <w:r w:rsidRPr="005C06AD">
        <w:t>B.</w:t>
      </w:r>
      <w:r w:rsidRPr="005C06AD">
        <w:tab/>
      </w:r>
      <w:r w:rsidRPr="00E31FBF">
        <w:rPr>
          <w:lang w:val="fr-FR"/>
        </w:rPr>
        <w:t>Examen du sujet à la présente session</w:t>
      </w:r>
      <w:r w:rsidRPr="005C06AD">
        <w:tab/>
      </w:r>
      <w:r w:rsidRPr="005C06AD">
        <w:tab/>
      </w:r>
      <w:r>
        <w:t>59</w:t>
      </w:r>
    </w:p>
    <w:p w14:paraId="76E51CF8" w14:textId="77777777" w:rsidR="005D1772" w:rsidRPr="005C06AD" w:rsidRDefault="005D1772" w:rsidP="005D1772">
      <w:pPr>
        <w:tabs>
          <w:tab w:val="right" w:leader="dot" w:pos="8787"/>
          <w:tab w:val="right" w:pos="9638"/>
        </w:tabs>
        <w:spacing w:after="120"/>
        <w:ind w:left="1984" w:hanging="425"/>
      </w:pPr>
      <w:r w:rsidRPr="005C06AD">
        <w:t>1.</w:t>
      </w:r>
      <w:r w:rsidRPr="005C06AD">
        <w:tab/>
      </w:r>
      <w:r w:rsidRPr="00E31FBF">
        <w:rPr>
          <w:lang w:val="fr-FR"/>
        </w:rPr>
        <w:t>Présentation par le Rapporteur spécial du deuxième rapport</w:t>
      </w:r>
      <w:r w:rsidRPr="005C06AD">
        <w:tab/>
      </w:r>
      <w:r w:rsidRPr="005C06AD">
        <w:tab/>
      </w:r>
      <w:r>
        <w:t>60</w:t>
      </w:r>
    </w:p>
    <w:p w14:paraId="4E9557B8" w14:textId="77777777" w:rsidR="005D1772" w:rsidRDefault="005D1772" w:rsidP="005D1772">
      <w:pPr>
        <w:tabs>
          <w:tab w:val="right" w:leader="dot" w:pos="8787"/>
          <w:tab w:val="right" w:pos="9638"/>
        </w:tabs>
        <w:spacing w:after="120"/>
        <w:ind w:left="1984" w:hanging="425"/>
      </w:pPr>
      <w:r w:rsidRPr="005C06AD">
        <w:t>2.</w:t>
      </w:r>
      <w:r w:rsidRPr="005C06AD">
        <w:tab/>
      </w:r>
      <w:r w:rsidRPr="00E31FBF">
        <w:rPr>
          <w:lang w:val="fr-FR"/>
        </w:rPr>
        <w:t>Résumé des débats</w:t>
      </w:r>
      <w:r w:rsidRPr="005C06AD">
        <w:tab/>
      </w:r>
      <w:r w:rsidRPr="005C06AD">
        <w:tab/>
      </w:r>
      <w:r>
        <w:t>63</w:t>
      </w:r>
    </w:p>
    <w:p w14:paraId="525310F9" w14:textId="77777777" w:rsidR="005D1772" w:rsidRPr="005C06AD" w:rsidRDefault="005D1772" w:rsidP="005D1772">
      <w:pPr>
        <w:tabs>
          <w:tab w:val="right" w:leader="dot" w:pos="8787"/>
          <w:tab w:val="right" w:pos="9638"/>
        </w:tabs>
        <w:spacing w:after="120"/>
        <w:ind w:left="1984" w:hanging="425"/>
      </w:pPr>
      <w:r>
        <w:t>3.</w:t>
      </w:r>
      <w:r>
        <w:tab/>
      </w:r>
      <w:r w:rsidRPr="00E31FBF">
        <w:rPr>
          <w:lang w:val="fr-FR"/>
        </w:rPr>
        <w:t>Conclusions du Rapporteur spécial</w:t>
      </w:r>
      <w:r>
        <w:tab/>
      </w:r>
      <w:r>
        <w:tab/>
        <w:t>68</w:t>
      </w:r>
    </w:p>
    <w:p w14:paraId="57BF0635" w14:textId="77777777" w:rsidR="005D1772" w:rsidRPr="00494999" w:rsidRDefault="005D1772" w:rsidP="005D1772">
      <w:pPr>
        <w:tabs>
          <w:tab w:val="right" w:pos="850"/>
          <w:tab w:val="right" w:leader="dot" w:pos="8787"/>
          <w:tab w:val="right" w:pos="9638"/>
        </w:tabs>
        <w:spacing w:after="120"/>
        <w:ind w:left="1134" w:hanging="1134"/>
      </w:pPr>
      <w:r w:rsidRPr="00494999">
        <w:tab/>
        <w:t>VII.</w:t>
      </w:r>
      <w:r w:rsidRPr="00494999">
        <w:tab/>
      </w:r>
      <w:r w:rsidRPr="0048459D">
        <w:rPr>
          <w:lang w:val="fr-FR"/>
        </w:rPr>
        <w:t>Immunité de juridiction pénale étrangère des représentants de l</w:t>
      </w:r>
      <w:r>
        <w:rPr>
          <w:lang w:val="fr-FR"/>
        </w:rPr>
        <w:t>’</w:t>
      </w:r>
      <w:r w:rsidRPr="0048459D">
        <w:rPr>
          <w:lang w:val="fr-FR"/>
        </w:rPr>
        <w:t>État</w:t>
      </w:r>
      <w:r w:rsidRPr="00494999">
        <w:tab/>
      </w:r>
      <w:r w:rsidRPr="00494999">
        <w:tab/>
      </w:r>
      <w:r>
        <w:t>70</w:t>
      </w:r>
    </w:p>
    <w:p w14:paraId="565E12B8" w14:textId="77777777" w:rsidR="005D1772" w:rsidRPr="00494999" w:rsidRDefault="005D1772" w:rsidP="005D1772">
      <w:pPr>
        <w:tabs>
          <w:tab w:val="right" w:leader="dot" w:pos="8787"/>
          <w:tab w:val="right" w:pos="9638"/>
        </w:tabs>
        <w:spacing w:after="120"/>
        <w:ind w:left="1559" w:hanging="425"/>
      </w:pPr>
      <w:r w:rsidRPr="00494999">
        <w:t>A.</w:t>
      </w:r>
      <w:r w:rsidRPr="00494999">
        <w:tab/>
      </w:r>
      <w:r w:rsidRPr="0048459D">
        <w:rPr>
          <w:lang w:val="fr-FR"/>
        </w:rPr>
        <w:t>Introduction</w:t>
      </w:r>
      <w:r w:rsidRPr="00494999">
        <w:tab/>
      </w:r>
      <w:r w:rsidRPr="00494999">
        <w:tab/>
      </w:r>
      <w:r>
        <w:t>70</w:t>
      </w:r>
    </w:p>
    <w:p w14:paraId="7200F329" w14:textId="77777777" w:rsidR="005D1772" w:rsidRPr="00494999" w:rsidRDefault="005D1772" w:rsidP="005D1772">
      <w:pPr>
        <w:tabs>
          <w:tab w:val="right" w:leader="dot" w:pos="8787"/>
          <w:tab w:val="right" w:pos="9638"/>
        </w:tabs>
        <w:spacing w:after="120"/>
        <w:ind w:left="1559" w:hanging="425"/>
      </w:pPr>
      <w:r w:rsidRPr="00494999">
        <w:t>B.</w:t>
      </w:r>
      <w:r w:rsidRPr="00494999">
        <w:tab/>
      </w:r>
      <w:r w:rsidRPr="0048459D">
        <w:rPr>
          <w:lang w:val="fr-FR"/>
        </w:rPr>
        <w:t>Examen du sujet à la présente session</w:t>
      </w:r>
      <w:r w:rsidRPr="00494999">
        <w:tab/>
      </w:r>
      <w:r w:rsidRPr="00494999">
        <w:tab/>
      </w:r>
      <w:r>
        <w:t>71</w:t>
      </w:r>
    </w:p>
    <w:p w14:paraId="297D4F53" w14:textId="77777777" w:rsidR="005D1772" w:rsidRPr="00494999" w:rsidRDefault="005D1772" w:rsidP="005D1772">
      <w:pPr>
        <w:tabs>
          <w:tab w:val="right" w:leader="dot" w:pos="8787"/>
          <w:tab w:val="right" w:pos="9638"/>
        </w:tabs>
        <w:spacing w:after="120"/>
        <w:ind w:left="1984" w:hanging="425"/>
      </w:pPr>
      <w:r w:rsidRPr="00494999">
        <w:t>1.</w:t>
      </w:r>
      <w:r w:rsidRPr="00494999">
        <w:tab/>
      </w:r>
      <w:r w:rsidRPr="0048459D">
        <w:rPr>
          <w:lang w:val="fr-FR"/>
        </w:rPr>
        <w:t>Présentation par le Rapporteur spécial de son premier rapport</w:t>
      </w:r>
      <w:r w:rsidRPr="00494999">
        <w:tab/>
      </w:r>
      <w:r w:rsidRPr="00494999">
        <w:tab/>
      </w:r>
      <w:r>
        <w:t>71</w:t>
      </w:r>
    </w:p>
    <w:p w14:paraId="4758FE7D" w14:textId="77777777" w:rsidR="005D1772" w:rsidRPr="00494999" w:rsidRDefault="005D1772" w:rsidP="005D1772">
      <w:pPr>
        <w:keepNext/>
        <w:tabs>
          <w:tab w:val="right" w:leader="dot" w:pos="8787"/>
          <w:tab w:val="right" w:pos="9638"/>
        </w:tabs>
        <w:spacing w:after="120"/>
        <w:ind w:left="1984" w:hanging="425"/>
      </w:pPr>
      <w:r w:rsidRPr="00494999">
        <w:t>2.</w:t>
      </w:r>
      <w:r w:rsidRPr="00494999">
        <w:tab/>
      </w:r>
      <w:r w:rsidRPr="0048459D">
        <w:rPr>
          <w:lang w:val="fr-FR"/>
        </w:rPr>
        <w:t>Résumé du débat</w:t>
      </w:r>
      <w:r w:rsidRPr="00494999">
        <w:tab/>
      </w:r>
      <w:r w:rsidRPr="00494999">
        <w:tab/>
      </w:r>
      <w:r>
        <w:t>73</w:t>
      </w:r>
    </w:p>
    <w:p w14:paraId="3C27EB5C" w14:textId="77777777" w:rsidR="005D1772" w:rsidRPr="00494999" w:rsidRDefault="005D1772" w:rsidP="005D1772">
      <w:pPr>
        <w:tabs>
          <w:tab w:val="right" w:leader="dot" w:pos="8787"/>
          <w:tab w:val="right" w:pos="9638"/>
        </w:tabs>
        <w:spacing w:after="120"/>
        <w:ind w:left="1984" w:hanging="425"/>
      </w:pPr>
      <w:r w:rsidRPr="00494999">
        <w:t>3.</w:t>
      </w:r>
      <w:r w:rsidRPr="00494999">
        <w:tab/>
      </w:r>
      <w:r>
        <w:rPr>
          <w:lang w:val="fr-FR"/>
        </w:rPr>
        <w:t>Conclusions</w:t>
      </w:r>
      <w:r w:rsidRPr="0048459D">
        <w:rPr>
          <w:lang w:val="fr-FR"/>
        </w:rPr>
        <w:t xml:space="preserve"> du Rapporteur spécial</w:t>
      </w:r>
      <w:r w:rsidRPr="00494999">
        <w:tab/>
      </w:r>
      <w:r w:rsidRPr="00494999">
        <w:tab/>
      </w:r>
      <w:r>
        <w:t>82</w:t>
      </w:r>
    </w:p>
    <w:p w14:paraId="627CFC1D" w14:textId="77777777" w:rsidR="005D1772" w:rsidRPr="00093955" w:rsidRDefault="005D1772" w:rsidP="005D1772">
      <w:pPr>
        <w:tabs>
          <w:tab w:val="right" w:pos="850"/>
          <w:tab w:val="right" w:leader="dot" w:pos="8787"/>
          <w:tab w:val="right" w:pos="9638"/>
        </w:tabs>
        <w:spacing w:after="120"/>
        <w:ind w:left="1134" w:hanging="1134"/>
      </w:pPr>
      <w:r w:rsidRPr="00093955">
        <w:tab/>
        <w:t>VIII.</w:t>
      </w:r>
      <w:r w:rsidRPr="00093955">
        <w:tab/>
      </w:r>
      <w:r w:rsidRPr="00841601">
        <w:rPr>
          <w:bCs/>
          <w:lang w:val="fr-FR"/>
        </w:rPr>
        <w:t>Les accords internationaux juridiquement non contraignants</w:t>
      </w:r>
      <w:r w:rsidRPr="00093955">
        <w:tab/>
      </w:r>
      <w:r w:rsidRPr="00093955">
        <w:tab/>
      </w:r>
      <w:r>
        <w:t>85</w:t>
      </w:r>
    </w:p>
    <w:p w14:paraId="6FE0E09D" w14:textId="77777777" w:rsidR="005D1772" w:rsidRPr="00093955" w:rsidRDefault="005D1772" w:rsidP="005D1772">
      <w:pPr>
        <w:tabs>
          <w:tab w:val="right" w:leader="dot" w:pos="8787"/>
          <w:tab w:val="right" w:pos="9638"/>
        </w:tabs>
        <w:spacing w:after="120"/>
        <w:ind w:left="1559" w:hanging="425"/>
      </w:pPr>
      <w:r w:rsidRPr="00093955">
        <w:t>A.</w:t>
      </w:r>
      <w:r w:rsidRPr="00093955">
        <w:tab/>
      </w:r>
      <w:r w:rsidRPr="00841601">
        <w:rPr>
          <w:lang w:val="fr-FR"/>
        </w:rPr>
        <w:t>Introduction</w:t>
      </w:r>
      <w:r w:rsidRPr="00093955">
        <w:tab/>
      </w:r>
      <w:r w:rsidRPr="00093955">
        <w:tab/>
      </w:r>
      <w:r>
        <w:t>85</w:t>
      </w:r>
    </w:p>
    <w:p w14:paraId="2115DF72" w14:textId="77777777" w:rsidR="005D1772" w:rsidRPr="00093955" w:rsidRDefault="005D1772" w:rsidP="005D1772">
      <w:pPr>
        <w:tabs>
          <w:tab w:val="right" w:leader="dot" w:pos="8787"/>
          <w:tab w:val="right" w:pos="9638"/>
        </w:tabs>
        <w:spacing w:after="120"/>
        <w:ind w:left="1559" w:hanging="425"/>
      </w:pPr>
      <w:r w:rsidRPr="00093955">
        <w:t>B.</w:t>
      </w:r>
      <w:r w:rsidRPr="00093955">
        <w:tab/>
      </w:r>
      <w:r w:rsidRPr="00841601">
        <w:rPr>
          <w:lang w:val="fr-FR"/>
        </w:rPr>
        <w:t>Examen du sujet à la présente session</w:t>
      </w:r>
      <w:r w:rsidRPr="00093955">
        <w:tab/>
      </w:r>
      <w:r w:rsidRPr="00093955">
        <w:tab/>
      </w:r>
      <w:r>
        <w:t>85</w:t>
      </w:r>
    </w:p>
    <w:p w14:paraId="5F29EE5B" w14:textId="77777777" w:rsidR="005D1772" w:rsidRPr="00093955" w:rsidRDefault="005D1772" w:rsidP="005D1772">
      <w:pPr>
        <w:tabs>
          <w:tab w:val="right" w:leader="dot" w:pos="8787"/>
          <w:tab w:val="right" w:pos="9638"/>
        </w:tabs>
        <w:spacing w:after="120"/>
        <w:ind w:left="1984" w:hanging="425"/>
      </w:pPr>
      <w:r w:rsidRPr="00093955">
        <w:t>1.</w:t>
      </w:r>
      <w:r w:rsidRPr="00093955">
        <w:tab/>
      </w:r>
      <w:r w:rsidRPr="00841601">
        <w:rPr>
          <w:lang w:val="fr-FR"/>
        </w:rPr>
        <w:t>Présentation par le Rapporteur spécial de son premier rapport</w:t>
      </w:r>
      <w:r w:rsidRPr="00093955">
        <w:tab/>
      </w:r>
      <w:r w:rsidRPr="00093955">
        <w:tab/>
      </w:r>
      <w:r>
        <w:t>85</w:t>
      </w:r>
    </w:p>
    <w:p w14:paraId="66AA0002" w14:textId="77777777" w:rsidR="005D1772" w:rsidRPr="00093955" w:rsidRDefault="005D1772" w:rsidP="005D1772">
      <w:pPr>
        <w:tabs>
          <w:tab w:val="right" w:leader="dot" w:pos="8787"/>
          <w:tab w:val="right" w:pos="9638"/>
        </w:tabs>
        <w:spacing w:after="120"/>
        <w:ind w:left="1984" w:hanging="425"/>
      </w:pPr>
      <w:r w:rsidRPr="00093955">
        <w:t>2.</w:t>
      </w:r>
      <w:r w:rsidRPr="00093955">
        <w:tab/>
      </w:r>
      <w:r w:rsidRPr="00841601">
        <w:rPr>
          <w:lang w:val="fr-FR"/>
        </w:rPr>
        <w:t>Résumé du débat</w:t>
      </w:r>
      <w:r w:rsidRPr="00093955">
        <w:tab/>
      </w:r>
      <w:r w:rsidRPr="00093955">
        <w:tab/>
      </w:r>
      <w:r>
        <w:t>87</w:t>
      </w:r>
    </w:p>
    <w:p w14:paraId="22CF3C99" w14:textId="77777777" w:rsidR="005D1772" w:rsidRPr="00093955" w:rsidRDefault="005D1772" w:rsidP="005D1772">
      <w:pPr>
        <w:tabs>
          <w:tab w:val="right" w:leader="dot" w:pos="8787"/>
          <w:tab w:val="right" w:pos="9638"/>
        </w:tabs>
        <w:spacing w:after="120"/>
        <w:ind w:left="1984" w:hanging="425"/>
      </w:pPr>
      <w:r w:rsidRPr="00093955">
        <w:t>3.</w:t>
      </w:r>
      <w:r w:rsidRPr="00093955">
        <w:tab/>
      </w:r>
      <w:r w:rsidRPr="00841601">
        <w:rPr>
          <w:lang w:val="fr-FR"/>
        </w:rPr>
        <w:t>Conclusions du Rapporteur spécial</w:t>
      </w:r>
      <w:r w:rsidRPr="00093955">
        <w:tab/>
      </w:r>
      <w:r w:rsidRPr="00093955">
        <w:tab/>
      </w:r>
      <w:r>
        <w:t>94</w:t>
      </w:r>
    </w:p>
    <w:p w14:paraId="03547454" w14:textId="77777777" w:rsidR="005D1772" w:rsidRPr="00093955" w:rsidRDefault="005D1772" w:rsidP="005D1772">
      <w:pPr>
        <w:keepNext/>
        <w:keepLines/>
        <w:tabs>
          <w:tab w:val="right" w:pos="850"/>
          <w:tab w:val="right" w:leader="dot" w:pos="8787"/>
          <w:tab w:val="right" w:pos="9638"/>
        </w:tabs>
        <w:spacing w:after="120"/>
        <w:ind w:left="1134" w:hanging="1134"/>
      </w:pPr>
      <w:r w:rsidRPr="00093955">
        <w:tab/>
        <w:t>IX.</w:t>
      </w:r>
      <w:r w:rsidRPr="00093955">
        <w:tab/>
      </w:r>
      <w:r w:rsidRPr="001F4635">
        <w:rPr>
          <w:lang w:val="fr-FR"/>
        </w:rPr>
        <w:t>Succession d’États en matière de responsabilité de l’État</w:t>
      </w:r>
      <w:r w:rsidRPr="00093955">
        <w:tab/>
      </w:r>
      <w:r w:rsidRPr="00093955">
        <w:tab/>
      </w:r>
      <w:r>
        <w:t>98</w:t>
      </w:r>
    </w:p>
    <w:p w14:paraId="59FF7D93" w14:textId="77777777" w:rsidR="005D1772" w:rsidRPr="00093955" w:rsidRDefault="005D1772" w:rsidP="005D1772">
      <w:pPr>
        <w:tabs>
          <w:tab w:val="right" w:leader="dot" w:pos="8787"/>
          <w:tab w:val="right" w:pos="9638"/>
        </w:tabs>
        <w:spacing w:after="120"/>
        <w:ind w:left="1559" w:hanging="425"/>
      </w:pPr>
      <w:r w:rsidRPr="00093955">
        <w:t>A.</w:t>
      </w:r>
      <w:r w:rsidRPr="00093955">
        <w:tab/>
      </w:r>
      <w:r>
        <w:rPr>
          <w:lang w:val="fr-FR"/>
        </w:rPr>
        <w:t>Introduction</w:t>
      </w:r>
      <w:r w:rsidRPr="00093955">
        <w:tab/>
      </w:r>
      <w:r w:rsidRPr="00093955">
        <w:tab/>
      </w:r>
      <w:r>
        <w:t>98</w:t>
      </w:r>
    </w:p>
    <w:p w14:paraId="3981600C" w14:textId="77777777" w:rsidR="005D1772" w:rsidRDefault="005D1772" w:rsidP="005D1772">
      <w:pPr>
        <w:tabs>
          <w:tab w:val="right" w:leader="dot" w:pos="8787"/>
          <w:tab w:val="right" w:pos="9638"/>
        </w:tabs>
        <w:spacing w:after="120"/>
        <w:ind w:left="1559" w:hanging="425"/>
      </w:pPr>
      <w:r w:rsidRPr="00093955">
        <w:t>B.</w:t>
      </w:r>
      <w:r w:rsidRPr="00093955">
        <w:tab/>
      </w:r>
      <w:r w:rsidRPr="00AC4DDC">
        <w:t>Examen</w:t>
      </w:r>
      <w:r>
        <w:rPr>
          <w:lang w:val="fr-FR"/>
        </w:rPr>
        <w:t xml:space="preserve"> du sujet à la présente session</w:t>
      </w:r>
      <w:r w:rsidRPr="00093955">
        <w:tab/>
      </w:r>
      <w:r w:rsidRPr="00093955">
        <w:tab/>
      </w:r>
      <w:r>
        <w:t>98</w:t>
      </w:r>
    </w:p>
    <w:p w14:paraId="334E8F91" w14:textId="77777777" w:rsidR="005D1772" w:rsidRDefault="005D1772" w:rsidP="005D1772">
      <w:pPr>
        <w:tabs>
          <w:tab w:val="right" w:leader="dot" w:pos="8787"/>
          <w:tab w:val="right" w:pos="9638"/>
        </w:tabs>
        <w:spacing w:after="120"/>
        <w:ind w:left="1559" w:hanging="425"/>
      </w:pPr>
      <w:r>
        <w:t>C.</w:t>
      </w:r>
      <w:r>
        <w:tab/>
      </w:r>
      <w:r>
        <w:rPr>
          <w:lang w:val="fr-FR"/>
        </w:rPr>
        <w:t>R</w:t>
      </w:r>
      <w:r w:rsidRPr="00CE65DF">
        <w:rPr>
          <w:lang w:val="fr-FR"/>
        </w:rPr>
        <w:t>apport du Groupe de travail</w:t>
      </w:r>
      <w:r>
        <w:tab/>
      </w:r>
      <w:r>
        <w:tab/>
        <w:t>99</w:t>
      </w:r>
    </w:p>
    <w:p w14:paraId="67E67408" w14:textId="77777777" w:rsidR="005D1772" w:rsidRPr="00093955" w:rsidRDefault="005D1772" w:rsidP="005D1772">
      <w:pPr>
        <w:tabs>
          <w:tab w:val="right" w:leader="dot" w:pos="8787"/>
          <w:tab w:val="right" w:pos="9638"/>
        </w:tabs>
        <w:spacing w:after="120"/>
        <w:ind w:left="1984" w:hanging="425"/>
      </w:pPr>
      <w:r w:rsidRPr="00093955">
        <w:t>1.</w:t>
      </w:r>
      <w:r w:rsidRPr="00093955">
        <w:tab/>
      </w:r>
      <w:r w:rsidRPr="0046500A">
        <w:rPr>
          <w:lang w:val="fr-FR"/>
        </w:rPr>
        <w:t>Introduction</w:t>
      </w:r>
      <w:r w:rsidRPr="00093955">
        <w:tab/>
      </w:r>
      <w:r w:rsidRPr="00093955">
        <w:tab/>
      </w:r>
      <w:r>
        <w:t>99</w:t>
      </w:r>
    </w:p>
    <w:p w14:paraId="0EFE4641" w14:textId="77777777" w:rsidR="005D1772" w:rsidRPr="00093955" w:rsidRDefault="005D1772" w:rsidP="005D1772">
      <w:pPr>
        <w:tabs>
          <w:tab w:val="right" w:leader="dot" w:pos="8787"/>
          <w:tab w:val="right" w:pos="9638"/>
        </w:tabs>
        <w:spacing w:after="120"/>
        <w:ind w:left="1984" w:hanging="425"/>
      </w:pPr>
      <w:r w:rsidRPr="00093955">
        <w:t>2.</w:t>
      </w:r>
      <w:r w:rsidRPr="00093955">
        <w:tab/>
      </w:r>
      <w:r w:rsidRPr="0046500A">
        <w:rPr>
          <w:lang w:val="fr-FR"/>
        </w:rPr>
        <w:t>Travaux menés à la présente session</w:t>
      </w:r>
      <w:r w:rsidRPr="00093955">
        <w:tab/>
      </w:r>
      <w:r w:rsidRPr="00093955">
        <w:tab/>
      </w:r>
      <w:r>
        <w:t>100</w:t>
      </w:r>
    </w:p>
    <w:p w14:paraId="4BD9DBF1" w14:textId="77777777" w:rsidR="005D1772" w:rsidRPr="0045128B" w:rsidRDefault="005D1772" w:rsidP="005D1772">
      <w:pPr>
        <w:tabs>
          <w:tab w:val="right" w:pos="850"/>
          <w:tab w:val="right" w:leader="dot" w:pos="8787"/>
          <w:tab w:val="right" w:pos="9638"/>
        </w:tabs>
        <w:spacing w:after="120"/>
        <w:ind w:left="1134" w:hanging="1134"/>
      </w:pPr>
      <w:r w:rsidRPr="0045128B">
        <w:tab/>
        <w:t>X.</w:t>
      </w:r>
      <w:r w:rsidRPr="0045128B">
        <w:tab/>
      </w:r>
      <w:r>
        <w:rPr>
          <w:lang w:val="fr-FR"/>
        </w:rPr>
        <w:t>L’</w:t>
      </w:r>
      <w:r w:rsidRPr="00016AD6">
        <w:rPr>
          <w:lang w:val="fr-FR"/>
        </w:rPr>
        <w:t>élévation du niveau de la mer au regard du droit international</w:t>
      </w:r>
      <w:r w:rsidRPr="0045128B">
        <w:tab/>
      </w:r>
      <w:r w:rsidRPr="0045128B">
        <w:tab/>
      </w:r>
      <w:r>
        <w:t>103</w:t>
      </w:r>
    </w:p>
    <w:p w14:paraId="7FD78C75" w14:textId="77777777" w:rsidR="005D1772" w:rsidRPr="0045128B" w:rsidRDefault="005D1772" w:rsidP="005D1772">
      <w:pPr>
        <w:tabs>
          <w:tab w:val="right" w:leader="dot" w:pos="8787"/>
          <w:tab w:val="right" w:pos="9638"/>
        </w:tabs>
        <w:spacing w:after="120"/>
        <w:ind w:left="1559" w:hanging="425"/>
      </w:pPr>
      <w:r w:rsidRPr="0045128B">
        <w:t>A.</w:t>
      </w:r>
      <w:r w:rsidRPr="0045128B">
        <w:tab/>
      </w:r>
      <w:r w:rsidRPr="0012636F">
        <w:t>Introduction</w:t>
      </w:r>
      <w:r w:rsidRPr="0045128B">
        <w:tab/>
      </w:r>
      <w:r w:rsidRPr="0045128B">
        <w:tab/>
      </w:r>
      <w:r>
        <w:t>103</w:t>
      </w:r>
    </w:p>
    <w:p w14:paraId="0B345187" w14:textId="77777777" w:rsidR="005D1772" w:rsidRPr="0045128B" w:rsidRDefault="005D1772" w:rsidP="005D1772">
      <w:pPr>
        <w:tabs>
          <w:tab w:val="right" w:leader="dot" w:pos="8787"/>
          <w:tab w:val="right" w:pos="9638"/>
        </w:tabs>
        <w:spacing w:after="120"/>
        <w:ind w:left="1559" w:hanging="425"/>
      </w:pPr>
      <w:r w:rsidRPr="0045128B">
        <w:t>B.</w:t>
      </w:r>
      <w:r w:rsidRPr="0045128B">
        <w:tab/>
      </w:r>
      <w:r w:rsidRPr="0012636F">
        <w:t>Examen</w:t>
      </w:r>
      <w:r w:rsidRPr="00016AD6">
        <w:rPr>
          <w:lang w:val="fr-FR"/>
        </w:rPr>
        <w:t xml:space="preserve"> du sujet à la présente session</w:t>
      </w:r>
      <w:r w:rsidRPr="0045128B">
        <w:tab/>
      </w:r>
      <w:r w:rsidRPr="0045128B">
        <w:tab/>
      </w:r>
      <w:r>
        <w:t>103</w:t>
      </w:r>
    </w:p>
    <w:p w14:paraId="7128669B" w14:textId="77777777" w:rsidR="005D1772" w:rsidRPr="0045128B" w:rsidRDefault="005D1772" w:rsidP="005D1772">
      <w:pPr>
        <w:tabs>
          <w:tab w:val="right" w:leader="dot" w:pos="8787"/>
          <w:tab w:val="right" w:pos="9638"/>
        </w:tabs>
        <w:spacing w:after="120"/>
        <w:ind w:left="1984" w:hanging="425"/>
      </w:pPr>
      <w:r w:rsidRPr="0045128B">
        <w:lastRenderedPageBreak/>
        <w:t>1.</w:t>
      </w:r>
      <w:r w:rsidRPr="0045128B">
        <w:tab/>
      </w:r>
      <w:r w:rsidRPr="00016AD6">
        <w:rPr>
          <w:lang w:val="fr-FR"/>
        </w:rPr>
        <w:t>Présentation par les Coprésidents de la note complémentaire (</w:t>
      </w:r>
      <w:hyperlink r:id="rId18" w:history="1">
        <w:r w:rsidRPr="00FF7CB2">
          <w:rPr>
            <w:rStyle w:val="Lienhypertexte"/>
            <w:lang w:val="fr-FR"/>
          </w:rPr>
          <w:t>A/CN.4/774</w:t>
        </w:r>
      </w:hyperlink>
      <w:r w:rsidRPr="00016AD6">
        <w:rPr>
          <w:lang w:val="fr-FR"/>
        </w:rPr>
        <w:t xml:space="preserve"> et </w:t>
      </w:r>
      <w:hyperlink r:id="rId19" w:history="1">
        <w:r w:rsidRPr="00FF7CB2">
          <w:rPr>
            <w:rStyle w:val="Lienhypertexte"/>
            <w:lang w:val="fr-FR"/>
          </w:rPr>
          <w:t>Add.1</w:t>
        </w:r>
      </w:hyperlink>
      <w:r w:rsidRPr="00016AD6">
        <w:rPr>
          <w:lang w:val="fr-FR"/>
        </w:rPr>
        <w:t xml:space="preserve">) </w:t>
      </w:r>
      <w:r>
        <w:rPr>
          <w:lang w:val="fr-FR"/>
        </w:rPr>
        <w:br/>
      </w:r>
      <w:r w:rsidRPr="00016AD6">
        <w:rPr>
          <w:lang w:val="fr-FR"/>
        </w:rPr>
        <w:t>à la seconde note thématique</w:t>
      </w:r>
      <w:r w:rsidRPr="0045128B">
        <w:tab/>
      </w:r>
      <w:r w:rsidRPr="0045128B">
        <w:tab/>
      </w:r>
      <w:r>
        <w:t>104</w:t>
      </w:r>
    </w:p>
    <w:p w14:paraId="35F53BD9" w14:textId="77777777" w:rsidR="005D1772" w:rsidRDefault="005D1772" w:rsidP="005D1772">
      <w:pPr>
        <w:tabs>
          <w:tab w:val="right" w:leader="dot" w:pos="8787"/>
          <w:tab w:val="right" w:pos="9638"/>
        </w:tabs>
        <w:spacing w:after="120"/>
        <w:ind w:left="1984" w:hanging="425"/>
      </w:pPr>
      <w:r w:rsidRPr="0045128B">
        <w:t>2.</w:t>
      </w:r>
      <w:r w:rsidRPr="0045128B">
        <w:tab/>
      </w:r>
      <w:r w:rsidRPr="00016AD6">
        <w:rPr>
          <w:lang w:val="fr-FR"/>
        </w:rPr>
        <w:t>Résumé de l</w:t>
      </w:r>
      <w:r>
        <w:rPr>
          <w:lang w:val="fr-FR"/>
        </w:rPr>
        <w:t>’</w:t>
      </w:r>
      <w:r w:rsidRPr="00016AD6">
        <w:rPr>
          <w:lang w:val="fr-FR"/>
        </w:rPr>
        <w:t>échange de vues</w:t>
      </w:r>
      <w:r w:rsidRPr="0045128B">
        <w:tab/>
      </w:r>
      <w:r w:rsidRPr="0045128B">
        <w:tab/>
      </w:r>
      <w:r>
        <w:t>105</w:t>
      </w:r>
    </w:p>
    <w:p w14:paraId="1C05D145" w14:textId="77777777" w:rsidR="005D1772" w:rsidRDefault="005D1772" w:rsidP="005D1772">
      <w:pPr>
        <w:tabs>
          <w:tab w:val="right" w:pos="850"/>
          <w:tab w:val="right" w:leader="dot" w:pos="8787"/>
          <w:tab w:val="right" w:pos="9638"/>
        </w:tabs>
        <w:spacing w:after="120"/>
        <w:ind w:left="1134" w:hanging="1134"/>
      </w:pPr>
      <w:r>
        <w:tab/>
        <w:t>XI.</w:t>
      </w:r>
      <w:r>
        <w:tab/>
      </w:r>
      <w:r>
        <w:rPr>
          <w:lang w:val="fr-FR"/>
        </w:rPr>
        <w:t>Autres décisions et conclusions de la Commission</w:t>
      </w:r>
      <w:r>
        <w:tab/>
      </w:r>
      <w:r>
        <w:tab/>
        <w:t>124</w:t>
      </w:r>
    </w:p>
    <w:p w14:paraId="263A0AF3" w14:textId="77777777" w:rsidR="005D1772" w:rsidRPr="00093955" w:rsidRDefault="005D1772" w:rsidP="005D1772">
      <w:pPr>
        <w:numPr>
          <w:ilvl w:val="0"/>
          <w:numId w:val="4"/>
        </w:numPr>
        <w:tabs>
          <w:tab w:val="right" w:leader="dot" w:pos="8787"/>
          <w:tab w:val="right" w:pos="9638"/>
        </w:tabs>
        <w:spacing w:after="120"/>
      </w:pPr>
      <w:r>
        <w:rPr>
          <w:lang w:val="fr-FR"/>
        </w:rPr>
        <w:t>Réunion commémorative spéciale</w:t>
      </w:r>
      <w:r w:rsidRPr="00093955">
        <w:tab/>
      </w:r>
      <w:r w:rsidRPr="00093955">
        <w:tab/>
      </w:r>
      <w:r>
        <w:t>124</w:t>
      </w:r>
    </w:p>
    <w:p w14:paraId="1BC2DFAD" w14:textId="77777777" w:rsidR="005D1772" w:rsidRDefault="005D1772" w:rsidP="005D1772">
      <w:pPr>
        <w:tabs>
          <w:tab w:val="right" w:leader="dot" w:pos="8787"/>
          <w:tab w:val="right" w:pos="9638"/>
        </w:tabs>
        <w:spacing w:after="120"/>
        <w:ind w:left="1559" w:hanging="425"/>
      </w:pPr>
      <w:r w:rsidRPr="00093955">
        <w:t>B.</w:t>
      </w:r>
      <w:r w:rsidRPr="00093955">
        <w:tab/>
      </w:r>
      <w:r>
        <w:rPr>
          <w:lang w:val="fr-FR"/>
        </w:rPr>
        <w:t xml:space="preserve">Prévention et répression de la piraterie </w:t>
      </w:r>
      <w:r w:rsidRPr="00FF459F">
        <w:rPr>
          <w:bCs/>
          <w:lang w:val="fr-FR"/>
        </w:rPr>
        <w:t>et du vol à main armée en mer</w:t>
      </w:r>
      <w:r w:rsidRPr="00093955">
        <w:tab/>
      </w:r>
      <w:r w:rsidRPr="00093955">
        <w:tab/>
      </w:r>
      <w:r>
        <w:t>124</w:t>
      </w:r>
    </w:p>
    <w:p w14:paraId="1E0BA9B2" w14:textId="77777777" w:rsidR="005D1772" w:rsidRDefault="005D1772" w:rsidP="005D1772">
      <w:pPr>
        <w:tabs>
          <w:tab w:val="right" w:leader="dot" w:pos="8787"/>
          <w:tab w:val="right" w:pos="9638"/>
        </w:tabs>
        <w:spacing w:after="120"/>
        <w:ind w:left="1559" w:hanging="425"/>
      </w:pPr>
      <w:r>
        <w:t>C.</w:t>
      </w:r>
      <w:r>
        <w:tab/>
      </w:r>
      <w:r>
        <w:rPr>
          <w:lang w:val="fr-FR"/>
        </w:rPr>
        <w:t xml:space="preserve">Programme, procédures, </w:t>
      </w:r>
      <w:r w:rsidRPr="00BC1826">
        <w:rPr>
          <w:lang w:val="fr-FR"/>
        </w:rPr>
        <w:t>méthodes</w:t>
      </w:r>
      <w:r>
        <w:rPr>
          <w:lang w:val="fr-FR"/>
        </w:rPr>
        <w:t xml:space="preserve"> de travail et documentation de la Commission</w:t>
      </w:r>
      <w:r>
        <w:tab/>
      </w:r>
      <w:r>
        <w:tab/>
        <w:t>124</w:t>
      </w:r>
    </w:p>
    <w:p w14:paraId="4079CDD5" w14:textId="77777777" w:rsidR="005D1772" w:rsidRPr="00093955" w:rsidRDefault="005D1772" w:rsidP="005D1772">
      <w:pPr>
        <w:tabs>
          <w:tab w:val="right" w:leader="dot" w:pos="8787"/>
          <w:tab w:val="right" w:pos="9638"/>
        </w:tabs>
        <w:spacing w:after="120"/>
        <w:ind w:left="1984" w:hanging="425"/>
      </w:pPr>
      <w:r w:rsidRPr="00093955">
        <w:t>1.</w:t>
      </w:r>
      <w:r w:rsidRPr="00093955">
        <w:tab/>
      </w:r>
      <w:r>
        <w:rPr>
          <w:lang w:val="fr-FR"/>
        </w:rPr>
        <w:t>Groupe de travail sur le programme de travail à long terme</w:t>
      </w:r>
      <w:r w:rsidRPr="00093955">
        <w:tab/>
      </w:r>
      <w:r w:rsidRPr="00093955">
        <w:tab/>
      </w:r>
      <w:r>
        <w:t>124</w:t>
      </w:r>
    </w:p>
    <w:p w14:paraId="1BDA38C0" w14:textId="77777777" w:rsidR="005D1772" w:rsidRDefault="005D1772" w:rsidP="005D1772">
      <w:pPr>
        <w:tabs>
          <w:tab w:val="right" w:leader="dot" w:pos="8787"/>
          <w:tab w:val="right" w:pos="9638"/>
        </w:tabs>
        <w:spacing w:after="120"/>
        <w:ind w:left="1984" w:hanging="425"/>
      </w:pPr>
      <w:r w:rsidRPr="00093955">
        <w:t>2.</w:t>
      </w:r>
      <w:r w:rsidRPr="00093955">
        <w:tab/>
      </w:r>
      <w:r>
        <w:rPr>
          <w:lang w:val="fr-FR"/>
        </w:rPr>
        <w:t>Groupe de travail sur les méthodes de travail et les procédures de la Commission</w:t>
      </w:r>
      <w:r w:rsidRPr="00093955">
        <w:tab/>
      </w:r>
      <w:r w:rsidRPr="00093955">
        <w:tab/>
      </w:r>
      <w:r>
        <w:t>125</w:t>
      </w:r>
    </w:p>
    <w:p w14:paraId="1DBFE575" w14:textId="77777777" w:rsidR="005D1772" w:rsidRDefault="005D1772" w:rsidP="005D1772">
      <w:pPr>
        <w:tabs>
          <w:tab w:val="right" w:leader="dot" w:pos="8787"/>
          <w:tab w:val="right" w:pos="9638"/>
        </w:tabs>
        <w:spacing w:after="120"/>
        <w:ind w:left="1984" w:hanging="425"/>
      </w:pPr>
      <w:r>
        <w:t>3.</w:t>
      </w:r>
      <w:r>
        <w:tab/>
      </w:r>
      <w:r w:rsidRPr="001F4635">
        <w:rPr>
          <w:spacing w:val="-4"/>
          <w:lang w:val="fr-FR"/>
        </w:rPr>
        <w:t xml:space="preserve">Examen de la résolution </w:t>
      </w:r>
      <w:hyperlink r:id="rId20" w:history="1">
        <w:r w:rsidRPr="001F4635">
          <w:rPr>
            <w:rStyle w:val="Lienhypertexte"/>
            <w:spacing w:val="-4"/>
            <w:lang w:val="fr-FR"/>
          </w:rPr>
          <w:t>78/112</w:t>
        </w:r>
      </w:hyperlink>
      <w:r w:rsidRPr="001F4635">
        <w:rPr>
          <w:spacing w:val="-4"/>
          <w:lang w:val="fr-FR"/>
        </w:rPr>
        <w:t xml:space="preserve"> de l’Assemblée générale, en date du 7 décembre 2023</w:t>
      </w:r>
      <w:r>
        <w:rPr>
          <w:lang w:val="fr-FR"/>
        </w:rPr>
        <w:t xml:space="preserve">, </w:t>
      </w:r>
      <w:r>
        <w:rPr>
          <w:lang w:val="fr-FR"/>
        </w:rPr>
        <w:br/>
        <w:t>sur l’état de droit aux niveaux national et international</w:t>
      </w:r>
      <w:r>
        <w:tab/>
      </w:r>
      <w:r>
        <w:tab/>
        <w:t>126</w:t>
      </w:r>
    </w:p>
    <w:p w14:paraId="65D28CD2" w14:textId="77777777" w:rsidR="005D1772" w:rsidRDefault="005D1772" w:rsidP="005D1772">
      <w:pPr>
        <w:tabs>
          <w:tab w:val="right" w:leader="dot" w:pos="8787"/>
          <w:tab w:val="right" w:pos="9638"/>
        </w:tabs>
        <w:spacing w:after="120"/>
        <w:ind w:left="1984" w:hanging="425"/>
      </w:pPr>
      <w:r>
        <w:t>4.</w:t>
      </w:r>
      <w:r>
        <w:tab/>
      </w:r>
      <w:r>
        <w:rPr>
          <w:lang w:val="fr-FR"/>
        </w:rPr>
        <w:t xml:space="preserve">Célébration du soixante-quinzième anniversaire de la Commission du droit </w:t>
      </w:r>
      <w:r>
        <w:rPr>
          <w:lang w:val="fr-FR"/>
        </w:rPr>
        <w:br/>
        <w:t>international</w:t>
      </w:r>
      <w:r>
        <w:tab/>
      </w:r>
      <w:r>
        <w:tab/>
        <w:t>128</w:t>
      </w:r>
    </w:p>
    <w:p w14:paraId="597153E4" w14:textId="77777777" w:rsidR="005D1772" w:rsidRDefault="005D1772" w:rsidP="005D1772">
      <w:pPr>
        <w:tabs>
          <w:tab w:val="right" w:leader="dot" w:pos="8787"/>
          <w:tab w:val="right" w:pos="9638"/>
        </w:tabs>
        <w:spacing w:after="120"/>
        <w:ind w:left="1984" w:hanging="425"/>
      </w:pPr>
      <w:r>
        <w:t>5.</w:t>
      </w:r>
      <w:r>
        <w:tab/>
      </w:r>
      <w:r>
        <w:rPr>
          <w:lang w:val="fr-FR"/>
        </w:rPr>
        <w:t>Honoraires</w:t>
      </w:r>
      <w:r>
        <w:tab/>
      </w:r>
      <w:r>
        <w:tab/>
        <w:t>129</w:t>
      </w:r>
    </w:p>
    <w:p w14:paraId="6BAC387A" w14:textId="77777777" w:rsidR="005D1772" w:rsidRDefault="005D1772" w:rsidP="005D1772">
      <w:pPr>
        <w:tabs>
          <w:tab w:val="right" w:leader="dot" w:pos="8787"/>
          <w:tab w:val="right" w:pos="9638"/>
        </w:tabs>
        <w:spacing w:after="120"/>
        <w:ind w:left="1984" w:hanging="425"/>
      </w:pPr>
      <w:r>
        <w:t>6.</w:t>
      </w:r>
      <w:r>
        <w:tab/>
      </w:r>
      <w:r>
        <w:rPr>
          <w:lang w:val="fr-FR"/>
        </w:rPr>
        <w:t>Documentation et publications</w:t>
      </w:r>
      <w:r>
        <w:tab/>
      </w:r>
      <w:r>
        <w:tab/>
        <w:t>129</w:t>
      </w:r>
    </w:p>
    <w:p w14:paraId="48FF9AAE" w14:textId="77777777" w:rsidR="005D1772" w:rsidRDefault="005D1772" w:rsidP="005D1772">
      <w:pPr>
        <w:tabs>
          <w:tab w:val="right" w:leader="dot" w:pos="8787"/>
          <w:tab w:val="right" w:pos="9638"/>
        </w:tabs>
        <w:spacing w:after="120"/>
        <w:ind w:left="1984" w:hanging="425"/>
      </w:pPr>
      <w:r>
        <w:t>7.</w:t>
      </w:r>
      <w:r>
        <w:tab/>
      </w:r>
      <w:r w:rsidRPr="00BC1826">
        <w:rPr>
          <w:i/>
          <w:iCs/>
          <w:lang w:val="fr-FR"/>
        </w:rPr>
        <w:t>Annuaire de la Commission du droit international</w:t>
      </w:r>
      <w:r>
        <w:tab/>
      </w:r>
      <w:r>
        <w:tab/>
        <w:t>131</w:t>
      </w:r>
    </w:p>
    <w:p w14:paraId="10DDD084" w14:textId="77777777" w:rsidR="005D1772" w:rsidRDefault="005D1772" w:rsidP="005D1772">
      <w:pPr>
        <w:tabs>
          <w:tab w:val="right" w:leader="dot" w:pos="8787"/>
          <w:tab w:val="right" w:pos="9638"/>
        </w:tabs>
        <w:spacing w:after="120"/>
        <w:ind w:left="1984" w:hanging="425"/>
      </w:pPr>
      <w:r>
        <w:t>8.</w:t>
      </w:r>
      <w:r>
        <w:tab/>
      </w:r>
      <w:r w:rsidRPr="00BC1826">
        <w:t>Fonds</w:t>
      </w:r>
      <w:r>
        <w:rPr>
          <w:bCs/>
          <w:lang w:val="fr-FR"/>
        </w:rPr>
        <w:t xml:space="preserve"> d’affectation spéciale pour l’assistance aux rapporteurs spéciaux </w:t>
      </w:r>
      <w:r>
        <w:rPr>
          <w:bCs/>
          <w:lang w:val="fr-FR"/>
        </w:rPr>
        <w:br/>
        <w:t xml:space="preserve">de la Commission du droit international, créé par la résolution </w:t>
      </w:r>
      <w:hyperlink r:id="rId21" w:history="1">
        <w:r w:rsidRPr="001945E7">
          <w:rPr>
            <w:rStyle w:val="Lienhypertexte"/>
            <w:bCs/>
            <w:lang w:val="fr-FR"/>
          </w:rPr>
          <w:t>77/103</w:t>
        </w:r>
      </w:hyperlink>
      <w:r>
        <w:rPr>
          <w:bCs/>
          <w:lang w:val="fr-FR"/>
        </w:rPr>
        <w:t xml:space="preserve"> </w:t>
      </w:r>
      <w:r>
        <w:rPr>
          <w:bCs/>
          <w:lang w:val="fr-FR"/>
        </w:rPr>
        <w:br/>
        <w:t>de l’Assemblée générale, et questions connexes</w:t>
      </w:r>
      <w:r>
        <w:tab/>
      </w:r>
      <w:r>
        <w:tab/>
        <w:t>131</w:t>
      </w:r>
    </w:p>
    <w:p w14:paraId="2895207C" w14:textId="77777777" w:rsidR="005D1772" w:rsidRDefault="005D1772" w:rsidP="005D1772">
      <w:pPr>
        <w:tabs>
          <w:tab w:val="right" w:leader="dot" w:pos="8787"/>
          <w:tab w:val="right" w:pos="9638"/>
        </w:tabs>
        <w:spacing w:after="120"/>
        <w:ind w:left="1984" w:hanging="425"/>
      </w:pPr>
      <w:r>
        <w:t>9.</w:t>
      </w:r>
      <w:r>
        <w:tab/>
      </w:r>
      <w:r>
        <w:rPr>
          <w:lang w:val="fr-FR"/>
        </w:rPr>
        <w:t>Aide de la Division de la codification</w:t>
      </w:r>
      <w:r>
        <w:tab/>
      </w:r>
      <w:r>
        <w:tab/>
        <w:t>132</w:t>
      </w:r>
    </w:p>
    <w:p w14:paraId="7C0C084A" w14:textId="77777777" w:rsidR="005D1772" w:rsidRDefault="005D1772" w:rsidP="005D1772">
      <w:pPr>
        <w:tabs>
          <w:tab w:val="right" w:leader="dot" w:pos="8787"/>
          <w:tab w:val="right" w:pos="9638"/>
        </w:tabs>
        <w:spacing w:after="120"/>
        <w:ind w:left="1984" w:hanging="425"/>
      </w:pPr>
      <w:r>
        <w:t>10.</w:t>
      </w:r>
      <w:r>
        <w:tab/>
      </w:r>
      <w:r>
        <w:rPr>
          <w:lang w:val="fr-FR"/>
        </w:rPr>
        <w:t>Sites Web</w:t>
      </w:r>
      <w:r>
        <w:tab/>
      </w:r>
      <w:r>
        <w:tab/>
        <w:t>132</w:t>
      </w:r>
    </w:p>
    <w:p w14:paraId="74A6F784" w14:textId="77777777" w:rsidR="005D1772" w:rsidRDefault="005D1772" w:rsidP="005D1772">
      <w:pPr>
        <w:tabs>
          <w:tab w:val="right" w:leader="dot" w:pos="8787"/>
          <w:tab w:val="right" w:pos="9638"/>
        </w:tabs>
        <w:spacing w:after="120"/>
        <w:ind w:left="1984" w:hanging="425"/>
      </w:pPr>
      <w:r>
        <w:t>11.</w:t>
      </w:r>
      <w:r>
        <w:tab/>
      </w:r>
      <w:r w:rsidRPr="00BC1826">
        <w:rPr>
          <w:lang w:val="fr-FR"/>
        </w:rPr>
        <w:t>Diffusion</w:t>
      </w:r>
      <w:r>
        <w:rPr>
          <w:bCs/>
          <w:lang w:val="fr-FR"/>
        </w:rPr>
        <w:t xml:space="preserve"> sur le Web</w:t>
      </w:r>
      <w:r>
        <w:tab/>
      </w:r>
      <w:r>
        <w:tab/>
        <w:t>132</w:t>
      </w:r>
    </w:p>
    <w:p w14:paraId="44726DE0" w14:textId="77777777" w:rsidR="005D1772" w:rsidRDefault="005D1772" w:rsidP="005D1772">
      <w:pPr>
        <w:tabs>
          <w:tab w:val="right" w:leader="dot" w:pos="8787"/>
          <w:tab w:val="right" w:pos="9638"/>
        </w:tabs>
        <w:spacing w:after="120"/>
        <w:ind w:left="1984" w:hanging="425"/>
      </w:pPr>
      <w:r>
        <w:t>12.</w:t>
      </w:r>
      <w:r>
        <w:tab/>
      </w:r>
      <w:r w:rsidRPr="00BC1826">
        <w:rPr>
          <w:lang w:val="fr-FR"/>
        </w:rPr>
        <w:t>Médiathèque</w:t>
      </w:r>
      <w:r>
        <w:rPr>
          <w:bCs/>
          <w:lang w:val="fr-FR"/>
        </w:rPr>
        <w:t xml:space="preserve"> de droit international des Nations Unies</w:t>
      </w:r>
      <w:r>
        <w:tab/>
      </w:r>
      <w:r>
        <w:tab/>
        <w:t>132</w:t>
      </w:r>
    </w:p>
    <w:p w14:paraId="74EE0C01" w14:textId="77777777" w:rsidR="005D1772" w:rsidRDefault="005D1772" w:rsidP="005D1772">
      <w:pPr>
        <w:tabs>
          <w:tab w:val="right" w:leader="dot" w:pos="8787"/>
          <w:tab w:val="right" w:pos="9638"/>
        </w:tabs>
        <w:spacing w:after="120"/>
        <w:ind w:left="1984" w:hanging="425"/>
      </w:pPr>
      <w:r>
        <w:t>13.</w:t>
      </w:r>
      <w:r>
        <w:tab/>
      </w:r>
      <w:r>
        <w:rPr>
          <w:lang w:val="fr-FR"/>
        </w:rPr>
        <w:t xml:space="preserve">Examen de la possibilité de convoquer, au cours du présent quinquennat, la première </w:t>
      </w:r>
      <w:r>
        <w:rPr>
          <w:lang w:val="fr-FR"/>
        </w:rPr>
        <w:br/>
        <w:t>partie de la soixante-dix-septième session de la Commission à New York</w:t>
      </w:r>
      <w:r>
        <w:tab/>
      </w:r>
      <w:r>
        <w:tab/>
        <w:t>132</w:t>
      </w:r>
    </w:p>
    <w:p w14:paraId="6B4F7633" w14:textId="77777777" w:rsidR="005D1772" w:rsidRPr="00093955" w:rsidRDefault="005D1772" w:rsidP="005D1772">
      <w:pPr>
        <w:tabs>
          <w:tab w:val="right" w:leader="dot" w:pos="8787"/>
          <w:tab w:val="right" w:pos="9638"/>
        </w:tabs>
        <w:spacing w:after="120"/>
        <w:ind w:left="1984" w:hanging="425"/>
      </w:pPr>
      <w:r>
        <w:t>14.</w:t>
      </w:r>
      <w:r>
        <w:tab/>
      </w:r>
      <w:r>
        <w:rPr>
          <w:lang w:val="fr-FR"/>
        </w:rPr>
        <w:t xml:space="preserve">Dates et lieu de la tenue </w:t>
      </w:r>
      <w:r w:rsidRPr="00731849">
        <w:rPr>
          <w:lang w:val="fr-FR"/>
        </w:rPr>
        <w:t>de la soixante-seizième session de la Commission</w:t>
      </w:r>
      <w:r>
        <w:tab/>
      </w:r>
      <w:r>
        <w:tab/>
        <w:t>133</w:t>
      </w:r>
    </w:p>
    <w:p w14:paraId="62767BD6" w14:textId="77777777" w:rsidR="005D1772" w:rsidRPr="00093955" w:rsidRDefault="005D1772" w:rsidP="005D1772">
      <w:pPr>
        <w:tabs>
          <w:tab w:val="right" w:leader="dot" w:pos="8787"/>
          <w:tab w:val="right" w:pos="9638"/>
        </w:tabs>
        <w:spacing w:after="120"/>
        <w:ind w:left="1559" w:hanging="425"/>
      </w:pPr>
      <w:r>
        <w:t>D</w:t>
      </w:r>
      <w:r w:rsidRPr="00093955">
        <w:t>.</w:t>
      </w:r>
      <w:r w:rsidRPr="00093955">
        <w:tab/>
      </w:r>
      <w:r>
        <w:rPr>
          <w:lang w:val="fr-FR"/>
        </w:rPr>
        <w:t>Coopération avec d’autres organes</w:t>
      </w:r>
      <w:r w:rsidRPr="00093955">
        <w:tab/>
      </w:r>
      <w:r w:rsidRPr="00093955">
        <w:tab/>
      </w:r>
      <w:r>
        <w:t>133</w:t>
      </w:r>
    </w:p>
    <w:p w14:paraId="76799D93" w14:textId="77777777" w:rsidR="005D1772" w:rsidRDefault="005D1772" w:rsidP="005D1772">
      <w:pPr>
        <w:tabs>
          <w:tab w:val="right" w:leader="dot" w:pos="8787"/>
          <w:tab w:val="right" w:pos="9638"/>
        </w:tabs>
        <w:spacing w:after="120"/>
        <w:ind w:left="1559" w:hanging="425"/>
      </w:pPr>
      <w:r>
        <w:t>E</w:t>
      </w:r>
      <w:r w:rsidRPr="00093955">
        <w:t>.</w:t>
      </w:r>
      <w:r w:rsidRPr="00093955">
        <w:tab/>
      </w:r>
      <w:r>
        <w:rPr>
          <w:lang w:val="fr-FR"/>
        </w:rPr>
        <w:t>Représentation à la soixante-dix-neuvième session de l’Assemblée générale</w:t>
      </w:r>
      <w:r w:rsidRPr="00093955">
        <w:tab/>
      </w:r>
      <w:r w:rsidRPr="00093955">
        <w:tab/>
      </w:r>
      <w:r>
        <w:t>134</w:t>
      </w:r>
    </w:p>
    <w:p w14:paraId="329F12A1" w14:textId="77777777" w:rsidR="005D1772" w:rsidRDefault="005D1772" w:rsidP="005D1772">
      <w:pPr>
        <w:tabs>
          <w:tab w:val="right" w:leader="dot" w:pos="8787"/>
          <w:tab w:val="right" w:pos="9638"/>
        </w:tabs>
        <w:spacing w:after="120"/>
        <w:ind w:left="1559" w:hanging="425"/>
      </w:pPr>
      <w:r>
        <w:t>F.</w:t>
      </w:r>
      <w:r>
        <w:tab/>
      </w:r>
      <w:r>
        <w:rPr>
          <w:lang w:val="fr-FR"/>
        </w:rPr>
        <w:t>Séminaire de droit international</w:t>
      </w:r>
      <w:r>
        <w:tab/>
      </w:r>
      <w:r>
        <w:tab/>
        <w:t>134</w:t>
      </w:r>
    </w:p>
    <w:p w14:paraId="1B9A78A4" w14:textId="77777777" w:rsidR="005D1772" w:rsidRPr="00145146" w:rsidRDefault="005D1772" w:rsidP="005D1772">
      <w:pPr>
        <w:tabs>
          <w:tab w:val="right" w:pos="850"/>
        </w:tabs>
        <w:spacing w:after="120"/>
      </w:pPr>
      <w:r>
        <w:tab/>
        <w:t>Annexes</w:t>
      </w:r>
    </w:p>
    <w:p w14:paraId="1012F05E" w14:textId="77777777" w:rsidR="005D1772" w:rsidRDefault="005D1772" w:rsidP="005D1772">
      <w:pPr>
        <w:tabs>
          <w:tab w:val="right" w:pos="850"/>
          <w:tab w:val="right" w:leader="dot" w:pos="8787"/>
          <w:tab w:val="right" w:pos="9638"/>
        </w:tabs>
        <w:spacing w:after="120"/>
        <w:ind w:left="1134" w:hanging="1134"/>
      </w:pPr>
      <w:r>
        <w:tab/>
        <w:t>I.</w:t>
      </w:r>
      <w:r>
        <w:tab/>
      </w:r>
      <w:r w:rsidRPr="001448A7">
        <w:rPr>
          <w:lang w:val="fr-FR"/>
        </w:rPr>
        <w:t>Indemnisation des dommages causés par un fait internationalement illicite</w:t>
      </w:r>
      <w:r>
        <w:tab/>
      </w:r>
      <w:r>
        <w:tab/>
        <w:t>137</w:t>
      </w:r>
    </w:p>
    <w:p w14:paraId="419BEFE2" w14:textId="77777777" w:rsidR="005D1772" w:rsidRPr="0045128B" w:rsidRDefault="005D1772" w:rsidP="005D1772">
      <w:pPr>
        <w:tabs>
          <w:tab w:val="right" w:pos="850"/>
          <w:tab w:val="right" w:leader="dot" w:pos="8787"/>
          <w:tab w:val="right" w:pos="9638"/>
        </w:tabs>
        <w:spacing w:after="120"/>
        <w:ind w:left="1134" w:hanging="1134"/>
      </w:pPr>
      <w:r>
        <w:tab/>
        <w:t>II.</w:t>
      </w:r>
      <w:r>
        <w:tab/>
      </w:r>
      <w:r w:rsidRPr="004B1202">
        <w:t>La diligence due en droit international</w:t>
      </w:r>
      <w:r>
        <w:tab/>
      </w:r>
      <w:r>
        <w:tab/>
        <w:t>160</w:t>
      </w:r>
    </w:p>
    <w:p w14:paraId="796AE01B" w14:textId="77777777" w:rsidR="00A669DA" w:rsidRDefault="00A669DA" w:rsidP="0060322E">
      <w:pPr>
        <w:tabs>
          <w:tab w:val="right" w:pos="850"/>
          <w:tab w:val="left" w:pos="1134"/>
          <w:tab w:val="left" w:pos="1559"/>
          <w:tab w:val="left" w:pos="1984"/>
          <w:tab w:val="left" w:leader="dot" w:pos="8929"/>
          <w:tab w:val="right" w:pos="9638"/>
        </w:tabs>
        <w:spacing w:after="120"/>
      </w:pPr>
    </w:p>
    <w:p w14:paraId="14247621" w14:textId="77777777" w:rsidR="00145146" w:rsidRDefault="00145146">
      <w:pPr>
        <w:suppressAutoHyphens w:val="0"/>
        <w:kinsoku/>
        <w:overflowPunct/>
        <w:autoSpaceDE/>
        <w:autoSpaceDN/>
        <w:adjustRightInd/>
        <w:snapToGrid/>
        <w:spacing w:line="240" w:lineRule="auto"/>
        <w:sectPr w:rsidR="00145146" w:rsidSect="00145146">
          <w:headerReference w:type="even" r:id="rId22"/>
          <w:headerReference w:type="default" r:id="rId23"/>
          <w:footerReference w:type="even" r:id="rId24"/>
          <w:footerReference w:type="default" r:id="rId25"/>
          <w:headerReference w:type="first" r:id="rId26"/>
          <w:footerReference w:type="first" r:id="rId27"/>
          <w:endnotePr>
            <w:numFmt w:val="decimal"/>
          </w:endnotePr>
          <w:type w:val="oddPage"/>
          <w:pgSz w:w="11907" w:h="16840" w:code="9"/>
          <w:pgMar w:top="1417" w:right="1134" w:bottom="1134" w:left="1134" w:header="850" w:footer="567" w:gutter="0"/>
          <w:pgNumType w:fmt="lowerRoman" w:start="3"/>
          <w:cols w:space="720"/>
          <w:titlePg/>
          <w:docGrid w:linePitch="272"/>
        </w:sectPr>
      </w:pPr>
    </w:p>
    <w:p w14:paraId="769BA58A" w14:textId="77777777" w:rsidR="00C324CF" w:rsidRDefault="00C324CF" w:rsidP="00414AA0">
      <w:pPr>
        <w:pStyle w:val="HChG"/>
      </w:pPr>
      <w:r w:rsidRPr="00450147">
        <w:lastRenderedPageBreak/>
        <w:tab/>
      </w:r>
      <w:r w:rsidRPr="00450147">
        <w:tab/>
      </w:r>
      <w:r w:rsidRPr="00011BC0">
        <w:t>Chap</w:t>
      </w:r>
      <w:r>
        <w:t>itre</w:t>
      </w:r>
      <w:r w:rsidRPr="00011BC0">
        <w:t xml:space="preserve"> </w:t>
      </w:r>
      <w:r w:rsidRPr="004B5FB2">
        <w:t>I</w:t>
      </w:r>
      <w:r>
        <w:br/>
      </w:r>
      <w:bookmarkStart w:id="0" w:name="_Hlk175322875"/>
      <w:r w:rsidRPr="004B5FB2">
        <w:t>Introduction</w:t>
      </w:r>
      <w:bookmarkEnd w:id="0"/>
    </w:p>
    <w:p w14:paraId="4C2A9E96" w14:textId="7F5A98AF" w:rsidR="00C324CF" w:rsidRPr="00450147" w:rsidRDefault="00C324CF" w:rsidP="00A271C5">
      <w:pPr>
        <w:pStyle w:val="SingleTxtG"/>
      </w:pPr>
      <w:r w:rsidRPr="00450147">
        <w:t>1.</w:t>
      </w:r>
      <w:r w:rsidRPr="00450147">
        <w:tab/>
      </w:r>
      <w:r>
        <w:rPr>
          <w:lang w:val="fr-FR"/>
        </w:rPr>
        <w:t>La Commission du droit international a tenu sa soixante-quinzième session à son siège, à l</w:t>
      </w:r>
      <w:r w:rsidR="004C5E26">
        <w:rPr>
          <w:lang w:val="fr-FR"/>
        </w:rPr>
        <w:t>’</w:t>
      </w:r>
      <w:r>
        <w:rPr>
          <w:lang w:val="fr-FR"/>
        </w:rPr>
        <w:t>Office des Nations Unies à Genève, du 29 avril au 31 mai 2024 pour la première partie de la session et du 1</w:t>
      </w:r>
      <w:r w:rsidRPr="00F64257">
        <w:rPr>
          <w:vertAlign w:val="superscript"/>
          <w:lang w:val="fr-FR"/>
        </w:rPr>
        <w:t>er</w:t>
      </w:r>
      <w:r>
        <w:rPr>
          <w:lang w:val="fr-FR"/>
        </w:rPr>
        <w:t xml:space="preserve"> juillet au 2 août 2024 pour la seconde partie de la session. La session a été ouverte par </w:t>
      </w:r>
      <w:r w:rsidRPr="000C06AF">
        <w:rPr>
          <w:lang w:val="de-DE"/>
        </w:rPr>
        <w:t>M</w:t>
      </w:r>
      <w:r w:rsidRPr="000C06AF">
        <w:rPr>
          <w:vertAlign w:val="superscript"/>
          <w:lang w:val="de-DE"/>
        </w:rPr>
        <w:t>me</w:t>
      </w:r>
      <w:r w:rsidRPr="000C06AF">
        <w:rPr>
          <w:lang w:val="de-DE"/>
        </w:rPr>
        <w:t> </w:t>
      </w:r>
      <w:proofErr w:type="spellStart"/>
      <w:r w:rsidRPr="000C06AF">
        <w:rPr>
          <w:lang w:val="de-DE"/>
        </w:rPr>
        <w:t>Patrícia</w:t>
      </w:r>
      <w:proofErr w:type="spellEnd"/>
      <w:r w:rsidRPr="000C06AF">
        <w:rPr>
          <w:lang w:val="de-DE"/>
        </w:rPr>
        <w:t xml:space="preserve"> </w:t>
      </w:r>
      <w:proofErr w:type="spellStart"/>
      <w:r w:rsidRPr="000C06AF">
        <w:rPr>
          <w:lang w:val="de-DE"/>
        </w:rPr>
        <w:t>Galvão</w:t>
      </w:r>
      <w:proofErr w:type="spellEnd"/>
      <w:r w:rsidRPr="000C06AF">
        <w:rPr>
          <w:lang w:val="de-DE"/>
        </w:rPr>
        <w:t xml:space="preserve"> Teles</w:t>
      </w:r>
      <w:r>
        <w:rPr>
          <w:lang w:val="fr-FR"/>
        </w:rPr>
        <w:t>, Présidente de la Commission à sa soixante</w:t>
      </w:r>
      <w:r>
        <w:rPr>
          <w:lang w:val="fr-FR"/>
        </w:rPr>
        <w:noBreakHyphen/>
        <w:t>quatorzième session.</w:t>
      </w:r>
    </w:p>
    <w:p w14:paraId="1A12B949" w14:textId="77777777" w:rsidR="00C324CF" w:rsidRPr="00450147" w:rsidRDefault="00C324CF" w:rsidP="00C324CF">
      <w:pPr>
        <w:pStyle w:val="H1G"/>
      </w:pPr>
      <w:r>
        <w:rPr>
          <w:lang w:val="fr-FR"/>
        </w:rPr>
        <w:tab/>
        <w:t>A.</w:t>
      </w:r>
      <w:r>
        <w:rPr>
          <w:lang w:val="fr-FR"/>
        </w:rPr>
        <w:tab/>
      </w:r>
      <w:r>
        <w:rPr>
          <w:lang w:val="fr-FR"/>
        </w:rPr>
        <w:tab/>
      </w:r>
      <w:bookmarkStart w:id="1" w:name="_Hlk175323127"/>
      <w:r>
        <w:rPr>
          <w:lang w:val="fr-FR"/>
        </w:rPr>
        <w:t>Membres de la Commission</w:t>
      </w:r>
      <w:bookmarkEnd w:id="1"/>
    </w:p>
    <w:p w14:paraId="5B5AE25C" w14:textId="77777777" w:rsidR="00C324CF" w:rsidRPr="00450147" w:rsidRDefault="00C324CF" w:rsidP="00A271C5">
      <w:pPr>
        <w:pStyle w:val="SingleTxtG"/>
      </w:pPr>
      <w:r w:rsidRPr="00450147">
        <w:t>2.</w:t>
      </w:r>
      <w:r w:rsidRPr="00450147">
        <w:tab/>
      </w:r>
      <w:r>
        <w:rPr>
          <w:lang w:val="fr-FR"/>
        </w:rPr>
        <w:t>La Commission se compose des membres suivants :</w:t>
      </w:r>
    </w:p>
    <w:p w14:paraId="48AAD025" w14:textId="138D0D38" w:rsidR="00C324CF" w:rsidRPr="00450147" w:rsidRDefault="00C324CF" w:rsidP="00C324CF">
      <w:pPr>
        <w:pStyle w:val="SingleTxtG"/>
        <w:ind w:left="1701"/>
      </w:pPr>
      <w:r>
        <w:rPr>
          <w:lang w:val="fr-FR"/>
        </w:rPr>
        <w:t xml:space="preserve">M. </w:t>
      </w:r>
      <w:proofErr w:type="spellStart"/>
      <w:r>
        <w:rPr>
          <w:lang w:val="fr-FR"/>
        </w:rPr>
        <w:t>Dapo</w:t>
      </w:r>
      <w:proofErr w:type="spellEnd"/>
      <w:r>
        <w:rPr>
          <w:lang w:val="fr-FR"/>
        </w:rPr>
        <w:t xml:space="preserve"> </w:t>
      </w:r>
      <w:proofErr w:type="spellStart"/>
      <w:r>
        <w:rPr>
          <w:lang w:val="fr-FR"/>
        </w:rPr>
        <w:t>Akande</w:t>
      </w:r>
      <w:proofErr w:type="spellEnd"/>
      <w:r>
        <w:rPr>
          <w:lang w:val="fr-FR"/>
        </w:rPr>
        <w:t xml:space="preserve"> (Royaume-Uni de Grande-Bretagne et d</w:t>
      </w:r>
      <w:r w:rsidR="004C5E26">
        <w:rPr>
          <w:lang w:val="fr-FR"/>
        </w:rPr>
        <w:t>’</w:t>
      </w:r>
      <w:r>
        <w:rPr>
          <w:lang w:val="fr-FR"/>
        </w:rPr>
        <w:t>Irlande du Nord)</w:t>
      </w:r>
    </w:p>
    <w:p w14:paraId="5BFFE46C" w14:textId="77777777" w:rsidR="00C324CF" w:rsidRPr="0055472B" w:rsidRDefault="00C324CF" w:rsidP="00C324CF">
      <w:pPr>
        <w:pStyle w:val="SingleTxtG"/>
        <w:ind w:left="1701"/>
        <w:rPr>
          <w:lang w:val="es-ES"/>
        </w:rPr>
      </w:pPr>
      <w:r w:rsidRPr="0055472B">
        <w:rPr>
          <w:lang w:val="es-ES"/>
        </w:rPr>
        <w:t>M. Carlos J. Argüello Gómez (Nicaragua)</w:t>
      </w:r>
    </w:p>
    <w:p w14:paraId="02EAD9EE" w14:textId="77777777" w:rsidR="00C324CF" w:rsidRPr="004B5FB2" w:rsidRDefault="00C324CF" w:rsidP="00C324CF">
      <w:pPr>
        <w:pStyle w:val="SingleTxtG"/>
        <w:ind w:left="1701"/>
      </w:pPr>
      <w:r w:rsidRPr="004B5FB2">
        <w:t xml:space="preserve">M. Masahiko </w:t>
      </w:r>
      <w:proofErr w:type="spellStart"/>
      <w:r w:rsidRPr="004B5FB2">
        <w:t>Asada</w:t>
      </w:r>
      <w:proofErr w:type="spellEnd"/>
      <w:r w:rsidRPr="004B5FB2">
        <w:t xml:space="preserve"> (Japon)</w:t>
      </w:r>
    </w:p>
    <w:p w14:paraId="06B73902" w14:textId="41DD025E" w:rsidR="00C324CF" w:rsidRPr="004B5FB2" w:rsidRDefault="00C324CF" w:rsidP="00C324CF">
      <w:pPr>
        <w:pStyle w:val="SingleTxtG"/>
        <w:ind w:left="1701"/>
      </w:pPr>
      <w:bookmarkStart w:id="2" w:name="_Hlk139530467"/>
      <w:r w:rsidRPr="004B5FB2">
        <w:t>M. Yacouba Cissé (Côte d</w:t>
      </w:r>
      <w:r w:rsidR="004C5E26">
        <w:t>’</w:t>
      </w:r>
      <w:r w:rsidRPr="004B5FB2">
        <w:t>Ivoire)</w:t>
      </w:r>
      <w:bookmarkEnd w:id="2"/>
    </w:p>
    <w:p w14:paraId="3E12C863" w14:textId="77777777" w:rsidR="00C324CF" w:rsidRPr="0055472B" w:rsidRDefault="00C324CF" w:rsidP="00C324CF">
      <w:pPr>
        <w:pStyle w:val="SingleTxtG"/>
        <w:ind w:left="1701"/>
        <w:rPr>
          <w:lang w:val="en-US"/>
        </w:rPr>
      </w:pPr>
      <w:r w:rsidRPr="0055472B">
        <w:rPr>
          <w:lang w:val="en-US"/>
        </w:rPr>
        <w:t xml:space="preserve">M. Ahmed Amin </w:t>
      </w:r>
      <w:proofErr w:type="spellStart"/>
      <w:r w:rsidRPr="0055472B">
        <w:rPr>
          <w:lang w:val="en-US"/>
        </w:rPr>
        <w:t>Fathalla</w:t>
      </w:r>
      <w:proofErr w:type="spellEnd"/>
      <w:r w:rsidRPr="0055472B">
        <w:rPr>
          <w:lang w:val="en-US"/>
        </w:rPr>
        <w:t xml:space="preserve"> (</w:t>
      </w:r>
      <w:proofErr w:type="spellStart"/>
      <w:r w:rsidRPr="0055472B">
        <w:rPr>
          <w:lang w:val="en-US"/>
        </w:rPr>
        <w:t>Égypte</w:t>
      </w:r>
      <w:proofErr w:type="spellEnd"/>
      <w:r w:rsidRPr="0055472B">
        <w:rPr>
          <w:lang w:val="en-US"/>
        </w:rPr>
        <w:t>)</w:t>
      </w:r>
    </w:p>
    <w:p w14:paraId="719E5372" w14:textId="77777777" w:rsidR="00C324CF" w:rsidRPr="0055472B" w:rsidRDefault="00C324CF" w:rsidP="00C324CF">
      <w:pPr>
        <w:pStyle w:val="SingleTxtG"/>
        <w:ind w:left="1701"/>
        <w:rPr>
          <w:lang w:val="en-US"/>
        </w:rPr>
      </w:pPr>
      <w:r w:rsidRPr="0055472B">
        <w:rPr>
          <w:lang w:val="en-US"/>
        </w:rPr>
        <w:t>M. Rolf Einar Fife (</w:t>
      </w:r>
      <w:proofErr w:type="spellStart"/>
      <w:r w:rsidRPr="0055472B">
        <w:rPr>
          <w:lang w:val="en-US"/>
        </w:rPr>
        <w:t>Norvège</w:t>
      </w:r>
      <w:proofErr w:type="spellEnd"/>
      <w:r w:rsidRPr="0055472B">
        <w:rPr>
          <w:lang w:val="en-US"/>
        </w:rPr>
        <w:t>)</w:t>
      </w:r>
    </w:p>
    <w:p w14:paraId="61F436FF" w14:textId="77777777" w:rsidR="00C324CF" w:rsidRPr="0055472B" w:rsidRDefault="00C324CF" w:rsidP="00C324CF">
      <w:pPr>
        <w:pStyle w:val="SingleTxtG"/>
        <w:ind w:left="1701"/>
        <w:rPr>
          <w:lang w:val="en-US"/>
        </w:rPr>
      </w:pPr>
      <w:r w:rsidRPr="0055472B">
        <w:rPr>
          <w:lang w:val="en-US"/>
        </w:rPr>
        <w:t>M. Mathias Forteau (France)</w:t>
      </w:r>
    </w:p>
    <w:p w14:paraId="70EEB4C4" w14:textId="77777777" w:rsidR="00C324CF" w:rsidRPr="0055472B" w:rsidRDefault="00C324CF" w:rsidP="00C324CF">
      <w:pPr>
        <w:pStyle w:val="SingleTxtG"/>
        <w:ind w:left="1701"/>
        <w:rPr>
          <w:lang w:val="en-US"/>
        </w:rPr>
      </w:pPr>
      <w:r w:rsidRPr="0055472B">
        <w:rPr>
          <w:lang w:val="en-US"/>
        </w:rPr>
        <w:t>M. George Rodrigo Bandeira Galindo (</w:t>
      </w:r>
      <w:proofErr w:type="spellStart"/>
      <w:r w:rsidRPr="0055472B">
        <w:rPr>
          <w:lang w:val="en-US"/>
        </w:rPr>
        <w:t>Brésil</w:t>
      </w:r>
      <w:proofErr w:type="spellEnd"/>
      <w:r w:rsidRPr="0055472B">
        <w:rPr>
          <w:lang w:val="en-US"/>
        </w:rPr>
        <w:t>)</w:t>
      </w:r>
    </w:p>
    <w:p w14:paraId="1099C522" w14:textId="77777777" w:rsidR="00C324CF" w:rsidRPr="0055472B" w:rsidRDefault="00C324CF" w:rsidP="00C324CF">
      <w:pPr>
        <w:pStyle w:val="SingleTxtG"/>
        <w:ind w:left="1701"/>
        <w:rPr>
          <w:lang w:val="en-US"/>
        </w:rPr>
      </w:pPr>
      <w:r w:rsidRPr="0055472B">
        <w:rPr>
          <w:lang w:val="en-US"/>
        </w:rPr>
        <w:t>M</w:t>
      </w:r>
      <w:r w:rsidRPr="0055472B">
        <w:rPr>
          <w:vertAlign w:val="superscript"/>
          <w:lang w:val="en-US"/>
        </w:rPr>
        <w:t>me</w:t>
      </w:r>
      <w:r w:rsidRPr="0055472B">
        <w:rPr>
          <w:lang w:val="en-US"/>
        </w:rPr>
        <w:t> Patrícia Galvão Teles (Portugal)</w:t>
      </w:r>
    </w:p>
    <w:p w14:paraId="762C5BA0" w14:textId="77777777" w:rsidR="00C324CF" w:rsidRPr="0055472B" w:rsidRDefault="00C324CF" w:rsidP="00C324CF">
      <w:pPr>
        <w:pStyle w:val="SingleTxtG"/>
        <w:ind w:left="1701"/>
        <w:rPr>
          <w:lang w:val="en-US"/>
        </w:rPr>
      </w:pPr>
      <w:r w:rsidRPr="0055472B">
        <w:rPr>
          <w:lang w:val="en-US"/>
        </w:rPr>
        <w:t xml:space="preserve">M. Claudio Grossman </w:t>
      </w:r>
      <w:proofErr w:type="spellStart"/>
      <w:r w:rsidRPr="0055472B">
        <w:rPr>
          <w:lang w:val="en-US"/>
        </w:rPr>
        <w:t>Guiloff</w:t>
      </w:r>
      <w:proofErr w:type="spellEnd"/>
      <w:r w:rsidRPr="0055472B">
        <w:rPr>
          <w:lang w:val="en-US"/>
        </w:rPr>
        <w:t xml:space="preserve"> (Chili)</w:t>
      </w:r>
    </w:p>
    <w:p w14:paraId="1EC404C2" w14:textId="77777777" w:rsidR="00C324CF" w:rsidRPr="004B5FB2" w:rsidRDefault="00C324CF" w:rsidP="00C324CF">
      <w:pPr>
        <w:pStyle w:val="SingleTxtG"/>
        <w:ind w:left="1701"/>
      </w:pPr>
      <w:r w:rsidRPr="004B5FB2">
        <w:t>M. </w:t>
      </w:r>
      <w:proofErr w:type="spellStart"/>
      <w:r w:rsidRPr="004B5FB2">
        <w:t>Huikang</w:t>
      </w:r>
      <w:proofErr w:type="spellEnd"/>
      <w:r w:rsidRPr="004B5FB2">
        <w:t xml:space="preserve"> Huang (Chine)</w:t>
      </w:r>
      <w:r w:rsidRPr="00E9227E">
        <w:rPr>
          <w:rStyle w:val="Appelnotedebasdep"/>
        </w:rPr>
        <w:footnoteReference w:id="2"/>
      </w:r>
    </w:p>
    <w:p w14:paraId="60F75539" w14:textId="77777777" w:rsidR="00C324CF" w:rsidRPr="004B5FB2" w:rsidRDefault="00C324CF" w:rsidP="00C324CF">
      <w:pPr>
        <w:pStyle w:val="SingleTxtG"/>
        <w:ind w:left="1701"/>
      </w:pPr>
      <w:r w:rsidRPr="004B5FB2">
        <w:t xml:space="preserve">M. Charles </w:t>
      </w:r>
      <w:proofErr w:type="spellStart"/>
      <w:r w:rsidRPr="004B5FB2">
        <w:t>Chernor</w:t>
      </w:r>
      <w:proofErr w:type="spellEnd"/>
      <w:r w:rsidRPr="004B5FB2">
        <w:t xml:space="preserve"> </w:t>
      </w:r>
      <w:proofErr w:type="spellStart"/>
      <w:r w:rsidRPr="004B5FB2">
        <w:t>Jalloh</w:t>
      </w:r>
      <w:proofErr w:type="spellEnd"/>
      <w:r w:rsidRPr="004B5FB2">
        <w:t xml:space="preserve"> (Sierra Leone)</w:t>
      </w:r>
    </w:p>
    <w:p w14:paraId="0B8D683E" w14:textId="77777777" w:rsidR="00C324CF" w:rsidRPr="004B5FB2" w:rsidRDefault="00C324CF" w:rsidP="00C324CF">
      <w:pPr>
        <w:pStyle w:val="SingleTxtG"/>
        <w:ind w:left="1701"/>
      </w:pPr>
      <w:r w:rsidRPr="004B5FB2">
        <w:t xml:space="preserve">M. Ahmed </w:t>
      </w:r>
      <w:proofErr w:type="spellStart"/>
      <w:r w:rsidRPr="004B5FB2">
        <w:t>Laraba</w:t>
      </w:r>
      <w:proofErr w:type="spellEnd"/>
      <w:r w:rsidRPr="004B5FB2">
        <w:t xml:space="preserve"> (Algérie)</w:t>
      </w:r>
    </w:p>
    <w:p w14:paraId="4AE4C1A7" w14:textId="77777777" w:rsidR="00C324CF" w:rsidRDefault="00C324CF" w:rsidP="00C324CF">
      <w:pPr>
        <w:pStyle w:val="SingleTxtG"/>
        <w:ind w:left="1701"/>
      </w:pPr>
      <w:r w:rsidRPr="004B5FB2">
        <w:t>M. </w:t>
      </w:r>
      <w:proofErr w:type="spellStart"/>
      <w:r w:rsidRPr="004B5FB2">
        <w:t>Keun-Gwan</w:t>
      </w:r>
      <w:proofErr w:type="spellEnd"/>
      <w:r w:rsidRPr="004B5FB2">
        <w:t xml:space="preserve"> Lee (République de Corée)</w:t>
      </w:r>
    </w:p>
    <w:p w14:paraId="44E6072C" w14:textId="77777777" w:rsidR="00C324CF" w:rsidRPr="004B5FB2" w:rsidRDefault="00C324CF" w:rsidP="00C324CF">
      <w:pPr>
        <w:pStyle w:val="SingleTxtG"/>
        <w:ind w:left="1701"/>
      </w:pPr>
      <w:r>
        <w:t>M. </w:t>
      </w:r>
      <w:proofErr w:type="spellStart"/>
      <w:r>
        <w:t>Xinmin</w:t>
      </w:r>
      <w:proofErr w:type="spellEnd"/>
      <w:r>
        <w:t xml:space="preserve"> Ma (Chine)</w:t>
      </w:r>
      <w:r w:rsidRPr="00E9227E">
        <w:rPr>
          <w:rStyle w:val="Appelnotedebasdep"/>
        </w:rPr>
        <w:footnoteReference w:id="3"/>
      </w:r>
    </w:p>
    <w:p w14:paraId="47AE0537" w14:textId="77777777" w:rsidR="00C324CF" w:rsidRPr="004B5FB2" w:rsidRDefault="00C324CF" w:rsidP="00C324CF">
      <w:pPr>
        <w:pStyle w:val="SingleTxtG"/>
        <w:ind w:left="1701"/>
      </w:pPr>
      <w:r w:rsidRPr="004B5FB2">
        <w:t>M</w:t>
      </w:r>
      <w:r w:rsidRPr="004B5FB2">
        <w:rPr>
          <w:vertAlign w:val="superscript"/>
        </w:rPr>
        <w:t>me</w:t>
      </w:r>
      <w:r w:rsidRPr="004B5FB2">
        <w:t> </w:t>
      </w:r>
      <w:proofErr w:type="spellStart"/>
      <w:r w:rsidRPr="004B5FB2">
        <w:t>Vilawan</w:t>
      </w:r>
      <w:proofErr w:type="spellEnd"/>
      <w:r w:rsidRPr="004B5FB2">
        <w:t xml:space="preserve"> </w:t>
      </w:r>
      <w:proofErr w:type="spellStart"/>
      <w:r w:rsidRPr="004B5FB2">
        <w:t>Mangklatanakul</w:t>
      </w:r>
      <w:proofErr w:type="spellEnd"/>
      <w:r w:rsidRPr="004B5FB2">
        <w:t xml:space="preserve"> (Thaïlande)</w:t>
      </w:r>
    </w:p>
    <w:p w14:paraId="7A0AEDD6" w14:textId="77777777" w:rsidR="00C324CF" w:rsidRPr="004B5FB2" w:rsidRDefault="00C324CF" w:rsidP="00C324CF">
      <w:pPr>
        <w:pStyle w:val="SingleTxtG"/>
        <w:ind w:left="1701"/>
      </w:pPr>
      <w:r w:rsidRPr="004B5FB2">
        <w:t xml:space="preserve">M. Andreas D. </w:t>
      </w:r>
      <w:proofErr w:type="spellStart"/>
      <w:r w:rsidRPr="004B5FB2">
        <w:t>Mavroyiannis</w:t>
      </w:r>
      <w:proofErr w:type="spellEnd"/>
      <w:r w:rsidRPr="004B5FB2">
        <w:t xml:space="preserve"> (Chypre)</w:t>
      </w:r>
    </w:p>
    <w:p w14:paraId="1053294D" w14:textId="77777777" w:rsidR="00C324CF" w:rsidRPr="004B5FB2" w:rsidRDefault="00C324CF" w:rsidP="00C324CF">
      <w:pPr>
        <w:pStyle w:val="SingleTxtG"/>
        <w:ind w:left="1701"/>
      </w:pPr>
      <w:r w:rsidRPr="004B5FB2">
        <w:t xml:space="preserve">M. Ivon </w:t>
      </w:r>
      <w:proofErr w:type="spellStart"/>
      <w:r w:rsidRPr="004B5FB2">
        <w:t>Mingashang</w:t>
      </w:r>
      <w:proofErr w:type="spellEnd"/>
      <w:r w:rsidRPr="004B5FB2">
        <w:t xml:space="preserve"> (République démocratique du Congo)</w:t>
      </w:r>
    </w:p>
    <w:p w14:paraId="61641A81" w14:textId="77777777" w:rsidR="00C324CF" w:rsidRPr="004B5FB2" w:rsidRDefault="00C324CF" w:rsidP="00C324CF">
      <w:pPr>
        <w:pStyle w:val="SingleTxtG"/>
        <w:ind w:left="1701"/>
      </w:pPr>
      <w:r w:rsidRPr="004B5FB2">
        <w:t xml:space="preserve">M. Giuseppe </w:t>
      </w:r>
      <w:proofErr w:type="spellStart"/>
      <w:r w:rsidRPr="004B5FB2">
        <w:t>Nesi</w:t>
      </w:r>
      <w:proofErr w:type="spellEnd"/>
      <w:r w:rsidRPr="004B5FB2">
        <w:t xml:space="preserve"> (Italie)</w:t>
      </w:r>
    </w:p>
    <w:p w14:paraId="5859B528" w14:textId="77777777" w:rsidR="00C324CF" w:rsidRPr="004B5FB2" w:rsidRDefault="00C324CF" w:rsidP="00C324CF">
      <w:pPr>
        <w:pStyle w:val="SingleTxtG"/>
        <w:ind w:left="1701"/>
      </w:pPr>
      <w:r w:rsidRPr="004B5FB2">
        <w:t>M. Hong Thao Nguyen (Viet Nam)</w:t>
      </w:r>
    </w:p>
    <w:p w14:paraId="0487A7C3" w14:textId="77777777" w:rsidR="00C324CF" w:rsidRPr="004B5FB2" w:rsidRDefault="00C324CF" w:rsidP="00C324CF">
      <w:pPr>
        <w:pStyle w:val="SingleTxtG"/>
        <w:ind w:left="1701"/>
      </w:pPr>
      <w:r w:rsidRPr="004B5FB2">
        <w:t>M</w:t>
      </w:r>
      <w:r w:rsidRPr="004B5FB2">
        <w:rPr>
          <w:vertAlign w:val="superscript"/>
        </w:rPr>
        <w:t>me</w:t>
      </w:r>
      <w:r w:rsidRPr="004B5FB2">
        <w:t xml:space="preserve"> Phoebe </w:t>
      </w:r>
      <w:proofErr w:type="spellStart"/>
      <w:r w:rsidRPr="004B5FB2">
        <w:t>Okowa</w:t>
      </w:r>
      <w:proofErr w:type="spellEnd"/>
      <w:r w:rsidRPr="004B5FB2">
        <w:t xml:space="preserve"> (Kenya)</w:t>
      </w:r>
    </w:p>
    <w:p w14:paraId="633B8A5A" w14:textId="77777777" w:rsidR="00C324CF" w:rsidRPr="004B5FB2" w:rsidRDefault="00C324CF" w:rsidP="00C324CF">
      <w:pPr>
        <w:pStyle w:val="SingleTxtG"/>
        <w:ind w:left="1701"/>
      </w:pPr>
      <w:r w:rsidRPr="004B5FB2">
        <w:t>M</w:t>
      </w:r>
      <w:r w:rsidRPr="004B5FB2">
        <w:rPr>
          <w:vertAlign w:val="superscript"/>
        </w:rPr>
        <w:t>me</w:t>
      </w:r>
      <w:r w:rsidRPr="004B5FB2">
        <w:t> </w:t>
      </w:r>
      <w:proofErr w:type="spellStart"/>
      <w:r w:rsidRPr="004B5FB2">
        <w:t>Nilüfer</w:t>
      </w:r>
      <w:proofErr w:type="spellEnd"/>
      <w:r w:rsidRPr="004B5FB2">
        <w:t xml:space="preserve"> Oral (Türkiye)</w:t>
      </w:r>
    </w:p>
    <w:p w14:paraId="7E378678" w14:textId="77777777" w:rsidR="00C324CF" w:rsidRPr="004B5FB2" w:rsidRDefault="00C324CF" w:rsidP="00C324CF">
      <w:pPr>
        <w:pStyle w:val="SingleTxtG"/>
        <w:ind w:left="1701"/>
      </w:pPr>
      <w:r w:rsidRPr="004B5FB2">
        <w:t>M</w:t>
      </w:r>
      <w:r w:rsidRPr="004B5FB2">
        <w:rPr>
          <w:vertAlign w:val="superscript"/>
        </w:rPr>
        <w:t>me</w:t>
      </w:r>
      <w:r w:rsidRPr="004B5FB2">
        <w:t xml:space="preserve"> Alina </w:t>
      </w:r>
      <w:proofErr w:type="spellStart"/>
      <w:r w:rsidRPr="004B5FB2">
        <w:t>Orosan</w:t>
      </w:r>
      <w:proofErr w:type="spellEnd"/>
      <w:r w:rsidRPr="004B5FB2">
        <w:t xml:space="preserve"> (Roumanie)</w:t>
      </w:r>
      <w:r w:rsidRPr="00E9227E">
        <w:rPr>
          <w:rStyle w:val="Appelnotedebasdep"/>
        </w:rPr>
        <w:footnoteReference w:id="4"/>
      </w:r>
    </w:p>
    <w:p w14:paraId="332E9963" w14:textId="77777777" w:rsidR="00C324CF" w:rsidRPr="004B5FB2" w:rsidRDefault="00C324CF" w:rsidP="00C324CF">
      <w:pPr>
        <w:pStyle w:val="SingleTxtG"/>
        <w:ind w:left="1701"/>
      </w:pPr>
      <w:r w:rsidRPr="004B5FB2">
        <w:t xml:space="preserve">M. Hassan </w:t>
      </w:r>
      <w:proofErr w:type="spellStart"/>
      <w:r w:rsidRPr="004B5FB2">
        <w:t>Ouazzani</w:t>
      </w:r>
      <w:proofErr w:type="spellEnd"/>
      <w:r w:rsidRPr="004B5FB2">
        <w:t xml:space="preserve"> </w:t>
      </w:r>
      <w:proofErr w:type="spellStart"/>
      <w:r w:rsidRPr="004B5FB2">
        <w:t>Chahdi</w:t>
      </w:r>
      <w:proofErr w:type="spellEnd"/>
      <w:r w:rsidRPr="004B5FB2">
        <w:t xml:space="preserve"> (Maroc)</w:t>
      </w:r>
    </w:p>
    <w:p w14:paraId="1DBF451B" w14:textId="77777777" w:rsidR="00C324CF" w:rsidRPr="004B5FB2" w:rsidRDefault="00C324CF" w:rsidP="00C324CF">
      <w:pPr>
        <w:pStyle w:val="SingleTxtG"/>
        <w:ind w:left="1701"/>
      </w:pPr>
      <w:r w:rsidRPr="004B5FB2">
        <w:t xml:space="preserve">M. Mario </w:t>
      </w:r>
      <w:proofErr w:type="spellStart"/>
      <w:r w:rsidRPr="004B5FB2">
        <w:t>Oyarzábal</w:t>
      </w:r>
      <w:proofErr w:type="spellEnd"/>
      <w:r w:rsidRPr="004B5FB2">
        <w:t xml:space="preserve"> (Argentine)</w:t>
      </w:r>
    </w:p>
    <w:p w14:paraId="4DCAE3FD" w14:textId="77777777" w:rsidR="00C324CF" w:rsidRPr="004B5FB2" w:rsidRDefault="00C324CF" w:rsidP="00C324CF">
      <w:pPr>
        <w:pStyle w:val="SingleTxtG"/>
        <w:ind w:left="1701"/>
      </w:pPr>
      <w:r w:rsidRPr="004B5FB2">
        <w:t xml:space="preserve">M. </w:t>
      </w:r>
      <w:proofErr w:type="spellStart"/>
      <w:r w:rsidRPr="004B5FB2">
        <w:t>Mārtiņš</w:t>
      </w:r>
      <w:proofErr w:type="spellEnd"/>
      <w:r w:rsidRPr="004B5FB2">
        <w:t xml:space="preserve"> </w:t>
      </w:r>
      <w:proofErr w:type="spellStart"/>
      <w:r w:rsidRPr="004B5FB2">
        <w:t>Paparinskis</w:t>
      </w:r>
      <w:proofErr w:type="spellEnd"/>
      <w:r w:rsidRPr="004B5FB2">
        <w:t xml:space="preserve"> (Lettonie)</w:t>
      </w:r>
    </w:p>
    <w:p w14:paraId="7B99502D" w14:textId="77777777" w:rsidR="00C324CF" w:rsidRPr="004B5FB2" w:rsidRDefault="00C324CF" w:rsidP="00C324CF">
      <w:pPr>
        <w:pStyle w:val="SingleTxtG"/>
        <w:ind w:left="1701"/>
      </w:pPr>
      <w:r w:rsidRPr="004B5FB2">
        <w:lastRenderedPageBreak/>
        <w:t>M. Bimal N. Patel (Inde)</w:t>
      </w:r>
    </w:p>
    <w:p w14:paraId="43A5C46F" w14:textId="77777777" w:rsidR="00C324CF" w:rsidRPr="004B5FB2" w:rsidRDefault="00C324CF" w:rsidP="00C324CF">
      <w:pPr>
        <w:pStyle w:val="SingleTxtG"/>
        <w:ind w:left="1701"/>
      </w:pPr>
      <w:r w:rsidRPr="004B5FB2">
        <w:t xml:space="preserve">M. August </w:t>
      </w:r>
      <w:proofErr w:type="spellStart"/>
      <w:r w:rsidRPr="004B5FB2">
        <w:t>Reinisch</w:t>
      </w:r>
      <w:proofErr w:type="spellEnd"/>
      <w:r w:rsidRPr="004B5FB2">
        <w:t xml:space="preserve"> (Autriche)</w:t>
      </w:r>
    </w:p>
    <w:p w14:paraId="496DBA5A" w14:textId="77777777" w:rsidR="00C324CF" w:rsidRPr="004B5FB2" w:rsidRDefault="00C324CF" w:rsidP="00C324CF">
      <w:pPr>
        <w:pStyle w:val="SingleTxtG"/>
        <w:ind w:left="1701"/>
      </w:pPr>
      <w:r w:rsidRPr="004B5FB2">
        <w:t>M</w:t>
      </w:r>
      <w:r w:rsidRPr="004B5FB2">
        <w:rPr>
          <w:vertAlign w:val="superscript"/>
        </w:rPr>
        <w:t>me</w:t>
      </w:r>
      <w:r w:rsidRPr="004B5FB2">
        <w:t xml:space="preserve"> Penelope </w:t>
      </w:r>
      <w:proofErr w:type="spellStart"/>
      <w:r w:rsidRPr="004B5FB2">
        <w:t>Ridings</w:t>
      </w:r>
      <w:proofErr w:type="spellEnd"/>
      <w:r w:rsidRPr="004B5FB2">
        <w:t xml:space="preserve"> (Nouvelle-Zélande)</w:t>
      </w:r>
    </w:p>
    <w:p w14:paraId="1192FB58" w14:textId="77777777" w:rsidR="00C324CF" w:rsidRPr="004B5FB2" w:rsidRDefault="00C324CF" w:rsidP="00C324CF">
      <w:pPr>
        <w:pStyle w:val="SingleTxtG"/>
        <w:ind w:left="1701"/>
      </w:pPr>
      <w:r w:rsidRPr="004B5FB2">
        <w:t xml:space="preserve">M. Juan José </w:t>
      </w:r>
      <w:proofErr w:type="spellStart"/>
      <w:r w:rsidRPr="004B5FB2">
        <w:t>Ruda</w:t>
      </w:r>
      <w:proofErr w:type="spellEnd"/>
      <w:r w:rsidRPr="004B5FB2">
        <w:t xml:space="preserve"> </w:t>
      </w:r>
      <w:proofErr w:type="spellStart"/>
      <w:r w:rsidRPr="004B5FB2">
        <w:t>Santolaria</w:t>
      </w:r>
      <w:proofErr w:type="spellEnd"/>
      <w:r w:rsidRPr="004B5FB2">
        <w:t xml:space="preserve"> (Pérou)</w:t>
      </w:r>
    </w:p>
    <w:p w14:paraId="4EC120FB" w14:textId="77777777" w:rsidR="00C324CF" w:rsidRPr="00450147" w:rsidRDefault="00C324CF" w:rsidP="00C324CF">
      <w:pPr>
        <w:pStyle w:val="SingleTxtG"/>
        <w:ind w:left="1701"/>
      </w:pPr>
      <w:r>
        <w:rPr>
          <w:lang w:val="fr-FR"/>
        </w:rPr>
        <w:t xml:space="preserve">M. Alioune </w:t>
      </w:r>
      <w:proofErr w:type="spellStart"/>
      <w:r>
        <w:rPr>
          <w:lang w:val="fr-FR"/>
        </w:rPr>
        <w:t>Sall</w:t>
      </w:r>
      <w:proofErr w:type="spellEnd"/>
      <w:r>
        <w:rPr>
          <w:lang w:val="fr-FR"/>
        </w:rPr>
        <w:t xml:space="preserve"> (Sénégal)</w:t>
      </w:r>
    </w:p>
    <w:p w14:paraId="621B17FF" w14:textId="77777777" w:rsidR="00C324CF" w:rsidRPr="00450147" w:rsidRDefault="00C324CF" w:rsidP="00C324CF">
      <w:pPr>
        <w:pStyle w:val="SingleTxtG"/>
        <w:ind w:left="1701"/>
        <w:rPr>
          <w:lang w:val="es-ES"/>
        </w:rPr>
      </w:pPr>
      <w:r w:rsidRPr="00450147">
        <w:rPr>
          <w:lang w:val="es-ES"/>
        </w:rPr>
        <w:t xml:space="preserve">M. Louis </w:t>
      </w:r>
      <w:proofErr w:type="spellStart"/>
      <w:r w:rsidRPr="00450147">
        <w:rPr>
          <w:lang w:val="es-ES"/>
        </w:rPr>
        <w:t>Savadogo</w:t>
      </w:r>
      <w:proofErr w:type="spellEnd"/>
      <w:r w:rsidRPr="00450147">
        <w:rPr>
          <w:lang w:val="es-ES"/>
        </w:rPr>
        <w:t xml:space="preserve"> (Burkina Faso)</w:t>
      </w:r>
    </w:p>
    <w:p w14:paraId="4474712C" w14:textId="77777777" w:rsidR="00C324CF" w:rsidRPr="00834735" w:rsidRDefault="00C324CF" w:rsidP="00C324CF">
      <w:pPr>
        <w:pStyle w:val="SingleTxtG"/>
        <w:ind w:left="1701"/>
        <w:rPr>
          <w:lang w:val="en-US"/>
        </w:rPr>
      </w:pPr>
      <w:r w:rsidRPr="00450147">
        <w:rPr>
          <w:lang w:val="en-US"/>
        </w:rPr>
        <w:t>M. Munkh-</w:t>
      </w:r>
      <w:proofErr w:type="spellStart"/>
      <w:r w:rsidRPr="00450147">
        <w:rPr>
          <w:lang w:val="en-US"/>
        </w:rPr>
        <w:t>Orgil</w:t>
      </w:r>
      <w:proofErr w:type="spellEnd"/>
      <w:r w:rsidRPr="00450147">
        <w:rPr>
          <w:lang w:val="en-US"/>
        </w:rPr>
        <w:t xml:space="preserve"> Tsend (</w:t>
      </w:r>
      <w:proofErr w:type="spellStart"/>
      <w:r w:rsidRPr="00450147">
        <w:rPr>
          <w:lang w:val="en-US"/>
        </w:rPr>
        <w:t>Mongolie</w:t>
      </w:r>
      <w:proofErr w:type="spellEnd"/>
      <w:r w:rsidRPr="00450147">
        <w:rPr>
          <w:lang w:val="en-US"/>
        </w:rPr>
        <w:t>)</w:t>
      </w:r>
    </w:p>
    <w:p w14:paraId="42266F2A" w14:textId="77777777" w:rsidR="00C324CF" w:rsidRPr="00450147" w:rsidRDefault="00C324CF" w:rsidP="00C324CF">
      <w:pPr>
        <w:pStyle w:val="SingleTxtG"/>
        <w:ind w:left="1701"/>
        <w:rPr>
          <w:lang w:val="es-ES"/>
        </w:rPr>
      </w:pPr>
      <w:r w:rsidRPr="00450147">
        <w:rPr>
          <w:lang w:val="es-ES"/>
        </w:rPr>
        <w:t>M. Marcelo Vázquez-Bermúdez (</w:t>
      </w:r>
      <w:proofErr w:type="spellStart"/>
      <w:r w:rsidRPr="00450147">
        <w:rPr>
          <w:lang w:val="es-ES"/>
        </w:rPr>
        <w:t>Équateur</w:t>
      </w:r>
      <w:proofErr w:type="spellEnd"/>
      <w:r w:rsidRPr="00450147">
        <w:rPr>
          <w:lang w:val="es-ES"/>
        </w:rPr>
        <w:t>)</w:t>
      </w:r>
      <w:bookmarkStart w:id="3" w:name="_Hlk139530168"/>
      <w:bookmarkEnd w:id="3"/>
    </w:p>
    <w:p w14:paraId="5783715A" w14:textId="77777777" w:rsidR="00C324CF" w:rsidRDefault="00C324CF" w:rsidP="00C324CF">
      <w:pPr>
        <w:pStyle w:val="SingleTxtG"/>
        <w:ind w:left="1701"/>
      </w:pPr>
      <w:r>
        <w:rPr>
          <w:lang w:val="fr-FR"/>
        </w:rPr>
        <w:t>M. </w:t>
      </w:r>
      <w:proofErr w:type="spellStart"/>
      <w:r>
        <w:rPr>
          <w:lang w:val="fr-FR"/>
        </w:rPr>
        <w:t>Evgeny</w:t>
      </w:r>
      <w:proofErr w:type="spellEnd"/>
      <w:r>
        <w:rPr>
          <w:lang w:val="fr-FR"/>
        </w:rPr>
        <w:t xml:space="preserve"> </w:t>
      </w:r>
      <w:proofErr w:type="spellStart"/>
      <w:r>
        <w:rPr>
          <w:lang w:val="fr-FR"/>
        </w:rPr>
        <w:t>Zagaynov</w:t>
      </w:r>
      <w:proofErr w:type="spellEnd"/>
      <w:r>
        <w:rPr>
          <w:lang w:val="fr-FR"/>
        </w:rPr>
        <w:t xml:space="preserve"> (Fédération de Russie)</w:t>
      </w:r>
    </w:p>
    <w:p w14:paraId="68A07464" w14:textId="524B0285" w:rsidR="00C324CF" w:rsidRPr="00450147" w:rsidRDefault="00C324CF" w:rsidP="00A271C5">
      <w:pPr>
        <w:pStyle w:val="H1G"/>
      </w:pPr>
      <w:r>
        <w:rPr>
          <w:lang w:val="fr-FR"/>
        </w:rPr>
        <w:tab/>
        <w:t>B.</w:t>
      </w:r>
      <w:r>
        <w:rPr>
          <w:lang w:val="fr-FR"/>
        </w:rPr>
        <w:tab/>
      </w:r>
      <w:bookmarkStart w:id="4" w:name="_Hlk175323136"/>
      <w:r>
        <w:rPr>
          <w:lang w:val="fr-FR"/>
        </w:rPr>
        <w:t>Sièges devenus vacants après l</w:t>
      </w:r>
      <w:r w:rsidR="004C5E26">
        <w:rPr>
          <w:lang w:val="fr-FR"/>
        </w:rPr>
        <w:t>’</w:t>
      </w:r>
      <w:r>
        <w:rPr>
          <w:lang w:val="fr-FR"/>
        </w:rPr>
        <w:t>élection</w:t>
      </w:r>
      <w:bookmarkEnd w:id="4"/>
    </w:p>
    <w:p w14:paraId="6E9E1357" w14:textId="77777777" w:rsidR="00C324CF" w:rsidRPr="004B5FB2" w:rsidRDefault="00C324CF" w:rsidP="00A271C5">
      <w:pPr>
        <w:pStyle w:val="SingleTxtG"/>
      </w:pPr>
      <w:r w:rsidRPr="004B5FB2">
        <w:t>3.</w:t>
      </w:r>
      <w:r w:rsidRPr="004B5FB2">
        <w:tab/>
        <w:t>À sa 3660</w:t>
      </w:r>
      <w:r w:rsidRPr="00661644">
        <w:rPr>
          <w:vertAlign w:val="superscript"/>
        </w:rPr>
        <w:t>e</w:t>
      </w:r>
      <w:r w:rsidRPr="004B5FB2">
        <w:t> séance, le 1</w:t>
      </w:r>
      <w:r w:rsidRPr="00661644">
        <w:rPr>
          <w:vertAlign w:val="superscript"/>
        </w:rPr>
        <w:t>er</w:t>
      </w:r>
      <w:r w:rsidRPr="004B5FB2">
        <w:t> mai 2024, la Commission a élu M</w:t>
      </w:r>
      <w:r w:rsidRPr="00661644">
        <w:rPr>
          <w:vertAlign w:val="superscript"/>
        </w:rPr>
        <w:t>me</w:t>
      </w:r>
      <w:r>
        <w:t> </w:t>
      </w:r>
      <w:r w:rsidRPr="004B5FB2">
        <w:t xml:space="preserve">Alina </w:t>
      </w:r>
      <w:proofErr w:type="spellStart"/>
      <w:r w:rsidRPr="004B5FB2">
        <w:t>Orosan</w:t>
      </w:r>
      <w:proofErr w:type="spellEnd"/>
      <w:r w:rsidRPr="004B5FB2">
        <w:t xml:space="preserve"> (Roumanie) pour pourvoir le siège rendu vacant par la démission de M.</w:t>
      </w:r>
      <w:r>
        <w:t> </w:t>
      </w:r>
      <w:r w:rsidRPr="004B5FB2">
        <w:t xml:space="preserve">Bogdan </w:t>
      </w:r>
      <w:proofErr w:type="spellStart"/>
      <w:r w:rsidRPr="004B5FB2">
        <w:t>Aurescu</w:t>
      </w:r>
      <w:proofErr w:type="spellEnd"/>
      <w:r w:rsidRPr="00E9227E">
        <w:rPr>
          <w:rStyle w:val="Appelnotedebasdep"/>
        </w:rPr>
        <w:footnoteReference w:id="5"/>
      </w:r>
      <w:r w:rsidRPr="004B5FB2">
        <w:t>, élu à la Cour internationale de Justice.</w:t>
      </w:r>
    </w:p>
    <w:p w14:paraId="4158E9D7" w14:textId="77777777" w:rsidR="00C324CF" w:rsidRDefault="00C324CF" w:rsidP="00A271C5">
      <w:pPr>
        <w:pStyle w:val="SingleTxtG"/>
      </w:pPr>
      <w:r>
        <w:t>4.</w:t>
      </w:r>
      <w:r>
        <w:tab/>
      </w:r>
      <w:r w:rsidRPr="004B5FB2">
        <w:t xml:space="preserve">À sa </w:t>
      </w:r>
      <w:r>
        <w:t>3699</w:t>
      </w:r>
      <w:r w:rsidRPr="0077491F">
        <w:rPr>
          <w:vertAlign w:val="superscript"/>
        </w:rPr>
        <w:t>e</w:t>
      </w:r>
      <w:r>
        <w:t> </w:t>
      </w:r>
      <w:r w:rsidRPr="004B5FB2">
        <w:t>séance, le 31</w:t>
      </w:r>
      <w:r>
        <w:t> </w:t>
      </w:r>
      <w:r w:rsidRPr="004B5FB2">
        <w:t xml:space="preserve">juillet 2024, la Commission a élu </w:t>
      </w:r>
      <w:r>
        <w:t>M. </w:t>
      </w:r>
      <w:proofErr w:type="spellStart"/>
      <w:r>
        <w:t>Xinmin</w:t>
      </w:r>
      <w:proofErr w:type="spellEnd"/>
      <w:r>
        <w:t xml:space="preserve"> Ma</w:t>
      </w:r>
      <w:r w:rsidRPr="004B5FB2">
        <w:t xml:space="preserve"> (</w:t>
      </w:r>
      <w:r>
        <w:t>Chine</w:t>
      </w:r>
      <w:r w:rsidRPr="004B5FB2">
        <w:t>) afin de pourvoir le siège rendu vacant par la démission de M.</w:t>
      </w:r>
      <w:r>
        <w:t> </w:t>
      </w:r>
      <w:proofErr w:type="spellStart"/>
      <w:r w:rsidRPr="004B5FB2">
        <w:t>Huikang</w:t>
      </w:r>
      <w:proofErr w:type="spellEnd"/>
      <w:r w:rsidRPr="004B5FB2">
        <w:t xml:space="preserve"> Huang</w:t>
      </w:r>
      <w:r w:rsidRPr="00E9227E">
        <w:rPr>
          <w:rStyle w:val="Appelnotedebasdep"/>
        </w:rPr>
        <w:footnoteReference w:id="6"/>
      </w:r>
      <w:r>
        <w:rPr>
          <w:lang w:val="fr-FR"/>
        </w:rPr>
        <w:t>.</w:t>
      </w:r>
    </w:p>
    <w:p w14:paraId="0B0FB30D" w14:textId="77777777" w:rsidR="00C324CF" w:rsidRDefault="00C324CF" w:rsidP="00A271C5">
      <w:pPr>
        <w:pStyle w:val="H1G"/>
      </w:pPr>
      <w:r>
        <w:rPr>
          <w:lang w:val="fr-FR"/>
        </w:rPr>
        <w:tab/>
        <w:t>C.</w:t>
      </w:r>
      <w:r>
        <w:rPr>
          <w:lang w:val="fr-FR"/>
        </w:rPr>
        <w:tab/>
      </w:r>
      <w:bookmarkStart w:id="5" w:name="_Hlk175323144"/>
      <w:r>
        <w:rPr>
          <w:lang w:val="fr-FR"/>
        </w:rPr>
        <w:t>Bureau et bureau élargi</w:t>
      </w:r>
      <w:bookmarkEnd w:id="5"/>
    </w:p>
    <w:p w14:paraId="7454BA4F" w14:textId="77777777" w:rsidR="00C324CF" w:rsidRDefault="00C324CF" w:rsidP="00A271C5">
      <w:pPr>
        <w:pStyle w:val="SingleTxtG"/>
        <w:rPr>
          <w:lang w:val="fr-FR"/>
        </w:rPr>
      </w:pPr>
      <w:r>
        <w:rPr>
          <w:lang w:val="fr-FR"/>
        </w:rPr>
        <w:t>5.</w:t>
      </w:r>
      <w:r>
        <w:rPr>
          <w:lang w:val="fr-FR"/>
        </w:rPr>
        <w:tab/>
        <w:t>À sa 3658</w:t>
      </w:r>
      <w:r w:rsidRPr="00DA2671">
        <w:rPr>
          <w:vertAlign w:val="superscript"/>
          <w:lang w:val="fr-FR"/>
        </w:rPr>
        <w:t>e</w:t>
      </w:r>
      <w:r>
        <w:rPr>
          <w:lang w:val="fr-FR"/>
        </w:rPr>
        <w:t> séance, le 29 avril 2024, la Commission a élu le bureau suivant :</w:t>
      </w:r>
    </w:p>
    <w:p w14:paraId="717C5891" w14:textId="77777777" w:rsidR="00C324CF" w:rsidRPr="00661644" w:rsidRDefault="00C324CF" w:rsidP="00C324CF">
      <w:pPr>
        <w:pStyle w:val="SingleTxtG"/>
        <w:tabs>
          <w:tab w:val="clear" w:pos="2835"/>
          <w:tab w:val="left" w:pos="4820"/>
        </w:tabs>
        <w:ind w:left="1701"/>
      </w:pPr>
      <w:r w:rsidRPr="00661644">
        <w:t>Président</w:t>
      </w:r>
      <w:r>
        <w:t> </w:t>
      </w:r>
      <w:r w:rsidRPr="00661644">
        <w:t>:</w:t>
      </w:r>
      <w:r>
        <w:tab/>
      </w:r>
      <w:r w:rsidRPr="00661644">
        <w:t xml:space="preserve">M. Marcelo </w:t>
      </w:r>
      <w:proofErr w:type="spellStart"/>
      <w:r w:rsidRPr="00661644">
        <w:t>Vázquez-Bermúdez</w:t>
      </w:r>
      <w:proofErr w:type="spellEnd"/>
      <w:r w:rsidRPr="00661644">
        <w:t xml:space="preserve"> (Équateur)</w:t>
      </w:r>
    </w:p>
    <w:p w14:paraId="4A5E93DC" w14:textId="77777777" w:rsidR="00C324CF" w:rsidRPr="00661644" w:rsidRDefault="00C324CF" w:rsidP="00C324CF">
      <w:pPr>
        <w:pStyle w:val="SingleTxtG"/>
        <w:tabs>
          <w:tab w:val="clear" w:pos="2835"/>
          <w:tab w:val="left" w:pos="4820"/>
        </w:tabs>
        <w:ind w:left="1701"/>
      </w:pPr>
      <w:r w:rsidRPr="00661644">
        <w:t>Premier Vice-Président</w:t>
      </w:r>
      <w:r>
        <w:t> </w:t>
      </w:r>
      <w:r w:rsidRPr="00661644">
        <w:t>:</w:t>
      </w:r>
      <w:r w:rsidRPr="00661644">
        <w:tab/>
        <w:t xml:space="preserve">M. </w:t>
      </w:r>
      <w:proofErr w:type="spellStart"/>
      <w:r w:rsidRPr="00661644">
        <w:t>Mārtiņš</w:t>
      </w:r>
      <w:proofErr w:type="spellEnd"/>
      <w:r w:rsidRPr="00661644">
        <w:t xml:space="preserve"> </w:t>
      </w:r>
      <w:proofErr w:type="spellStart"/>
      <w:r w:rsidRPr="00661644">
        <w:t>Paparinskis</w:t>
      </w:r>
      <w:proofErr w:type="spellEnd"/>
      <w:r w:rsidRPr="00661644">
        <w:t xml:space="preserve"> (Lettonie)</w:t>
      </w:r>
    </w:p>
    <w:p w14:paraId="295B2907" w14:textId="77777777" w:rsidR="00C324CF" w:rsidRPr="00661644" w:rsidRDefault="00C324CF" w:rsidP="00C324CF">
      <w:pPr>
        <w:pStyle w:val="SingleTxtG"/>
        <w:tabs>
          <w:tab w:val="clear" w:pos="2835"/>
          <w:tab w:val="left" w:pos="4820"/>
        </w:tabs>
        <w:ind w:left="1701"/>
      </w:pPr>
      <w:r w:rsidRPr="00661644">
        <w:t>Deuxième Vice-Présidente :</w:t>
      </w:r>
      <w:r w:rsidRPr="00661644">
        <w:tab/>
        <w:t>M</w:t>
      </w:r>
      <w:r w:rsidRPr="001B4237">
        <w:rPr>
          <w:vertAlign w:val="superscript"/>
        </w:rPr>
        <w:t>me</w:t>
      </w:r>
      <w:r w:rsidRPr="00661644">
        <w:t> </w:t>
      </w:r>
      <w:proofErr w:type="spellStart"/>
      <w:r w:rsidRPr="00661644">
        <w:t>Vilawan</w:t>
      </w:r>
      <w:proofErr w:type="spellEnd"/>
      <w:r w:rsidRPr="00661644">
        <w:t xml:space="preserve"> </w:t>
      </w:r>
      <w:proofErr w:type="spellStart"/>
      <w:r w:rsidRPr="00661644">
        <w:t>Mangklatanakul</w:t>
      </w:r>
      <w:proofErr w:type="spellEnd"/>
      <w:r w:rsidRPr="00661644">
        <w:t xml:space="preserve"> (Thaïlande)</w:t>
      </w:r>
    </w:p>
    <w:p w14:paraId="2941BDAC" w14:textId="77777777" w:rsidR="00C324CF" w:rsidRPr="00661644" w:rsidRDefault="00C324CF" w:rsidP="00C324CF">
      <w:pPr>
        <w:pStyle w:val="SingleTxtG"/>
        <w:tabs>
          <w:tab w:val="clear" w:pos="2835"/>
          <w:tab w:val="left" w:pos="4111"/>
          <w:tab w:val="left" w:pos="4820"/>
        </w:tabs>
        <w:ind w:left="1701"/>
      </w:pPr>
      <w:r w:rsidRPr="00661644">
        <w:t>Présidente du Comité de rédaction</w:t>
      </w:r>
      <w:r>
        <w:t> </w:t>
      </w:r>
      <w:r w:rsidRPr="00661644">
        <w:t>:</w:t>
      </w:r>
      <w:r>
        <w:tab/>
      </w:r>
      <w:r w:rsidRPr="00661644">
        <w:t>M</w:t>
      </w:r>
      <w:r w:rsidRPr="0051462E">
        <w:rPr>
          <w:vertAlign w:val="superscript"/>
        </w:rPr>
        <w:t>me</w:t>
      </w:r>
      <w:r w:rsidRPr="00661644">
        <w:t xml:space="preserve"> Phoebe </w:t>
      </w:r>
      <w:proofErr w:type="spellStart"/>
      <w:r w:rsidRPr="00661644">
        <w:t>Okowa</w:t>
      </w:r>
      <w:proofErr w:type="spellEnd"/>
      <w:r w:rsidRPr="00661644">
        <w:t xml:space="preserve"> (Kenya)</w:t>
      </w:r>
    </w:p>
    <w:p w14:paraId="5A1637F0" w14:textId="77777777" w:rsidR="00C324CF" w:rsidRPr="00661644" w:rsidRDefault="00C324CF" w:rsidP="00C324CF">
      <w:pPr>
        <w:pStyle w:val="SingleTxtG"/>
        <w:tabs>
          <w:tab w:val="clear" w:pos="2835"/>
          <w:tab w:val="left" w:pos="4820"/>
        </w:tabs>
        <w:ind w:left="1701"/>
      </w:pPr>
      <w:r w:rsidRPr="00661644">
        <w:t>Rapporteuse :</w:t>
      </w:r>
      <w:r w:rsidRPr="00661644">
        <w:tab/>
        <w:t>M</w:t>
      </w:r>
      <w:r w:rsidRPr="0051462E">
        <w:rPr>
          <w:vertAlign w:val="superscript"/>
        </w:rPr>
        <w:t>me</w:t>
      </w:r>
      <w:r w:rsidRPr="00661644">
        <w:t xml:space="preserve"> Penelope </w:t>
      </w:r>
      <w:proofErr w:type="spellStart"/>
      <w:r w:rsidRPr="00661644">
        <w:t>Ridings</w:t>
      </w:r>
      <w:proofErr w:type="spellEnd"/>
      <w:r w:rsidRPr="00661644">
        <w:t xml:space="preserve"> (Nouvelle-Zélande)</w:t>
      </w:r>
    </w:p>
    <w:p w14:paraId="216CE4D4" w14:textId="64B734A1" w:rsidR="00C324CF" w:rsidRPr="00450147" w:rsidRDefault="00C324CF" w:rsidP="00A271C5">
      <w:pPr>
        <w:pStyle w:val="SingleTxtG"/>
      </w:pPr>
      <w:r w:rsidRPr="00450147">
        <w:t>6.</w:t>
      </w:r>
      <w:r w:rsidRPr="00450147">
        <w:tab/>
      </w:r>
      <w:r>
        <w:rPr>
          <w:lang w:val="fr-FR"/>
        </w:rPr>
        <w:t>Le Bureau élargi de la Commission était composé des membres du Bureau de la présente session, des rapporteurs spéciaux</w:t>
      </w:r>
      <w:bookmarkStart w:id="6" w:name="_Ref175052861"/>
      <w:r w:rsidRPr="00E9227E">
        <w:rPr>
          <w:rStyle w:val="Appelnotedebasdep"/>
        </w:rPr>
        <w:footnoteReference w:id="7"/>
      </w:r>
      <w:bookmarkEnd w:id="6"/>
      <w:r>
        <w:rPr>
          <w:lang w:val="fr-FR"/>
        </w:rPr>
        <w:t xml:space="preserve"> et des Coprésident(e)s du Groupe d</w:t>
      </w:r>
      <w:r w:rsidR="004C5E26">
        <w:rPr>
          <w:lang w:val="fr-FR"/>
        </w:rPr>
        <w:t>’</w:t>
      </w:r>
      <w:r>
        <w:rPr>
          <w:lang w:val="fr-FR"/>
        </w:rPr>
        <w:t>étude sur l</w:t>
      </w:r>
      <w:r w:rsidR="004C5E26">
        <w:rPr>
          <w:lang w:val="fr-FR"/>
        </w:rPr>
        <w:t>’</w:t>
      </w:r>
      <w:r>
        <w:rPr>
          <w:lang w:val="fr-FR"/>
        </w:rPr>
        <w:t>élévation du niveau de la mer au regard du droit international</w:t>
      </w:r>
      <w:r w:rsidRPr="00E9227E">
        <w:rPr>
          <w:rStyle w:val="Appelnotedebasdep"/>
        </w:rPr>
        <w:footnoteReference w:id="8"/>
      </w:r>
      <w:r>
        <w:rPr>
          <w:lang w:val="fr-FR"/>
        </w:rPr>
        <w:t>.</w:t>
      </w:r>
    </w:p>
    <w:p w14:paraId="69936F68" w14:textId="48999042" w:rsidR="00C324CF" w:rsidRPr="0051462E" w:rsidRDefault="00C324CF" w:rsidP="00A271C5">
      <w:pPr>
        <w:pStyle w:val="SingleTxtG"/>
      </w:pPr>
      <w:r w:rsidRPr="0051462E">
        <w:t>7.</w:t>
      </w:r>
      <w:r w:rsidRPr="0051462E">
        <w:tab/>
      </w:r>
      <w:r w:rsidRPr="002B58F7">
        <w:rPr>
          <w:spacing w:val="-2"/>
          <w:lang w:val="fr-FR"/>
        </w:rPr>
        <w:t xml:space="preserve">Le 13 mai 2024, la Commission a constitué le Groupe de planification, composé des </w:t>
      </w:r>
      <w:r w:rsidRPr="002B58F7">
        <w:rPr>
          <w:spacing w:val="-6"/>
          <w:lang w:val="fr-FR"/>
        </w:rPr>
        <w:t>membres suivants : M. </w:t>
      </w:r>
      <w:proofErr w:type="spellStart"/>
      <w:r w:rsidRPr="002B58F7">
        <w:rPr>
          <w:spacing w:val="-6"/>
          <w:lang w:val="fr-FR"/>
        </w:rPr>
        <w:t>Mārtiņš</w:t>
      </w:r>
      <w:proofErr w:type="spellEnd"/>
      <w:r w:rsidRPr="002B58F7">
        <w:rPr>
          <w:spacing w:val="-6"/>
          <w:lang w:val="fr-FR"/>
        </w:rPr>
        <w:t> </w:t>
      </w:r>
      <w:proofErr w:type="spellStart"/>
      <w:r w:rsidRPr="002B58F7">
        <w:rPr>
          <w:spacing w:val="-6"/>
          <w:lang w:val="fr-FR"/>
        </w:rPr>
        <w:t>Paparinskis</w:t>
      </w:r>
      <w:proofErr w:type="spellEnd"/>
      <w:r w:rsidRPr="002B58F7">
        <w:rPr>
          <w:spacing w:val="-6"/>
          <w:lang w:val="fr-FR"/>
        </w:rPr>
        <w:t xml:space="preserve"> (Président) ; M. Masahiko </w:t>
      </w:r>
      <w:proofErr w:type="spellStart"/>
      <w:r w:rsidRPr="002B58F7">
        <w:rPr>
          <w:spacing w:val="-6"/>
          <w:lang w:val="fr-FR"/>
        </w:rPr>
        <w:t>Asada</w:t>
      </w:r>
      <w:proofErr w:type="spellEnd"/>
      <w:r w:rsidRPr="002B58F7">
        <w:rPr>
          <w:spacing w:val="-6"/>
          <w:lang w:val="fr-FR"/>
        </w:rPr>
        <w:t>, M. Rolf </w:t>
      </w:r>
      <w:proofErr w:type="spellStart"/>
      <w:r w:rsidRPr="002B58F7">
        <w:rPr>
          <w:spacing w:val="-6"/>
          <w:lang w:val="fr-FR"/>
        </w:rPr>
        <w:t>Einar</w:t>
      </w:r>
      <w:proofErr w:type="spellEnd"/>
      <w:r w:rsidRPr="002B58F7">
        <w:rPr>
          <w:spacing w:val="-6"/>
          <w:lang w:val="fr-FR"/>
        </w:rPr>
        <w:t xml:space="preserve"> Fife, </w:t>
      </w:r>
      <w:r w:rsidRPr="002B58F7">
        <w:rPr>
          <w:spacing w:val="-2"/>
          <w:lang w:val="fr-FR"/>
        </w:rPr>
        <w:t xml:space="preserve">M. Mathias </w:t>
      </w:r>
      <w:proofErr w:type="spellStart"/>
      <w:r w:rsidRPr="002B58F7">
        <w:rPr>
          <w:spacing w:val="-2"/>
          <w:lang w:val="fr-FR"/>
        </w:rPr>
        <w:t>Forteau</w:t>
      </w:r>
      <w:proofErr w:type="spellEnd"/>
      <w:r w:rsidRPr="002B58F7">
        <w:rPr>
          <w:spacing w:val="-2"/>
          <w:lang w:val="fr-FR"/>
        </w:rPr>
        <w:t xml:space="preserve">, M. George Rodrigo Bandeira </w:t>
      </w:r>
      <w:proofErr w:type="spellStart"/>
      <w:r w:rsidRPr="002B58F7">
        <w:rPr>
          <w:spacing w:val="-2"/>
          <w:lang w:val="fr-FR"/>
        </w:rPr>
        <w:t>Galindo</w:t>
      </w:r>
      <w:proofErr w:type="spellEnd"/>
      <w:r w:rsidRPr="002B58F7">
        <w:rPr>
          <w:spacing w:val="-2"/>
          <w:lang w:val="fr-FR"/>
        </w:rPr>
        <w:t xml:space="preserve">, </w:t>
      </w:r>
      <w:r w:rsidRPr="002B58F7">
        <w:rPr>
          <w:lang w:val="fr-FR"/>
        </w:rPr>
        <w:t>M</w:t>
      </w:r>
      <w:r w:rsidRPr="002B58F7">
        <w:rPr>
          <w:vertAlign w:val="superscript"/>
          <w:lang w:val="fr-FR"/>
        </w:rPr>
        <w:t>me</w:t>
      </w:r>
      <w:r w:rsidRPr="002B58F7">
        <w:rPr>
          <w:lang w:val="fr-FR"/>
        </w:rPr>
        <w:t> </w:t>
      </w:r>
      <w:proofErr w:type="spellStart"/>
      <w:r w:rsidRPr="002B58F7">
        <w:rPr>
          <w:lang w:val="fr-FR"/>
        </w:rPr>
        <w:t>Patrícia</w:t>
      </w:r>
      <w:proofErr w:type="spellEnd"/>
      <w:r w:rsidR="002B58F7" w:rsidRPr="002B58F7">
        <w:rPr>
          <w:lang w:val="fr-FR"/>
        </w:rPr>
        <w:t> </w:t>
      </w:r>
      <w:proofErr w:type="spellStart"/>
      <w:r w:rsidRPr="002B58F7">
        <w:rPr>
          <w:lang w:val="fr-FR"/>
        </w:rPr>
        <w:t>Galvão</w:t>
      </w:r>
      <w:proofErr w:type="spellEnd"/>
      <w:r w:rsidRPr="002B58F7">
        <w:rPr>
          <w:lang w:val="fr-FR"/>
        </w:rPr>
        <w:t> </w:t>
      </w:r>
      <w:proofErr w:type="spellStart"/>
      <w:r w:rsidRPr="002B58F7">
        <w:rPr>
          <w:lang w:val="fr-FR"/>
        </w:rPr>
        <w:t>Teles</w:t>
      </w:r>
      <w:proofErr w:type="spellEnd"/>
      <w:r w:rsidRPr="002B58F7">
        <w:rPr>
          <w:lang w:val="fr-FR"/>
        </w:rPr>
        <w:t xml:space="preserve">, </w:t>
      </w:r>
      <w:r w:rsidRPr="002B58F7">
        <w:rPr>
          <w:spacing w:val="-8"/>
          <w:lang w:val="fr-FR"/>
        </w:rPr>
        <w:t>M. Claudio Grossman </w:t>
      </w:r>
      <w:proofErr w:type="spellStart"/>
      <w:r w:rsidRPr="002B58F7">
        <w:rPr>
          <w:spacing w:val="-8"/>
          <w:lang w:val="fr-FR"/>
        </w:rPr>
        <w:t>Guiloff</w:t>
      </w:r>
      <w:proofErr w:type="spellEnd"/>
      <w:r w:rsidRPr="002B58F7">
        <w:rPr>
          <w:spacing w:val="-8"/>
          <w:lang w:val="fr-FR"/>
        </w:rPr>
        <w:t>, M. </w:t>
      </w:r>
      <w:proofErr w:type="spellStart"/>
      <w:r w:rsidRPr="002B58F7">
        <w:rPr>
          <w:spacing w:val="-8"/>
          <w:lang w:val="fr-FR"/>
        </w:rPr>
        <w:t>Huikang</w:t>
      </w:r>
      <w:proofErr w:type="spellEnd"/>
      <w:r w:rsidRPr="002B58F7">
        <w:rPr>
          <w:spacing w:val="-8"/>
          <w:lang w:val="fr-FR"/>
        </w:rPr>
        <w:t> Huang, M. Charles </w:t>
      </w:r>
      <w:proofErr w:type="spellStart"/>
      <w:r w:rsidRPr="002B58F7">
        <w:rPr>
          <w:spacing w:val="-8"/>
          <w:lang w:val="fr-FR"/>
        </w:rPr>
        <w:t>Chernor</w:t>
      </w:r>
      <w:proofErr w:type="spellEnd"/>
      <w:r w:rsidRPr="002B58F7">
        <w:rPr>
          <w:spacing w:val="-8"/>
          <w:lang w:val="fr-FR"/>
        </w:rPr>
        <w:t> </w:t>
      </w:r>
      <w:proofErr w:type="spellStart"/>
      <w:r w:rsidRPr="002B58F7">
        <w:rPr>
          <w:spacing w:val="-8"/>
          <w:lang w:val="fr-FR"/>
        </w:rPr>
        <w:t>Jalloh</w:t>
      </w:r>
      <w:proofErr w:type="spellEnd"/>
      <w:r w:rsidRPr="002B58F7">
        <w:rPr>
          <w:spacing w:val="-8"/>
          <w:lang w:val="fr-FR"/>
        </w:rPr>
        <w:t>, M. </w:t>
      </w:r>
      <w:proofErr w:type="spellStart"/>
      <w:r w:rsidRPr="002B58F7">
        <w:rPr>
          <w:spacing w:val="-8"/>
          <w:lang w:val="fr-FR"/>
        </w:rPr>
        <w:t>Keun</w:t>
      </w:r>
      <w:r w:rsidRPr="002B58F7">
        <w:rPr>
          <w:spacing w:val="-8"/>
          <w:lang w:val="fr-FR"/>
        </w:rPr>
        <w:noBreakHyphen/>
        <w:t>Gwan</w:t>
      </w:r>
      <w:proofErr w:type="spellEnd"/>
      <w:r w:rsidRPr="002B58F7">
        <w:rPr>
          <w:spacing w:val="-8"/>
          <w:lang w:val="fr-FR"/>
        </w:rPr>
        <w:t> Lee,</w:t>
      </w:r>
      <w:r w:rsidRPr="002B58F7">
        <w:rPr>
          <w:spacing w:val="-2"/>
          <w:lang w:val="fr-FR"/>
        </w:rPr>
        <w:t xml:space="preserve"> </w:t>
      </w:r>
      <w:r w:rsidRPr="002B58F7">
        <w:rPr>
          <w:spacing w:val="-4"/>
          <w:lang w:val="fr-FR"/>
        </w:rPr>
        <w:t>M</w:t>
      </w:r>
      <w:r w:rsidRPr="002B58F7">
        <w:rPr>
          <w:spacing w:val="-4"/>
          <w:vertAlign w:val="superscript"/>
          <w:lang w:val="fr-FR"/>
        </w:rPr>
        <w:t>me</w:t>
      </w:r>
      <w:r w:rsidRPr="002B58F7">
        <w:rPr>
          <w:spacing w:val="-4"/>
          <w:lang w:val="fr-FR"/>
        </w:rPr>
        <w:t> </w:t>
      </w:r>
      <w:proofErr w:type="spellStart"/>
      <w:r w:rsidRPr="002B58F7">
        <w:rPr>
          <w:spacing w:val="-4"/>
          <w:lang w:val="fr-FR"/>
        </w:rPr>
        <w:t>Vilawan</w:t>
      </w:r>
      <w:proofErr w:type="spellEnd"/>
      <w:r w:rsidRPr="002B58F7">
        <w:rPr>
          <w:spacing w:val="-4"/>
          <w:lang w:val="fr-FR"/>
        </w:rPr>
        <w:t> </w:t>
      </w:r>
      <w:proofErr w:type="spellStart"/>
      <w:r w:rsidRPr="002B58F7">
        <w:rPr>
          <w:spacing w:val="-4"/>
          <w:lang w:val="fr-FR"/>
        </w:rPr>
        <w:t>Mangklatanakul</w:t>
      </w:r>
      <w:proofErr w:type="spellEnd"/>
      <w:r w:rsidRPr="002B58F7">
        <w:rPr>
          <w:spacing w:val="-4"/>
          <w:lang w:val="fr-FR"/>
        </w:rPr>
        <w:t>, M. Andreas D. </w:t>
      </w:r>
      <w:proofErr w:type="spellStart"/>
      <w:r w:rsidRPr="002B58F7">
        <w:rPr>
          <w:spacing w:val="-4"/>
          <w:lang w:val="fr-FR"/>
        </w:rPr>
        <w:t>Mavroyiannis</w:t>
      </w:r>
      <w:proofErr w:type="spellEnd"/>
      <w:r w:rsidRPr="002B58F7">
        <w:rPr>
          <w:spacing w:val="-4"/>
          <w:lang w:val="fr-FR"/>
        </w:rPr>
        <w:t>, M. Giuseppe </w:t>
      </w:r>
      <w:proofErr w:type="spellStart"/>
      <w:r w:rsidRPr="002B58F7">
        <w:rPr>
          <w:spacing w:val="-4"/>
          <w:lang w:val="fr-FR"/>
        </w:rPr>
        <w:t>Nesi</w:t>
      </w:r>
      <w:proofErr w:type="spellEnd"/>
      <w:r w:rsidRPr="002B58F7">
        <w:rPr>
          <w:spacing w:val="-4"/>
          <w:lang w:val="fr-FR"/>
        </w:rPr>
        <w:t>, M. Hong Thao</w:t>
      </w:r>
      <w:r w:rsidR="002B58F7">
        <w:rPr>
          <w:lang w:val="fr-FR"/>
        </w:rPr>
        <w:t xml:space="preserve"> </w:t>
      </w:r>
      <w:r w:rsidRPr="002B58F7">
        <w:rPr>
          <w:spacing w:val="-6"/>
          <w:lang w:val="fr-FR"/>
        </w:rPr>
        <w:t>Nguyen, M</w:t>
      </w:r>
      <w:r w:rsidRPr="002B58F7">
        <w:rPr>
          <w:spacing w:val="-6"/>
          <w:vertAlign w:val="superscript"/>
          <w:lang w:val="fr-FR"/>
        </w:rPr>
        <w:t>me</w:t>
      </w:r>
      <w:r w:rsidRPr="002B58F7">
        <w:rPr>
          <w:spacing w:val="-6"/>
          <w:lang w:val="fr-FR"/>
        </w:rPr>
        <w:t> </w:t>
      </w:r>
      <w:proofErr w:type="spellStart"/>
      <w:r w:rsidRPr="002B58F7">
        <w:rPr>
          <w:spacing w:val="-6"/>
          <w:lang w:val="fr-FR"/>
        </w:rPr>
        <w:t>Nilüfer</w:t>
      </w:r>
      <w:proofErr w:type="spellEnd"/>
      <w:r w:rsidRPr="002B58F7">
        <w:rPr>
          <w:spacing w:val="-6"/>
          <w:lang w:val="fr-FR"/>
        </w:rPr>
        <w:t> Oral, M. Hassan </w:t>
      </w:r>
      <w:proofErr w:type="spellStart"/>
      <w:r w:rsidRPr="002B58F7">
        <w:rPr>
          <w:spacing w:val="-6"/>
          <w:lang w:val="fr-FR"/>
        </w:rPr>
        <w:t>Ouazzani</w:t>
      </w:r>
      <w:proofErr w:type="spellEnd"/>
      <w:r w:rsidRPr="002B58F7">
        <w:rPr>
          <w:spacing w:val="-6"/>
          <w:lang w:val="fr-FR"/>
        </w:rPr>
        <w:t> </w:t>
      </w:r>
      <w:proofErr w:type="spellStart"/>
      <w:r w:rsidRPr="002B58F7">
        <w:rPr>
          <w:spacing w:val="-6"/>
          <w:lang w:val="fr-FR"/>
        </w:rPr>
        <w:t>Chahdi</w:t>
      </w:r>
      <w:proofErr w:type="spellEnd"/>
      <w:r w:rsidRPr="002B58F7">
        <w:rPr>
          <w:spacing w:val="-6"/>
          <w:lang w:val="fr-FR"/>
        </w:rPr>
        <w:t>, M. Mario </w:t>
      </w:r>
      <w:proofErr w:type="spellStart"/>
      <w:r w:rsidRPr="002B58F7">
        <w:rPr>
          <w:spacing w:val="-6"/>
          <w:lang w:val="fr-FR"/>
        </w:rPr>
        <w:t>Oyarzábal</w:t>
      </w:r>
      <w:proofErr w:type="spellEnd"/>
      <w:r w:rsidRPr="002B58F7">
        <w:rPr>
          <w:spacing w:val="-6"/>
          <w:lang w:val="fr-FR"/>
        </w:rPr>
        <w:t>, M. Bimal N. Patel,</w:t>
      </w:r>
      <w:r w:rsidRPr="002B58F7">
        <w:rPr>
          <w:spacing w:val="-2"/>
          <w:lang w:val="fr-FR"/>
        </w:rPr>
        <w:t xml:space="preserve"> </w:t>
      </w:r>
      <w:r w:rsidRPr="00942491">
        <w:rPr>
          <w:spacing w:val="-10"/>
          <w:lang w:val="fr-FR"/>
        </w:rPr>
        <w:t>M. Juan José </w:t>
      </w:r>
      <w:proofErr w:type="spellStart"/>
      <w:r w:rsidRPr="00942491">
        <w:rPr>
          <w:spacing w:val="-10"/>
          <w:lang w:val="fr-FR"/>
        </w:rPr>
        <w:t>Ruda</w:t>
      </w:r>
      <w:proofErr w:type="spellEnd"/>
      <w:r w:rsidRPr="00942491">
        <w:rPr>
          <w:spacing w:val="-10"/>
          <w:lang w:val="fr-FR"/>
        </w:rPr>
        <w:t> </w:t>
      </w:r>
      <w:proofErr w:type="spellStart"/>
      <w:r w:rsidRPr="00942491">
        <w:rPr>
          <w:spacing w:val="-10"/>
          <w:lang w:val="fr-FR"/>
        </w:rPr>
        <w:t>Santolaria</w:t>
      </w:r>
      <w:proofErr w:type="spellEnd"/>
      <w:r w:rsidRPr="00942491">
        <w:rPr>
          <w:spacing w:val="-10"/>
          <w:lang w:val="fr-FR"/>
        </w:rPr>
        <w:t>, M. Alioune </w:t>
      </w:r>
      <w:proofErr w:type="spellStart"/>
      <w:r w:rsidRPr="00942491">
        <w:rPr>
          <w:spacing w:val="-10"/>
          <w:lang w:val="fr-FR"/>
        </w:rPr>
        <w:t>Sall</w:t>
      </w:r>
      <w:proofErr w:type="spellEnd"/>
      <w:r w:rsidRPr="00942491">
        <w:rPr>
          <w:spacing w:val="-10"/>
          <w:lang w:val="fr-FR"/>
        </w:rPr>
        <w:t>, M. Marcelo </w:t>
      </w:r>
      <w:proofErr w:type="spellStart"/>
      <w:r w:rsidRPr="00942491">
        <w:rPr>
          <w:spacing w:val="-10"/>
          <w:lang w:val="fr-FR"/>
        </w:rPr>
        <w:t>Vázquez-Bermúdez</w:t>
      </w:r>
      <w:proofErr w:type="spellEnd"/>
      <w:r w:rsidRPr="00942491">
        <w:rPr>
          <w:spacing w:val="-10"/>
          <w:lang w:val="fr-FR"/>
        </w:rPr>
        <w:t>, M. </w:t>
      </w:r>
      <w:proofErr w:type="spellStart"/>
      <w:r w:rsidRPr="00942491">
        <w:rPr>
          <w:spacing w:val="-10"/>
          <w:lang w:val="fr-FR"/>
        </w:rPr>
        <w:t>Evgeny</w:t>
      </w:r>
      <w:proofErr w:type="spellEnd"/>
      <w:r w:rsidR="002B58F7" w:rsidRPr="00942491">
        <w:rPr>
          <w:spacing w:val="-10"/>
          <w:lang w:val="fr-FR"/>
        </w:rPr>
        <w:t> </w:t>
      </w:r>
      <w:proofErr w:type="spellStart"/>
      <w:r w:rsidRPr="00942491">
        <w:rPr>
          <w:spacing w:val="-10"/>
          <w:lang w:val="fr-FR"/>
        </w:rPr>
        <w:t>Zagaynov</w:t>
      </w:r>
      <w:proofErr w:type="spellEnd"/>
      <w:r w:rsidRPr="002B58F7">
        <w:rPr>
          <w:spacing w:val="-2"/>
          <w:lang w:val="fr-FR"/>
        </w:rPr>
        <w:t xml:space="preserve"> et M</w:t>
      </w:r>
      <w:r w:rsidRPr="002B58F7">
        <w:rPr>
          <w:spacing w:val="-2"/>
          <w:vertAlign w:val="superscript"/>
          <w:lang w:val="fr-FR"/>
        </w:rPr>
        <w:t>me</w:t>
      </w:r>
      <w:r w:rsidRPr="002B58F7">
        <w:rPr>
          <w:spacing w:val="-2"/>
          <w:lang w:val="fr-FR"/>
        </w:rPr>
        <w:t xml:space="preserve"> Penelope </w:t>
      </w:r>
      <w:proofErr w:type="spellStart"/>
      <w:r w:rsidRPr="002B58F7">
        <w:rPr>
          <w:spacing w:val="-2"/>
          <w:lang w:val="fr-FR"/>
        </w:rPr>
        <w:t>Ridings</w:t>
      </w:r>
      <w:proofErr w:type="spellEnd"/>
      <w:r w:rsidRPr="002B58F7">
        <w:rPr>
          <w:spacing w:val="-2"/>
          <w:lang w:val="fr-FR"/>
        </w:rPr>
        <w:t xml:space="preserve"> (membre de droit).</w:t>
      </w:r>
    </w:p>
    <w:p w14:paraId="5825D32E" w14:textId="77777777" w:rsidR="00C324CF" w:rsidRPr="00450147" w:rsidRDefault="00C324CF" w:rsidP="00A271C5">
      <w:pPr>
        <w:pStyle w:val="H1G"/>
      </w:pPr>
      <w:r>
        <w:rPr>
          <w:lang w:val="fr-FR"/>
        </w:rPr>
        <w:lastRenderedPageBreak/>
        <w:tab/>
        <w:t>D.</w:t>
      </w:r>
      <w:r>
        <w:rPr>
          <w:lang w:val="fr-FR"/>
        </w:rPr>
        <w:tab/>
      </w:r>
      <w:bookmarkStart w:id="7" w:name="_Hlk175323152"/>
      <w:r>
        <w:rPr>
          <w:lang w:val="fr-FR"/>
        </w:rPr>
        <w:t>Comité de rédaction</w:t>
      </w:r>
      <w:bookmarkEnd w:id="7"/>
    </w:p>
    <w:p w14:paraId="3E2362DA" w14:textId="77777777" w:rsidR="00C324CF" w:rsidRPr="00450147" w:rsidRDefault="00C324CF" w:rsidP="00A271C5">
      <w:pPr>
        <w:pStyle w:val="SingleTxtG"/>
      </w:pPr>
      <w:r w:rsidRPr="00450147">
        <w:t>8.</w:t>
      </w:r>
      <w:r w:rsidRPr="00450147">
        <w:tab/>
      </w:r>
      <w:r>
        <w:rPr>
          <w:lang w:val="fr-FR"/>
        </w:rPr>
        <w:t>À ses 3662</w:t>
      </w:r>
      <w:r w:rsidRPr="00DC6517">
        <w:rPr>
          <w:vertAlign w:val="superscript"/>
          <w:lang w:val="fr-FR"/>
        </w:rPr>
        <w:t>e</w:t>
      </w:r>
      <w:r>
        <w:rPr>
          <w:lang w:val="fr-FR"/>
        </w:rPr>
        <w:t>, 3667</w:t>
      </w:r>
      <w:r w:rsidRPr="00B7348E">
        <w:rPr>
          <w:vertAlign w:val="superscript"/>
          <w:lang w:val="fr-FR"/>
        </w:rPr>
        <w:t>e</w:t>
      </w:r>
      <w:r>
        <w:rPr>
          <w:lang w:val="fr-FR"/>
        </w:rPr>
        <w:t>, 3672</w:t>
      </w:r>
      <w:r w:rsidRPr="00B7348E">
        <w:rPr>
          <w:vertAlign w:val="superscript"/>
          <w:lang w:val="fr-FR"/>
        </w:rPr>
        <w:t>e</w:t>
      </w:r>
      <w:r>
        <w:rPr>
          <w:lang w:val="fr-FR"/>
        </w:rPr>
        <w:t xml:space="preserve"> et 3680</w:t>
      </w:r>
      <w:r w:rsidRPr="00B7348E">
        <w:rPr>
          <w:vertAlign w:val="superscript"/>
          <w:lang w:val="fr-FR"/>
        </w:rPr>
        <w:t>e</w:t>
      </w:r>
      <w:r>
        <w:rPr>
          <w:lang w:val="fr-FR"/>
        </w:rPr>
        <w:t> séances, les 3, 15 et 28 mai et 9 juillet 2024, la Commission a constitué un comité de rédaction composé des membres suivants pour les sujets indiqués :</w:t>
      </w:r>
    </w:p>
    <w:p w14:paraId="6E94288C" w14:textId="1E4F0A3E" w:rsidR="00C324CF" w:rsidRPr="00450147" w:rsidRDefault="00C324CF" w:rsidP="00C324CF">
      <w:pPr>
        <w:pStyle w:val="SingleTxtG"/>
        <w:ind w:firstLine="567"/>
        <w:rPr>
          <w:rFonts w:eastAsia="Calibri"/>
        </w:rPr>
      </w:pPr>
      <w:r>
        <w:rPr>
          <w:lang w:val="fr-FR"/>
        </w:rPr>
        <w:t>a)</w:t>
      </w:r>
      <w:r>
        <w:rPr>
          <w:lang w:val="fr-FR"/>
        </w:rPr>
        <w:tab/>
      </w:r>
      <w:r w:rsidRPr="00B7348E">
        <w:rPr>
          <w:i/>
          <w:iCs/>
          <w:lang w:val="fr-FR"/>
        </w:rPr>
        <w:t>Règlement des différends auxquels des organisations internationales sont parties</w:t>
      </w:r>
      <w:r>
        <w:rPr>
          <w:lang w:val="fr-FR"/>
        </w:rPr>
        <w:t> : M</w:t>
      </w:r>
      <w:r w:rsidRPr="00B7348E">
        <w:rPr>
          <w:vertAlign w:val="superscript"/>
          <w:lang w:val="fr-FR"/>
        </w:rPr>
        <w:t>me</w:t>
      </w:r>
      <w:r w:rsidR="00942491">
        <w:rPr>
          <w:lang w:val="fr-FR"/>
        </w:rPr>
        <w:t> </w:t>
      </w:r>
      <w:r>
        <w:rPr>
          <w:lang w:val="fr-FR"/>
        </w:rPr>
        <w:t>Phoebe</w:t>
      </w:r>
      <w:r w:rsidR="00942491">
        <w:rPr>
          <w:lang w:val="fr-FR"/>
        </w:rPr>
        <w:t> </w:t>
      </w:r>
      <w:proofErr w:type="spellStart"/>
      <w:r>
        <w:rPr>
          <w:lang w:val="fr-FR"/>
        </w:rPr>
        <w:t>Okowa</w:t>
      </w:r>
      <w:proofErr w:type="spellEnd"/>
      <w:r>
        <w:rPr>
          <w:lang w:val="fr-FR"/>
        </w:rPr>
        <w:t xml:space="preserve"> (Présidente), M.</w:t>
      </w:r>
      <w:r w:rsidR="00942491">
        <w:rPr>
          <w:lang w:val="fr-FR"/>
        </w:rPr>
        <w:t> </w:t>
      </w:r>
      <w:r>
        <w:rPr>
          <w:lang w:val="fr-FR"/>
        </w:rPr>
        <w:t>August</w:t>
      </w:r>
      <w:r w:rsidR="00942491">
        <w:rPr>
          <w:lang w:val="fr-FR"/>
        </w:rPr>
        <w:t> </w:t>
      </w:r>
      <w:proofErr w:type="spellStart"/>
      <w:r>
        <w:rPr>
          <w:lang w:val="fr-FR"/>
        </w:rPr>
        <w:t>Reinisch</w:t>
      </w:r>
      <w:proofErr w:type="spellEnd"/>
      <w:r>
        <w:rPr>
          <w:lang w:val="fr-FR"/>
        </w:rPr>
        <w:t xml:space="preserve"> (Rapporteur spécial), M. </w:t>
      </w:r>
      <w:proofErr w:type="spellStart"/>
      <w:r>
        <w:rPr>
          <w:lang w:val="fr-FR"/>
        </w:rPr>
        <w:t>Dapo</w:t>
      </w:r>
      <w:proofErr w:type="spellEnd"/>
      <w:r w:rsidR="00942491">
        <w:rPr>
          <w:lang w:val="fr-FR"/>
        </w:rPr>
        <w:t> </w:t>
      </w:r>
      <w:proofErr w:type="spellStart"/>
      <w:r>
        <w:rPr>
          <w:lang w:val="fr-FR"/>
        </w:rPr>
        <w:t>Akande</w:t>
      </w:r>
      <w:proofErr w:type="spellEnd"/>
      <w:r>
        <w:rPr>
          <w:lang w:val="fr-FR"/>
        </w:rPr>
        <w:t>, M.</w:t>
      </w:r>
      <w:r w:rsidR="00942491">
        <w:rPr>
          <w:lang w:val="fr-FR"/>
        </w:rPr>
        <w:t> </w:t>
      </w:r>
      <w:r>
        <w:rPr>
          <w:lang w:val="fr-FR"/>
        </w:rPr>
        <w:t>Masahiko</w:t>
      </w:r>
      <w:r w:rsidR="00942491">
        <w:rPr>
          <w:lang w:val="fr-FR"/>
        </w:rPr>
        <w:t> </w:t>
      </w:r>
      <w:proofErr w:type="spellStart"/>
      <w:r w:rsidR="00942491">
        <w:rPr>
          <w:lang w:val="fr-FR"/>
        </w:rPr>
        <w:t>Asada</w:t>
      </w:r>
      <w:proofErr w:type="spellEnd"/>
      <w:r>
        <w:rPr>
          <w:lang w:val="fr-FR"/>
        </w:rPr>
        <w:t>, M.</w:t>
      </w:r>
      <w:r w:rsidR="00942491">
        <w:rPr>
          <w:lang w:val="fr-FR"/>
        </w:rPr>
        <w:t> </w:t>
      </w:r>
      <w:r>
        <w:rPr>
          <w:lang w:val="fr-FR"/>
        </w:rPr>
        <w:t>Ahmed</w:t>
      </w:r>
      <w:r w:rsidR="00942491">
        <w:rPr>
          <w:lang w:val="fr-FR"/>
        </w:rPr>
        <w:t> </w:t>
      </w:r>
      <w:r>
        <w:rPr>
          <w:lang w:val="fr-FR"/>
        </w:rPr>
        <w:t>Amin</w:t>
      </w:r>
      <w:r w:rsidR="00942491">
        <w:rPr>
          <w:lang w:val="fr-FR"/>
        </w:rPr>
        <w:t> </w:t>
      </w:r>
      <w:proofErr w:type="spellStart"/>
      <w:r>
        <w:rPr>
          <w:lang w:val="fr-FR"/>
        </w:rPr>
        <w:t>Fathalla</w:t>
      </w:r>
      <w:proofErr w:type="spellEnd"/>
      <w:r>
        <w:rPr>
          <w:lang w:val="fr-FR"/>
        </w:rPr>
        <w:t>, M.</w:t>
      </w:r>
      <w:r w:rsidR="00942491">
        <w:rPr>
          <w:lang w:val="fr-FR"/>
        </w:rPr>
        <w:t> </w:t>
      </w:r>
      <w:r>
        <w:rPr>
          <w:lang w:val="fr-FR"/>
        </w:rPr>
        <w:t>Rolf</w:t>
      </w:r>
      <w:r w:rsidR="00942491">
        <w:rPr>
          <w:lang w:val="fr-FR"/>
        </w:rPr>
        <w:t> </w:t>
      </w:r>
      <w:proofErr w:type="spellStart"/>
      <w:r>
        <w:rPr>
          <w:lang w:val="fr-FR"/>
        </w:rPr>
        <w:t>Einar</w:t>
      </w:r>
      <w:proofErr w:type="spellEnd"/>
      <w:r w:rsidR="00942491">
        <w:rPr>
          <w:lang w:val="fr-FR"/>
        </w:rPr>
        <w:t> </w:t>
      </w:r>
      <w:r>
        <w:rPr>
          <w:lang w:val="fr-FR"/>
        </w:rPr>
        <w:t>Fife, M. Mathias</w:t>
      </w:r>
      <w:r w:rsidR="00942491">
        <w:rPr>
          <w:lang w:val="fr-FR"/>
        </w:rPr>
        <w:t> </w:t>
      </w:r>
      <w:proofErr w:type="spellStart"/>
      <w:r>
        <w:rPr>
          <w:lang w:val="fr-FR"/>
        </w:rPr>
        <w:t>Forteau</w:t>
      </w:r>
      <w:proofErr w:type="spellEnd"/>
      <w:r>
        <w:rPr>
          <w:lang w:val="fr-FR"/>
        </w:rPr>
        <w:t>, M.</w:t>
      </w:r>
      <w:r w:rsidR="00942491">
        <w:rPr>
          <w:lang w:val="fr-FR"/>
        </w:rPr>
        <w:t> </w:t>
      </w:r>
      <w:r>
        <w:rPr>
          <w:lang w:val="fr-FR"/>
        </w:rPr>
        <w:t>George</w:t>
      </w:r>
      <w:r w:rsidR="00942491">
        <w:rPr>
          <w:lang w:val="fr-FR"/>
        </w:rPr>
        <w:t> </w:t>
      </w:r>
      <w:r>
        <w:rPr>
          <w:lang w:val="fr-FR"/>
        </w:rPr>
        <w:t>Rodrigo</w:t>
      </w:r>
      <w:r w:rsidR="00942491">
        <w:rPr>
          <w:lang w:val="fr-FR"/>
        </w:rPr>
        <w:t> </w:t>
      </w:r>
      <w:r>
        <w:rPr>
          <w:lang w:val="fr-FR"/>
        </w:rPr>
        <w:t>Bandeira</w:t>
      </w:r>
      <w:r w:rsidR="00942491">
        <w:rPr>
          <w:lang w:val="fr-FR"/>
        </w:rPr>
        <w:t> </w:t>
      </w:r>
      <w:proofErr w:type="spellStart"/>
      <w:r>
        <w:rPr>
          <w:lang w:val="fr-FR"/>
        </w:rPr>
        <w:t>Galindo</w:t>
      </w:r>
      <w:proofErr w:type="spellEnd"/>
      <w:r>
        <w:rPr>
          <w:lang w:val="fr-FR"/>
        </w:rPr>
        <w:t>, M</w:t>
      </w:r>
      <w:r w:rsidRPr="00B7348E">
        <w:rPr>
          <w:vertAlign w:val="superscript"/>
          <w:lang w:val="fr-FR"/>
        </w:rPr>
        <w:t>me</w:t>
      </w:r>
      <w:r w:rsidR="00942491">
        <w:rPr>
          <w:lang w:val="fr-FR"/>
        </w:rPr>
        <w:t> </w:t>
      </w:r>
      <w:proofErr w:type="spellStart"/>
      <w:r>
        <w:rPr>
          <w:lang w:val="fr-FR"/>
        </w:rPr>
        <w:t>Patrícia</w:t>
      </w:r>
      <w:proofErr w:type="spellEnd"/>
      <w:r>
        <w:rPr>
          <w:lang w:val="fr-FR"/>
        </w:rPr>
        <w:t xml:space="preserve"> </w:t>
      </w:r>
      <w:proofErr w:type="spellStart"/>
      <w:r>
        <w:rPr>
          <w:lang w:val="fr-FR"/>
        </w:rPr>
        <w:t>Galvão</w:t>
      </w:r>
      <w:proofErr w:type="spellEnd"/>
      <w:r w:rsidR="00942491">
        <w:rPr>
          <w:lang w:val="fr-FR"/>
        </w:rPr>
        <w:t> </w:t>
      </w:r>
      <w:proofErr w:type="spellStart"/>
      <w:r>
        <w:rPr>
          <w:lang w:val="fr-FR"/>
        </w:rPr>
        <w:t>Teles</w:t>
      </w:r>
      <w:proofErr w:type="spellEnd"/>
      <w:r>
        <w:rPr>
          <w:lang w:val="fr-FR"/>
        </w:rPr>
        <w:t xml:space="preserve">, </w:t>
      </w:r>
      <w:r w:rsidRPr="00942491">
        <w:rPr>
          <w:spacing w:val="-8"/>
          <w:lang w:val="fr-FR"/>
        </w:rPr>
        <w:t>M. Claudio</w:t>
      </w:r>
      <w:r w:rsidR="00942491" w:rsidRPr="00942491">
        <w:rPr>
          <w:spacing w:val="-8"/>
          <w:lang w:val="fr-FR"/>
        </w:rPr>
        <w:t> </w:t>
      </w:r>
      <w:r w:rsidRPr="00942491">
        <w:rPr>
          <w:spacing w:val="-8"/>
          <w:lang w:val="fr-FR"/>
        </w:rPr>
        <w:t>Grossman</w:t>
      </w:r>
      <w:r w:rsidR="00942491" w:rsidRPr="00942491">
        <w:rPr>
          <w:spacing w:val="-8"/>
          <w:lang w:val="fr-FR"/>
        </w:rPr>
        <w:t> </w:t>
      </w:r>
      <w:proofErr w:type="spellStart"/>
      <w:r w:rsidRPr="00942491">
        <w:rPr>
          <w:spacing w:val="-8"/>
          <w:lang w:val="fr-FR"/>
        </w:rPr>
        <w:t>Guiloff</w:t>
      </w:r>
      <w:proofErr w:type="spellEnd"/>
      <w:r w:rsidRPr="00942491">
        <w:rPr>
          <w:spacing w:val="-8"/>
          <w:lang w:val="fr-FR"/>
        </w:rPr>
        <w:t>, M.</w:t>
      </w:r>
      <w:r w:rsidR="00942491" w:rsidRPr="00942491">
        <w:rPr>
          <w:spacing w:val="-8"/>
          <w:lang w:val="fr-FR"/>
        </w:rPr>
        <w:t> </w:t>
      </w:r>
      <w:proofErr w:type="spellStart"/>
      <w:r w:rsidRPr="00942491">
        <w:rPr>
          <w:spacing w:val="-8"/>
          <w:lang w:val="fr-FR"/>
        </w:rPr>
        <w:t>Huikang</w:t>
      </w:r>
      <w:proofErr w:type="spellEnd"/>
      <w:r w:rsidR="00942491" w:rsidRPr="00942491">
        <w:rPr>
          <w:spacing w:val="-8"/>
          <w:lang w:val="fr-FR"/>
        </w:rPr>
        <w:t> </w:t>
      </w:r>
      <w:r w:rsidRPr="00942491">
        <w:rPr>
          <w:spacing w:val="-8"/>
          <w:lang w:val="fr-FR"/>
        </w:rPr>
        <w:t>Huang, M.</w:t>
      </w:r>
      <w:r w:rsidR="00942491" w:rsidRPr="00942491">
        <w:rPr>
          <w:spacing w:val="-8"/>
          <w:lang w:val="fr-FR"/>
        </w:rPr>
        <w:t> </w:t>
      </w:r>
      <w:r w:rsidRPr="00942491">
        <w:rPr>
          <w:spacing w:val="-8"/>
          <w:lang w:val="fr-FR"/>
        </w:rPr>
        <w:t xml:space="preserve">Charles </w:t>
      </w:r>
      <w:proofErr w:type="spellStart"/>
      <w:r w:rsidRPr="00942491">
        <w:rPr>
          <w:spacing w:val="-8"/>
          <w:lang w:val="fr-FR"/>
        </w:rPr>
        <w:t>Chernor</w:t>
      </w:r>
      <w:proofErr w:type="spellEnd"/>
      <w:r w:rsidR="00942491" w:rsidRPr="00942491">
        <w:rPr>
          <w:spacing w:val="-8"/>
          <w:lang w:val="fr-FR"/>
        </w:rPr>
        <w:t> </w:t>
      </w:r>
      <w:proofErr w:type="spellStart"/>
      <w:r w:rsidRPr="00942491">
        <w:rPr>
          <w:spacing w:val="-8"/>
          <w:lang w:val="fr-FR"/>
        </w:rPr>
        <w:t>Jalloh</w:t>
      </w:r>
      <w:proofErr w:type="spellEnd"/>
      <w:r w:rsidRPr="00942491">
        <w:rPr>
          <w:spacing w:val="-8"/>
          <w:lang w:val="fr-FR"/>
        </w:rPr>
        <w:t>, M.</w:t>
      </w:r>
      <w:r w:rsidR="00942491" w:rsidRPr="00942491">
        <w:rPr>
          <w:spacing w:val="-8"/>
          <w:lang w:val="fr-FR"/>
        </w:rPr>
        <w:t> </w:t>
      </w:r>
      <w:proofErr w:type="spellStart"/>
      <w:r w:rsidRPr="00942491">
        <w:rPr>
          <w:spacing w:val="-8"/>
          <w:lang w:val="fr-FR"/>
        </w:rPr>
        <w:t>Keun</w:t>
      </w:r>
      <w:r w:rsidR="00942491" w:rsidRPr="00942491">
        <w:rPr>
          <w:spacing w:val="-8"/>
          <w:lang w:val="fr-FR"/>
        </w:rPr>
        <w:noBreakHyphen/>
      </w:r>
      <w:r w:rsidRPr="00942491">
        <w:rPr>
          <w:spacing w:val="-8"/>
          <w:lang w:val="fr-FR"/>
        </w:rPr>
        <w:t>Gwan</w:t>
      </w:r>
      <w:proofErr w:type="spellEnd"/>
      <w:r w:rsidR="00942491" w:rsidRPr="00942491">
        <w:rPr>
          <w:spacing w:val="-8"/>
          <w:lang w:val="fr-FR"/>
        </w:rPr>
        <w:t> </w:t>
      </w:r>
      <w:r w:rsidRPr="00942491">
        <w:rPr>
          <w:spacing w:val="-8"/>
          <w:lang w:val="fr-FR"/>
        </w:rPr>
        <w:t>Lee,</w:t>
      </w:r>
      <w:r>
        <w:rPr>
          <w:lang w:val="fr-FR"/>
        </w:rPr>
        <w:t xml:space="preserve"> </w:t>
      </w:r>
      <w:r w:rsidRPr="00942491">
        <w:rPr>
          <w:spacing w:val="-4"/>
          <w:lang w:val="fr-FR"/>
        </w:rPr>
        <w:t>M</w:t>
      </w:r>
      <w:r w:rsidRPr="00942491">
        <w:rPr>
          <w:spacing w:val="-4"/>
          <w:vertAlign w:val="superscript"/>
          <w:lang w:val="fr-FR"/>
        </w:rPr>
        <w:t>me</w:t>
      </w:r>
      <w:r w:rsidR="00942491" w:rsidRPr="00942491">
        <w:rPr>
          <w:spacing w:val="-4"/>
          <w:lang w:val="fr-FR"/>
        </w:rPr>
        <w:t> </w:t>
      </w:r>
      <w:proofErr w:type="spellStart"/>
      <w:r w:rsidRPr="00942491">
        <w:rPr>
          <w:spacing w:val="-4"/>
          <w:lang w:val="fr-FR"/>
        </w:rPr>
        <w:t>Vilawan</w:t>
      </w:r>
      <w:proofErr w:type="spellEnd"/>
      <w:r w:rsidR="00942491" w:rsidRPr="00942491">
        <w:rPr>
          <w:spacing w:val="-4"/>
          <w:lang w:val="fr-FR"/>
        </w:rPr>
        <w:t> </w:t>
      </w:r>
      <w:proofErr w:type="spellStart"/>
      <w:r w:rsidRPr="00942491">
        <w:rPr>
          <w:spacing w:val="-4"/>
          <w:lang w:val="fr-FR"/>
        </w:rPr>
        <w:t>Mangklatanakul</w:t>
      </w:r>
      <w:proofErr w:type="spellEnd"/>
      <w:r w:rsidRPr="00942491">
        <w:rPr>
          <w:spacing w:val="-4"/>
          <w:lang w:val="fr-FR"/>
        </w:rPr>
        <w:t>, M.</w:t>
      </w:r>
      <w:r w:rsidR="00942491" w:rsidRPr="00942491">
        <w:rPr>
          <w:spacing w:val="-4"/>
          <w:lang w:val="fr-FR"/>
        </w:rPr>
        <w:t> </w:t>
      </w:r>
      <w:r w:rsidRPr="00942491">
        <w:rPr>
          <w:spacing w:val="-4"/>
          <w:lang w:val="fr-FR"/>
        </w:rPr>
        <w:t>Andreas</w:t>
      </w:r>
      <w:r w:rsidR="00942491" w:rsidRPr="00942491">
        <w:rPr>
          <w:spacing w:val="-4"/>
          <w:lang w:val="fr-FR"/>
        </w:rPr>
        <w:t> </w:t>
      </w:r>
      <w:r w:rsidRPr="00942491">
        <w:rPr>
          <w:spacing w:val="-4"/>
          <w:lang w:val="fr-FR"/>
        </w:rPr>
        <w:t>D.</w:t>
      </w:r>
      <w:r w:rsidR="00942491" w:rsidRPr="00942491">
        <w:rPr>
          <w:spacing w:val="-4"/>
          <w:lang w:val="fr-FR"/>
        </w:rPr>
        <w:t> </w:t>
      </w:r>
      <w:proofErr w:type="spellStart"/>
      <w:r w:rsidRPr="00942491">
        <w:rPr>
          <w:spacing w:val="-4"/>
          <w:lang w:val="fr-FR"/>
        </w:rPr>
        <w:t>Mavroyiannis</w:t>
      </w:r>
      <w:proofErr w:type="spellEnd"/>
      <w:r w:rsidRPr="00942491">
        <w:rPr>
          <w:spacing w:val="-4"/>
          <w:lang w:val="fr-FR"/>
        </w:rPr>
        <w:t>, M.</w:t>
      </w:r>
      <w:r w:rsidR="00942491" w:rsidRPr="00942491">
        <w:rPr>
          <w:spacing w:val="-4"/>
          <w:lang w:val="fr-FR"/>
        </w:rPr>
        <w:t> </w:t>
      </w:r>
      <w:r w:rsidRPr="00942491">
        <w:rPr>
          <w:spacing w:val="-4"/>
          <w:lang w:val="fr-FR"/>
        </w:rPr>
        <w:t>Giuseppe</w:t>
      </w:r>
      <w:r w:rsidR="00942491" w:rsidRPr="00942491">
        <w:rPr>
          <w:spacing w:val="-4"/>
          <w:lang w:val="fr-FR"/>
        </w:rPr>
        <w:t> </w:t>
      </w:r>
      <w:proofErr w:type="spellStart"/>
      <w:r w:rsidRPr="00942491">
        <w:rPr>
          <w:spacing w:val="-4"/>
          <w:lang w:val="fr-FR"/>
        </w:rPr>
        <w:t>Nesi</w:t>
      </w:r>
      <w:proofErr w:type="spellEnd"/>
      <w:r w:rsidRPr="00942491">
        <w:rPr>
          <w:spacing w:val="-4"/>
          <w:lang w:val="fr-FR"/>
        </w:rPr>
        <w:t>, M.</w:t>
      </w:r>
      <w:r w:rsidR="00942491" w:rsidRPr="00942491">
        <w:rPr>
          <w:spacing w:val="-4"/>
          <w:lang w:val="fr-FR"/>
        </w:rPr>
        <w:t> </w:t>
      </w:r>
      <w:r w:rsidRPr="00942491">
        <w:rPr>
          <w:spacing w:val="-4"/>
          <w:lang w:val="fr-FR"/>
        </w:rPr>
        <w:t>Hong</w:t>
      </w:r>
      <w:r w:rsidR="00942491" w:rsidRPr="00942491">
        <w:rPr>
          <w:spacing w:val="-4"/>
          <w:lang w:val="fr-FR"/>
        </w:rPr>
        <w:t> </w:t>
      </w:r>
      <w:r w:rsidRPr="00942491">
        <w:rPr>
          <w:spacing w:val="-4"/>
          <w:lang w:val="fr-FR"/>
        </w:rPr>
        <w:t>Thao</w:t>
      </w:r>
      <w:r>
        <w:rPr>
          <w:lang w:val="fr-FR"/>
        </w:rPr>
        <w:t xml:space="preserve"> Nguyen M</w:t>
      </w:r>
      <w:r w:rsidRPr="00613346">
        <w:rPr>
          <w:vertAlign w:val="superscript"/>
          <w:lang w:val="fr-FR"/>
        </w:rPr>
        <w:t>me</w:t>
      </w:r>
      <w:r w:rsidR="00942491">
        <w:rPr>
          <w:lang w:val="fr-FR"/>
        </w:rPr>
        <w:t> </w:t>
      </w:r>
      <w:proofErr w:type="spellStart"/>
      <w:r>
        <w:rPr>
          <w:lang w:val="fr-FR"/>
        </w:rPr>
        <w:t>Nilüfer</w:t>
      </w:r>
      <w:proofErr w:type="spellEnd"/>
      <w:r>
        <w:rPr>
          <w:lang w:val="fr-FR"/>
        </w:rPr>
        <w:t xml:space="preserve"> Oral, M</w:t>
      </w:r>
      <w:r w:rsidRPr="00613346">
        <w:rPr>
          <w:vertAlign w:val="superscript"/>
          <w:lang w:val="fr-FR"/>
        </w:rPr>
        <w:t>me</w:t>
      </w:r>
      <w:r w:rsidR="00942491">
        <w:rPr>
          <w:lang w:val="fr-FR"/>
        </w:rPr>
        <w:t> </w:t>
      </w:r>
      <w:r>
        <w:rPr>
          <w:lang w:val="fr-FR"/>
        </w:rPr>
        <w:t xml:space="preserve">Alina </w:t>
      </w:r>
      <w:proofErr w:type="spellStart"/>
      <w:r>
        <w:rPr>
          <w:lang w:val="fr-FR"/>
        </w:rPr>
        <w:t>Orosan</w:t>
      </w:r>
      <w:proofErr w:type="spellEnd"/>
      <w:r>
        <w:rPr>
          <w:lang w:val="fr-FR"/>
        </w:rPr>
        <w:t>, M.</w:t>
      </w:r>
      <w:r w:rsidR="00942491">
        <w:rPr>
          <w:lang w:val="fr-FR"/>
        </w:rPr>
        <w:t> </w:t>
      </w:r>
      <w:r>
        <w:rPr>
          <w:lang w:val="fr-FR"/>
        </w:rPr>
        <w:t>Mario</w:t>
      </w:r>
      <w:r w:rsidR="00942491">
        <w:rPr>
          <w:lang w:val="fr-FR"/>
        </w:rPr>
        <w:t> </w:t>
      </w:r>
      <w:proofErr w:type="spellStart"/>
      <w:r>
        <w:rPr>
          <w:lang w:val="fr-FR"/>
        </w:rPr>
        <w:t>Oyarzábal</w:t>
      </w:r>
      <w:proofErr w:type="spellEnd"/>
      <w:r>
        <w:rPr>
          <w:lang w:val="fr-FR"/>
        </w:rPr>
        <w:t>, M. </w:t>
      </w:r>
      <w:proofErr w:type="spellStart"/>
      <w:r>
        <w:rPr>
          <w:lang w:val="fr-FR"/>
        </w:rPr>
        <w:t>Mārtiņš</w:t>
      </w:r>
      <w:proofErr w:type="spellEnd"/>
      <w:r w:rsidR="00942491">
        <w:rPr>
          <w:lang w:val="fr-FR"/>
        </w:rPr>
        <w:t> </w:t>
      </w:r>
      <w:proofErr w:type="spellStart"/>
      <w:r>
        <w:rPr>
          <w:lang w:val="fr-FR"/>
        </w:rPr>
        <w:t>Paparinskis</w:t>
      </w:r>
      <w:proofErr w:type="spellEnd"/>
      <w:r>
        <w:rPr>
          <w:lang w:val="fr-FR"/>
        </w:rPr>
        <w:t>, M.</w:t>
      </w:r>
      <w:r w:rsidR="00942491">
        <w:rPr>
          <w:lang w:val="fr-FR"/>
        </w:rPr>
        <w:t> </w:t>
      </w:r>
      <w:r>
        <w:rPr>
          <w:lang w:val="fr-FR"/>
        </w:rPr>
        <w:t>Bimal</w:t>
      </w:r>
      <w:r w:rsidR="00942491">
        <w:rPr>
          <w:lang w:val="fr-FR"/>
        </w:rPr>
        <w:t> </w:t>
      </w:r>
      <w:r>
        <w:rPr>
          <w:lang w:val="fr-FR"/>
        </w:rPr>
        <w:t>N.</w:t>
      </w:r>
      <w:r w:rsidR="00942491">
        <w:rPr>
          <w:lang w:val="fr-FR"/>
        </w:rPr>
        <w:t> </w:t>
      </w:r>
      <w:r>
        <w:rPr>
          <w:lang w:val="fr-FR"/>
        </w:rPr>
        <w:t>Patel, M.</w:t>
      </w:r>
      <w:r w:rsidR="00942491">
        <w:rPr>
          <w:lang w:val="fr-FR"/>
        </w:rPr>
        <w:t> </w:t>
      </w:r>
      <w:r>
        <w:rPr>
          <w:lang w:val="fr-FR"/>
        </w:rPr>
        <w:t>Juan</w:t>
      </w:r>
      <w:r w:rsidR="00942491">
        <w:rPr>
          <w:lang w:val="fr-FR"/>
        </w:rPr>
        <w:t> </w:t>
      </w:r>
      <w:r>
        <w:rPr>
          <w:lang w:val="fr-FR"/>
        </w:rPr>
        <w:t>José</w:t>
      </w:r>
      <w:r w:rsidR="00942491">
        <w:rPr>
          <w:lang w:val="fr-FR"/>
        </w:rPr>
        <w:t> </w:t>
      </w:r>
      <w:proofErr w:type="spellStart"/>
      <w:r>
        <w:rPr>
          <w:lang w:val="fr-FR"/>
        </w:rPr>
        <w:t>Ruda</w:t>
      </w:r>
      <w:proofErr w:type="spellEnd"/>
      <w:r>
        <w:rPr>
          <w:lang w:val="fr-FR"/>
        </w:rPr>
        <w:t xml:space="preserve"> </w:t>
      </w:r>
      <w:proofErr w:type="spellStart"/>
      <w:r>
        <w:rPr>
          <w:lang w:val="fr-FR"/>
        </w:rPr>
        <w:t>Santolaria</w:t>
      </w:r>
      <w:proofErr w:type="spellEnd"/>
      <w:r>
        <w:rPr>
          <w:lang w:val="fr-FR"/>
        </w:rPr>
        <w:t>, M.</w:t>
      </w:r>
      <w:r w:rsidR="00942491">
        <w:rPr>
          <w:lang w:val="fr-FR"/>
        </w:rPr>
        <w:t> </w:t>
      </w:r>
      <w:r>
        <w:rPr>
          <w:lang w:val="fr-FR"/>
        </w:rPr>
        <w:t>Alioune</w:t>
      </w:r>
      <w:r w:rsidR="00942491">
        <w:rPr>
          <w:lang w:val="fr-FR"/>
        </w:rPr>
        <w:t> </w:t>
      </w:r>
      <w:proofErr w:type="spellStart"/>
      <w:r>
        <w:rPr>
          <w:lang w:val="fr-FR"/>
        </w:rPr>
        <w:t>Sall</w:t>
      </w:r>
      <w:proofErr w:type="spellEnd"/>
      <w:r>
        <w:rPr>
          <w:lang w:val="fr-FR"/>
        </w:rPr>
        <w:t>, M.</w:t>
      </w:r>
      <w:r w:rsidR="00942491">
        <w:rPr>
          <w:lang w:val="fr-FR"/>
        </w:rPr>
        <w:t> </w:t>
      </w:r>
      <w:r>
        <w:rPr>
          <w:lang w:val="fr-FR"/>
        </w:rPr>
        <w:t>Louis</w:t>
      </w:r>
      <w:r w:rsidR="00942491">
        <w:rPr>
          <w:lang w:val="fr-FR"/>
        </w:rPr>
        <w:t> </w:t>
      </w:r>
      <w:proofErr w:type="spellStart"/>
      <w:r>
        <w:rPr>
          <w:lang w:val="fr-FR"/>
        </w:rPr>
        <w:t>Savadogo</w:t>
      </w:r>
      <w:proofErr w:type="spellEnd"/>
      <w:r>
        <w:rPr>
          <w:lang w:val="fr-FR"/>
        </w:rPr>
        <w:t>, M.</w:t>
      </w:r>
      <w:r w:rsidR="00942491">
        <w:rPr>
          <w:lang w:val="fr-FR"/>
        </w:rPr>
        <w:t> </w:t>
      </w:r>
      <w:r>
        <w:rPr>
          <w:lang w:val="fr-FR"/>
        </w:rPr>
        <w:t>Marcelo</w:t>
      </w:r>
      <w:r w:rsidR="00942491">
        <w:rPr>
          <w:lang w:val="fr-FR"/>
        </w:rPr>
        <w:t> </w:t>
      </w:r>
      <w:proofErr w:type="spellStart"/>
      <w:r>
        <w:rPr>
          <w:lang w:val="fr-FR"/>
        </w:rPr>
        <w:t>Vázquez-Bermúdez</w:t>
      </w:r>
      <w:proofErr w:type="spellEnd"/>
      <w:r>
        <w:rPr>
          <w:lang w:val="fr-FR"/>
        </w:rPr>
        <w:t xml:space="preserve"> et M</w:t>
      </w:r>
      <w:r w:rsidRPr="00166E8D">
        <w:rPr>
          <w:vertAlign w:val="superscript"/>
          <w:lang w:val="fr-FR"/>
        </w:rPr>
        <w:t>me</w:t>
      </w:r>
      <w:r w:rsidR="00942491">
        <w:rPr>
          <w:lang w:val="fr-FR"/>
        </w:rPr>
        <w:t> </w:t>
      </w:r>
      <w:r>
        <w:rPr>
          <w:lang w:val="fr-FR"/>
        </w:rPr>
        <w:t xml:space="preserve">Penelope </w:t>
      </w:r>
      <w:proofErr w:type="spellStart"/>
      <w:r>
        <w:rPr>
          <w:lang w:val="fr-FR"/>
        </w:rPr>
        <w:t>Ridings</w:t>
      </w:r>
      <w:proofErr w:type="spellEnd"/>
      <w:r>
        <w:rPr>
          <w:lang w:val="fr-FR"/>
        </w:rPr>
        <w:t xml:space="preserve"> (membre de droit) ;</w:t>
      </w:r>
    </w:p>
    <w:p w14:paraId="44E47D84" w14:textId="34EA2F62" w:rsidR="00C324CF" w:rsidRPr="00450147" w:rsidRDefault="00C324CF" w:rsidP="00C324CF">
      <w:pPr>
        <w:pStyle w:val="SingleTxtG"/>
        <w:ind w:firstLine="567"/>
      </w:pPr>
      <w:r>
        <w:rPr>
          <w:lang w:val="fr-FR"/>
        </w:rPr>
        <w:t>b)</w:t>
      </w:r>
      <w:r>
        <w:rPr>
          <w:lang w:val="fr-FR"/>
        </w:rPr>
        <w:tab/>
      </w:r>
      <w:r w:rsidRPr="00166E8D">
        <w:rPr>
          <w:i/>
          <w:iCs/>
          <w:lang w:val="fr-FR"/>
        </w:rPr>
        <w:t>Moyens auxiliaires de détermination des règles de droit international</w:t>
      </w:r>
      <w:r>
        <w:rPr>
          <w:lang w:val="fr-FR"/>
        </w:rPr>
        <w:t> : M</w:t>
      </w:r>
      <w:r w:rsidRPr="00166E8D">
        <w:rPr>
          <w:vertAlign w:val="superscript"/>
          <w:lang w:val="fr-FR"/>
        </w:rPr>
        <w:t>me</w:t>
      </w:r>
      <w:r>
        <w:rPr>
          <w:lang w:val="fr-FR"/>
        </w:rPr>
        <w:t> Phoebe</w:t>
      </w:r>
      <w:r w:rsidR="00942491">
        <w:rPr>
          <w:lang w:val="fr-FR"/>
        </w:rPr>
        <w:t> </w:t>
      </w:r>
      <w:proofErr w:type="spellStart"/>
      <w:r>
        <w:rPr>
          <w:lang w:val="fr-FR"/>
        </w:rPr>
        <w:t>Okowa</w:t>
      </w:r>
      <w:proofErr w:type="spellEnd"/>
      <w:r>
        <w:rPr>
          <w:lang w:val="fr-FR"/>
        </w:rPr>
        <w:t xml:space="preserve"> (Présidente), M. Charles</w:t>
      </w:r>
      <w:r w:rsidR="00942491">
        <w:rPr>
          <w:lang w:val="fr-FR"/>
        </w:rPr>
        <w:t> </w:t>
      </w:r>
      <w:proofErr w:type="spellStart"/>
      <w:r>
        <w:rPr>
          <w:lang w:val="fr-FR"/>
        </w:rPr>
        <w:t>Chernor</w:t>
      </w:r>
      <w:proofErr w:type="spellEnd"/>
      <w:r>
        <w:rPr>
          <w:lang w:val="fr-FR"/>
        </w:rPr>
        <w:t xml:space="preserve"> </w:t>
      </w:r>
      <w:proofErr w:type="spellStart"/>
      <w:r>
        <w:rPr>
          <w:lang w:val="fr-FR"/>
        </w:rPr>
        <w:t>Jalloh</w:t>
      </w:r>
      <w:proofErr w:type="spellEnd"/>
      <w:r>
        <w:rPr>
          <w:lang w:val="fr-FR"/>
        </w:rPr>
        <w:t xml:space="preserve"> (Rapporteur spécial), M. </w:t>
      </w:r>
      <w:proofErr w:type="spellStart"/>
      <w:r>
        <w:rPr>
          <w:lang w:val="fr-FR"/>
        </w:rPr>
        <w:t>Dapo</w:t>
      </w:r>
      <w:proofErr w:type="spellEnd"/>
      <w:r w:rsidR="00942491">
        <w:rPr>
          <w:lang w:val="fr-FR"/>
        </w:rPr>
        <w:t> </w:t>
      </w:r>
      <w:proofErr w:type="spellStart"/>
      <w:r>
        <w:rPr>
          <w:lang w:val="fr-FR"/>
        </w:rPr>
        <w:t>Akande</w:t>
      </w:r>
      <w:proofErr w:type="spellEnd"/>
      <w:r>
        <w:rPr>
          <w:lang w:val="fr-FR"/>
        </w:rPr>
        <w:t>, M. Masahiko</w:t>
      </w:r>
      <w:r w:rsidR="00942491">
        <w:rPr>
          <w:lang w:val="fr-FR"/>
        </w:rPr>
        <w:t> </w:t>
      </w:r>
      <w:proofErr w:type="spellStart"/>
      <w:r>
        <w:rPr>
          <w:lang w:val="fr-FR"/>
        </w:rPr>
        <w:t>Asada</w:t>
      </w:r>
      <w:proofErr w:type="spellEnd"/>
      <w:r>
        <w:rPr>
          <w:lang w:val="fr-FR"/>
        </w:rPr>
        <w:t>, M. Ahmed</w:t>
      </w:r>
      <w:r w:rsidR="00942491">
        <w:rPr>
          <w:lang w:val="fr-FR"/>
        </w:rPr>
        <w:t> </w:t>
      </w:r>
      <w:r>
        <w:rPr>
          <w:lang w:val="fr-FR"/>
        </w:rPr>
        <w:t>Amin</w:t>
      </w:r>
      <w:r w:rsidR="00942491">
        <w:rPr>
          <w:lang w:val="fr-FR"/>
        </w:rPr>
        <w:t> </w:t>
      </w:r>
      <w:proofErr w:type="spellStart"/>
      <w:r>
        <w:rPr>
          <w:lang w:val="fr-FR"/>
        </w:rPr>
        <w:t>Fathalla</w:t>
      </w:r>
      <w:proofErr w:type="spellEnd"/>
      <w:r>
        <w:rPr>
          <w:lang w:val="fr-FR"/>
        </w:rPr>
        <w:t>, M. Rolf</w:t>
      </w:r>
      <w:r w:rsidR="00942491">
        <w:rPr>
          <w:lang w:val="fr-FR"/>
        </w:rPr>
        <w:t> </w:t>
      </w:r>
      <w:proofErr w:type="spellStart"/>
      <w:r>
        <w:rPr>
          <w:lang w:val="fr-FR"/>
        </w:rPr>
        <w:t>Einar</w:t>
      </w:r>
      <w:proofErr w:type="spellEnd"/>
      <w:r w:rsidR="00942491">
        <w:rPr>
          <w:lang w:val="fr-FR"/>
        </w:rPr>
        <w:t> </w:t>
      </w:r>
      <w:r>
        <w:rPr>
          <w:lang w:val="fr-FR"/>
        </w:rPr>
        <w:t>Fife, M. Mathias</w:t>
      </w:r>
      <w:r w:rsidR="00942491">
        <w:rPr>
          <w:lang w:val="fr-FR"/>
        </w:rPr>
        <w:t> </w:t>
      </w:r>
      <w:proofErr w:type="spellStart"/>
      <w:r>
        <w:rPr>
          <w:lang w:val="fr-FR"/>
        </w:rPr>
        <w:t>Forteau</w:t>
      </w:r>
      <w:proofErr w:type="spellEnd"/>
      <w:r>
        <w:rPr>
          <w:lang w:val="fr-FR"/>
        </w:rPr>
        <w:t>, M. George</w:t>
      </w:r>
      <w:r w:rsidR="00942491">
        <w:rPr>
          <w:lang w:val="fr-FR"/>
        </w:rPr>
        <w:t> </w:t>
      </w:r>
      <w:r>
        <w:rPr>
          <w:lang w:val="fr-FR"/>
        </w:rPr>
        <w:t>Rodrigo</w:t>
      </w:r>
      <w:r w:rsidR="00942491">
        <w:rPr>
          <w:lang w:val="fr-FR"/>
        </w:rPr>
        <w:t> </w:t>
      </w:r>
      <w:r>
        <w:rPr>
          <w:lang w:val="fr-FR"/>
        </w:rPr>
        <w:t xml:space="preserve">Bandeira </w:t>
      </w:r>
      <w:proofErr w:type="spellStart"/>
      <w:r>
        <w:rPr>
          <w:lang w:val="fr-FR"/>
        </w:rPr>
        <w:t>Galindo</w:t>
      </w:r>
      <w:proofErr w:type="spellEnd"/>
      <w:r>
        <w:rPr>
          <w:lang w:val="fr-FR"/>
        </w:rPr>
        <w:t>, M.</w:t>
      </w:r>
      <w:r w:rsidR="00942491">
        <w:rPr>
          <w:lang w:val="fr-FR"/>
        </w:rPr>
        <w:t> </w:t>
      </w:r>
      <w:r>
        <w:rPr>
          <w:lang w:val="fr-FR"/>
        </w:rPr>
        <w:t>Claudio</w:t>
      </w:r>
      <w:r w:rsidR="00942491">
        <w:rPr>
          <w:lang w:val="fr-FR"/>
        </w:rPr>
        <w:t> </w:t>
      </w:r>
      <w:r>
        <w:rPr>
          <w:lang w:val="fr-FR"/>
        </w:rPr>
        <w:t>Grossman</w:t>
      </w:r>
      <w:r w:rsidR="00942491">
        <w:rPr>
          <w:lang w:val="fr-FR"/>
        </w:rPr>
        <w:t> </w:t>
      </w:r>
      <w:proofErr w:type="spellStart"/>
      <w:r>
        <w:rPr>
          <w:lang w:val="fr-FR"/>
        </w:rPr>
        <w:t>Guiloff</w:t>
      </w:r>
      <w:proofErr w:type="spellEnd"/>
      <w:r>
        <w:rPr>
          <w:lang w:val="fr-FR"/>
        </w:rPr>
        <w:t xml:space="preserve">, </w:t>
      </w:r>
      <w:r w:rsidRPr="001F0402">
        <w:rPr>
          <w:lang w:val="fr-FR"/>
        </w:rPr>
        <w:t>M. </w:t>
      </w:r>
      <w:proofErr w:type="spellStart"/>
      <w:r w:rsidRPr="001F0402">
        <w:rPr>
          <w:lang w:val="fr-FR"/>
        </w:rPr>
        <w:t>Huikang</w:t>
      </w:r>
      <w:proofErr w:type="spellEnd"/>
      <w:r w:rsidR="00942491" w:rsidRPr="001F0402">
        <w:rPr>
          <w:lang w:val="fr-FR"/>
        </w:rPr>
        <w:t> </w:t>
      </w:r>
      <w:r w:rsidRPr="001F0402">
        <w:rPr>
          <w:lang w:val="fr-FR"/>
        </w:rPr>
        <w:t>Huang, M. </w:t>
      </w:r>
      <w:proofErr w:type="spellStart"/>
      <w:r w:rsidRPr="001F0402">
        <w:rPr>
          <w:lang w:val="fr-FR"/>
        </w:rPr>
        <w:t>Keun-Gwan</w:t>
      </w:r>
      <w:proofErr w:type="spellEnd"/>
      <w:r w:rsidRPr="001F0402">
        <w:rPr>
          <w:lang w:val="fr-FR"/>
        </w:rPr>
        <w:t xml:space="preserve"> Lee, </w:t>
      </w:r>
      <w:r w:rsidR="00942491" w:rsidRPr="001F0402">
        <w:rPr>
          <w:lang w:val="fr-FR"/>
        </w:rPr>
        <w:t>M</w:t>
      </w:r>
      <w:r w:rsidR="00942491" w:rsidRPr="001F0402">
        <w:rPr>
          <w:vertAlign w:val="superscript"/>
          <w:lang w:val="fr-FR"/>
        </w:rPr>
        <w:t>me</w:t>
      </w:r>
      <w:r w:rsidR="00942491" w:rsidRPr="001F0402">
        <w:rPr>
          <w:lang w:val="fr-FR"/>
        </w:rPr>
        <w:t> </w:t>
      </w:r>
      <w:proofErr w:type="spellStart"/>
      <w:r w:rsidRPr="001F0402">
        <w:rPr>
          <w:lang w:val="fr-FR"/>
        </w:rPr>
        <w:t>Vilawan</w:t>
      </w:r>
      <w:proofErr w:type="spellEnd"/>
      <w:r w:rsidRPr="001F0402">
        <w:rPr>
          <w:lang w:val="fr-FR"/>
        </w:rPr>
        <w:t xml:space="preserve"> </w:t>
      </w:r>
      <w:proofErr w:type="spellStart"/>
      <w:r w:rsidRPr="001F0402">
        <w:rPr>
          <w:lang w:val="fr-FR"/>
        </w:rPr>
        <w:t>Mangklatanakul</w:t>
      </w:r>
      <w:proofErr w:type="spellEnd"/>
      <w:r w:rsidRPr="001F0402">
        <w:rPr>
          <w:lang w:val="fr-FR"/>
        </w:rPr>
        <w:t>, M. Andreas</w:t>
      </w:r>
      <w:r w:rsidR="00942491" w:rsidRPr="001F0402">
        <w:rPr>
          <w:lang w:val="fr-FR"/>
        </w:rPr>
        <w:t> </w:t>
      </w:r>
      <w:r w:rsidRPr="001F0402">
        <w:rPr>
          <w:lang w:val="fr-FR"/>
        </w:rPr>
        <w:t>D.</w:t>
      </w:r>
      <w:r w:rsidR="001F0402" w:rsidRPr="001F0402">
        <w:rPr>
          <w:lang w:val="fr-FR"/>
        </w:rPr>
        <w:t xml:space="preserve"> </w:t>
      </w:r>
      <w:proofErr w:type="spellStart"/>
      <w:r w:rsidRPr="001F0402">
        <w:rPr>
          <w:spacing w:val="-8"/>
          <w:lang w:val="fr-FR"/>
        </w:rPr>
        <w:t>Mavroyiannis</w:t>
      </w:r>
      <w:proofErr w:type="spellEnd"/>
      <w:r w:rsidRPr="001F0402">
        <w:rPr>
          <w:spacing w:val="-8"/>
          <w:lang w:val="fr-FR"/>
        </w:rPr>
        <w:t>, M. Ivon</w:t>
      </w:r>
      <w:r w:rsidR="00942491" w:rsidRPr="001F0402">
        <w:rPr>
          <w:spacing w:val="-8"/>
          <w:lang w:val="fr-FR"/>
        </w:rPr>
        <w:t> </w:t>
      </w:r>
      <w:proofErr w:type="spellStart"/>
      <w:r w:rsidRPr="001F0402">
        <w:rPr>
          <w:spacing w:val="-8"/>
          <w:lang w:val="fr-FR"/>
        </w:rPr>
        <w:t>Mingashang</w:t>
      </w:r>
      <w:proofErr w:type="spellEnd"/>
      <w:r w:rsidRPr="001F0402">
        <w:rPr>
          <w:spacing w:val="-8"/>
          <w:lang w:val="fr-FR"/>
        </w:rPr>
        <w:t>, M. Giuseppe</w:t>
      </w:r>
      <w:r w:rsidR="00942491" w:rsidRPr="001F0402">
        <w:rPr>
          <w:spacing w:val="-8"/>
          <w:lang w:val="fr-FR"/>
        </w:rPr>
        <w:t> </w:t>
      </w:r>
      <w:proofErr w:type="spellStart"/>
      <w:r w:rsidRPr="001F0402">
        <w:rPr>
          <w:spacing w:val="-8"/>
          <w:lang w:val="fr-FR"/>
        </w:rPr>
        <w:t>Nesi</w:t>
      </w:r>
      <w:proofErr w:type="spellEnd"/>
      <w:r w:rsidRPr="001F0402">
        <w:rPr>
          <w:spacing w:val="-8"/>
          <w:lang w:val="fr-FR"/>
        </w:rPr>
        <w:t>, M. Hong</w:t>
      </w:r>
      <w:r w:rsidR="00942491" w:rsidRPr="001F0402">
        <w:rPr>
          <w:spacing w:val="-8"/>
          <w:lang w:val="fr-FR"/>
        </w:rPr>
        <w:t> </w:t>
      </w:r>
      <w:r w:rsidRPr="001F0402">
        <w:rPr>
          <w:spacing w:val="-8"/>
          <w:lang w:val="fr-FR"/>
        </w:rPr>
        <w:t>Thao Nguyen, M</w:t>
      </w:r>
      <w:r w:rsidRPr="001F0402">
        <w:rPr>
          <w:spacing w:val="-8"/>
          <w:vertAlign w:val="superscript"/>
          <w:lang w:val="fr-FR"/>
        </w:rPr>
        <w:t>me</w:t>
      </w:r>
      <w:r w:rsidRPr="001F0402">
        <w:rPr>
          <w:spacing w:val="-8"/>
          <w:lang w:val="fr-FR"/>
        </w:rPr>
        <w:t> Alina</w:t>
      </w:r>
      <w:r w:rsidR="00942491" w:rsidRPr="001F0402">
        <w:rPr>
          <w:spacing w:val="-8"/>
          <w:lang w:val="fr-FR"/>
        </w:rPr>
        <w:t> </w:t>
      </w:r>
      <w:proofErr w:type="spellStart"/>
      <w:r w:rsidRPr="001F0402">
        <w:rPr>
          <w:spacing w:val="-8"/>
          <w:lang w:val="fr-FR"/>
        </w:rPr>
        <w:t>Orosan</w:t>
      </w:r>
      <w:proofErr w:type="spellEnd"/>
      <w:r w:rsidRPr="001F0402">
        <w:rPr>
          <w:spacing w:val="-8"/>
          <w:lang w:val="fr-FR"/>
        </w:rPr>
        <w:t>,</w:t>
      </w:r>
      <w:r>
        <w:rPr>
          <w:lang w:val="fr-FR"/>
        </w:rPr>
        <w:t xml:space="preserve"> </w:t>
      </w:r>
      <w:r w:rsidRPr="001F0402">
        <w:rPr>
          <w:spacing w:val="-6"/>
          <w:lang w:val="fr-FR"/>
        </w:rPr>
        <w:t>M. Mario</w:t>
      </w:r>
      <w:r w:rsidR="001F0402" w:rsidRPr="001F0402">
        <w:rPr>
          <w:spacing w:val="-6"/>
          <w:lang w:val="fr-FR"/>
        </w:rPr>
        <w:t> </w:t>
      </w:r>
      <w:proofErr w:type="spellStart"/>
      <w:r w:rsidRPr="001F0402">
        <w:rPr>
          <w:spacing w:val="-6"/>
          <w:lang w:val="fr-FR"/>
        </w:rPr>
        <w:t>Oyarzábal</w:t>
      </w:r>
      <w:proofErr w:type="spellEnd"/>
      <w:r w:rsidRPr="001F0402">
        <w:rPr>
          <w:spacing w:val="-6"/>
          <w:lang w:val="fr-FR"/>
        </w:rPr>
        <w:t>, M. </w:t>
      </w:r>
      <w:proofErr w:type="spellStart"/>
      <w:r w:rsidRPr="001F0402">
        <w:rPr>
          <w:spacing w:val="-6"/>
          <w:lang w:val="fr-FR"/>
        </w:rPr>
        <w:t>Mārtiņš</w:t>
      </w:r>
      <w:proofErr w:type="spellEnd"/>
      <w:r w:rsidR="001F0402" w:rsidRPr="001F0402">
        <w:rPr>
          <w:spacing w:val="-6"/>
          <w:lang w:val="fr-FR"/>
        </w:rPr>
        <w:t> </w:t>
      </w:r>
      <w:proofErr w:type="spellStart"/>
      <w:r w:rsidRPr="001F0402">
        <w:rPr>
          <w:spacing w:val="-6"/>
          <w:lang w:val="fr-FR"/>
        </w:rPr>
        <w:t>Paparinskis</w:t>
      </w:r>
      <w:proofErr w:type="spellEnd"/>
      <w:r w:rsidRPr="001F0402">
        <w:rPr>
          <w:spacing w:val="-6"/>
          <w:lang w:val="fr-FR"/>
        </w:rPr>
        <w:t>, M. Bimal</w:t>
      </w:r>
      <w:r w:rsidR="001F0402" w:rsidRPr="001F0402">
        <w:rPr>
          <w:spacing w:val="-6"/>
          <w:lang w:val="fr-FR"/>
        </w:rPr>
        <w:t> </w:t>
      </w:r>
      <w:r w:rsidRPr="001F0402">
        <w:rPr>
          <w:spacing w:val="-6"/>
          <w:lang w:val="fr-FR"/>
        </w:rPr>
        <w:t>N.</w:t>
      </w:r>
      <w:r w:rsidR="001F0402" w:rsidRPr="001F0402">
        <w:rPr>
          <w:spacing w:val="-6"/>
          <w:lang w:val="fr-FR"/>
        </w:rPr>
        <w:t> </w:t>
      </w:r>
      <w:r w:rsidRPr="001F0402">
        <w:rPr>
          <w:spacing w:val="-6"/>
          <w:lang w:val="fr-FR"/>
        </w:rPr>
        <w:t>Patel, M. Juan</w:t>
      </w:r>
      <w:r w:rsidR="001F0402" w:rsidRPr="001F0402">
        <w:rPr>
          <w:spacing w:val="-6"/>
          <w:lang w:val="fr-FR"/>
        </w:rPr>
        <w:t> </w:t>
      </w:r>
      <w:r w:rsidRPr="001F0402">
        <w:rPr>
          <w:spacing w:val="-6"/>
          <w:lang w:val="fr-FR"/>
        </w:rPr>
        <w:t>José</w:t>
      </w:r>
      <w:r w:rsidR="001F0402" w:rsidRPr="001F0402">
        <w:rPr>
          <w:spacing w:val="-6"/>
          <w:lang w:val="fr-FR"/>
        </w:rPr>
        <w:t> </w:t>
      </w:r>
      <w:proofErr w:type="spellStart"/>
      <w:r w:rsidRPr="001F0402">
        <w:rPr>
          <w:spacing w:val="-6"/>
          <w:lang w:val="fr-FR"/>
        </w:rPr>
        <w:t>Ruda</w:t>
      </w:r>
      <w:proofErr w:type="spellEnd"/>
      <w:r w:rsidRPr="001F0402">
        <w:rPr>
          <w:spacing w:val="-6"/>
          <w:lang w:val="fr-FR"/>
        </w:rPr>
        <w:t xml:space="preserve"> </w:t>
      </w:r>
      <w:proofErr w:type="spellStart"/>
      <w:r w:rsidRPr="001F0402">
        <w:rPr>
          <w:spacing w:val="-6"/>
          <w:lang w:val="fr-FR"/>
        </w:rPr>
        <w:t>Santolaria</w:t>
      </w:r>
      <w:proofErr w:type="spellEnd"/>
      <w:r w:rsidRPr="001F0402">
        <w:rPr>
          <w:spacing w:val="-6"/>
          <w:lang w:val="fr-FR"/>
        </w:rPr>
        <w:t>,</w:t>
      </w:r>
      <w:r>
        <w:rPr>
          <w:lang w:val="fr-FR"/>
        </w:rPr>
        <w:t xml:space="preserve"> </w:t>
      </w:r>
      <w:r w:rsidRPr="001F0402">
        <w:rPr>
          <w:spacing w:val="-2"/>
          <w:lang w:val="fr-FR"/>
        </w:rPr>
        <w:t>M. Alioune</w:t>
      </w:r>
      <w:r w:rsidR="001F0402" w:rsidRPr="001F0402">
        <w:rPr>
          <w:spacing w:val="-2"/>
          <w:lang w:val="fr-FR"/>
        </w:rPr>
        <w:t> </w:t>
      </w:r>
      <w:proofErr w:type="spellStart"/>
      <w:r w:rsidRPr="001F0402">
        <w:rPr>
          <w:spacing w:val="-2"/>
          <w:lang w:val="fr-FR"/>
        </w:rPr>
        <w:t>Sall</w:t>
      </w:r>
      <w:proofErr w:type="spellEnd"/>
      <w:r w:rsidRPr="001F0402">
        <w:rPr>
          <w:spacing w:val="-2"/>
          <w:lang w:val="fr-FR"/>
        </w:rPr>
        <w:t>, M. Louis</w:t>
      </w:r>
      <w:r w:rsidR="001F0402" w:rsidRPr="001F0402">
        <w:rPr>
          <w:spacing w:val="-2"/>
          <w:lang w:val="fr-FR"/>
        </w:rPr>
        <w:t> </w:t>
      </w:r>
      <w:proofErr w:type="spellStart"/>
      <w:r w:rsidRPr="001F0402">
        <w:rPr>
          <w:spacing w:val="-2"/>
          <w:lang w:val="fr-FR"/>
        </w:rPr>
        <w:t>Savadogo</w:t>
      </w:r>
      <w:proofErr w:type="spellEnd"/>
      <w:r w:rsidRPr="001F0402">
        <w:rPr>
          <w:spacing w:val="-2"/>
          <w:lang w:val="fr-FR"/>
        </w:rPr>
        <w:t>, M. Marcelo</w:t>
      </w:r>
      <w:r w:rsidR="001F0402" w:rsidRPr="001F0402">
        <w:rPr>
          <w:spacing w:val="-2"/>
          <w:lang w:val="fr-FR"/>
        </w:rPr>
        <w:t> </w:t>
      </w:r>
      <w:proofErr w:type="spellStart"/>
      <w:r w:rsidRPr="001F0402">
        <w:rPr>
          <w:spacing w:val="-2"/>
          <w:lang w:val="fr-FR"/>
        </w:rPr>
        <w:t>Vázquez-Bermúdez</w:t>
      </w:r>
      <w:proofErr w:type="spellEnd"/>
      <w:r w:rsidRPr="001F0402">
        <w:rPr>
          <w:spacing w:val="-2"/>
          <w:lang w:val="fr-FR"/>
        </w:rPr>
        <w:t>, M. </w:t>
      </w:r>
      <w:proofErr w:type="spellStart"/>
      <w:r w:rsidRPr="001F0402">
        <w:rPr>
          <w:spacing w:val="-2"/>
          <w:lang w:val="fr-FR"/>
        </w:rPr>
        <w:t>Evgeny</w:t>
      </w:r>
      <w:proofErr w:type="spellEnd"/>
      <w:r w:rsidR="001F0402" w:rsidRPr="001F0402">
        <w:rPr>
          <w:spacing w:val="-2"/>
          <w:lang w:val="fr-FR"/>
        </w:rPr>
        <w:t> </w:t>
      </w:r>
      <w:proofErr w:type="spellStart"/>
      <w:r w:rsidRPr="001F0402">
        <w:rPr>
          <w:spacing w:val="-2"/>
          <w:lang w:val="fr-FR"/>
        </w:rPr>
        <w:t>Zagaynov</w:t>
      </w:r>
      <w:proofErr w:type="spellEnd"/>
      <w:r>
        <w:rPr>
          <w:lang w:val="fr-FR"/>
        </w:rPr>
        <w:t xml:space="preserve"> et M</w:t>
      </w:r>
      <w:r w:rsidRPr="004D682B">
        <w:rPr>
          <w:vertAlign w:val="superscript"/>
          <w:lang w:val="fr-FR"/>
        </w:rPr>
        <w:t>me</w:t>
      </w:r>
      <w:r w:rsidR="001F0402">
        <w:rPr>
          <w:lang w:val="fr-FR"/>
        </w:rPr>
        <w:t> </w:t>
      </w:r>
      <w:r>
        <w:rPr>
          <w:lang w:val="fr-FR"/>
        </w:rPr>
        <w:t xml:space="preserve">Penelope </w:t>
      </w:r>
      <w:proofErr w:type="spellStart"/>
      <w:r>
        <w:rPr>
          <w:lang w:val="fr-FR"/>
        </w:rPr>
        <w:t>Ridings</w:t>
      </w:r>
      <w:proofErr w:type="spellEnd"/>
      <w:r>
        <w:rPr>
          <w:lang w:val="fr-FR"/>
        </w:rPr>
        <w:t xml:space="preserve"> (membre de droit) ;</w:t>
      </w:r>
    </w:p>
    <w:p w14:paraId="0CB01822" w14:textId="0BF40099" w:rsidR="00C324CF" w:rsidRPr="00450147" w:rsidRDefault="00C324CF" w:rsidP="00C324CF">
      <w:pPr>
        <w:pStyle w:val="SingleTxtG"/>
        <w:ind w:firstLine="567"/>
      </w:pPr>
      <w:r>
        <w:rPr>
          <w:lang w:val="fr-FR"/>
        </w:rPr>
        <w:t>c)</w:t>
      </w:r>
      <w:r>
        <w:rPr>
          <w:lang w:val="fr-FR"/>
        </w:rPr>
        <w:tab/>
      </w:r>
      <w:r w:rsidRPr="004D682B">
        <w:rPr>
          <w:i/>
          <w:iCs/>
          <w:lang w:val="fr-FR"/>
        </w:rPr>
        <w:t>Prévention et répression de la piraterie et du vol à main armée en mer</w:t>
      </w:r>
      <w:r>
        <w:rPr>
          <w:lang w:val="fr-FR"/>
        </w:rPr>
        <w:t xml:space="preserve"> : </w:t>
      </w:r>
      <w:r w:rsidRPr="004A038B">
        <w:rPr>
          <w:spacing w:val="-2"/>
          <w:lang w:val="fr-FR"/>
        </w:rPr>
        <w:t>M</w:t>
      </w:r>
      <w:r w:rsidRPr="004A038B">
        <w:rPr>
          <w:spacing w:val="-2"/>
          <w:vertAlign w:val="superscript"/>
          <w:lang w:val="fr-FR"/>
        </w:rPr>
        <w:t>me</w:t>
      </w:r>
      <w:r w:rsidRPr="004A038B">
        <w:rPr>
          <w:spacing w:val="-2"/>
          <w:lang w:val="fr-FR"/>
        </w:rPr>
        <w:t> Phoebe</w:t>
      </w:r>
      <w:r w:rsidR="004A038B" w:rsidRPr="004A038B">
        <w:rPr>
          <w:spacing w:val="-2"/>
          <w:lang w:val="fr-FR"/>
        </w:rPr>
        <w:t> </w:t>
      </w:r>
      <w:proofErr w:type="spellStart"/>
      <w:r w:rsidRPr="004A038B">
        <w:rPr>
          <w:spacing w:val="-2"/>
          <w:lang w:val="fr-FR"/>
        </w:rPr>
        <w:t>Okowa</w:t>
      </w:r>
      <w:proofErr w:type="spellEnd"/>
      <w:r w:rsidRPr="004A038B">
        <w:rPr>
          <w:spacing w:val="-2"/>
          <w:lang w:val="fr-FR"/>
        </w:rPr>
        <w:t xml:space="preserve"> (Présidente), M.</w:t>
      </w:r>
      <w:r w:rsidR="004A038B" w:rsidRPr="004A038B">
        <w:rPr>
          <w:spacing w:val="-2"/>
          <w:lang w:val="fr-FR"/>
        </w:rPr>
        <w:t> </w:t>
      </w:r>
      <w:r w:rsidRPr="004A038B">
        <w:rPr>
          <w:spacing w:val="-2"/>
          <w:lang w:val="fr-FR"/>
        </w:rPr>
        <w:t>Yacouba</w:t>
      </w:r>
      <w:r w:rsidR="004A038B" w:rsidRPr="004A038B">
        <w:rPr>
          <w:spacing w:val="-2"/>
          <w:lang w:val="fr-FR"/>
        </w:rPr>
        <w:t> </w:t>
      </w:r>
      <w:r w:rsidRPr="004A038B">
        <w:rPr>
          <w:spacing w:val="-2"/>
          <w:lang w:val="fr-FR"/>
        </w:rPr>
        <w:t>Cissé (Rapporteur spécial)</w:t>
      </w:r>
      <w:r w:rsidRPr="004A038B">
        <w:rPr>
          <w:rStyle w:val="Appelnotedebasdep"/>
          <w:spacing w:val="-2"/>
        </w:rPr>
        <w:footnoteReference w:id="9"/>
      </w:r>
      <w:r w:rsidRPr="004A038B">
        <w:rPr>
          <w:spacing w:val="-2"/>
          <w:lang w:val="fr-FR"/>
        </w:rPr>
        <w:t>, M.</w:t>
      </w:r>
      <w:r w:rsidR="004A038B" w:rsidRPr="004A038B">
        <w:rPr>
          <w:spacing w:val="-2"/>
          <w:lang w:val="fr-FR"/>
        </w:rPr>
        <w:t> </w:t>
      </w:r>
      <w:proofErr w:type="spellStart"/>
      <w:r w:rsidRPr="004A038B">
        <w:rPr>
          <w:spacing w:val="-2"/>
          <w:lang w:val="fr-FR"/>
        </w:rPr>
        <w:t>Dapo</w:t>
      </w:r>
      <w:proofErr w:type="spellEnd"/>
      <w:r w:rsidR="004A038B" w:rsidRPr="004A038B">
        <w:rPr>
          <w:spacing w:val="-2"/>
          <w:lang w:val="fr-FR"/>
        </w:rPr>
        <w:t> </w:t>
      </w:r>
      <w:proofErr w:type="spellStart"/>
      <w:r w:rsidRPr="004A038B">
        <w:rPr>
          <w:spacing w:val="-2"/>
          <w:lang w:val="fr-FR"/>
        </w:rPr>
        <w:t>Akande</w:t>
      </w:r>
      <w:proofErr w:type="spellEnd"/>
      <w:r w:rsidRPr="004A038B">
        <w:rPr>
          <w:spacing w:val="-2"/>
          <w:lang w:val="fr-FR"/>
        </w:rPr>
        <w:t>,</w:t>
      </w:r>
      <w:r>
        <w:rPr>
          <w:lang w:val="fr-FR"/>
        </w:rPr>
        <w:t xml:space="preserve"> </w:t>
      </w:r>
      <w:r w:rsidRPr="004A038B">
        <w:rPr>
          <w:spacing w:val="-2"/>
          <w:lang w:val="fr-FR"/>
        </w:rPr>
        <w:t>M.</w:t>
      </w:r>
      <w:r w:rsidR="004A038B" w:rsidRPr="004A038B">
        <w:rPr>
          <w:spacing w:val="-2"/>
          <w:lang w:val="fr-FR"/>
        </w:rPr>
        <w:t> </w:t>
      </w:r>
      <w:r w:rsidRPr="004A038B">
        <w:rPr>
          <w:spacing w:val="-2"/>
          <w:lang w:val="fr-FR"/>
        </w:rPr>
        <w:t>Masahiko</w:t>
      </w:r>
      <w:r w:rsidR="004A038B" w:rsidRPr="004A038B">
        <w:rPr>
          <w:spacing w:val="-2"/>
          <w:lang w:val="fr-FR"/>
        </w:rPr>
        <w:t> </w:t>
      </w:r>
      <w:proofErr w:type="spellStart"/>
      <w:r w:rsidRPr="004A038B">
        <w:rPr>
          <w:spacing w:val="-2"/>
          <w:lang w:val="fr-FR"/>
        </w:rPr>
        <w:t>Asada</w:t>
      </w:r>
      <w:proofErr w:type="spellEnd"/>
      <w:r w:rsidRPr="004A038B">
        <w:rPr>
          <w:spacing w:val="-2"/>
          <w:lang w:val="fr-FR"/>
        </w:rPr>
        <w:t>, M.</w:t>
      </w:r>
      <w:r w:rsidR="004A038B" w:rsidRPr="004A038B">
        <w:rPr>
          <w:spacing w:val="-2"/>
          <w:lang w:val="fr-FR"/>
        </w:rPr>
        <w:t> </w:t>
      </w:r>
      <w:r w:rsidRPr="004A038B">
        <w:rPr>
          <w:spacing w:val="-2"/>
          <w:lang w:val="fr-FR"/>
        </w:rPr>
        <w:t>Claudio</w:t>
      </w:r>
      <w:r w:rsidR="004A038B" w:rsidRPr="004A038B">
        <w:rPr>
          <w:spacing w:val="-2"/>
          <w:lang w:val="fr-FR"/>
        </w:rPr>
        <w:t> </w:t>
      </w:r>
      <w:r w:rsidRPr="004A038B">
        <w:rPr>
          <w:spacing w:val="-2"/>
          <w:lang w:val="fr-FR"/>
        </w:rPr>
        <w:t>Grossman</w:t>
      </w:r>
      <w:r w:rsidR="004A038B" w:rsidRPr="004A038B">
        <w:rPr>
          <w:spacing w:val="-2"/>
          <w:lang w:val="fr-FR"/>
        </w:rPr>
        <w:t> </w:t>
      </w:r>
      <w:proofErr w:type="spellStart"/>
      <w:r w:rsidRPr="004A038B">
        <w:rPr>
          <w:spacing w:val="-2"/>
          <w:lang w:val="fr-FR"/>
        </w:rPr>
        <w:t>Guiloff</w:t>
      </w:r>
      <w:proofErr w:type="spellEnd"/>
      <w:r w:rsidRPr="004A038B">
        <w:rPr>
          <w:spacing w:val="-2"/>
          <w:lang w:val="fr-FR"/>
        </w:rPr>
        <w:t>, M.</w:t>
      </w:r>
      <w:r w:rsidR="004A038B" w:rsidRPr="004A038B">
        <w:rPr>
          <w:spacing w:val="-2"/>
          <w:lang w:val="fr-FR"/>
        </w:rPr>
        <w:t> </w:t>
      </w:r>
      <w:proofErr w:type="spellStart"/>
      <w:r w:rsidRPr="004A038B">
        <w:rPr>
          <w:spacing w:val="-2"/>
          <w:lang w:val="fr-FR"/>
        </w:rPr>
        <w:t>Huikang</w:t>
      </w:r>
      <w:proofErr w:type="spellEnd"/>
      <w:r w:rsidR="004A038B" w:rsidRPr="004A038B">
        <w:rPr>
          <w:spacing w:val="-2"/>
          <w:lang w:val="fr-FR"/>
        </w:rPr>
        <w:t> </w:t>
      </w:r>
      <w:r w:rsidRPr="004A038B">
        <w:rPr>
          <w:spacing w:val="-2"/>
          <w:lang w:val="fr-FR"/>
        </w:rPr>
        <w:t>Huang, M.</w:t>
      </w:r>
      <w:r w:rsidR="004A038B" w:rsidRPr="004A038B">
        <w:rPr>
          <w:spacing w:val="-2"/>
          <w:lang w:val="fr-FR"/>
        </w:rPr>
        <w:t> </w:t>
      </w:r>
      <w:proofErr w:type="spellStart"/>
      <w:r w:rsidRPr="004A038B">
        <w:rPr>
          <w:spacing w:val="-2"/>
          <w:lang w:val="fr-FR"/>
        </w:rPr>
        <w:t>Keun-Gwan</w:t>
      </w:r>
      <w:proofErr w:type="spellEnd"/>
      <w:r w:rsidRPr="004A038B">
        <w:rPr>
          <w:spacing w:val="-2"/>
          <w:lang w:val="fr-FR"/>
        </w:rPr>
        <w:t xml:space="preserve"> Lee,</w:t>
      </w:r>
      <w:r>
        <w:rPr>
          <w:lang w:val="fr-FR"/>
        </w:rPr>
        <w:t xml:space="preserve"> </w:t>
      </w:r>
      <w:r w:rsidRPr="004A038B">
        <w:rPr>
          <w:spacing w:val="-6"/>
          <w:lang w:val="fr-FR"/>
        </w:rPr>
        <w:t>M</w:t>
      </w:r>
      <w:r w:rsidRPr="004A038B">
        <w:rPr>
          <w:spacing w:val="-6"/>
          <w:vertAlign w:val="superscript"/>
          <w:lang w:val="fr-FR"/>
        </w:rPr>
        <w:t>me</w:t>
      </w:r>
      <w:r w:rsidRPr="004A038B">
        <w:rPr>
          <w:spacing w:val="-6"/>
          <w:lang w:val="fr-FR"/>
        </w:rPr>
        <w:t> </w:t>
      </w:r>
      <w:proofErr w:type="spellStart"/>
      <w:r w:rsidRPr="004A038B">
        <w:rPr>
          <w:spacing w:val="-6"/>
          <w:lang w:val="fr-FR"/>
        </w:rPr>
        <w:t>Vilawan</w:t>
      </w:r>
      <w:proofErr w:type="spellEnd"/>
      <w:r w:rsidR="004A038B" w:rsidRPr="004A038B">
        <w:rPr>
          <w:spacing w:val="-6"/>
          <w:lang w:val="fr-FR"/>
        </w:rPr>
        <w:t> </w:t>
      </w:r>
      <w:proofErr w:type="spellStart"/>
      <w:r w:rsidRPr="004A038B">
        <w:rPr>
          <w:spacing w:val="-6"/>
          <w:lang w:val="fr-FR"/>
        </w:rPr>
        <w:t>Mangklatanakul</w:t>
      </w:r>
      <w:proofErr w:type="spellEnd"/>
      <w:r w:rsidRPr="004A038B">
        <w:rPr>
          <w:spacing w:val="-6"/>
          <w:lang w:val="fr-FR"/>
        </w:rPr>
        <w:t>, M.</w:t>
      </w:r>
      <w:r w:rsidR="004A038B" w:rsidRPr="004A038B">
        <w:rPr>
          <w:spacing w:val="-6"/>
          <w:lang w:val="fr-FR"/>
        </w:rPr>
        <w:t> </w:t>
      </w:r>
      <w:r w:rsidRPr="004A038B">
        <w:rPr>
          <w:spacing w:val="-6"/>
          <w:lang w:val="fr-FR"/>
        </w:rPr>
        <w:t>Andreas</w:t>
      </w:r>
      <w:r w:rsidR="004A038B" w:rsidRPr="004A038B">
        <w:rPr>
          <w:spacing w:val="-6"/>
          <w:lang w:val="fr-FR"/>
        </w:rPr>
        <w:t> </w:t>
      </w:r>
      <w:r w:rsidRPr="004A038B">
        <w:rPr>
          <w:spacing w:val="-6"/>
          <w:lang w:val="fr-FR"/>
        </w:rPr>
        <w:t>D.</w:t>
      </w:r>
      <w:r w:rsidR="004A038B" w:rsidRPr="004A038B">
        <w:rPr>
          <w:spacing w:val="-6"/>
          <w:lang w:val="fr-FR"/>
        </w:rPr>
        <w:t> </w:t>
      </w:r>
      <w:proofErr w:type="spellStart"/>
      <w:r w:rsidRPr="004A038B">
        <w:rPr>
          <w:spacing w:val="-6"/>
          <w:lang w:val="fr-FR"/>
        </w:rPr>
        <w:t>Mavroyiannis</w:t>
      </w:r>
      <w:proofErr w:type="spellEnd"/>
      <w:r w:rsidRPr="004A038B">
        <w:rPr>
          <w:spacing w:val="-6"/>
          <w:lang w:val="fr-FR"/>
        </w:rPr>
        <w:t>, M.</w:t>
      </w:r>
      <w:r w:rsidR="004A038B" w:rsidRPr="004A038B">
        <w:rPr>
          <w:spacing w:val="-6"/>
          <w:lang w:val="fr-FR"/>
        </w:rPr>
        <w:t> </w:t>
      </w:r>
      <w:r w:rsidRPr="004A038B">
        <w:rPr>
          <w:spacing w:val="-6"/>
          <w:lang w:val="fr-FR"/>
        </w:rPr>
        <w:t>Giuseppe</w:t>
      </w:r>
      <w:r w:rsidR="004A038B" w:rsidRPr="004A038B">
        <w:rPr>
          <w:spacing w:val="-6"/>
          <w:lang w:val="fr-FR"/>
        </w:rPr>
        <w:t> </w:t>
      </w:r>
      <w:proofErr w:type="spellStart"/>
      <w:r w:rsidRPr="004A038B">
        <w:rPr>
          <w:spacing w:val="-6"/>
          <w:lang w:val="fr-FR"/>
        </w:rPr>
        <w:t>Nesi</w:t>
      </w:r>
      <w:proofErr w:type="spellEnd"/>
      <w:r w:rsidRPr="004A038B">
        <w:rPr>
          <w:spacing w:val="-6"/>
          <w:lang w:val="fr-FR"/>
        </w:rPr>
        <w:t>, M</w:t>
      </w:r>
      <w:r w:rsidRPr="004A038B">
        <w:rPr>
          <w:spacing w:val="-6"/>
          <w:vertAlign w:val="superscript"/>
          <w:lang w:val="fr-FR"/>
        </w:rPr>
        <w:t>me</w:t>
      </w:r>
      <w:r w:rsidRPr="004A038B">
        <w:rPr>
          <w:spacing w:val="-6"/>
          <w:lang w:val="fr-FR"/>
        </w:rPr>
        <w:t> </w:t>
      </w:r>
      <w:proofErr w:type="spellStart"/>
      <w:r w:rsidRPr="004A038B">
        <w:rPr>
          <w:spacing w:val="-6"/>
          <w:lang w:val="fr-FR"/>
        </w:rPr>
        <w:t>Nilüfer</w:t>
      </w:r>
      <w:proofErr w:type="spellEnd"/>
      <w:r w:rsidR="004A038B" w:rsidRPr="004A038B">
        <w:rPr>
          <w:spacing w:val="-6"/>
          <w:lang w:val="fr-FR"/>
        </w:rPr>
        <w:t> </w:t>
      </w:r>
      <w:r w:rsidRPr="004A038B">
        <w:rPr>
          <w:spacing w:val="-6"/>
          <w:lang w:val="fr-FR"/>
        </w:rPr>
        <w:t>Oral,</w:t>
      </w:r>
      <w:r>
        <w:rPr>
          <w:lang w:val="fr-FR"/>
        </w:rPr>
        <w:t xml:space="preserve"> </w:t>
      </w:r>
      <w:r w:rsidRPr="004A038B">
        <w:rPr>
          <w:spacing w:val="-6"/>
          <w:lang w:val="fr-FR"/>
        </w:rPr>
        <w:t>M</w:t>
      </w:r>
      <w:r w:rsidRPr="004A038B">
        <w:rPr>
          <w:spacing w:val="-6"/>
          <w:vertAlign w:val="superscript"/>
          <w:lang w:val="fr-FR"/>
        </w:rPr>
        <w:t>me</w:t>
      </w:r>
      <w:r w:rsidRPr="004A038B">
        <w:rPr>
          <w:spacing w:val="-6"/>
          <w:lang w:val="fr-FR"/>
        </w:rPr>
        <w:t> Alina</w:t>
      </w:r>
      <w:r w:rsidR="004A038B" w:rsidRPr="004A038B">
        <w:rPr>
          <w:spacing w:val="-6"/>
          <w:lang w:val="fr-FR"/>
        </w:rPr>
        <w:t> </w:t>
      </w:r>
      <w:proofErr w:type="spellStart"/>
      <w:r w:rsidRPr="004A038B">
        <w:rPr>
          <w:spacing w:val="-6"/>
          <w:lang w:val="fr-FR"/>
        </w:rPr>
        <w:t>Orosan</w:t>
      </w:r>
      <w:proofErr w:type="spellEnd"/>
      <w:r w:rsidRPr="004A038B">
        <w:rPr>
          <w:spacing w:val="-6"/>
          <w:lang w:val="fr-FR"/>
        </w:rPr>
        <w:t>, M.</w:t>
      </w:r>
      <w:r w:rsidR="004A038B" w:rsidRPr="004A038B">
        <w:rPr>
          <w:spacing w:val="-6"/>
          <w:lang w:val="fr-FR"/>
        </w:rPr>
        <w:t> </w:t>
      </w:r>
      <w:r w:rsidRPr="004A038B">
        <w:rPr>
          <w:spacing w:val="-6"/>
          <w:lang w:val="fr-FR"/>
        </w:rPr>
        <w:t>Mario</w:t>
      </w:r>
      <w:r w:rsidR="004A038B" w:rsidRPr="004A038B">
        <w:rPr>
          <w:spacing w:val="-6"/>
          <w:lang w:val="fr-FR"/>
        </w:rPr>
        <w:t> </w:t>
      </w:r>
      <w:proofErr w:type="spellStart"/>
      <w:r w:rsidRPr="004A038B">
        <w:rPr>
          <w:spacing w:val="-6"/>
          <w:lang w:val="fr-FR"/>
        </w:rPr>
        <w:t>Oyarzábal</w:t>
      </w:r>
      <w:proofErr w:type="spellEnd"/>
      <w:r w:rsidRPr="004A038B">
        <w:rPr>
          <w:spacing w:val="-6"/>
          <w:lang w:val="fr-FR"/>
        </w:rPr>
        <w:t>, M.</w:t>
      </w:r>
      <w:r w:rsidR="004A038B" w:rsidRPr="004A038B">
        <w:rPr>
          <w:spacing w:val="-6"/>
          <w:lang w:val="fr-FR"/>
        </w:rPr>
        <w:t> </w:t>
      </w:r>
      <w:proofErr w:type="spellStart"/>
      <w:r w:rsidRPr="004A038B">
        <w:rPr>
          <w:spacing w:val="-6"/>
          <w:lang w:val="fr-FR"/>
        </w:rPr>
        <w:t>Mārtiņš</w:t>
      </w:r>
      <w:proofErr w:type="spellEnd"/>
      <w:r w:rsidR="004A038B" w:rsidRPr="004A038B">
        <w:rPr>
          <w:spacing w:val="-6"/>
          <w:lang w:val="fr-FR"/>
        </w:rPr>
        <w:t> </w:t>
      </w:r>
      <w:proofErr w:type="spellStart"/>
      <w:r w:rsidRPr="004A038B">
        <w:rPr>
          <w:spacing w:val="-6"/>
          <w:lang w:val="fr-FR"/>
        </w:rPr>
        <w:t>Paparinskis</w:t>
      </w:r>
      <w:proofErr w:type="spellEnd"/>
      <w:r w:rsidRPr="004A038B">
        <w:rPr>
          <w:spacing w:val="-6"/>
          <w:lang w:val="fr-FR"/>
        </w:rPr>
        <w:t>, M.</w:t>
      </w:r>
      <w:r w:rsidR="004A038B" w:rsidRPr="004A038B">
        <w:rPr>
          <w:spacing w:val="-6"/>
          <w:lang w:val="fr-FR"/>
        </w:rPr>
        <w:t> </w:t>
      </w:r>
      <w:r w:rsidRPr="004A038B">
        <w:rPr>
          <w:spacing w:val="-6"/>
          <w:lang w:val="fr-FR"/>
        </w:rPr>
        <w:t>Bimal</w:t>
      </w:r>
      <w:r w:rsidR="004A038B" w:rsidRPr="004A038B">
        <w:rPr>
          <w:spacing w:val="-6"/>
          <w:lang w:val="fr-FR"/>
        </w:rPr>
        <w:t> </w:t>
      </w:r>
      <w:r w:rsidRPr="004A038B">
        <w:rPr>
          <w:spacing w:val="-6"/>
          <w:lang w:val="fr-FR"/>
        </w:rPr>
        <w:t>N.</w:t>
      </w:r>
      <w:r w:rsidR="004A038B" w:rsidRPr="004A038B">
        <w:rPr>
          <w:spacing w:val="-6"/>
          <w:lang w:val="fr-FR"/>
        </w:rPr>
        <w:t> </w:t>
      </w:r>
      <w:r w:rsidRPr="004A038B">
        <w:rPr>
          <w:spacing w:val="-6"/>
          <w:lang w:val="fr-FR"/>
        </w:rPr>
        <w:t>Patel, M.</w:t>
      </w:r>
      <w:r w:rsidR="004A038B" w:rsidRPr="004A038B">
        <w:rPr>
          <w:spacing w:val="-6"/>
          <w:lang w:val="fr-FR"/>
        </w:rPr>
        <w:t> </w:t>
      </w:r>
      <w:r w:rsidRPr="004A038B">
        <w:rPr>
          <w:spacing w:val="-6"/>
          <w:lang w:val="fr-FR"/>
        </w:rPr>
        <w:t>Juan</w:t>
      </w:r>
      <w:r w:rsidR="004A038B" w:rsidRPr="004A038B">
        <w:rPr>
          <w:spacing w:val="-6"/>
          <w:lang w:val="fr-FR"/>
        </w:rPr>
        <w:t> </w:t>
      </w:r>
      <w:r w:rsidRPr="004A038B">
        <w:rPr>
          <w:spacing w:val="-6"/>
          <w:lang w:val="fr-FR"/>
        </w:rPr>
        <w:t>José</w:t>
      </w:r>
      <w:r w:rsidR="004A038B">
        <w:rPr>
          <w:lang w:val="fr-FR"/>
        </w:rPr>
        <w:t xml:space="preserve"> </w:t>
      </w:r>
      <w:proofErr w:type="spellStart"/>
      <w:r>
        <w:rPr>
          <w:lang w:val="fr-FR"/>
        </w:rPr>
        <w:t>Ruda</w:t>
      </w:r>
      <w:proofErr w:type="spellEnd"/>
      <w:r>
        <w:rPr>
          <w:lang w:val="fr-FR"/>
        </w:rPr>
        <w:t xml:space="preserve"> </w:t>
      </w:r>
      <w:proofErr w:type="spellStart"/>
      <w:r>
        <w:rPr>
          <w:lang w:val="fr-FR"/>
        </w:rPr>
        <w:t>Santolaria</w:t>
      </w:r>
      <w:proofErr w:type="spellEnd"/>
      <w:r>
        <w:rPr>
          <w:lang w:val="fr-FR"/>
        </w:rPr>
        <w:t xml:space="preserve"> et M</w:t>
      </w:r>
      <w:r w:rsidRPr="004D682B">
        <w:rPr>
          <w:vertAlign w:val="superscript"/>
          <w:lang w:val="fr-FR"/>
        </w:rPr>
        <w:t>me</w:t>
      </w:r>
      <w:r>
        <w:rPr>
          <w:lang w:val="fr-FR"/>
        </w:rPr>
        <w:t> Penelope</w:t>
      </w:r>
      <w:r w:rsidR="004A038B">
        <w:rPr>
          <w:lang w:val="fr-FR"/>
        </w:rPr>
        <w:t> </w:t>
      </w:r>
      <w:proofErr w:type="spellStart"/>
      <w:r>
        <w:rPr>
          <w:lang w:val="fr-FR"/>
        </w:rPr>
        <w:t>Ridings</w:t>
      </w:r>
      <w:proofErr w:type="spellEnd"/>
      <w:r>
        <w:rPr>
          <w:lang w:val="fr-FR"/>
        </w:rPr>
        <w:t xml:space="preserve"> (membre de droit) ;</w:t>
      </w:r>
    </w:p>
    <w:p w14:paraId="5A9A8866" w14:textId="18781051" w:rsidR="00C324CF" w:rsidRPr="00450147" w:rsidRDefault="00C324CF" w:rsidP="00C324CF">
      <w:pPr>
        <w:pStyle w:val="SingleTxtG"/>
        <w:ind w:firstLine="567"/>
        <w:rPr>
          <w:lang w:val="fr-FR"/>
        </w:rPr>
      </w:pPr>
      <w:r w:rsidRPr="0051462E">
        <w:rPr>
          <w:lang w:val="fr-FR"/>
        </w:rPr>
        <w:t>d)</w:t>
      </w:r>
      <w:r w:rsidRPr="005C59E8">
        <w:rPr>
          <w:lang w:val="fr-FR"/>
        </w:rPr>
        <w:tab/>
      </w:r>
      <w:r w:rsidRPr="005C59E8">
        <w:rPr>
          <w:i/>
          <w:iCs/>
          <w:lang w:val="fr-FR"/>
        </w:rPr>
        <w:t>Immunité de juridiction pénale étrangère des représentants de l</w:t>
      </w:r>
      <w:r w:rsidR="004C5E26">
        <w:rPr>
          <w:i/>
          <w:iCs/>
          <w:lang w:val="fr-FR"/>
        </w:rPr>
        <w:t>’</w:t>
      </w:r>
      <w:r w:rsidRPr="005C59E8">
        <w:rPr>
          <w:i/>
          <w:iCs/>
          <w:lang w:val="fr-FR"/>
        </w:rPr>
        <w:t>État</w:t>
      </w:r>
      <w:r w:rsidRPr="005C59E8">
        <w:rPr>
          <w:lang w:val="fr-FR"/>
        </w:rPr>
        <w:t> : M</w:t>
      </w:r>
      <w:r w:rsidRPr="005C59E8">
        <w:rPr>
          <w:vertAlign w:val="superscript"/>
          <w:lang w:val="fr-FR"/>
        </w:rPr>
        <w:t>me</w:t>
      </w:r>
      <w:r w:rsidRPr="005C59E8">
        <w:rPr>
          <w:lang w:val="fr-FR"/>
        </w:rPr>
        <w:t> Phoebe</w:t>
      </w:r>
      <w:r w:rsidR="005C59E8" w:rsidRPr="005C59E8">
        <w:rPr>
          <w:lang w:val="fr-FR"/>
        </w:rPr>
        <w:t> </w:t>
      </w:r>
      <w:proofErr w:type="spellStart"/>
      <w:r w:rsidRPr="005C59E8">
        <w:rPr>
          <w:lang w:val="fr-FR"/>
        </w:rPr>
        <w:t>Okowa</w:t>
      </w:r>
      <w:proofErr w:type="spellEnd"/>
      <w:r>
        <w:rPr>
          <w:lang w:val="fr-FR"/>
        </w:rPr>
        <w:t xml:space="preserve"> (Présidente), M.</w:t>
      </w:r>
      <w:r w:rsidR="005C59E8">
        <w:rPr>
          <w:lang w:val="fr-FR"/>
        </w:rPr>
        <w:t> </w:t>
      </w:r>
      <w:r>
        <w:rPr>
          <w:lang w:val="fr-FR"/>
        </w:rPr>
        <w:t>Claudio</w:t>
      </w:r>
      <w:r w:rsidR="005C59E8">
        <w:rPr>
          <w:lang w:val="fr-FR"/>
        </w:rPr>
        <w:t> </w:t>
      </w:r>
      <w:r>
        <w:rPr>
          <w:lang w:val="fr-FR"/>
        </w:rPr>
        <w:t>Grossman</w:t>
      </w:r>
      <w:r w:rsidR="005C59E8">
        <w:rPr>
          <w:lang w:val="fr-FR"/>
        </w:rPr>
        <w:t> </w:t>
      </w:r>
      <w:proofErr w:type="spellStart"/>
      <w:r>
        <w:rPr>
          <w:lang w:val="fr-FR"/>
        </w:rPr>
        <w:t>Guiloff</w:t>
      </w:r>
      <w:proofErr w:type="spellEnd"/>
      <w:r>
        <w:rPr>
          <w:lang w:val="fr-FR"/>
        </w:rPr>
        <w:t xml:space="preserve"> (Rapporteur spécial), </w:t>
      </w:r>
      <w:r w:rsidRPr="005C59E8">
        <w:rPr>
          <w:lang w:val="fr-FR"/>
        </w:rPr>
        <w:t>M. </w:t>
      </w:r>
      <w:proofErr w:type="spellStart"/>
      <w:r w:rsidRPr="005C59E8">
        <w:rPr>
          <w:lang w:val="fr-FR"/>
        </w:rPr>
        <w:t>Dapo</w:t>
      </w:r>
      <w:proofErr w:type="spellEnd"/>
      <w:r w:rsidR="005C59E8" w:rsidRPr="005C59E8">
        <w:rPr>
          <w:lang w:val="fr-FR"/>
        </w:rPr>
        <w:t> </w:t>
      </w:r>
      <w:proofErr w:type="spellStart"/>
      <w:r w:rsidRPr="005C59E8">
        <w:rPr>
          <w:lang w:val="fr-FR"/>
        </w:rPr>
        <w:t>Akande</w:t>
      </w:r>
      <w:proofErr w:type="spellEnd"/>
      <w:r w:rsidRPr="005C59E8">
        <w:rPr>
          <w:lang w:val="fr-FR"/>
        </w:rPr>
        <w:t>, M.</w:t>
      </w:r>
      <w:r w:rsidR="005C59E8" w:rsidRPr="005C59E8">
        <w:rPr>
          <w:lang w:val="fr-FR"/>
        </w:rPr>
        <w:t> </w:t>
      </w:r>
      <w:r w:rsidRPr="005C59E8">
        <w:rPr>
          <w:lang w:val="fr-FR"/>
        </w:rPr>
        <w:t>Masahiko</w:t>
      </w:r>
      <w:r w:rsidR="005C59E8" w:rsidRPr="005C59E8">
        <w:rPr>
          <w:lang w:val="fr-FR"/>
        </w:rPr>
        <w:t> </w:t>
      </w:r>
      <w:proofErr w:type="spellStart"/>
      <w:r w:rsidRPr="005C59E8">
        <w:rPr>
          <w:lang w:val="fr-FR"/>
        </w:rPr>
        <w:t>Asada</w:t>
      </w:r>
      <w:proofErr w:type="spellEnd"/>
      <w:r w:rsidRPr="005C59E8">
        <w:rPr>
          <w:lang w:val="fr-FR"/>
        </w:rPr>
        <w:t>, M.</w:t>
      </w:r>
      <w:r w:rsidR="005C59E8" w:rsidRPr="005C59E8">
        <w:rPr>
          <w:lang w:val="fr-FR"/>
        </w:rPr>
        <w:t> </w:t>
      </w:r>
      <w:r w:rsidRPr="005C59E8">
        <w:rPr>
          <w:lang w:val="fr-FR"/>
        </w:rPr>
        <w:t>Ahmed</w:t>
      </w:r>
      <w:r w:rsidR="005C59E8" w:rsidRPr="005C59E8">
        <w:rPr>
          <w:lang w:val="fr-FR"/>
        </w:rPr>
        <w:t> </w:t>
      </w:r>
      <w:r w:rsidRPr="005C59E8">
        <w:rPr>
          <w:lang w:val="fr-FR"/>
        </w:rPr>
        <w:t>Amin</w:t>
      </w:r>
      <w:r w:rsidR="005C59E8" w:rsidRPr="005C59E8">
        <w:rPr>
          <w:lang w:val="fr-FR"/>
        </w:rPr>
        <w:t> </w:t>
      </w:r>
      <w:proofErr w:type="spellStart"/>
      <w:r w:rsidRPr="005C59E8">
        <w:rPr>
          <w:lang w:val="fr-FR"/>
        </w:rPr>
        <w:t>Fathalla</w:t>
      </w:r>
      <w:proofErr w:type="spellEnd"/>
      <w:r w:rsidRPr="005C59E8">
        <w:rPr>
          <w:lang w:val="fr-FR"/>
        </w:rPr>
        <w:t>, M.</w:t>
      </w:r>
      <w:r w:rsidR="005C59E8" w:rsidRPr="005C59E8">
        <w:rPr>
          <w:lang w:val="fr-FR"/>
        </w:rPr>
        <w:t> </w:t>
      </w:r>
      <w:r w:rsidRPr="005C59E8">
        <w:rPr>
          <w:lang w:val="fr-FR"/>
        </w:rPr>
        <w:t>Rolf</w:t>
      </w:r>
      <w:r w:rsidR="005C59E8" w:rsidRPr="005C59E8">
        <w:rPr>
          <w:lang w:val="fr-FR"/>
        </w:rPr>
        <w:t> </w:t>
      </w:r>
      <w:proofErr w:type="spellStart"/>
      <w:r w:rsidRPr="005C59E8">
        <w:rPr>
          <w:lang w:val="fr-FR"/>
        </w:rPr>
        <w:t>Einar</w:t>
      </w:r>
      <w:proofErr w:type="spellEnd"/>
      <w:r w:rsidR="005C59E8" w:rsidRPr="005C59E8">
        <w:rPr>
          <w:lang w:val="fr-FR"/>
        </w:rPr>
        <w:t> </w:t>
      </w:r>
      <w:r w:rsidRPr="005C59E8">
        <w:rPr>
          <w:lang w:val="fr-FR"/>
        </w:rPr>
        <w:t xml:space="preserve">Fife, </w:t>
      </w:r>
      <w:r w:rsidRPr="005C59E8">
        <w:rPr>
          <w:spacing w:val="-10"/>
          <w:lang w:val="fr-FR"/>
        </w:rPr>
        <w:t>M. Mathias</w:t>
      </w:r>
      <w:r w:rsidR="005C59E8" w:rsidRPr="005C59E8">
        <w:rPr>
          <w:spacing w:val="-10"/>
          <w:lang w:val="fr-FR"/>
        </w:rPr>
        <w:t> </w:t>
      </w:r>
      <w:proofErr w:type="spellStart"/>
      <w:r w:rsidRPr="005C59E8">
        <w:rPr>
          <w:spacing w:val="-10"/>
          <w:lang w:val="fr-FR"/>
        </w:rPr>
        <w:t>Forteau</w:t>
      </w:r>
      <w:proofErr w:type="spellEnd"/>
      <w:r w:rsidRPr="005C59E8">
        <w:rPr>
          <w:spacing w:val="-10"/>
          <w:lang w:val="fr-FR"/>
        </w:rPr>
        <w:t>, M.</w:t>
      </w:r>
      <w:r w:rsidR="005C59E8" w:rsidRPr="005C59E8">
        <w:rPr>
          <w:spacing w:val="-10"/>
          <w:lang w:val="fr-FR"/>
        </w:rPr>
        <w:t> </w:t>
      </w:r>
      <w:r w:rsidRPr="005C59E8">
        <w:rPr>
          <w:spacing w:val="-10"/>
          <w:lang w:val="fr-FR"/>
        </w:rPr>
        <w:t>George</w:t>
      </w:r>
      <w:r w:rsidR="005C59E8" w:rsidRPr="005C59E8">
        <w:rPr>
          <w:spacing w:val="-10"/>
          <w:lang w:val="fr-FR"/>
        </w:rPr>
        <w:t> </w:t>
      </w:r>
      <w:r w:rsidRPr="005C59E8">
        <w:rPr>
          <w:spacing w:val="-10"/>
          <w:lang w:val="fr-FR"/>
        </w:rPr>
        <w:t>Rodrigo</w:t>
      </w:r>
      <w:r w:rsidR="005C59E8" w:rsidRPr="005C59E8">
        <w:rPr>
          <w:spacing w:val="-10"/>
          <w:lang w:val="fr-FR"/>
        </w:rPr>
        <w:t> </w:t>
      </w:r>
      <w:r w:rsidRPr="005C59E8">
        <w:rPr>
          <w:spacing w:val="-10"/>
          <w:lang w:val="fr-FR"/>
        </w:rPr>
        <w:t xml:space="preserve">Bandeira </w:t>
      </w:r>
      <w:proofErr w:type="spellStart"/>
      <w:r w:rsidRPr="005C59E8">
        <w:rPr>
          <w:spacing w:val="-10"/>
          <w:lang w:val="fr-FR"/>
        </w:rPr>
        <w:t>Galindo</w:t>
      </w:r>
      <w:proofErr w:type="spellEnd"/>
      <w:r w:rsidRPr="005C59E8">
        <w:rPr>
          <w:spacing w:val="-10"/>
          <w:lang w:val="fr-FR"/>
        </w:rPr>
        <w:t>, M.</w:t>
      </w:r>
      <w:r w:rsidR="005C59E8" w:rsidRPr="005C59E8">
        <w:rPr>
          <w:spacing w:val="-10"/>
          <w:lang w:val="fr-FR"/>
        </w:rPr>
        <w:t> </w:t>
      </w:r>
      <w:r w:rsidRPr="005C59E8">
        <w:rPr>
          <w:spacing w:val="-10"/>
          <w:lang w:val="fr-FR"/>
        </w:rPr>
        <w:t>Charles</w:t>
      </w:r>
      <w:r w:rsidR="005C59E8" w:rsidRPr="005C59E8">
        <w:rPr>
          <w:spacing w:val="-10"/>
          <w:lang w:val="fr-FR"/>
        </w:rPr>
        <w:t> </w:t>
      </w:r>
      <w:proofErr w:type="spellStart"/>
      <w:r w:rsidRPr="005C59E8">
        <w:rPr>
          <w:spacing w:val="-10"/>
          <w:lang w:val="fr-FR"/>
        </w:rPr>
        <w:t>Chernor</w:t>
      </w:r>
      <w:proofErr w:type="spellEnd"/>
      <w:r w:rsidRPr="005C59E8">
        <w:rPr>
          <w:spacing w:val="-10"/>
          <w:lang w:val="fr-FR"/>
        </w:rPr>
        <w:t xml:space="preserve"> </w:t>
      </w:r>
      <w:proofErr w:type="spellStart"/>
      <w:r w:rsidRPr="005C59E8">
        <w:rPr>
          <w:spacing w:val="-10"/>
          <w:lang w:val="fr-FR"/>
        </w:rPr>
        <w:t>Jalloh</w:t>
      </w:r>
      <w:proofErr w:type="spellEnd"/>
      <w:r w:rsidRPr="005C59E8">
        <w:rPr>
          <w:spacing w:val="-10"/>
          <w:lang w:val="fr-FR"/>
        </w:rPr>
        <w:t>, M. </w:t>
      </w:r>
      <w:proofErr w:type="spellStart"/>
      <w:r w:rsidRPr="005C59E8">
        <w:rPr>
          <w:spacing w:val="-10"/>
          <w:lang w:val="fr-FR"/>
        </w:rPr>
        <w:t>Keun-Gwan</w:t>
      </w:r>
      <w:proofErr w:type="spellEnd"/>
      <w:r w:rsidR="005C59E8">
        <w:rPr>
          <w:spacing w:val="-8"/>
          <w:lang w:val="fr-FR"/>
        </w:rPr>
        <w:t xml:space="preserve"> </w:t>
      </w:r>
      <w:r w:rsidRPr="005C59E8">
        <w:rPr>
          <w:spacing w:val="-8"/>
          <w:lang w:val="fr-FR"/>
        </w:rPr>
        <w:t>Lee, M</w:t>
      </w:r>
      <w:r w:rsidRPr="005C59E8">
        <w:rPr>
          <w:spacing w:val="-8"/>
          <w:vertAlign w:val="superscript"/>
          <w:lang w:val="fr-FR"/>
        </w:rPr>
        <w:t>me</w:t>
      </w:r>
      <w:r w:rsidRPr="005C59E8">
        <w:rPr>
          <w:spacing w:val="-8"/>
          <w:lang w:val="fr-FR"/>
        </w:rPr>
        <w:t> </w:t>
      </w:r>
      <w:proofErr w:type="spellStart"/>
      <w:r w:rsidRPr="005C59E8">
        <w:rPr>
          <w:spacing w:val="-8"/>
          <w:lang w:val="fr-FR"/>
        </w:rPr>
        <w:t>Vilawan</w:t>
      </w:r>
      <w:proofErr w:type="spellEnd"/>
      <w:r w:rsidR="005C59E8" w:rsidRPr="005C59E8">
        <w:rPr>
          <w:spacing w:val="-8"/>
          <w:lang w:val="fr-FR"/>
        </w:rPr>
        <w:t> </w:t>
      </w:r>
      <w:proofErr w:type="spellStart"/>
      <w:r w:rsidRPr="005C59E8">
        <w:rPr>
          <w:spacing w:val="-8"/>
          <w:lang w:val="fr-FR"/>
        </w:rPr>
        <w:t>Mangklatanakul</w:t>
      </w:r>
      <w:proofErr w:type="spellEnd"/>
      <w:r w:rsidRPr="005C59E8">
        <w:rPr>
          <w:spacing w:val="-8"/>
          <w:lang w:val="fr-FR"/>
        </w:rPr>
        <w:t>, M.</w:t>
      </w:r>
      <w:r w:rsidR="005C59E8" w:rsidRPr="005C59E8">
        <w:rPr>
          <w:spacing w:val="-8"/>
          <w:lang w:val="fr-FR"/>
        </w:rPr>
        <w:t> </w:t>
      </w:r>
      <w:r w:rsidRPr="005C59E8">
        <w:rPr>
          <w:spacing w:val="-8"/>
          <w:lang w:val="fr-FR"/>
        </w:rPr>
        <w:t>Andreas</w:t>
      </w:r>
      <w:r w:rsidR="005C59E8" w:rsidRPr="005C59E8">
        <w:rPr>
          <w:spacing w:val="-8"/>
          <w:lang w:val="fr-FR"/>
        </w:rPr>
        <w:t> </w:t>
      </w:r>
      <w:r w:rsidRPr="005C59E8">
        <w:rPr>
          <w:spacing w:val="-8"/>
          <w:lang w:val="fr-FR"/>
        </w:rPr>
        <w:t>D.</w:t>
      </w:r>
      <w:r w:rsidR="005C59E8" w:rsidRPr="005C59E8">
        <w:rPr>
          <w:spacing w:val="-8"/>
          <w:lang w:val="fr-FR"/>
        </w:rPr>
        <w:t> </w:t>
      </w:r>
      <w:proofErr w:type="spellStart"/>
      <w:r w:rsidRPr="005C59E8">
        <w:rPr>
          <w:spacing w:val="-8"/>
          <w:lang w:val="fr-FR"/>
        </w:rPr>
        <w:t>Mavroyiannis</w:t>
      </w:r>
      <w:proofErr w:type="spellEnd"/>
      <w:r w:rsidRPr="005C59E8">
        <w:rPr>
          <w:spacing w:val="-8"/>
          <w:lang w:val="fr-FR"/>
        </w:rPr>
        <w:t>, M. Giuseppe</w:t>
      </w:r>
      <w:r w:rsidR="005C59E8" w:rsidRPr="005C59E8">
        <w:rPr>
          <w:spacing w:val="-8"/>
          <w:lang w:val="fr-FR"/>
        </w:rPr>
        <w:t> </w:t>
      </w:r>
      <w:proofErr w:type="spellStart"/>
      <w:r w:rsidRPr="005C59E8">
        <w:rPr>
          <w:spacing w:val="-8"/>
          <w:lang w:val="fr-FR"/>
        </w:rPr>
        <w:t>Nesi</w:t>
      </w:r>
      <w:proofErr w:type="spellEnd"/>
      <w:r w:rsidRPr="005C59E8">
        <w:rPr>
          <w:spacing w:val="-8"/>
          <w:lang w:val="fr-FR"/>
        </w:rPr>
        <w:t>, M. Hong</w:t>
      </w:r>
      <w:r w:rsidR="005C59E8" w:rsidRPr="005C59E8">
        <w:rPr>
          <w:spacing w:val="-8"/>
          <w:lang w:val="fr-FR"/>
        </w:rPr>
        <w:t> </w:t>
      </w:r>
      <w:r w:rsidRPr="005C59E8">
        <w:rPr>
          <w:spacing w:val="-8"/>
          <w:lang w:val="fr-FR"/>
        </w:rPr>
        <w:t>Thao</w:t>
      </w:r>
      <w:r w:rsidR="005C59E8">
        <w:rPr>
          <w:spacing w:val="-8"/>
          <w:lang w:val="fr-FR"/>
        </w:rPr>
        <w:t xml:space="preserve"> </w:t>
      </w:r>
      <w:r w:rsidRPr="005C59E8">
        <w:rPr>
          <w:spacing w:val="-4"/>
          <w:lang w:val="fr-FR"/>
        </w:rPr>
        <w:t>Nguyen, M</w:t>
      </w:r>
      <w:r w:rsidRPr="005C59E8">
        <w:rPr>
          <w:spacing w:val="-4"/>
          <w:vertAlign w:val="superscript"/>
          <w:lang w:val="fr-FR"/>
        </w:rPr>
        <w:t>me</w:t>
      </w:r>
      <w:r w:rsidRPr="005C59E8">
        <w:rPr>
          <w:spacing w:val="-4"/>
          <w:lang w:val="fr-FR"/>
        </w:rPr>
        <w:t> Alina</w:t>
      </w:r>
      <w:r w:rsidR="005C59E8" w:rsidRPr="005C59E8">
        <w:rPr>
          <w:spacing w:val="-4"/>
          <w:lang w:val="fr-FR"/>
        </w:rPr>
        <w:t> </w:t>
      </w:r>
      <w:proofErr w:type="spellStart"/>
      <w:r w:rsidRPr="005C59E8">
        <w:rPr>
          <w:spacing w:val="-4"/>
          <w:lang w:val="fr-FR"/>
        </w:rPr>
        <w:t>Orosan</w:t>
      </w:r>
      <w:proofErr w:type="spellEnd"/>
      <w:r w:rsidRPr="005C59E8">
        <w:rPr>
          <w:spacing w:val="-4"/>
          <w:lang w:val="fr-FR"/>
        </w:rPr>
        <w:t>, M. Mario</w:t>
      </w:r>
      <w:r w:rsidR="005C59E8" w:rsidRPr="005C59E8">
        <w:rPr>
          <w:spacing w:val="-4"/>
          <w:lang w:val="fr-FR"/>
        </w:rPr>
        <w:t> </w:t>
      </w:r>
      <w:proofErr w:type="spellStart"/>
      <w:r w:rsidRPr="005C59E8">
        <w:rPr>
          <w:spacing w:val="-4"/>
          <w:lang w:val="fr-FR"/>
        </w:rPr>
        <w:t>Oyarzábal</w:t>
      </w:r>
      <w:proofErr w:type="spellEnd"/>
      <w:r w:rsidRPr="005C59E8">
        <w:rPr>
          <w:spacing w:val="-4"/>
          <w:lang w:val="fr-FR"/>
        </w:rPr>
        <w:t>, M. </w:t>
      </w:r>
      <w:proofErr w:type="spellStart"/>
      <w:r w:rsidRPr="005C59E8">
        <w:rPr>
          <w:spacing w:val="-4"/>
          <w:lang w:val="fr-FR"/>
        </w:rPr>
        <w:t>Mārtiņš</w:t>
      </w:r>
      <w:proofErr w:type="spellEnd"/>
      <w:r w:rsidR="005C59E8" w:rsidRPr="005C59E8">
        <w:rPr>
          <w:spacing w:val="-4"/>
          <w:lang w:val="fr-FR"/>
        </w:rPr>
        <w:t> </w:t>
      </w:r>
      <w:proofErr w:type="spellStart"/>
      <w:r w:rsidRPr="005C59E8">
        <w:rPr>
          <w:spacing w:val="-4"/>
          <w:lang w:val="fr-FR"/>
        </w:rPr>
        <w:t>Paparinskis</w:t>
      </w:r>
      <w:proofErr w:type="spellEnd"/>
      <w:r w:rsidRPr="005C59E8">
        <w:rPr>
          <w:spacing w:val="-4"/>
          <w:lang w:val="fr-FR"/>
        </w:rPr>
        <w:t>, M.</w:t>
      </w:r>
      <w:r w:rsidR="005C59E8" w:rsidRPr="005C59E8">
        <w:rPr>
          <w:spacing w:val="-4"/>
          <w:lang w:val="fr-FR"/>
        </w:rPr>
        <w:t> </w:t>
      </w:r>
      <w:r w:rsidRPr="005C59E8">
        <w:rPr>
          <w:spacing w:val="-4"/>
          <w:lang w:val="fr-FR"/>
        </w:rPr>
        <w:t>Bimal</w:t>
      </w:r>
      <w:r w:rsidR="005C59E8" w:rsidRPr="005C59E8">
        <w:rPr>
          <w:spacing w:val="-4"/>
          <w:lang w:val="fr-FR"/>
        </w:rPr>
        <w:t> </w:t>
      </w:r>
      <w:r w:rsidRPr="005C59E8">
        <w:rPr>
          <w:spacing w:val="-4"/>
          <w:lang w:val="fr-FR"/>
        </w:rPr>
        <w:t>N.</w:t>
      </w:r>
      <w:r w:rsidR="005C59E8" w:rsidRPr="005C59E8">
        <w:rPr>
          <w:spacing w:val="-4"/>
          <w:lang w:val="fr-FR"/>
        </w:rPr>
        <w:t> </w:t>
      </w:r>
      <w:r w:rsidRPr="005C59E8">
        <w:rPr>
          <w:spacing w:val="-4"/>
          <w:lang w:val="fr-FR"/>
        </w:rPr>
        <w:t>Patel,</w:t>
      </w:r>
      <w:r>
        <w:rPr>
          <w:lang w:val="fr-FR"/>
        </w:rPr>
        <w:t xml:space="preserve"> </w:t>
      </w:r>
      <w:r w:rsidRPr="005C59E8">
        <w:rPr>
          <w:lang w:val="fr-FR"/>
        </w:rPr>
        <w:t>M. August</w:t>
      </w:r>
      <w:r w:rsidR="005C59E8" w:rsidRPr="005C59E8">
        <w:rPr>
          <w:lang w:val="fr-FR"/>
        </w:rPr>
        <w:t> </w:t>
      </w:r>
      <w:proofErr w:type="spellStart"/>
      <w:r w:rsidRPr="005C59E8">
        <w:rPr>
          <w:lang w:val="fr-FR"/>
        </w:rPr>
        <w:t>Reinisch</w:t>
      </w:r>
      <w:proofErr w:type="spellEnd"/>
      <w:r w:rsidRPr="005C59E8">
        <w:rPr>
          <w:lang w:val="fr-FR"/>
        </w:rPr>
        <w:t>, M.</w:t>
      </w:r>
      <w:r w:rsidR="005C59E8" w:rsidRPr="005C59E8">
        <w:rPr>
          <w:lang w:val="fr-FR"/>
        </w:rPr>
        <w:t> </w:t>
      </w:r>
      <w:r w:rsidRPr="005C59E8">
        <w:rPr>
          <w:lang w:val="fr-FR"/>
        </w:rPr>
        <w:t>Juan</w:t>
      </w:r>
      <w:r w:rsidR="005C59E8" w:rsidRPr="005C59E8">
        <w:rPr>
          <w:lang w:val="fr-FR"/>
        </w:rPr>
        <w:t> </w:t>
      </w:r>
      <w:r w:rsidRPr="005C59E8">
        <w:rPr>
          <w:lang w:val="fr-FR"/>
        </w:rPr>
        <w:t>José</w:t>
      </w:r>
      <w:r w:rsidR="005C59E8" w:rsidRPr="005C59E8">
        <w:rPr>
          <w:lang w:val="fr-FR"/>
        </w:rPr>
        <w:t> </w:t>
      </w:r>
      <w:proofErr w:type="spellStart"/>
      <w:r w:rsidRPr="005C59E8">
        <w:rPr>
          <w:lang w:val="fr-FR"/>
        </w:rPr>
        <w:t>Ruda</w:t>
      </w:r>
      <w:proofErr w:type="spellEnd"/>
      <w:r w:rsidRPr="005C59E8">
        <w:rPr>
          <w:lang w:val="fr-FR"/>
        </w:rPr>
        <w:t xml:space="preserve"> </w:t>
      </w:r>
      <w:proofErr w:type="spellStart"/>
      <w:r w:rsidRPr="005C59E8">
        <w:rPr>
          <w:lang w:val="fr-FR"/>
        </w:rPr>
        <w:t>Santolaria</w:t>
      </w:r>
      <w:proofErr w:type="spellEnd"/>
      <w:r w:rsidRPr="005C59E8">
        <w:rPr>
          <w:lang w:val="fr-FR"/>
        </w:rPr>
        <w:t>, M. Alioune</w:t>
      </w:r>
      <w:r w:rsidR="005C59E8" w:rsidRPr="005C59E8">
        <w:rPr>
          <w:lang w:val="fr-FR"/>
        </w:rPr>
        <w:t> </w:t>
      </w:r>
      <w:proofErr w:type="spellStart"/>
      <w:r w:rsidRPr="005C59E8">
        <w:rPr>
          <w:lang w:val="fr-FR"/>
        </w:rPr>
        <w:t>Sall</w:t>
      </w:r>
      <w:proofErr w:type="spellEnd"/>
      <w:r w:rsidRPr="005C59E8">
        <w:rPr>
          <w:lang w:val="fr-FR"/>
        </w:rPr>
        <w:t>, M.</w:t>
      </w:r>
      <w:r w:rsidR="005C59E8" w:rsidRPr="005C59E8">
        <w:rPr>
          <w:lang w:val="fr-FR"/>
        </w:rPr>
        <w:t> </w:t>
      </w:r>
      <w:r w:rsidRPr="005C59E8">
        <w:rPr>
          <w:lang w:val="fr-FR"/>
        </w:rPr>
        <w:t>Marcelo</w:t>
      </w:r>
      <w:r w:rsidR="005C59E8" w:rsidRPr="005C59E8">
        <w:rPr>
          <w:lang w:val="fr-FR"/>
        </w:rPr>
        <w:t> </w:t>
      </w:r>
      <w:proofErr w:type="spellStart"/>
      <w:r w:rsidRPr="005C59E8">
        <w:rPr>
          <w:lang w:val="fr-FR"/>
        </w:rPr>
        <w:t>Vázquez</w:t>
      </w:r>
      <w:r w:rsidR="005C59E8">
        <w:rPr>
          <w:lang w:val="fr-FR"/>
        </w:rPr>
        <w:t>-</w:t>
      </w:r>
      <w:r w:rsidRPr="005C59E8">
        <w:rPr>
          <w:lang w:val="fr-FR"/>
        </w:rPr>
        <w:t>Bermúdez</w:t>
      </w:r>
      <w:proofErr w:type="spellEnd"/>
      <w:r w:rsidRPr="005C59E8">
        <w:rPr>
          <w:lang w:val="fr-FR"/>
        </w:rPr>
        <w:t>,</w:t>
      </w:r>
      <w:r>
        <w:rPr>
          <w:lang w:val="fr-FR"/>
        </w:rPr>
        <w:t xml:space="preserve"> M.</w:t>
      </w:r>
      <w:r w:rsidR="005C59E8">
        <w:rPr>
          <w:lang w:val="fr-FR"/>
        </w:rPr>
        <w:t> </w:t>
      </w:r>
      <w:proofErr w:type="spellStart"/>
      <w:r>
        <w:rPr>
          <w:lang w:val="fr-FR"/>
        </w:rPr>
        <w:t>Evgeny</w:t>
      </w:r>
      <w:proofErr w:type="spellEnd"/>
      <w:r w:rsidR="005C59E8">
        <w:rPr>
          <w:lang w:val="fr-FR"/>
        </w:rPr>
        <w:t> </w:t>
      </w:r>
      <w:proofErr w:type="spellStart"/>
      <w:r>
        <w:rPr>
          <w:lang w:val="fr-FR"/>
        </w:rPr>
        <w:t>Zagaynov</w:t>
      </w:r>
      <w:proofErr w:type="spellEnd"/>
      <w:r>
        <w:rPr>
          <w:lang w:val="fr-FR"/>
        </w:rPr>
        <w:t xml:space="preserve"> et M</w:t>
      </w:r>
      <w:r w:rsidRPr="004D682B">
        <w:rPr>
          <w:vertAlign w:val="superscript"/>
          <w:lang w:val="fr-FR"/>
        </w:rPr>
        <w:t>me</w:t>
      </w:r>
      <w:r>
        <w:rPr>
          <w:lang w:val="fr-FR"/>
        </w:rPr>
        <w:t> Penelope</w:t>
      </w:r>
      <w:r w:rsidR="005C59E8">
        <w:rPr>
          <w:lang w:val="fr-FR"/>
        </w:rPr>
        <w:t> </w:t>
      </w:r>
      <w:proofErr w:type="spellStart"/>
      <w:r>
        <w:rPr>
          <w:lang w:val="fr-FR"/>
        </w:rPr>
        <w:t>Ridings</w:t>
      </w:r>
      <w:proofErr w:type="spellEnd"/>
      <w:r>
        <w:rPr>
          <w:lang w:val="fr-FR"/>
        </w:rPr>
        <w:t xml:space="preserve"> (membre de droit).</w:t>
      </w:r>
    </w:p>
    <w:p w14:paraId="756F85CC" w14:textId="77777777" w:rsidR="00C324CF" w:rsidRPr="00450147" w:rsidRDefault="00C324CF" w:rsidP="00A271C5">
      <w:pPr>
        <w:pStyle w:val="SingleTxtG"/>
      </w:pPr>
      <w:r w:rsidRPr="00450147">
        <w:t>9.</w:t>
      </w:r>
      <w:r w:rsidRPr="00450147">
        <w:tab/>
      </w:r>
      <w:r>
        <w:rPr>
          <w:lang w:val="fr-FR"/>
        </w:rPr>
        <w:t>Le Comité de rédaction a tenu un total de 21 séances sur les quatre sujets susmentionnés.</w:t>
      </w:r>
    </w:p>
    <w:p w14:paraId="526CCDA8" w14:textId="6E0D9214" w:rsidR="00C324CF" w:rsidRPr="00450147" w:rsidRDefault="00C324CF" w:rsidP="00A271C5">
      <w:pPr>
        <w:pStyle w:val="H1G"/>
      </w:pPr>
      <w:r>
        <w:rPr>
          <w:lang w:val="fr-FR"/>
        </w:rPr>
        <w:tab/>
        <w:t>E.</w:t>
      </w:r>
      <w:r>
        <w:rPr>
          <w:lang w:val="fr-FR"/>
        </w:rPr>
        <w:tab/>
      </w:r>
      <w:bookmarkStart w:id="8" w:name="_Hlk175323160"/>
      <w:r w:rsidRPr="00DE447F">
        <w:rPr>
          <w:lang w:val="fr-FR"/>
        </w:rPr>
        <w:t>Groupes de travail et Groupe d</w:t>
      </w:r>
      <w:r w:rsidR="004C5E26">
        <w:rPr>
          <w:lang w:val="fr-FR"/>
        </w:rPr>
        <w:t>’</w:t>
      </w:r>
      <w:r w:rsidRPr="00DE447F">
        <w:rPr>
          <w:lang w:val="fr-FR"/>
        </w:rPr>
        <w:t>étude</w:t>
      </w:r>
      <w:bookmarkEnd w:id="8"/>
    </w:p>
    <w:p w14:paraId="331A8B43" w14:textId="77777777" w:rsidR="00C324CF" w:rsidRPr="00450147" w:rsidRDefault="00C324CF" w:rsidP="00A271C5">
      <w:pPr>
        <w:pStyle w:val="SingleTxtG"/>
      </w:pPr>
      <w:r w:rsidRPr="00450147">
        <w:t>10.</w:t>
      </w:r>
      <w:r w:rsidRPr="00450147">
        <w:tab/>
      </w:r>
      <w:r>
        <w:rPr>
          <w:lang w:val="fr-FR"/>
        </w:rPr>
        <w:t>Le 14 mai 2024, le Groupe de planification a constitué les groupes de travail suivants :</w:t>
      </w:r>
    </w:p>
    <w:p w14:paraId="1C5D4C07" w14:textId="7446E14F" w:rsidR="00C324CF" w:rsidRPr="00450147" w:rsidRDefault="00C324CF" w:rsidP="00C324CF">
      <w:pPr>
        <w:pStyle w:val="SingleTxtG"/>
        <w:ind w:firstLine="567"/>
        <w:rPr>
          <w:lang w:val="fr-FR"/>
        </w:rPr>
      </w:pPr>
      <w:r>
        <w:rPr>
          <w:lang w:val="fr-FR"/>
        </w:rPr>
        <w:t>a)</w:t>
      </w:r>
      <w:r>
        <w:rPr>
          <w:lang w:val="fr-FR"/>
        </w:rPr>
        <w:tab/>
      </w:r>
      <w:r w:rsidRPr="00544156">
        <w:rPr>
          <w:i/>
          <w:iCs/>
          <w:lang w:val="fr-FR"/>
        </w:rPr>
        <w:t>Groupe de travail sur le programme de travail à long terme</w:t>
      </w:r>
      <w:r>
        <w:rPr>
          <w:lang w:val="fr-FR"/>
        </w:rPr>
        <w:t xml:space="preserve"> : </w:t>
      </w:r>
      <w:r w:rsidRPr="00DE447F">
        <w:rPr>
          <w:spacing w:val="-4"/>
          <w:lang w:val="fr-FR"/>
        </w:rPr>
        <w:t>M. Marcelo</w:t>
      </w:r>
      <w:r w:rsidR="007955DA" w:rsidRPr="00DE447F">
        <w:rPr>
          <w:spacing w:val="-4"/>
          <w:lang w:val="fr-FR"/>
        </w:rPr>
        <w:t> </w:t>
      </w:r>
      <w:proofErr w:type="spellStart"/>
      <w:r w:rsidRPr="00DE447F">
        <w:rPr>
          <w:spacing w:val="-4"/>
          <w:lang w:val="fr-FR"/>
        </w:rPr>
        <w:t>Vázquez-Bermúdez</w:t>
      </w:r>
      <w:proofErr w:type="spellEnd"/>
      <w:r w:rsidRPr="00DE447F">
        <w:rPr>
          <w:spacing w:val="-4"/>
          <w:lang w:val="fr-FR"/>
        </w:rPr>
        <w:t xml:space="preserve"> (Président), M. Carlos</w:t>
      </w:r>
      <w:r w:rsidR="007955DA" w:rsidRPr="00DE447F">
        <w:rPr>
          <w:spacing w:val="-4"/>
          <w:lang w:val="fr-FR"/>
        </w:rPr>
        <w:t> </w:t>
      </w:r>
      <w:r w:rsidRPr="00DE447F">
        <w:rPr>
          <w:spacing w:val="-4"/>
          <w:lang w:val="fr-FR"/>
        </w:rPr>
        <w:t>J.</w:t>
      </w:r>
      <w:r w:rsidR="007955DA" w:rsidRPr="00DE447F">
        <w:rPr>
          <w:spacing w:val="-4"/>
          <w:lang w:val="fr-FR"/>
        </w:rPr>
        <w:t> </w:t>
      </w:r>
      <w:proofErr w:type="spellStart"/>
      <w:r w:rsidRPr="00DE447F">
        <w:rPr>
          <w:spacing w:val="-4"/>
          <w:lang w:val="fr-FR"/>
        </w:rPr>
        <w:t>Argüello</w:t>
      </w:r>
      <w:proofErr w:type="spellEnd"/>
      <w:r w:rsidRPr="00DE447F">
        <w:rPr>
          <w:spacing w:val="-4"/>
          <w:lang w:val="fr-FR"/>
        </w:rPr>
        <w:t xml:space="preserve"> Gómez, M. Masahiko</w:t>
      </w:r>
      <w:r w:rsidR="007955DA" w:rsidRPr="00DE447F">
        <w:rPr>
          <w:spacing w:val="-4"/>
          <w:lang w:val="fr-FR"/>
        </w:rPr>
        <w:t> </w:t>
      </w:r>
      <w:proofErr w:type="spellStart"/>
      <w:r w:rsidRPr="00DE447F">
        <w:rPr>
          <w:spacing w:val="-4"/>
          <w:lang w:val="fr-FR"/>
        </w:rPr>
        <w:t>Asada</w:t>
      </w:r>
      <w:proofErr w:type="spellEnd"/>
      <w:r w:rsidRPr="00DE447F">
        <w:rPr>
          <w:spacing w:val="-4"/>
          <w:lang w:val="fr-FR"/>
        </w:rPr>
        <w:t>,</w:t>
      </w:r>
      <w:r>
        <w:rPr>
          <w:lang w:val="fr-FR"/>
        </w:rPr>
        <w:t xml:space="preserve"> M. Ahmed</w:t>
      </w:r>
      <w:r w:rsidR="007955DA">
        <w:rPr>
          <w:lang w:val="fr-FR"/>
        </w:rPr>
        <w:t> </w:t>
      </w:r>
      <w:r>
        <w:rPr>
          <w:lang w:val="fr-FR"/>
        </w:rPr>
        <w:t xml:space="preserve">Amin </w:t>
      </w:r>
      <w:proofErr w:type="spellStart"/>
      <w:r>
        <w:rPr>
          <w:lang w:val="fr-FR"/>
        </w:rPr>
        <w:t>Fathalla</w:t>
      </w:r>
      <w:proofErr w:type="spellEnd"/>
      <w:r>
        <w:rPr>
          <w:lang w:val="fr-FR"/>
        </w:rPr>
        <w:t>, M. Rolf</w:t>
      </w:r>
      <w:r w:rsidR="007955DA">
        <w:rPr>
          <w:lang w:val="fr-FR"/>
        </w:rPr>
        <w:t> </w:t>
      </w:r>
      <w:proofErr w:type="spellStart"/>
      <w:r>
        <w:rPr>
          <w:lang w:val="fr-FR"/>
        </w:rPr>
        <w:t>Einar</w:t>
      </w:r>
      <w:proofErr w:type="spellEnd"/>
      <w:r>
        <w:rPr>
          <w:lang w:val="fr-FR"/>
        </w:rPr>
        <w:t xml:space="preserve"> Fife, M. Mathias</w:t>
      </w:r>
      <w:r w:rsidR="007955DA">
        <w:rPr>
          <w:lang w:val="fr-FR"/>
        </w:rPr>
        <w:t> </w:t>
      </w:r>
      <w:proofErr w:type="spellStart"/>
      <w:r>
        <w:rPr>
          <w:lang w:val="fr-FR"/>
        </w:rPr>
        <w:t>Forteau</w:t>
      </w:r>
      <w:proofErr w:type="spellEnd"/>
      <w:r>
        <w:rPr>
          <w:lang w:val="fr-FR"/>
        </w:rPr>
        <w:t>, M. George</w:t>
      </w:r>
      <w:r w:rsidR="007955DA">
        <w:rPr>
          <w:lang w:val="fr-FR"/>
        </w:rPr>
        <w:t> </w:t>
      </w:r>
      <w:r>
        <w:rPr>
          <w:lang w:val="fr-FR"/>
        </w:rPr>
        <w:t xml:space="preserve">Rodrigo </w:t>
      </w:r>
      <w:r w:rsidRPr="00DE447F">
        <w:rPr>
          <w:spacing w:val="-6"/>
          <w:lang w:val="fr-FR"/>
        </w:rPr>
        <w:t xml:space="preserve">Bandeira </w:t>
      </w:r>
      <w:proofErr w:type="spellStart"/>
      <w:r w:rsidRPr="00DE447F">
        <w:rPr>
          <w:spacing w:val="-6"/>
          <w:lang w:val="fr-FR"/>
        </w:rPr>
        <w:t>Galindo</w:t>
      </w:r>
      <w:proofErr w:type="spellEnd"/>
      <w:r w:rsidRPr="00DE447F">
        <w:rPr>
          <w:spacing w:val="-6"/>
          <w:lang w:val="fr-FR"/>
        </w:rPr>
        <w:t>, M</w:t>
      </w:r>
      <w:r w:rsidRPr="00DE447F">
        <w:rPr>
          <w:spacing w:val="-6"/>
          <w:vertAlign w:val="superscript"/>
          <w:lang w:val="fr-FR"/>
        </w:rPr>
        <w:t>me</w:t>
      </w:r>
      <w:r w:rsidRPr="00DE447F">
        <w:rPr>
          <w:spacing w:val="-6"/>
          <w:lang w:val="fr-FR"/>
        </w:rPr>
        <w:t> </w:t>
      </w:r>
      <w:proofErr w:type="spellStart"/>
      <w:r w:rsidRPr="00DE447F">
        <w:rPr>
          <w:spacing w:val="-6"/>
          <w:lang w:val="fr-FR"/>
        </w:rPr>
        <w:t>Patrícia</w:t>
      </w:r>
      <w:proofErr w:type="spellEnd"/>
      <w:r w:rsidR="007955DA" w:rsidRPr="00DE447F">
        <w:rPr>
          <w:spacing w:val="-6"/>
          <w:lang w:val="fr-FR"/>
        </w:rPr>
        <w:t> </w:t>
      </w:r>
      <w:proofErr w:type="spellStart"/>
      <w:r w:rsidRPr="00DE447F">
        <w:rPr>
          <w:spacing w:val="-6"/>
          <w:lang w:val="fr-FR"/>
        </w:rPr>
        <w:t>Galvão</w:t>
      </w:r>
      <w:proofErr w:type="spellEnd"/>
      <w:r w:rsidRPr="00DE447F">
        <w:rPr>
          <w:spacing w:val="-6"/>
          <w:lang w:val="fr-FR"/>
        </w:rPr>
        <w:t xml:space="preserve"> </w:t>
      </w:r>
      <w:proofErr w:type="spellStart"/>
      <w:r w:rsidRPr="00DE447F">
        <w:rPr>
          <w:spacing w:val="-6"/>
          <w:lang w:val="fr-FR"/>
        </w:rPr>
        <w:t>Teles</w:t>
      </w:r>
      <w:proofErr w:type="spellEnd"/>
      <w:r w:rsidRPr="00DE447F">
        <w:rPr>
          <w:spacing w:val="-6"/>
          <w:lang w:val="fr-FR"/>
        </w:rPr>
        <w:t>, M. Claudio</w:t>
      </w:r>
      <w:r w:rsidR="007955DA" w:rsidRPr="00DE447F">
        <w:rPr>
          <w:spacing w:val="-6"/>
          <w:lang w:val="fr-FR"/>
        </w:rPr>
        <w:t> </w:t>
      </w:r>
      <w:r w:rsidRPr="00DE447F">
        <w:rPr>
          <w:spacing w:val="-6"/>
          <w:lang w:val="fr-FR"/>
        </w:rPr>
        <w:t xml:space="preserve">Grossman </w:t>
      </w:r>
      <w:proofErr w:type="spellStart"/>
      <w:r w:rsidRPr="00DE447F">
        <w:rPr>
          <w:spacing w:val="-6"/>
          <w:lang w:val="fr-FR"/>
        </w:rPr>
        <w:t>Guiloff</w:t>
      </w:r>
      <w:proofErr w:type="spellEnd"/>
      <w:r w:rsidRPr="00DE447F">
        <w:rPr>
          <w:spacing w:val="-6"/>
          <w:lang w:val="fr-FR"/>
        </w:rPr>
        <w:t>, M. </w:t>
      </w:r>
      <w:proofErr w:type="spellStart"/>
      <w:r w:rsidRPr="00DE447F">
        <w:rPr>
          <w:spacing w:val="-6"/>
          <w:lang w:val="fr-FR"/>
        </w:rPr>
        <w:t>Huikang</w:t>
      </w:r>
      <w:proofErr w:type="spellEnd"/>
      <w:r w:rsidR="007955DA" w:rsidRPr="00DE447F">
        <w:rPr>
          <w:spacing w:val="-6"/>
          <w:lang w:val="fr-FR"/>
        </w:rPr>
        <w:t> </w:t>
      </w:r>
      <w:r w:rsidRPr="00DE447F">
        <w:rPr>
          <w:spacing w:val="-6"/>
          <w:lang w:val="fr-FR"/>
        </w:rPr>
        <w:t>Huang,</w:t>
      </w:r>
      <w:r>
        <w:rPr>
          <w:lang w:val="fr-FR"/>
        </w:rPr>
        <w:t xml:space="preserve"> </w:t>
      </w:r>
      <w:r w:rsidRPr="00DE447F">
        <w:rPr>
          <w:spacing w:val="-4"/>
          <w:lang w:val="fr-FR"/>
        </w:rPr>
        <w:t>M. Charles</w:t>
      </w:r>
      <w:r w:rsidR="007955DA" w:rsidRPr="00DE447F">
        <w:rPr>
          <w:spacing w:val="-4"/>
          <w:lang w:val="fr-FR"/>
        </w:rPr>
        <w:t> </w:t>
      </w:r>
      <w:proofErr w:type="spellStart"/>
      <w:r w:rsidRPr="00DE447F">
        <w:rPr>
          <w:spacing w:val="-4"/>
          <w:lang w:val="fr-FR"/>
        </w:rPr>
        <w:t>Chernor</w:t>
      </w:r>
      <w:proofErr w:type="spellEnd"/>
      <w:r w:rsidRPr="00DE447F">
        <w:rPr>
          <w:spacing w:val="-4"/>
          <w:lang w:val="fr-FR"/>
        </w:rPr>
        <w:t xml:space="preserve"> </w:t>
      </w:r>
      <w:proofErr w:type="spellStart"/>
      <w:r w:rsidRPr="00DE447F">
        <w:rPr>
          <w:spacing w:val="-4"/>
          <w:lang w:val="fr-FR"/>
        </w:rPr>
        <w:t>Jalloh</w:t>
      </w:r>
      <w:proofErr w:type="spellEnd"/>
      <w:r w:rsidRPr="00DE447F">
        <w:rPr>
          <w:spacing w:val="-4"/>
          <w:lang w:val="fr-FR"/>
        </w:rPr>
        <w:t>, M. </w:t>
      </w:r>
      <w:proofErr w:type="spellStart"/>
      <w:r w:rsidRPr="00DE447F">
        <w:rPr>
          <w:spacing w:val="-4"/>
          <w:lang w:val="fr-FR"/>
        </w:rPr>
        <w:t>Keun-Gwan</w:t>
      </w:r>
      <w:proofErr w:type="spellEnd"/>
      <w:r w:rsidRPr="00DE447F">
        <w:rPr>
          <w:spacing w:val="-4"/>
          <w:lang w:val="fr-FR"/>
        </w:rPr>
        <w:t xml:space="preserve"> Lee, M</w:t>
      </w:r>
      <w:r w:rsidRPr="00DE447F">
        <w:rPr>
          <w:spacing w:val="-4"/>
          <w:vertAlign w:val="superscript"/>
          <w:lang w:val="fr-FR"/>
        </w:rPr>
        <w:t>me</w:t>
      </w:r>
      <w:r w:rsidRPr="00DE447F">
        <w:rPr>
          <w:spacing w:val="-4"/>
          <w:lang w:val="fr-FR"/>
        </w:rPr>
        <w:t> </w:t>
      </w:r>
      <w:proofErr w:type="spellStart"/>
      <w:r w:rsidRPr="00DE447F">
        <w:rPr>
          <w:spacing w:val="-4"/>
          <w:lang w:val="fr-FR"/>
        </w:rPr>
        <w:t>Vilawan</w:t>
      </w:r>
      <w:proofErr w:type="spellEnd"/>
      <w:r w:rsidR="007955DA" w:rsidRPr="00DE447F">
        <w:rPr>
          <w:spacing w:val="-4"/>
          <w:lang w:val="fr-FR"/>
        </w:rPr>
        <w:t> </w:t>
      </w:r>
      <w:proofErr w:type="spellStart"/>
      <w:r w:rsidRPr="00DE447F">
        <w:rPr>
          <w:spacing w:val="-4"/>
          <w:lang w:val="fr-FR"/>
        </w:rPr>
        <w:t>Mangklatanakul</w:t>
      </w:r>
      <w:proofErr w:type="spellEnd"/>
      <w:r w:rsidRPr="00DE447F">
        <w:rPr>
          <w:spacing w:val="-4"/>
          <w:lang w:val="fr-FR"/>
        </w:rPr>
        <w:t>, M. Andreas D.</w:t>
      </w:r>
      <w:r w:rsidR="00DE447F">
        <w:rPr>
          <w:lang w:val="fr-FR"/>
        </w:rPr>
        <w:t xml:space="preserve"> </w:t>
      </w:r>
      <w:proofErr w:type="spellStart"/>
      <w:r w:rsidRPr="00DE447F">
        <w:rPr>
          <w:spacing w:val="-10"/>
          <w:lang w:val="fr-FR"/>
        </w:rPr>
        <w:t>Mavroyiannis</w:t>
      </w:r>
      <w:proofErr w:type="spellEnd"/>
      <w:r w:rsidRPr="00DE447F">
        <w:rPr>
          <w:spacing w:val="-10"/>
          <w:lang w:val="fr-FR"/>
        </w:rPr>
        <w:t>, M. Ivon</w:t>
      </w:r>
      <w:r w:rsidR="007955DA" w:rsidRPr="00DE447F">
        <w:rPr>
          <w:spacing w:val="-10"/>
          <w:lang w:val="fr-FR"/>
        </w:rPr>
        <w:t> </w:t>
      </w:r>
      <w:proofErr w:type="spellStart"/>
      <w:r w:rsidRPr="00DE447F">
        <w:rPr>
          <w:spacing w:val="-10"/>
          <w:lang w:val="fr-FR"/>
        </w:rPr>
        <w:t>Mingashang</w:t>
      </w:r>
      <w:proofErr w:type="spellEnd"/>
      <w:r w:rsidRPr="00DE447F">
        <w:rPr>
          <w:spacing w:val="-10"/>
          <w:lang w:val="fr-FR"/>
        </w:rPr>
        <w:t>, M. Giuseppe</w:t>
      </w:r>
      <w:r w:rsidR="007955DA" w:rsidRPr="00DE447F">
        <w:rPr>
          <w:spacing w:val="-10"/>
          <w:lang w:val="fr-FR"/>
        </w:rPr>
        <w:t> </w:t>
      </w:r>
      <w:proofErr w:type="spellStart"/>
      <w:r w:rsidRPr="00DE447F">
        <w:rPr>
          <w:spacing w:val="-10"/>
          <w:lang w:val="fr-FR"/>
        </w:rPr>
        <w:t>Nesi</w:t>
      </w:r>
      <w:proofErr w:type="spellEnd"/>
      <w:r w:rsidRPr="00DE447F">
        <w:rPr>
          <w:spacing w:val="-10"/>
          <w:lang w:val="fr-FR"/>
        </w:rPr>
        <w:t>, M.</w:t>
      </w:r>
      <w:r w:rsidR="007955DA" w:rsidRPr="00DE447F">
        <w:rPr>
          <w:spacing w:val="-10"/>
          <w:lang w:val="fr-FR"/>
        </w:rPr>
        <w:t> </w:t>
      </w:r>
      <w:r w:rsidRPr="00DE447F">
        <w:rPr>
          <w:spacing w:val="-10"/>
          <w:lang w:val="fr-FR"/>
        </w:rPr>
        <w:t>Hong</w:t>
      </w:r>
      <w:r w:rsidR="007955DA" w:rsidRPr="00DE447F">
        <w:rPr>
          <w:spacing w:val="-10"/>
          <w:lang w:val="fr-FR"/>
        </w:rPr>
        <w:t> </w:t>
      </w:r>
      <w:r w:rsidRPr="00DE447F">
        <w:rPr>
          <w:spacing w:val="-10"/>
          <w:lang w:val="fr-FR"/>
        </w:rPr>
        <w:t>Thao Nguyen, M</w:t>
      </w:r>
      <w:r w:rsidRPr="00DE447F">
        <w:rPr>
          <w:spacing w:val="-10"/>
          <w:vertAlign w:val="superscript"/>
          <w:lang w:val="fr-FR"/>
        </w:rPr>
        <w:t>me</w:t>
      </w:r>
      <w:r w:rsidRPr="00DE447F">
        <w:rPr>
          <w:spacing w:val="-10"/>
          <w:lang w:val="fr-FR"/>
        </w:rPr>
        <w:t> Phoebe</w:t>
      </w:r>
      <w:r w:rsidR="007955DA" w:rsidRPr="00DE447F">
        <w:rPr>
          <w:spacing w:val="-10"/>
          <w:lang w:val="fr-FR"/>
        </w:rPr>
        <w:t> </w:t>
      </w:r>
      <w:proofErr w:type="spellStart"/>
      <w:r w:rsidRPr="00DE447F">
        <w:rPr>
          <w:spacing w:val="-10"/>
          <w:lang w:val="fr-FR"/>
        </w:rPr>
        <w:t>Okowa</w:t>
      </w:r>
      <w:proofErr w:type="spellEnd"/>
      <w:r w:rsidRPr="00DE447F">
        <w:rPr>
          <w:spacing w:val="-10"/>
          <w:lang w:val="fr-FR"/>
        </w:rPr>
        <w:t>,</w:t>
      </w:r>
      <w:r>
        <w:rPr>
          <w:lang w:val="fr-FR"/>
        </w:rPr>
        <w:t xml:space="preserve"> M</w:t>
      </w:r>
      <w:r w:rsidRPr="00481D21">
        <w:rPr>
          <w:vertAlign w:val="superscript"/>
          <w:lang w:val="fr-FR"/>
        </w:rPr>
        <w:t>me</w:t>
      </w:r>
      <w:r>
        <w:rPr>
          <w:lang w:val="fr-FR"/>
        </w:rPr>
        <w:t> </w:t>
      </w:r>
      <w:proofErr w:type="spellStart"/>
      <w:r>
        <w:rPr>
          <w:lang w:val="fr-FR"/>
        </w:rPr>
        <w:t>Nilüfer</w:t>
      </w:r>
      <w:proofErr w:type="spellEnd"/>
      <w:r w:rsidR="007955DA">
        <w:rPr>
          <w:lang w:val="fr-FR"/>
        </w:rPr>
        <w:t> </w:t>
      </w:r>
      <w:r>
        <w:rPr>
          <w:lang w:val="fr-FR"/>
        </w:rPr>
        <w:t>Oral, M</w:t>
      </w:r>
      <w:r w:rsidRPr="00481D21">
        <w:rPr>
          <w:vertAlign w:val="superscript"/>
          <w:lang w:val="fr-FR"/>
        </w:rPr>
        <w:t>me</w:t>
      </w:r>
      <w:r w:rsidR="007955DA">
        <w:rPr>
          <w:lang w:val="fr-FR"/>
        </w:rPr>
        <w:t> </w:t>
      </w:r>
      <w:r>
        <w:rPr>
          <w:lang w:val="fr-FR"/>
        </w:rPr>
        <w:t>Alina</w:t>
      </w:r>
      <w:r w:rsidR="007955DA">
        <w:rPr>
          <w:lang w:val="fr-FR"/>
        </w:rPr>
        <w:t> </w:t>
      </w:r>
      <w:proofErr w:type="spellStart"/>
      <w:r>
        <w:rPr>
          <w:lang w:val="fr-FR"/>
        </w:rPr>
        <w:t>Orosan</w:t>
      </w:r>
      <w:proofErr w:type="spellEnd"/>
      <w:r>
        <w:rPr>
          <w:lang w:val="fr-FR"/>
        </w:rPr>
        <w:t>, M. Hassan</w:t>
      </w:r>
      <w:r w:rsidR="007955DA">
        <w:rPr>
          <w:lang w:val="fr-FR"/>
        </w:rPr>
        <w:t> </w:t>
      </w:r>
      <w:proofErr w:type="spellStart"/>
      <w:r>
        <w:rPr>
          <w:lang w:val="fr-FR"/>
        </w:rPr>
        <w:t>Ouazzani</w:t>
      </w:r>
      <w:proofErr w:type="spellEnd"/>
      <w:r>
        <w:rPr>
          <w:lang w:val="fr-FR"/>
        </w:rPr>
        <w:t xml:space="preserve"> </w:t>
      </w:r>
      <w:proofErr w:type="spellStart"/>
      <w:r>
        <w:rPr>
          <w:lang w:val="fr-FR"/>
        </w:rPr>
        <w:t>Chahdi</w:t>
      </w:r>
      <w:proofErr w:type="spellEnd"/>
      <w:r>
        <w:rPr>
          <w:lang w:val="fr-FR"/>
        </w:rPr>
        <w:t>, M. Mario</w:t>
      </w:r>
      <w:r w:rsidR="007955DA">
        <w:rPr>
          <w:lang w:val="fr-FR"/>
        </w:rPr>
        <w:t> </w:t>
      </w:r>
      <w:proofErr w:type="spellStart"/>
      <w:r>
        <w:rPr>
          <w:lang w:val="fr-FR"/>
        </w:rPr>
        <w:t>Oyarzábal</w:t>
      </w:r>
      <w:proofErr w:type="spellEnd"/>
      <w:r>
        <w:rPr>
          <w:lang w:val="fr-FR"/>
        </w:rPr>
        <w:t xml:space="preserve">, </w:t>
      </w:r>
      <w:r w:rsidRPr="00DE447F">
        <w:rPr>
          <w:spacing w:val="-4"/>
          <w:lang w:val="fr-FR"/>
        </w:rPr>
        <w:t>M. </w:t>
      </w:r>
      <w:proofErr w:type="spellStart"/>
      <w:r w:rsidRPr="00DE447F">
        <w:rPr>
          <w:spacing w:val="-4"/>
          <w:lang w:val="fr-FR"/>
        </w:rPr>
        <w:t>Mārtiņš</w:t>
      </w:r>
      <w:proofErr w:type="spellEnd"/>
      <w:r w:rsidR="007955DA" w:rsidRPr="00DE447F">
        <w:rPr>
          <w:spacing w:val="-4"/>
          <w:lang w:val="fr-FR"/>
        </w:rPr>
        <w:t> </w:t>
      </w:r>
      <w:proofErr w:type="spellStart"/>
      <w:r w:rsidRPr="00DE447F">
        <w:rPr>
          <w:spacing w:val="-4"/>
          <w:lang w:val="fr-FR"/>
        </w:rPr>
        <w:t>Paparinskis</w:t>
      </w:r>
      <w:proofErr w:type="spellEnd"/>
      <w:r w:rsidRPr="00DE447F">
        <w:rPr>
          <w:spacing w:val="-4"/>
          <w:lang w:val="fr-FR"/>
        </w:rPr>
        <w:t>, M. Bimal</w:t>
      </w:r>
      <w:r w:rsidR="007955DA" w:rsidRPr="00DE447F">
        <w:rPr>
          <w:spacing w:val="-4"/>
          <w:lang w:val="fr-FR"/>
        </w:rPr>
        <w:t> </w:t>
      </w:r>
      <w:r w:rsidRPr="00DE447F">
        <w:rPr>
          <w:spacing w:val="-4"/>
          <w:lang w:val="fr-FR"/>
        </w:rPr>
        <w:t>N. Patel, M. August</w:t>
      </w:r>
      <w:r w:rsidR="007955DA" w:rsidRPr="00DE447F">
        <w:rPr>
          <w:spacing w:val="-4"/>
          <w:lang w:val="fr-FR"/>
        </w:rPr>
        <w:t> </w:t>
      </w:r>
      <w:proofErr w:type="spellStart"/>
      <w:r w:rsidRPr="00DE447F">
        <w:rPr>
          <w:spacing w:val="-4"/>
          <w:lang w:val="fr-FR"/>
        </w:rPr>
        <w:t>Reinisch</w:t>
      </w:r>
      <w:proofErr w:type="spellEnd"/>
      <w:r w:rsidRPr="00DE447F">
        <w:rPr>
          <w:spacing w:val="-4"/>
          <w:lang w:val="fr-FR"/>
        </w:rPr>
        <w:t>, M. Juan</w:t>
      </w:r>
      <w:r w:rsidR="007955DA" w:rsidRPr="00DE447F">
        <w:rPr>
          <w:spacing w:val="-4"/>
          <w:lang w:val="fr-FR"/>
        </w:rPr>
        <w:t> </w:t>
      </w:r>
      <w:r w:rsidRPr="00DE447F">
        <w:rPr>
          <w:spacing w:val="-4"/>
          <w:lang w:val="fr-FR"/>
        </w:rPr>
        <w:t xml:space="preserve">José </w:t>
      </w:r>
      <w:proofErr w:type="spellStart"/>
      <w:r w:rsidRPr="00DE447F">
        <w:rPr>
          <w:spacing w:val="-4"/>
          <w:lang w:val="fr-FR"/>
        </w:rPr>
        <w:t>Ruda</w:t>
      </w:r>
      <w:proofErr w:type="spellEnd"/>
      <w:r w:rsidRPr="00DE447F">
        <w:rPr>
          <w:spacing w:val="-4"/>
          <w:lang w:val="fr-FR"/>
        </w:rPr>
        <w:t xml:space="preserve"> </w:t>
      </w:r>
      <w:proofErr w:type="spellStart"/>
      <w:r w:rsidRPr="00DE447F">
        <w:rPr>
          <w:spacing w:val="-4"/>
          <w:lang w:val="fr-FR"/>
        </w:rPr>
        <w:t>Santolaria</w:t>
      </w:r>
      <w:proofErr w:type="spellEnd"/>
      <w:r w:rsidRPr="00DE447F">
        <w:rPr>
          <w:spacing w:val="-4"/>
          <w:lang w:val="fr-FR"/>
        </w:rPr>
        <w:t>,</w:t>
      </w:r>
      <w:r>
        <w:rPr>
          <w:lang w:val="fr-FR"/>
        </w:rPr>
        <w:t xml:space="preserve"> M. Alioune</w:t>
      </w:r>
      <w:r w:rsidR="007955DA">
        <w:rPr>
          <w:lang w:val="fr-FR"/>
        </w:rPr>
        <w:t> </w:t>
      </w:r>
      <w:proofErr w:type="spellStart"/>
      <w:r>
        <w:rPr>
          <w:lang w:val="fr-FR"/>
        </w:rPr>
        <w:t>Sall</w:t>
      </w:r>
      <w:proofErr w:type="spellEnd"/>
      <w:r>
        <w:rPr>
          <w:lang w:val="fr-FR"/>
        </w:rPr>
        <w:t>, M. Louis</w:t>
      </w:r>
      <w:r w:rsidR="007955DA">
        <w:rPr>
          <w:lang w:val="fr-FR"/>
        </w:rPr>
        <w:t> </w:t>
      </w:r>
      <w:proofErr w:type="spellStart"/>
      <w:r>
        <w:rPr>
          <w:lang w:val="fr-FR"/>
        </w:rPr>
        <w:t>Savadogo</w:t>
      </w:r>
      <w:proofErr w:type="spellEnd"/>
      <w:r>
        <w:rPr>
          <w:lang w:val="fr-FR"/>
        </w:rPr>
        <w:t>, M. </w:t>
      </w:r>
      <w:proofErr w:type="spellStart"/>
      <w:r>
        <w:rPr>
          <w:lang w:val="fr-FR"/>
        </w:rPr>
        <w:t>Evgeny</w:t>
      </w:r>
      <w:proofErr w:type="spellEnd"/>
      <w:r w:rsidR="007955DA">
        <w:rPr>
          <w:lang w:val="fr-FR"/>
        </w:rPr>
        <w:t> </w:t>
      </w:r>
      <w:proofErr w:type="spellStart"/>
      <w:r>
        <w:rPr>
          <w:lang w:val="fr-FR"/>
        </w:rPr>
        <w:t>Zagaynov</w:t>
      </w:r>
      <w:proofErr w:type="spellEnd"/>
      <w:r>
        <w:rPr>
          <w:lang w:val="fr-FR"/>
        </w:rPr>
        <w:t xml:space="preserve"> et M</w:t>
      </w:r>
      <w:r w:rsidRPr="00481D21">
        <w:rPr>
          <w:vertAlign w:val="superscript"/>
          <w:lang w:val="fr-FR"/>
        </w:rPr>
        <w:t>me</w:t>
      </w:r>
      <w:r w:rsidR="007955DA">
        <w:rPr>
          <w:lang w:val="fr-FR"/>
        </w:rPr>
        <w:t> </w:t>
      </w:r>
      <w:r>
        <w:rPr>
          <w:lang w:val="fr-FR"/>
        </w:rPr>
        <w:t>Penelope</w:t>
      </w:r>
      <w:r w:rsidR="007955DA">
        <w:rPr>
          <w:lang w:val="fr-FR"/>
        </w:rPr>
        <w:t> </w:t>
      </w:r>
      <w:proofErr w:type="spellStart"/>
      <w:r>
        <w:rPr>
          <w:lang w:val="fr-FR"/>
        </w:rPr>
        <w:t>Ridings</w:t>
      </w:r>
      <w:proofErr w:type="spellEnd"/>
      <w:r>
        <w:rPr>
          <w:lang w:val="fr-FR"/>
        </w:rPr>
        <w:t xml:space="preserve"> (membre de droit) ;</w:t>
      </w:r>
      <w:bookmarkStart w:id="9" w:name="_Hlk139534680"/>
      <w:bookmarkEnd w:id="9"/>
    </w:p>
    <w:p w14:paraId="423A7558" w14:textId="448151C7" w:rsidR="00C324CF" w:rsidRPr="00450147" w:rsidRDefault="00C324CF" w:rsidP="00C324CF">
      <w:pPr>
        <w:pStyle w:val="SingleTxtG"/>
        <w:ind w:firstLine="567"/>
        <w:rPr>
          <w:lang w:val="fr-FR"/>
        </w:rPr>
      </w:pPr>
      <w:r w:rsidRPr="00565257">
        <w:rPr>
          <w:lang w:val="fr-FR"/>
        </w:rPr>
        <w:lastRenderedPageBreak/>
        <w:t>b)</w:t>
      </w:r>
      <w:r w:rsidRPr="00565257">
        <w:rPr>
          <w:lang w:val="fr-FR"/>
        </w:rPr>
        <w:tab/>
      </w:r>
      <w:r w:rsidRPr="00565257">
        <w:rPr>
          <w:i/>
          <w:iCs/>
          <w:lang w:val="fr-FR"/>
        </w:rPr>
        <w:t>Groupe de travail sur les méthodes de travail et les procédures </w:t>
      </w:r>
      <w:r w:rsidRPr="00565257">
        <w:rPr>
          <w:lang w:val="fr-FR"/>
        </w:rPr>
        <w:t xml:space="preserve">: </w:t>
      </w:r>
      <w:r>
        <w:rPr>
          <w:lang w:val="fr-FR"/>
        </w:rPr>
        <w:t>M. </w:t>
      </w:r>
      <w:r w:rsidRPr="00565257">
        <w:rPr>
          <w:lang w:val="fr-FR"/>
        </w:rPr>
        <w:t>Charles</w:t>
      </w:r>
      <w:r>
        <w:rPr>
          <w:lang w:val="fr-FR"/>
        </w:rPr>
        <w:t> </w:t>
      </w:r>
      <w:proofErr w:type="spellStart"/>
      <w:r w:rsidRPr="00565257">
        <w:rPr>
          <w:lang w:val="fr-FR"/>
        </w:rPr>
        <w:t>Chernor</w:t>
      </w:r>
      <w:proofErr w:type="spellEnd"/>
      <w:r>
        <w:rPr>
          <w:lang w:val="fr-FR"/>
        </w:rPr>
        <w:t xml:space="preserve"> </w:t>
      </w:r>
      <w:proofErr w:type="spellStart"/>
      <w:r>
        <w:rPr>
          <w:lang w:val="fr-FR"/>
        </w:rPr>
        <w:t>Jalloh</w:t>
      </w:r>
      <w:proofErr w:type="spellEnd"/>
      <w:r>
        <w:rPr>
          <w:lang w:val="fr-FR"/>
        </w:rPr>
        <w:t xml:space="preserve"> (Président), M. </w:t>
      </w:r>
      <w:proofErr w:type="spellStart"/>
      <w:r>
        <w:rPr>
          <w:lang w:val="fr-FR"/>
        </w:rPr>
        <w:t>Dapo</w:t>
      </w:r>
      <w:proofErr w:type="spellEnd"/>
      <w:r w:rsidR="00DE447F">
        <w:rPr>
          <w:lang w:val="fr-FR"/>
        </w:rPr>
        <w:t> </w:t>
      </w:r>
      <w:proofErr w:type="spellStart"/>
      <w:r>
        <w:rPr>
          <w:lang w:val="fr-FR"/>
        </w:rPr>
        <w:t>Akande</w:t>
      </w:r>
      <w:proofErr w:type="spellEnd"/>
      <w:r>
        <w:rPr>
          <w:lang w:val="fr-FR"/>
        </w:rPr>
        <w:t>, M. Masahiko</w:t>
      </w:r>
      <w:r w:rsidR="00DE447F">
        <w:rPr>
          <w:lang w:val="fr-FR"/>
        </w:rPr>
        <w:t> </w:t>
      </w:r>
      <w:proofErr w:type="spellStart"/>
      <w:r>
        <w:rPr>
          <w:lang w:val="fr-FR"/>
        </w:rPr>
        <w:t>Asada</w:t>
      </w:r>
      <w:proofErr w:type="spellEnd"/>
      <w:r>
        <w:rPr>
          <w:lang w:val="fr-FR"/>
        </w:rPr>
        <w:t>, M. Mathias</w:t>
      </w:r>
      <w:r w:rsidR="00DE447F">
        <w:rPr>
          <w:lang w:val="fr-FR"/>
        </w:rPr>
        <w:t> </w:t>
      </w:r>
      <w:proofErr w:type="spellStart"/>
      <w:r>
        <w:rPr>
          <w:lang w:val="fr-FR"/>
        </w:rPr>
        <w:t>Forteau</w:t>
      </w:r>
      <w:proofErr w:type="spellEnd"/>
      <w:r>
        <w:rPr>
          <w:lang w:val="fr-FR"/>
        </w:rPr>
        <w:t>, M. George</w:t>
      </w:r>
      <w:r w:rsidR="00DE447F">
        <w:rPr>
          <w:lang w:val="fr-FR"/>
        </w:rPr>
        <w:t> </w:t>
      </w:r>
      <w:r>
        <w:rPr>
          <w:lang w:val="fr-FR"/>
        </w:rPr>
        <w:t xml:space="preserve">Rodrigo Bandeira </w:t>
      </w:r>
      <w:proofErr w:type="spellStart"/>
      <w:r>
        <w:rPr>
          <w:lang w:val="fr-FR"/>
        </w:rPr>
        <w:t>Galindo</w:t>
      </w:r>
      <w:proofErr w:type="spellEnd"/>
      <w:r>
        <w:rPr>
          <w:lang w:val="fr-FR"/>
        </w:rPr>
        <w:t>, M.</w:t>
      </w:r>
      <w:r w:rsidR="00DE447F">
        <w:rPr>
          <w:lang w:val="fr-FR"/>
        </w:rPr>
        <w:t> </w:t>
      </w:r>
      <w:r>
        <w:rPr>
          <w:lang w:val="fr-FR"/>
        </w:rPr>
        <w:t>Claudio</w:t>
      </w:r>
      <w:r w:rsidR="00DE447F">
        <w:rPr>
          <w:lang w:val="fr-FR"/>
        </w:rPr>
        <w:t> </w:t>
      </w:r>
      <w:r>
        <w:rPr>
          <w:lang w:val="fr-FR"/>
        </w:rPr>
        <w:t xml:space="preserve">Grossman </w:t>
      </w:r>
      <w:proofErr w:type="spellStart"/>
      <w:r>
        <w:rPr>
          <w:lang w:val="fr-FR"/>
        </w:rPr>
        <w:t>Guiloff</w:t>
      </w:r>
      <w:proofErr w:type="spellEnd"/>
      <w:r>
        <w:rPr>
          <w:lang w:val="fr-FR"/>
        </w:rPr>
        <w:t xml:space="preserve">, </w:t>
      </w:r>
      <w:r w:rsidRPr="00DE447F">
        <w:rPr>
          <w:lang w:val="fr-FR"/>
        </w:rPr>
        <w:t>M. </w:t>
      </w:r>
      <w:proofErr w:type="spellStart"/>
      <w:r w:rsidRPr="00DE447F">
        <w:rPr>
          <w:lang w:val="fr-FR"/>
        </w:rPr>
        <w:t>Huikang</w:t>
      </w:r>
      <w:proofErr w:type="spellEnd"/>
      <w:r w:rsidR="00DE447F" w:rsidRPr="00DE447F">
        <w:rPr>
          <w:lang w:val="fr-FR"/>
        </w:rPr>
        <w:t> </w:t>
      </w:r>
      <w:r w:rsidRPr="00DE447F">
        <w:rPr>
          <w:lang w:val="fr-FR"/>
        </w:rPr>
        <w:t>Huang, M. </w:t>
      </w:r>
      <w:proofErr w:type="spellStart"/>
      <w:r w:rsidRPr="00DE447F">
        <w:rPr>
          <w:lang w:val="fr-FR"/>
        </w:rPr>
        <w:t>Keun-Gwan</w:t>
      </w:r>
      <w:proofErr w:type="spellEnd"/>
      <w:r w:rsidR="00DE447F" w:rsidRPr="00DE447F">
        <w:rPr>
          <w:lang w:val="fr-FR"/>
        </w:rPr>
        <w:t> </w:t>
      </w:r>
      <w:r w:rsidRPr="00DE447F">
        <w:rPr>
          <w:lang w:val="fr-FR"/>
        </w:rPr>
        <w:t>Lee, M</w:t>
      </w:r>
      <w:r w:rsidRPr="00DE447F">
        <w:rPr>
          <w:vertAlign w:val="superscript"/>
          <w:lang w:val="fr-FR"/>
        </w:rPr>
        <w:t>me</w:t>
      </w:r>
      <w:r w:rsidRPr="00DE447F">
        <w:rPr>
          <w:lang w:val="fr-FR"/>
        </w:rPr>
        <w:t> </w:t>
      </w:r>
      <w:proofErr w:type="spellStart"/>
      <w:r w:rsidRPr="00DE447F">
        <w:rPr>
          <w:lang w:val="fr-FR"/>
        </w:rPr>
        <w:t>Vilawan</w:t>
      </w:r>
      <w:proofErr w:type="spellEnd"/>
      <w:r w:rsidR="00DE447F" w:rsidRPr="00DE447F">
        <w:rPr>
          <w:lang w:val="fr-FR"/>
        </w:rPr>
        <w:t> </w:t>
      </w:r>
      <w:proofErr w:type="spellStart"/>
      <w:r w:rsidRPr="00DE447F">
        <w:rPr>
          <w:lang w:val="fr-FR"/>
        </w:rPr>
        <w:t>Mangklatanakul</w:t>
      </w:r>
      <w:proofErr w:type="spellEnd"/>
      <w:r w:rsidRPr="00DE447F">
        <w:rPr>
          <w:lang w:val="fr-FR"/>
        </w:rPr>
        <w:t>, M. Andreas</w:t>
      </w:r>
      <w:r w:rsidR="00DE447F" w:rsidRPr="00DE447F">
        <w:rPr>
          <w:lang w:val="fr-FR"/>
        </w:rPr>
        <w:t> </w:t>
      </w:r>
      <w:r w:rsidRPr="00DE447F">
        <w:rPr>
          <w:lang w:val="fr-FR"/>
        </w:rPr>
        <w:t>D.</w:t>
      </w:r>
      <w:r w:rsidR="00DE447F">
        <w:rPr>
          <w:spacing w:val="-8"/>
          <w:lang w:val="fr-FR"/>
        </w:rPr>
        <w:t xml:space="preserve"> </w:t>
      </w:r>
      <w:proofErr w:type="spellStart"/>
      <w:r w:rsidRPr="00DE447F">
        <w:rPr>
          <w:spacing w:val="-8"/>
          <w:lang w:val="fr-FR"/>
        </w:rPr>
        <w:t>Mavroyiannis</w:t>
      </w:r>
      <w:proofErr w:type="spellEnd"/>
      <w:r w:rsidRPr="00DE447F">
        <w:rPr>
          <w:spacing w:val="-8"/>
          <w:lang w:val="fr-FR"/>
        </w:rPr>
        <w:t>, M. Giuseppe</w:t>
      </w:r>
      <w:r w:rsidR="00DE447F" w:rsidRPr="00DE447F">
        <w:rPr>
          <w:spacing w:val="-8"/>
          <w:lang w:val="fr-FR"/>
        </w:rPr>
        <w:t> </w:t>
      </w:r>
      <w:proofErr w:type="spellStart"/>
      <w:r w:rsidRPr="00DE447F">
        <w:rPr>
          <w:spacing w:val="-8"/>
          <w:lang w:val="fr-FR"/>
        </w:rPr>
        <w:t>Nesi</w:t>
      </w:r>
      <w:proofErr w:type="spellEnd"/>
      <w:r w:rsidRPr="00DE447F">
        <w:rPr>
          <w:spacing w:val="-8"/>
          <w:lang w:val="fr-FR"/>
        </w:rPr>
        <w:t>, M. Hong</w:t>
      </w:r>
      <w:r w:rsidR="00DE447F" w:rsidRPr="00DE447F">
        <w:rPr>
          <w:spacing w:val="-8"/>
          <w:lang w:val="fr-FR"/>
        </w:rPr>
        <w:t> </w:t>
      </w:r>
      <w:r w:rsidRPr="00DE447F">
        <w:rPr>
          <w:spacing w:val="-8"/>
          <w:lang w:val="fr-FR"/>
        </w:rPr>
        <w:t>Thao Nguyen, M</w:t>
      </w:r>
      <w:r w:rsidRPr="00DE447F">
        <w:rPr>
          <w:spacing w:val="-8"/>
          <w:vertAlign w:val="superscript"/>
          <w:lang w:val="fr-FR"/>
        </w:rPr>
        <w:t>me</w:t>
      </w:r>
      <w:r w:rsidRPr="00DE447F">
        <w:rPr>
          <w:spacing w:val="-8"/>
          <w:lang w:val="fr-FR"/>
        </w:rPr>
        <w:t> Alina</w:t>
      </w:r>
      <w:r w:rsidR="00DE447F" w:rsidRPr="00DE447F">
        <w:rPr>
          <w:spacing w:val="-8"/>
          <w:lang w:val="fr-FR"/>
        </w:rPr>
        <w:t> </w:t>
      </w:r>
      <w:proofErr w:type="spellStart"/>
      <w:r w:rsidRPr="00DE447F">
        <w:rPr>
          <w:spacing w:val="-8"/>
          <w:lang w:val="fr-FR"/>
        </w:rPr>
        <w:t>Orosan</w:t>
      </w:r>
      <w:proofErr w:type="spellEnd"/>
      <w:r w:rsidRPr="00DE447F">
        <w:rPr>
          <w:spacing w:val="-8"/>
          <w:lang w:val="fr-FR"/>
        </w:rPr>
        <w:t>, M. Mario</w:t>
      </w:r>
      <w:r w:rsidR="00DE447F" w:rsidRPr="00DE447F">
        <w:rPr>
          <w:spacing w:val="-8"/>
          <w:lang w:val="fr-FR"/>
        </w:rPr>
        <w:t> </w:t>
      </w:r>
      <w:proofErr w:type="spellStart"/>
      <w:r w:rsidRPr="00DE447F">
        <w:rPr>
          <w:spacing w:val="-8"/>
          <w:lang w:val="fr-FR"/>
        </w:rPr>
        <w:t>Oyarzábal</w:t>
      </w:r>
      <w:proofErr w:type="spellEnd"/>
      <w:r w:rsidRPr="00DE447F">
        <w:rPr>
          <w:spacing w:val="-8"/>
          <w:lang w:val="fr-FR"/>
        </w:rPr>
        <w:t>,</w:t>
      </w:r>
      <w:r>
        <w:rPr>
          <w:lang w:val="fr-FR"/>
        </w:rPr>
        <w:t xml:space="preserve"> </w:t>
      </w:r>
      <w:r w:rsidRPr="00DE447F">
        <w:rPr>
          <w:spacing w:val="-4"/>
          <w:lang w:val="fr-FR"/>
        </w:rPr>
        <w:t>M. </w:t>
      </w:r>
      <w:proofErr w:type="spellStart"/>
      <w:r w:rsidRPr="00DE447F">
        <w:rPr>
          <w:spacing w:val="-4"/>
          <w:lang w:val="fr-FR"/>
        </w:rPr>
        <w:t>Mārtiņš</w:t>
      </w:r>
      <w:proofErr w:type="spellEnd"/>
      <w:r w:rsidR="00DE447F" w:rsidRPr="00DE447F">
        <w:rPr>
          <w:spacing w:val="-4"/>
          <w:lang w:val="fr-FR"/>
        </w:rPr>
        <w:t> </w:t>
      </w:r>
      <w:proofErr w:type="spellStart"/>
      <w:r w:rsidRPr="00DE447F">
        <w:rPr>
          <w:spacing w:val="-4"/>
          <w:lang w:val="fr-FR"/>
        </w:rPr>
        <w:t>Paparinskis</w:t>
      </w:r>
      <w:proofErr w:type="spellEnd"/>
      <w:r w:rsidRPr="00DE447F">
        <w:rPr>
          <w:spacing w:val="-4"/>
          <w:lang w:val="fr-FR"/>
        </w:rPr>
        <w:t>, M. Bimal</w:t>
      </w:r>
      <w:r w:rsidR="00DE447F" w:rsidRPr="00DE447F">
        <w:rPr>
          <w:spacing w:val="-4"/>
          <w:lang w:val="fr-FR"/>
        </w:rPr>
        <w:t> </w:t>
      </w:r>
      <w:r w:rsidRPr="00DE447F">
        <w:rPr>
          <w:spacing w:val="-4"/>
          <w:lang w:val="fr-FR"/>
        </w:rPr>
        <w:t>N. Patel, M. Juan</w:t>
      </w:r>
      <w:r w:rsidR="00DE447F" w:rsidRPr="00DE447F">
        <w:rPr>
          <w:spacing w:val="-4"/>
          <w:lang w:val="fr-FR"/>
        </w:rPr>
        <w:t> </w:t>
      </w:r>
      <w:r w:rsidRPr="00DE447F">
        <w:rPr>
          <w:spacing w:val="-4"/>
          <w:lang w:val="fr-FR"/>
        </w:rPr>
        <w:t xml:space="preserve">José </w:t>
      </w:r>
      <w:proofErr w:type="spellStart"/>
      <w:r w:rsidRPr="00DE447F">
        <w:rPr>
          <w:spacing w:val="-4"/>
          <w:lang w:val="fr-FR"/>
        </w:rPr>
        <w:t>Ruda</w:t>
      </w:r>
      <w:proofErr w:type="spellEnd"/>
      <w:r w:rsidRPr="00DE447F">
        <w:rPr>
          <w:spacing w:val="-4"/>
          <w:lang w:val="fr-FR"/>
        </w:rPr>
        <w:t xml:space="preserve"> </w:t>
      </w:r>
      <w:proofErr w:type="spellStart"/>
      <w:r w:rsidRPr="00DE447F">
        <w:rPr>
          <w:spacing w:val="-4"/>
          <w:lang w:val="fr-FR"/>
        </w:rPr>
        <w:t>Santolaria</w:t>
      </w:r>
      <w:proofErr w:type="spellEnd"/>
      <w:r w:rsidRPr="00DE447F">
        <w:rPr>
          <w:spacing w:val="-4"/>
          <w:lang w:val="fr-FR"/>
        </w:rPr>
        <w:t>, M. Marcelo</w:t>
      </w:r>
      <w:r w:rsidR="00DE447F" w:rsidRPr="00DE447F">
        <w:rPr>
          <w:spacing w:val="-4"/>
          <w:lang w:val="fr-FR"/>
        </w:rPr>
        <w:t> </w:t>
      </w:r>
      <w:proofErr w:type="spellStart"/>
      <w:r w:rsidRPr="00DE447F">
        <w:rPr>
          <w:spacing w:val="-4"/>
          <w:lang w:val="fr-FR"/>
        </w:rPr>
        <w:t>Vázquez</w:t>
      </w:r>
      <w:r>
        <w:rPr>
          <w:lang w:val="fr-FR"/>
        </w:rPr>
        <w:t>-Bermúdez</w:t>
      </w:r>
      <w:proofErr w:type="spellEnd"/>
      <w:r>
        <w:rPr>
          <w:lang w:val="fr-FR"/>
        </w:rPr>
        <w:t xml:space="preserve"> et M</w:t>
      </w:r>
      <w:r w:rsidRPr="00481D21">
        <w:rPr>
          <w:vertAlign w:val="superscript"/>
          <w:lang w:val="fr-FR"/>
        </w:rPr>
        <w:t>me</w:t>
      </w:r>
      <w:r>
        <w:rPr>
          <w:lang w:val="fr-FR"/>
        </w:rPr>
        <w:t> Penelope</w:t>
      </w:r>
      <w:r w:rsidR="00DE447F">
        <w:rPr>
          <w:lang w:val="fr-FR"/>
        </w:rPr>
        <w:t> </w:t>
      </w:r>
      <w:proofErr w:type="spellStart"/>
      <w:r>
        <w:rPr>
          <w:lang w:val="fr-FR"/>
        </w:rPr>
        <w:t>Ridings</w:t>
      </w:r>
      <w:proofErr w:type="spellEnd"/>
      <w:r>
        <w:rPr>
          <w:lang w:val="fr-FR"/>
        </w:rPr>
        <w:t xml:space="preserve"> (membre de droit).</w:t>
      </w:r>
    </w:p>
    <w:p w14:paraId="57B491C6" w14:textId="32023351" w:rsidR="00C324CF" w:rsidRPr="00450147" w:rsidRDefault="00C324CF" w:rsidP="00A271C5">
      <w:pPr>
        <w:pStyle w:val="SingleTxtG"/>
      </w:pPr>
      <w:r w:rsidRPr="00450147">
        <w:t>11.</w:t>
      </w:r>
      <w:r w:rsidRPr="00450147">
        <w:tab/>
      </w:r>
      <w:r>
        <w:rPr>
          <w:lang w:val="fr-FR"/>
        </w:rPr>
        <w:t>À sa 3659</w:t>
      </w:r>
      <w:r w:rsidRPr="00A83237">
        <w:rPr>
          <w:vertAlign w:val="superscript"/>
          <w:lang w:val="fr-FR"/>
        </w:rPr>
        <w:t>e</w:t>
      </w:r>
      <w:r>
        <w:rPr>
          <w:lang w:val="fr-FR"/>
        </w:rPr>
        <w:t> séance, le 30 avril 2024, la Commission a constitué un groupe d</w:t>
      </w:r>
      <w:r w:rsidR="004C5E26">
        <w:rPr>
          <w:lang w:val="fr-FR"/>
        </w:rPr>
        <w:t>’</w:t>
      </w:r>
      <w:r>
        <w:rPr>
          <w:lang w:val="fr-FR"/>
        </w:rPr>
        <w:t>étude sur l</w:t>
      </w:r>
      <w:r w:rsidR="004C5E26">
        <w:rPr>
          <w:lang w:val="fr-FR"/>
        </w:rPr>
        <w:t>’</w:t>
      </w:r>
      <w:r>
        <w:rPr>
          <w:lang w:val="fr-FR"/>
        </w:rPr>
        <w:t>élévation du niveau de la mer au regard du droit international composé des membres suivants : M. Yacouba Cissé (Coprésident), M</w:t>
      </w:r>
      <w:r w:rsidRPr="00481D21">
        <w:rPr>
          <w:vertAlign w:val="superscript"/>
          <w:lang w:val="fr-FR"/>
        </w:rPr>
        <w:t>me</w:t>
      </w:r>
      <w:r>
        <w:rPr>
          <w:lang w:val="fr-FR"/>
        </w:rPr>
        <w:t> </w:t>
      </w:r>
      <w:proofErr w:type="spellStart"/>
      <w:r>
        <w:rPr>
          <w:lang w:val="fr-FR"/>
        </w:rPr>
        <w:t>Patrícia</w:t>
      </w:r>
      <w:proofErr w:type="spellEnd"/>
      <w:r w:rsidR="00DE447F">
        <w:rPr>
          <w:lang w:val="fr-FR"/>
        </w:rPr>
        <w:t> </w:t>
      </w:r>
      <w:proofErr w:type="spellStart"/>
      <w:r>
        <w:rPr>
          <w:lang w:val="fr-FR"/>
        </w:rPr>
        <w:t>Galvão</w:t>
      </w:r>
      <w:proofErr w:type="spellEnd"/>
      <w:r>
        <w:rPr>
          <w:lang w:val="fr-FR"/>
        </w:rPr>
        <w:t xml:space="preserve"> </w:t>
      </w:r>
      <w:proofErr w:type="spellStart"/>
      <w:r>
        <w:rPr>
          <w:lang w:val="fr-FR"/>
        </w:rPr>
        <w:t>Teles</w:t>
      </w:r>
      <w:proofErr w:type="spellEnd"/>
      <w:r>
        <w:rPr>
          <w:lang w:val="fr-FR"/>
        </w:rPr>
        <w:t xml:space="preserve"> (Coprésidente et Présidente à la présente session), M</w:t>
      </w:r>
      <w:r w:rsidRPr="00481D21">
        <w:rPr>
          <w:vertAlign w:val="superscript"/>
          <w:lang w:val="fr-FR"/>
        </w:rPr>
        <w:t>me</w:t>
      </w:r>
      <w:r>
        <w:rPr>
          <w:lang w:val="fr-FR"/>
        </w:rPr>
        <w:t> </w:t>
      </w:r>
      <w:proofErr w:type="spellStart"/>
      <w:r>
        <w:rPr>
          <w:lang w:val="fr-FR"/>
        </w:rPr>
        <w:t>Nilüfer</w:t>
      </w:r>
      <w:proofErr w:type="spellEnd"/>
      <w:r>
        <w:rPr>
          <w:lang w:val="fr-FR"/>
        </w:rPr>
        <w:t> Oral (Coprésidente), M. Juan</w:t>
      </w:r>
      <w:r w:rsidR="00DE447F">
        <w:rPr>
          <w:lang w:val="fr-FR"/>
        </w:rPr>
        <w:t> </w:t>
      </w:r>
      <w:r>
        <w:rPr>
          <w:lang w:val="fr-FR"/>
        </w:rPr>
        <w:t>José</w:t>
      </w:r>
      <w:r w:rsidR="00DE447F">
        <w:rPr>
          <w:lang w:val="fr-FR"/>
        </w:rPr>
        <w:t> </w:t>
      </w:r>
      <w:proofErr w:type="spellStart"/>
      <w:r>
        <w:rPr>
          <w:lang w:val="fr-FR"/>
        </w:rPr>
        <w:t>Ruda</w:t>
      </w:r>
      <w:proofErr w:type="spellEnd"/>
      <w:r>
        <w:rPr>
          <w:lang w:val="fr-FR"/>
        </w:rPr>
        <w:t xml:space="preserve"> </w:t>
      </w:r>
      <w:proofErr w:type="spellStart"/>
      <w:r>
        <w:rPr>
          <w:lang w:val="fr-FR"/>
        </w:rPr>
        <w:t>Santolaria</w:t>
      </w:r>
      <w:proofErr w:type="spellEnd"/>
      <w:r>
        <w:rPr>
          <w:lang w:val="fr-FR"/>
        </w:rPr>
        <w:t xml:space="preserve"> (Coprésident et Président à la présente session), M. </w:t>
      </w:r>
      <w:proofErr w:type="spellStart"/>
      <w:r>
        <w:rPr>
          <w:lang w:val="fr-FR"/>
        </w:rPr>
        <w:t>Dapo</w:t>
      </w:r>
      <w:proofErr w:type="spellEnd"/>
      <w:r w:rsidR="00DE447F">
        <w:rPr>
          <w:lang w:val="fr-FR"/>
        </w:rPr>
        <w:t> </w:t>
      </w:r>
      <w:proofErr w:type="spellStart"/>
      <w:r>
        <w:rPr>
          <w:lang w:val="fr-FR"/>
        </w:rPr>
        <w:t>Akande</w:t>
      </w:r>
      <w:proofErr w:type="spellEnd"/>
      <w:r>
        <w:rPr>
          <w:lang w:val="fr-FR"/>
        </w:rPr>
        <w:t>, M. Masahiko</w:t>
      </w:r>
      <w:r w:rsidR="00DE447F">
        <w:rPr>
          <w:lang w:val="fr-FR"/>
        </w:rPr>
        <w:t> </w:t>
      </w:r>
      <w:proofErr w:type="spellStart"/>
      <w:r>
        <w:rPr>
          <w:lang w:val="fr-FR"/>
        </w:rPr>
        <w:t>Asada</w:t>
      </w:r>
      <w:proofErr w:type="spellEnd"/>
      <w:r>
        <w:rPr>
          <w:lang w:val="fr-FR"/>
        </w:rPr>
        <w:t>, M. Rolf</w:t>
      </w:r>
      <w:r w:rsidR="00DE447F">
        <w:rPr>
          <w:lang w:val="fr-FR"/>
        </w:rPr>
        <w:t> </w:t>
      </w:r>
      <w:proofErr w:type="spellStart"/>
      <w:r>
        <w:rPr>
          <w:lang w:val="fr-FR"/>
        </w:rPr>
        <w:t>Einar</w:t>
      </w:r>
      <w:proofErr w:type="spellEnd"/>
      <w:r>
        <w:rPr>
          <w:lang w:val="fr-FR"/>
        </w:rPr>
        <w:t xml:space="preserve"> Fife, M. Mathias</w:t>
      </w:r>
      <w:r w:rsidR="00DE447F">
        <w:rPr>
          <w:lang w:val="fr-FR"/>
        </w:rPr>
        <w:t> </w:t>
      </w:r>
      <w:proofErr w:type="spellStart"/>
      <w:r>
        <w:rPr>
          <w:lang w:val="fr-FR"/>
        </w:rPr>
        <w:t>Forteau</w:t>
      </w:r>
      <w:proofErr w:type="spellEnd"/>
      <w:r>
        <w:rPr>
          <w:lang w:val="fr-FR"/>
        </w:rPr>
        <w:t xml:space="preserve">, M. George Rodrigo Bandeira </w:t>
      </w:r>
      <w:proofErr w:type="spellStart"/>
      <w:r w:rsidRPr="00DE447F">
        <w:rPr>
          <w:spacing w:val="-4"/>
          <w:lang w:val="fr-FR"/>
        </w:rPr>
        <w:t>Galindo</w:t>
      </w:r>
      <w:proofErr w:type="spellEnd"/>
      <w:r w:rsidRPr="00DE447F">
        <w:rPr>
          <w:spacing w:val="-4"/>
          <w:lang w:val="fr-FR"/>
        </w:rPr>
        <w:t>, M. Claudio</w:t>
      </w:r>
      <w:r w:rsidR="00DE447F" w:rsidRPr="00DE447F">
        <w:rPr>
          <w:spacing w:val="-4"/>
          <w:lang w:val="fr-FR"/>
        </w:rPr>
        <w:t> </w:t>
      </w:r>
      <w:r w:rsidRPr="00DE447F">
        <w:rPr>
          <w:spacing w:val="-4"/>
          <w:lang w:val="fr-FR"/>
        </w:rPr>
        <w:t xml:space="preserve">Grossman </w:t>
      </w:r>
      <w:proofErr w:type="spellStart"/>
      <w:r w:rsidRPr="00DE447F">
        <w:rPr>
          <w:spacing w:val="-4"/>
          <w:lang w:val="fr-FR"/>
        </w:rPr>
        <w:t>Guiloff</w:t>
      </w:r>
      <w:proofErr w:type="spellEnd"/>
      <w:r w:rsidRPr="00DE447F">
        <w:rPr>
          <w:spacing w:val="-4"/>
          <w:lang w:val="fr-FR"/>
        </w:rPr>
        <w:t>, M. </w:t>
      </w:r>
      <w:proofErr w:type="spellStart"/>
      <w:r w:rsidRPr="00DE447F">
        <w:rPr>
          <w:spacing w:val="-4"/>
          <w:lang w:val="fr-FR"/>
        </w:rPr>
        <w:t>Huikang</w:t>
      </w:r>
      <w:proofErr w:type="spellEnd"/>
      <w:r w:rsidR="00DE447F" w:rsidRPr="00DE447F">
        <w:rPr>
          <w:spacing w:val="-4"/>
          <w:lang w:val="fr-FR"/>
        </w:rPr>
        <w:t> </w:t>
      </w:r>
      <w:r w:rsidRPr="00DE447F">
        <w:rPr>
          <w:spacing w:val="-4"/>
          <w:lang w:val="fr-FR"/>
        </w:rPr>
        <w:t>Huang, M. Ahmed</w:t>
      </w:r>
      <w:r w:rsidR="00DE447F" w:rsidRPr="00DE447F">
        <w:rPr>
          <w:spacing w:val="-4"/>
          <w:lang w:val="fr-FR"/>
        </w:rPr>
        <w:t> </w:t>
      </w:r>
      <w:proofErr w:type="spellStart"/>
      <w:r w:rsidRPr="00DE447F">
        <w:rPr>
          <w:spacing w:val="-4"/>
          <w:lang w:val="fr-FR"/>
        </w:rPr>
        <w:t>Laraba</w:t>
      </w:r>
      <w:proofErr w:type="spellEnd"/>
      <w:r w:rsidRPr="00DE447F">
        <w:rPr>
          <w:spacing w:val="-4"/>
          <w:lang w:val="fr-FR"/>
        </w:rPr>
        <w:t>, M. </w:t>
      </w:r>
      <w:proofErr w:type="spellStart"/>
      <w:r w:rsidRPr="00DE447F">
        <w:rPr>
          <w:spacing w:val="-4"/>
          <w:lang w:val="fr-FR"/>
        </w:rPr>
        <w:t>Keun</w:t>
      </w:r>
      <w:r w:rsidR="00DE447F" w:rsidRPr="00DE447F">
        <w:rPr>
          <w:spacing w:val="-4"/>
          <w:lang w:val="fr-FR"/>
        </w:rPr>
        <w:noBreakHyphen/>
      </w:r>
      <w:r w:rsidRPr="00DE447F">
        <w:rPr>
          <w:spacing w:val="-4"/>
          <w:lang w:val="fr-FR"/>
        </w:rPr>
        <w:t>Gwan</w:t>
      </w:r>
      <w:proofErr w:type="spellEnd"/>
      <w:r w:rsidR="00DE447F" w:rsidRPr="00DE447F">
        <w:rPr>
          <w:spacing w:val="-4"/>
          <w:lang w:val="fr-FR"/>
        </w:rPr>
        <w:t xml:space="preserve"> </w:t>
      </w:r>
      <w:r>
        <w:rPr>
          <w:lang w:val="fr-FR"/>
        </w:rPr>
        <w:t>Lee, M</w:t>
      </w:r>
      <w:r w:rsidRPr="00481D21">
        <w:rPr>
          <w:vertAlign w:val="superscript"/>
          <w:lang w:val="fr-FR"/>
        </w:rPr>
        <w:t>me</w:t>
      </w:r>
      <w:r>
        <w:rPr>
          <w:lang w:val="fr-FR"/>
        </w:rPr>
        <w:t> </w:t>
      </w:r>
      <w:proofErr w:type="spellStart"/>
      <w:r>
        <w:rPr>
          <w:lang w:val="fr-FR"/>
        </w:rPr>
        <w:t>Vilawan</w:t>
      </w:r>
      <w:proofErr w:type="spellEnd"/>
      <w:r w:rsidR="00DE447F">
        <w:rPr>
          <w:lang w:val="fr-FR"/>
        </w:rPr>
        <w:t> </w:t>
      </w:r>
      <w:proofErr w:type="spellStart"/>
      <w:r>
        <w:rPr>
          <w:lang w:val="fr-FR"/>
        </w:rPr>
        <w:t>Mangklatanakul</w:t>
      </w:r>
      <w:proofErr w:type="spellEnd"/>
      <w:r>
        <w:rPr>
          <w:lang w:val="fr-FR"/>
        </w:rPr>
        <w:t>, M. Andreas</w:t>
      </w:r>
      <w:r w:rsidR="00DE447F">
        <w:rPr>
          <w:lang w:val="fr-FR"/>
        </w:rPr>
        <w:t> </w:t>
      </w:r>
      <w:r>
        <w:rPr>
          <w:lang w:val="fr-FR"/>
        </w:rPr>
        <w:t>D.</w:t>
      </w:r>
      <w:r w:rsidR="00DE447F">
        <w:rPr>
          <w:lang w:val="fr-FR"/>
        </w:rPr>
        <w:t> </w:t>
      </w:r>
      <w:proofErr w:type="spellStart"/>
      <w:r>
        <w:rPr>
          <w:lang w:val="fr-FR"/>
        </w:rPr>
        <w:t>Mavroyiannis</w:t>
      </w:r>
      <w:proofErr w:type="spellEnd"/>
      <w:r>
        <w:rPr>
          <w:lang w:val="fr-FR"/>
        </w:rPr>
        <w:t>, M. Giuseppe</w:t>
      </w:r>
      <w:r w:rsidR="00DE447F">
        <w:rPr>
          <w:lang w:val="fr-FR"/>
        </w:rPr>
        <w:t> </w:t>
      </w:r>
      <w:proofErr w:type="spellStart"/>
      <w:r>
        <w:rPr>
          <w:lang w:val="fr-FR"/>
        </w:rPr>
        <w:t>Nesi</w:t>
      </w:r>
      <w:proofErr w:type="spellEnd"/>
      <w:r>
        <w:rPr>
          <w:lang w:val="fr-FR"/>
        </w:rPr>
        <w:t xml:space="preserve">, </w:t>
      </w:r>
      <w:r w:rsidRPr="00DE447F">
        <w:rPr>
          <w:spacing w:val="-4"/>
          <w:lang w:val="fr-FR"/>
        </w:rPr>
        <w:t>M.</w:t>
      </w:r>
      <w:r w:rsidR="00DE447F" w:rsidRPr="00DE447F">
        <w:rPr>
          <w:spacing w:val="-4"/>
          <w:lang w:val="fr-FR"/>
        </w:rPr>
        <w:t> </w:t>
      </w:r>
      <w:r w:rsidRPr="00DE447F">
        <w:rPr>
          <w:spacing w:val="-4"/>
          <w:lang w:val="fr-FR"/>
        </w:rPr>
        <w:t>Hong</w:t>
      </w:r>
      <w:r w:rsidR="00DE447F" w:rsidRPr="00DE447F">
        <w:rPr>
          <w:spacing w:val="-4"/>
          <w:lang w:val="fr-FR"/>
        </w:rPr>
        <w:t> </w:t>
      </w:r>
      <w:r w:rsidRPr="00DE447F">
        <w:rPr>
          <w:spacing w:val="-4"/>
          <w:lang w:val="fr-FR"/>
        </w:rPr>
        <w:t>Thao Nguyen, M</w:t>
      </w:r>
      <w:r w:rsidRPr="00DE447F">
        <w:rPr>
          <w:spacing w:val="-4"/>
          <w:vertAlign w:val="superscript"/>
          <w:lang w:val="fr-FR"/>
        </w:rPr>
        <w:t>me</w:t>
      </w:r>
      <w:r w:rsidRPr="00DE447F">
        <w:rPr>
          <w:spacing w:val="-4"/>
          <w:lang w:val="fr-FR"/>
        </w:rPr>
        <w:t> Phoebe</w:t>
      </w:r>
      <w:r w:rsidR="00DE447F" w:rsidRPr="00DE447F">
        <w:rPr>
          <w:spacing w:val="-4"/>
          <w:lang w:val="fr-FR"/>
        </w:rPr>
        <w:t> </w:t>
      </w:r>
      <w:proofErr w:type="spellStart"/>
      <w:r w:rsidRPr="00DE447F">
        <w:rPr>
          <w:spacing w:val="-4"/>
          <w:lang w:val="fr-FR"/>
        </w:rPr>
        <w:t>Okowa</w:t>
      </w:r>
      <w:proofErr w:type="spellEnd"/>
      <w:r w:rsidRPr="00DE447F">
        <w:rPr>
          <w:spacing w:val="-4"/>
          <w:lang w:val="fr-FR"/>
        </w:rPr>
        <w:t>, M</w:t>
      </w:r>
      <w:r w:rsidRPr="00DE447F">
        <w:rPr>
          <w:spacing w:val="-4"/>
          <w:vertAlign w:val="superscript"/>
          <w:lang w:val="fr-FR"/>
        </w:rPr>
        <w:t>me</w:t>
      </w:r>
      <w:r w:rsidR="00DE447F" w:rsidRPr="00DE447F">
        <w:rPr>
          <w:spacing w:val="-4"/>
          <w:lang w:val="fr-FR"/>
        </w:rPr>
        <w:t> </w:t>
      </w:r>
      <w:r w:rsidRPr="00DE447F">
        <w:rPr>
          <w:spacing w:val="-4"/>
          <w:lang w:val="fr-FR"/>
        </w:rPr>
        <w:t>Alina</w:t>
      </w:r>
      <w:r w:rsidR="00DE447F" w:rsidRPr="00DE447F">
        <w:rPr>
          <w:spacing w:val="-4"/>
          <w:lang w:val="fr-FR"/>
        </w:rPr>
        <w:t> </w:t>
      </w:r>
      <w:proofErr w:type="spellStart"/>
      <w:r w:rsidRPr="00DE447F">
        <w:rPr>
          <w:spacing w:val="-4"/>
          <w:lang w:val="fr-FR"/>
        </w:rPr>
        <w:t>Orosan</w:t>
      </w:r>
      <w:proofErr w:type="spellEnd"/>
      <w:r w:rsidRPr="00DE447F">
        <w:rPr>
          <w:spacing w:val="-4"/>
          <w:lang w:val="fr-FR"/>
        </w:rPr>
        <w:t>, M. Hassan</w:t>
      </w:r>
      <w:r w:rsidR="00DE447F" w:rsidRPr="00DE447F">
        <w:rPr>
          <w:spacing w:val="-4"/>
          <w:lang w:val="fr-FR"/>
        </w:rPr>
        <w:t> </w:t>
      </w:r>
      <w:proofErr w:type="spellStart"/>
      <w:r w:rsidRPr="00DE447F">
        <w:rPr>
          <w:spacing w:val="-4"/>
          <w:lang w:val="fr-FR"/>
        </w:rPr>
        <w:t>Ouazzani</w:t>
      </w:r>
      <w:proofErr w:type="spellEnd"/>
      <w:r w:rsidRPr="00DE447F">
        <w:rPr>
          <w:spacing w:val="-4"/>
          <w:lang w:val="fr-FR"/>
        </w:rPr>
        <w:t xml:space="preserve"> </w:t>
      </w:r>
      <w:proofErr w:type="spellStart"/>
      <w:r w:rsidRPr="00DE447F">
        <w:rPr>
          <w:spacing w:val="-4"/>
          <w:lang w:val="fr-FR"/>
        </w:rPr>
        <w:t>Chahdi</w:t>
      </w:r>
      <w:proofErr w:type="spellEnd"/>
      <w:r w:rsidRPr="00DE447F">
        <w:rPr>
          <w:spacing w:val="-4"/>
          <w:lang w:val="fr-FR"/>
        </w:rPr>
        <w:t>,</w:t>
      </w:r>
      <w:r>
        <w:rPr>
          <w:lang w:val="fr-FR"/>
        </w:rPr>
        <w:t xml:space="preserve"> M. Mario</w:t>
      </w:r>
      <w:r w:rsidR="00DE447F">
        <w:rPr>
          <w:lang w:val="fr-FR"/>
        </w:rPr>
        <w:t> </w:t>
      </w:r>
      <w:proofErr w:type="spellStart"/>
      <w:r>
        <w:rPr>
          <w:lang w:val="fr-FR"/>
        </w:rPr>
        <w:t>Oyarzábal</w:t>
      </w:r>
      <w:proofErr w:type="spellEnd"/>
      <w:r>
        <w:rPr>
          <w:lang w:val="fr-FR"/>
        </w:rPr>
        <w:t>, M. </w:t>
      </w:r>
      <w:proofErr w:type="spellStart"/>
      <w:r>
        <w:rPr>
          <w:lang w:val="fr-FR"/>
        </w:rPr>
        <w:t>Mārtiņš</w:t>
      </w:r>
      <w:proofErr w:type="spellEnd"/>
      <w:r w:rsidR="00DE447F">
        <w:rPr>
          <w:lang w:val="fr-FR"/>
        </w:rPr>
        <w:t> </w:t>
      </w:r>
      <w:proofErr w:type="spellStart"/>
      <w:r>
        <w:rPr>
          <w:lang w:val="fr-FR"/>
        </w:rPr>
        <w:t>Paparinskis</w:t>
      </w:r>
      <w:proofErr w:type="spellEnd"/>
      <w:r>
        <w:rPr>
          <w:lang w:val="fr-FR"/>
        </w:rPr>
        <w:t>, M. Bimal</w:t>
      </w:r>
      <w:r w:rsidR="00DE447F">
        <w:rPr>
          <w:lang w:val="fr-FR"/>
        </w:rPr>
        <w:t> </w:t>
      </w:r>
      <w:r>
        <w:rPr>
          <w:lang w:val="fr-FR"/>
        </w:rPr>
        <w:t>N.</w:t>
      </w:r>
      <w:r w:rsidR="00DE447F">
        <w:rPr>
          <w:lang w:val="fr-FR"/>
        </w:rPr>
        <w:t> </w:t>
      </w:r>
      <w:r>
        <w:rPr>
          <w:lang w:val="fr-FR"/>
        </w:rPr>
        <w:t>Patel, M. August</w:t>
      </w:r>
      <w:r w:rsidR="00DE447F">
        <w:rPr>
          <w:lang w:val="fr-FR"/>
        </w:rPr>
        <w:t> </w:t>
      </w:r>
      <w:proofErr w:type="spellStart"/>
      <w:r>
        <w:rPr>
          <w:lang w:val="fr-FR"/>
        </w:rPr>
        <w:t>Reinisch</w:t>
      </w:r>
      <w:proofErr w:type="spellEnd"/>
      <w:r>
        <w:rPr>
          <w:lang w:val="fr-FR"/>
        </w:rPr>
        <w:t>, M. Louis </w:t>
      </w:r>
      <w:proofErr w:type="spellStart"/>
      <w:r>
        <w:rPr>
          <w:lang w:val="fr-FR"/>
        </w:rPr>
        <w:t>Savadogo</w:t>
      </w:r>
      <w:proofErr w:type="spellEnd"/>
      <w:r>
        <w:rPr>
          <w:lang w:val="fr-FR"/>
        </w:rPr>
        <w:t>, M. Marcelo</w:t>
      </w:r>
      <w:r w:rsidR="00DE447F">
        <w:rPr>
          <w:lang w:val="fr-FR"/>
        </w:rPr>
        <w:t> </w:t>
      </w:r>
      <w:proofErr w:type="spellStart"/>
      <w:r>
        <w:rPr>
          <w:lang w:val="fr-FR"/>
        </w:rPr>
        <w:t>Vázquez-Bermúdez</w:t>
      </w:r>
      <w:proofErr w:type="spellEnd"/>
      <w:r>
        <w:rPr>
          <w:lang w:val="fr-FR"/>
        </w:rPr>
        <w:t xml:space="preserve"> et M</w:t>
      </w:r>
      <w:r w:rsidRPr="00481D21">
        <w:rPr>
          <w:vertAlign w:val="superscript"/>
          <w:lang w:val="fr-FR"/>
        </w:rPr>
        <w:t>me</w:t>
      </w:r>
      <w:r>
        <w:rPr>
          <w:lang w:val="fr-FR"/>
        </w:rPr>
        <w:t xml:space="preserve"> Penelope </w:t>
      </w:r>
      <w:proofErr w:type="spellStart"/>
      <w:r>
        <w:rPr>
          <w:lang w:val="fr-FR"/>
        </w:rPr>
        <w:t>Ridings</w:t>
      </w:r>
      <w:proofErr w:type="spellEnd"/>
      <w:r>
        <w:rPr>
          <w:lang w:val="fr-FR"/>
        </w:rPr>
        <w:t xml:space="preserve"> (membre de droit).</w:t>
      </w:r>
      <w:bookmarkStart w:id="10" w:name="_Hlk135301276"/>
      <w:bookmarkEnd w:id="10"/>
    </w:p>
    <w:p w14:paraId="45494CD8" w14:textId="6F079216" w:rsidR="00C324CF" w:rsidRDefault="00C324CF" w:rsidP="00A271C5">
      <w:pPr>
        <w:pStyle w:val="SingleTxtG"/>
      </w:pPr>
      <w:r>
        <w:t>12.</w:t>
      </w:r>
      <w:r>
        <w:tab/>
      </w:r>
      <w:r>
        <w:rPr>
          <w:lang w:val="fr-FR"/>
        </w:rPr>
        <w:t>À sa 3667</w:t>
      </w:r>
      <w:r w:rsidRPr="000747E2">
        <w:rPr>
          <w:vertAlign w:val="superscript"/>
          <w:lang w:val="fr-FR"/>
        </w:rPr>
        <w:t>e</w:t>
      </w:r>
      <w:r>
        <w:rPr>
          <w:lang w:val="fr-FR"/>
        </w:rPr>
        <w:t> séance, le 15 mai 2024, la Commission a reconstitué un groupe de travail à composition non limitée sur le sujet « Succession d</w:t>
      </w:r>
      <w:r w:rsidR="004C5E26">
        <w:rPr>
          <w:lang w:val="fr-FR"/>
        </w:rPr>
        <w:t>’</w:t>
      </w:r>
      <w:r>
        <w:rPr>
          <w:lang w:val="fr-FR"/>
        </w:rPr>
        <w:t>États en matière de responsabilité de l</w:t>
      </w:r>
      <w:r w:rsidR="004C5E26">
        <w:rPr>
          <w:lang w:val="fr-FR"/>
        </w:rPr>
        <w:t>’</w:t>
      </w:r>
      <w:r>
        <w:rPr>
          <w:lang w:val="fr-FR"/>
        </w:rPr>
        <w:t xml:space="preserve">État », présidé par M. August </w:t>
      </w:r>
      <w:proofErr w:type="spellStart"/>
      <w:r>
        <w:rPr>
          <w:lang w:val="fr-FR"/>
        </w:rPr>
        <w:t>Reinisch</w:t>
      </w:r>
      <w:proofErr w:type="spellEnd"/>
      <w:r>
        <w:rPr>
          <w:lang w:val="fr-FR"/>
        </w:rPr>
        <w:t>.</w:t>
      </w:r>
    </w:p>
    <w:p w14:paraId="2815D43C" w14:textId="77777777" w:rsidR="00C324CF" w:rsidRDefault="00C324CF" w:rsidP="00A271C5">
      <w:pPr>
        <w:pStyle w:val="H1G"/>
        <w:rPr>
          <w:szCs w:val="24"/>
        </w:rPr>
      </w:pPr>
      <w:r>
        <w:rPr>
          <w:lang w:val="fr-FR"/>
        </w:rPr>
        <w:tab/>
        <w:t>F.</w:t>
      </w:r>
      <w:r>
        <w:rPr>
          <w:lang w:val="fr-FR"/>
        </w:rPr>
        <w:tab/>
      </w:r>
      <w:bookmarkStart w:id="11" w:name="_Hlk175323166"/>
      <w:r>
        <w:rPr>
          <w:lang w:val="fr-FR"/>
        </w:rPr>
        <w:t>Secrétariat</w:t>
      </w:r>
      <w:bookmarkEnd w:id="11"/>
    </w:p>
    <w:p w14:paraId="687BCC80" w14:textId="1D69F9C0" w:rsidR="00C324CF" w:rsidRPr="00450147" w:rsidRDefault="00C324CF" w:rsidP="00A271C5">
      <w:pPr>
        <w:pStyle w:val="SingleTxtG"/>
      </w:pPr>
      <w:r w:rsidRPr="00056C51">
        <w:t>13.</w:t>
      </w:r>
      <w:r w:rsidRPr="00056C51">
        <w:tab/>
      </w:r>
      <w:r w:rsidRPr="00056C51">
        <w:rPr>
          <w:lang w:val="fr-FR"/>
        </w:rPr>
        <w:t xml:space="preserve">M. Miguel de </w:t>
      </w:r>
      <w:proofErr w:type="spellStart"/>
      <w:r w:rsidRPr="00056C51">
        <w:rPr>
          <w:lang w:val="fr-FR"/>
        </w:rPr>
        <w:t>Serpa</w:t>
      </w:r>
      <w:proofErr w:type="spellEnd"/>
      <w:r w:rsidRPr="00056C51">
        <w:rPr>
          <w:lang w:val="fr-FR"/>
        </w:rPr>
        <w:t xml:space="preserve"> Soares, Secrétaire général adjoint aux affaires juridiques et Conseiller juridique de l</w:t>
      </w:r>
      <w:r w:rsidR="004C5E26">
        <w:rPr>
          <w:lang w:val="fr-FR"/>
        </w:rPr>
        <w:t>’</w:t>
      </w:r>
      <w:r w:rsidRPr="00056C51">
        <w:rPr>
          <w:lang w:val="fr-FR"/>
        </w:rPr>
        <w:t>ONU, représentait le Secrétaire général. M. </w:t>
      </w:r>
      <w:proofErr w:type="spellStart"/>
      <w:r w:rsidRPr="00056C51">
        <w:rPr>
          <w:lang w:val="fr-FR"/>
        </w:rPr>
        <w:t>Huw</w:t>
      </w:r>
      <w:proofErr w:type="spellEnd"/>
      <w:r w:rsidR="00056C51">
        <w:rPr>
          <w:lang w:val="fr-FR"/>
        </w:rPr>
        <w:t> </w:t>
      </w:r>
      <w:proofErr w:type="spellStart"/>
      <w:r w:rsidRPr="00056C51">
        <w:rPr>
          <w:lang w:val="fr-FR"/>
        </w:rPr>
        <w:t>Llewellyn</w:t>
      </w:r>
      <w:proofErr w:type="spellEnd"/>
      <w:r w:rsidRPr="00056C51">
        <w:rPr>
          <w:lang w:val="fr-FR"/>
        </w:rPr>
        <w:t>, Directeur de la Div</w:t>
      </w:r>
      <w:r>
        <w:rPr>
          <w:lang w:val="fr-FR"/>
        </w:rPr>
        <w:t>ision de la codification du Bureau des affaires juridiques, assumait les fonctions de secrétaire de la Commission et, en l</w:t>
      </w:r>
      <w:r w:rsidR="004C5E26">
        <w:rPr>
          <w:lang w:val="fr-FR"/>
        </w:rPr>
        <w:t>’</w:t>
      </w:r>
      <w:r>
        <w:rPr>
          <w:lang w:val="fr-FR"/>
        </w:rPr>
        <w:t>absence du Conseiller juridique, représentait le Secrétaire général. M. Arnold Pronto, juriste principal, assumait les fonctions de secrétaire adjoint principal de la Commission. M</w:t>
      </w:r>
      <w:r w:rsidRPr="00481D21">
        <w:rPr>
          <w:vertAlign w:val="superscript"/>
          <w:lang w:val="fr-FR"/>
        </w:rPr>
        <w:t>me</w:t>
      </w:r>
      <w:r w:rsidR="00056C51">
        <w:rPr>
          <w:lang w:val="fr-FR"/>
        </w:rPr>
        <w:t> </w:t>
      </w:r>
      <w:r>
        <w:rPr>
          <w:lang w:val="fr-FR"/>
        </w:rPr>
        <w:t xml:space="preserve">Carla Hoe, juriste hors classe, assumait les </w:t>
      </w:r>
      <w:r w:rsidRPr="003E1356">
        <w:rPr>
          <w:lang w:val="fr-FR"/>
        </w:rPr>
        <w:t xml:space="preserve">fonctions de secrétaire </w:t>
      </w:r>
      <w:r>
        <w:rPr>
          <w:lang w:val="fr-FR"/>
        </w:rPr>
        <w:t>adjointe</w:t>
      </w:r>
      <w:r w:rsidRPr="003E1356">
        <w:rPr>
          <w:lang w:val="fr-FR"/>
        </w:rPr>
        <w:t xml:space="preserve"> </w:t>
      </w:r>
      <w:r>
        <w:rPr>
          <w:lang w:val="fr-FR"/>
        </w:rPr>
        <w:t>hors classe. M. Carlos</w:t>
      </w:r>
      <w:r w:rsidR="00056C51">
        <w:rPr>
          <w:lang w:val="fr-FR"/>
        </w:rPr>
        <w:t> </w:t>
      </w:r>
      <w:r>
        <w:rPr>
          <w:lang w:val="fr-FR"/>
        </w:rPr>
        <w:t>Ivan Fuentes, M. Jorge</w:t>
      </w:r>
      <w:r w:rsidR="00056C51">
        <w:rPr>
          <w:lang w:val="fr-FR"/>
        </w:rPr>
        <w:t> </w:t>
      </w:r>
      <w:r>
        <w:rPr>
          <w:lang w:val="fr-FR"/>
        </w:rPr>
        <w:t>Paoletti, M</w:t>
      </w:r>
      <w:r w:rsidRPr="00481D21">
        <w:rPr>
          <w:vertAlign w:val="superscript"/>
          <w:lang w:val="fr-FR"/>
        </w:rPr>
        <w:t>me</w:t>
      </w:r>
      <w:r>
        <w:rPr>
          <w:lang w:val="fr-FR"/>
        </w:rPr>
        <w:t> Paola</w:t>
      </w:r>
      <w:r w:rsidR="00056C51">
        <w:rPr>
          <w:lang w:val="fr-FR"/>
        </w:rPr>
        <w:t> </w:t>
      </w:r>
      <w:proofErr w:type="spellStart"/>
      <w:r>
        <w:rPr>
          <w:lang w:val="fr-FR"/>
        </w:rPr>
        <w:t>Patarroyo</w:t>
      </w:r>
      <w:proofErr w:type="spellEnd"/>
      <w:r>
        <w:rPr>
          <w:lang w:val="fr-FR"/>
        </w:rPr>
        <w:t xml:space="preserve"> et M. Douglas </w:t>
      </w:r>
      <w:proofErr w:type="spellStart"/>
      <w:r>
        <w:rPr>
          <w:lang w:val="fr-FR"/>
        </w:rPr>
        <w:t>Pivnichny</w:t>
      </w:r>
      <w:proofErr w:type="spellEnd"/>
      <w:r>
        <w:rPr>
          <w:lang w:val="fr-FR"/>
        </w:rPr>
        <w:t>, juristes, et M. Alexey Bulatov, juriste adjoint de première classe, étaient secrétaires adjoint(e)s.</w:t>
      </w:r>
    </w:p>
    <w:p w14:paraId="70612802" w14:textId="77777777" w:rsidR="00C324CF" w:rsidRPr="00450147" w:rsidRDefault="00C324CF" w:rsidP="00A271C5">
      <w:pPr>
        <w:pStyle w:val="H1G"/>
      </w:pPr>
      <w:r>
        <w:rPr>
          <w:lang w:val="fr-FR"/>
        </w:rPr>
        <w:tab/>
        <w:t>G.</w:t>
      </w:r>
      <w:r>
        <w:rPr>
          <w:lang w:val="fr-FR"/>
        </w:rPr>
        <w:tab/>
      </w:r>
      <w:bookmarkStart w:id="12" w:name="_Hlk175323171"/>
      <w:r>
        <w:rPr>
          <w:lang w:val="fr-FR"/>
        </w:rPr>
        <w:t>Ordre du jour</w:t>
      </w:r>
      <w:bookmarkEnd w:id="12"/>
    </w:p>
    <w:p w14:paraId="5A48C8F0" w14:textId="3E98C80F" w:rsidR="00C324CF" w:rsidRDefault="00C324CF" w:rsidP="00A271C5">
      <w:pPr>
        <w:pStyle w:val="SingleTxtG"/>
        <w:rPr>
          <w:lang w:val="fr-FR"/>
        </w:rPr>
      </w:pPr>
      <w:r>
        <w:rPr>
          <w:lang w:val="fr-FR"/>
        </w:rPr>
        <w:t>14.</w:t>
      </w:r>
      <w:r>
        <w:rPr>
          <w:lang w:val="fr-FR"/>
        </w:rPr>
        <w:tab/>
        <w:t>La Commission a adopté pour sa soixante-quinzième session l</w:t>
      </w:r>
      <w:r w:rsidR="004C5E26">
        <w:rPr>
          <w:lang w:val="fr-FR"/>
        </w:rPr>
        <w:t>’</w:t>
      </w:r>
      <w:r>
        <w:rPr>
          <w:lang w:val="fr-FR"/>
        </w:rPr>
        <w:t>ordre du jour suivant :</w:t>
      </w:r>
    </w:p>
    <w:p w14:paraId="355194E7" w14:textId="77777777" w:rsidR="00C324CF" w:rsidRPr="00450147" w:rsidRDefault="00C324CF" w:rsidP="00C324CF">
      <w:pPr>
        <w:pStyle w:val="SingleTxtG"/>
        <w:ind w:left="1701"/>
        <w:rPr>
          <w:rFonts w:eastAsia="Times New Roman"/>
          <w:color w:val="000000" w:themeColor="text1"/>
        </w:rPr>
      </w:pPr>
      <w:r>
        <w:rPr>
          <w:lang w:val="fr-FR"/>
        </w:rPr>
        <w:t>1.</w:t>
      </w:r>
      <w:r>
        <w:rPr>
          <w:lang w:val="fr-FR"/>
        </w:rPr>
        <w:tab/>
        <w:t>Organisation des travaux de la session.</w:t>
      </w:r>
    </w:p>
    <w:p w14:paraId="15CA231C" w14:textId="57A79CE4" w:rsidR="00C324CF" w:rsidRPr="00450147" w:rsidRDefault="00C324CF" w:rsidP="00C324CF">
      <w:pPr>
        <w:pStyle w:val="SingleTxtG"/>
        <w:ind w:left="1701"/>
        <w:rPr>
          <w:rFonts w:eastAsia="Times New Roman"/>
          <w:color w:val="000000" w:themeColor="text1"/>
        </w:rPr>
      </w:pPr>
      <w:r>
        <w:rPr>
          <w:lang w:val="fr-FR"/>
        </w:rPr>
        <w:t>2.</w:t>
      </w:r>
      <w:r>
        <w:rPr>
          <w:lang w:val="fr-FR"/>
        </w:rPr>
        <w:tab/>
        <w:t>Nomination à un siège devenu vacant après l</w:t>
      </w:r>
      <w:r w:rsidR="004C5E26">
        <w:rPr>
          <w:lang w:val="fr-FR"/>
        </w:rPr>
        <w:t>’</w:t>
      </w:r>
      <w:r>
        <w:rPr>
          <w:lang w:val="fr-FR"/>
        </w:rPr>
        <w:t>élection.</w:t>
      </w:r>
    </w:p>
    <w:p w14:paraId="06B19DB3" w14:textId="6964CFA1" w:rsidR="00C324CF" w:rsidRPr="00450147" w:rsidRDefault="00C324CF" w:rsidP="00C324CF">
      <w:pPr>
        <w:pStyle w:val="SingleTxtG"/>
        <w:ind w:left="1701"/>
        <w:rPr>
          <w:rFonts w:eastAsia="Times New Roman"/>
          <w:color w:val="000000" w:themeColor="text1"/>
        </w:rPr>
      </w:pPr>
      <w:r>
        <w:rPr>
          <w:lang w:val="fr-FR"/>
        </w:rPr>
        <w:t>3.</w:t>
      </w:r>
      <w:r>
        <w:rPr>
          <w:lang w:val="fr-FR"/>
        </w:rPr>
        <w:tab/>
        <w:t>Immunité de juridiction pénale étrangère des représentants de l</w:t>
      </w:r>
      <w:r w:rsidR="004C5E26">
        <w:rPr>
          <w:lang w:val="fr-FR"/>
        </w:rPr>
        <w:t>’</w:t>
      </w:r>
      <w:r>
        <w:rPr>
          <w:lang w:val="fr-FR"/>
        </w:rPr>
        <w:t>État.</w:t>
      </w:r>
    </w:p>
    <w:p w14:paraId="66FB9C2A" w14:textId="2DEB2053" w:rsidR="00C324CF" w:rsidRPr="00450147" w:rsidRDefault="00C324CF" w:rsidP="00C324CF">
      <w:pPr>
        <w:pStyle w:val="SingleTxtG"/>
        <w:ind w:left="1701"/>
        <w:rPr>
          <w:rFonts w:eastAsia="Times New Roman"/>
          <w:color w:val="000000" w:themeColor="text1"/>
        </w:rPr>
      </w:pPr>
      <w:r>
        <w:rPr>
          <w:lang w:val="fr-FR"/>
        </w:rPr>
        <w:t>4.</w:t>
      </w:r>
      <w:r>
        <w:rPr>
          <w:lang w:val="fr-FR"/>
        </w:rPr>
        <w:tab/>
        <w:t>Succession d</w:t>
      </w:r>
      <w:r w:rsidR="004C5E26">
        <w:rPr>
          <w:lang w:val="fr-FR"/>
        </w:rPr>
        <w:t>’</w:t>
      </w:r>
      <w:r>
        <w:rPr>
          <w:lang w:val="fr-FR"/>
        </w:rPr>
        <w:t>États en matière de responsabilité de l</w:t>
      </w:r>
      <w:r w:rsidR="004C5E26">
        <w:rPr>
          <w:lang w:val="fr-FR"/>
        </w:rPr>
        <w:t>’</w:t>
      </w:r>
      <w:r>
        <w:rPr>
          <w:lang w:val="fr-FR"/>
        </w:rPr>
        <w:t>État.</w:t>
      </w:r>
    </w:p>
    <w:p w14:paraId="5DA2E3AD" w14:textId="383829A9" w:rsidR="00C324CF" w:rsidRPr="00450147" w:rsidRDefault="00C324CF" w:rsidP="00C324CF">
      <w:pPr>
        <w:pStyle w:val="SingleTxtG"/>
        <w:ind w:left="1701"/>
        <w:rPr>
          <w:rFonts w:eastAsia="Times New Roman"/>
          <w:color w:val="000000" w:themeColor="text1"/>
        </w:rPr>
      </w:pPr>
      <w:r>
        <w:rPr>
          <w:lang w:val="fr-FR"/>
        </w:rPr>
        <w:t>5.</w:t>
      </w:r>
      <w:r>
        <w:rPr>
          <w:lang w:val="fr-FR"/>
        </w:rPr>
        <w:tab/>
        <w:t>L</w:t>
      </w:r>
      <w:r w:rsidR="004C5E26">
        <w:rPr>
          <w:lang w:val="fr-FR"/>
        </w:rPr>
        <w:t>’</w:t>
      </w:r>
      <w:r>
        <w:rPr>
          <w:lang w:val="fr-FR"/>
        </w:rPr>
        <w:t>élévation du niveau de la mer au regard du droit international.</w:t>
      </w:r>
    </w:p>
    <w:p w14:paraId="4D055DAE" w14:textId="77777777" w:rsidR="00C324CF" w:rsidRPr="00450147" w:rsidRDefault="00C324CF" w:rsidP="00A271C5">
      <w:pPr>
        <w:pStyle w:val="SingleTxtG"/>
        <w:ind w:left="2268" w:hanging="567"/>
        <w:rPr>
          <w:rFonts w:eastAsia="Times New Roman"/>
          <w:color w:val="000000" w:themeColor="text1"/>
        </w:rPr>
      </w:pPr>
      <w:r>
        <w:rPr>
          <w:lang w:val="fr-FR"/>
        </w:rPr>
        <w:t>6.</w:t>
      </w:r>
      <w:r>
        <w:rPr>
          <w:lang w:val="fr-FR"/>
        </w:rPr>
        <w:tab/>
        <w:t>Règlement des différends auxquels des organisations internationales sont parties.</w:t>
      </w:r>
    </w:p>
    <w:p w14:paraId="61E7C363" w14:textId="77777777" w:rsidR="00C324CF" w:rsidRPr="00450147" w:rsidRDefault="00C324CF" w:rsidP="00C324CF">
      <w:pPr>
        <w:pStyle w:val="SingleTxtG"/>
        <w:ind w:left="1701"/>
        <w:rPr>
          <w:rFonts w:eastAsia="Times New Roman"/>
          <w:color w:val="000000" w:themeColor="text1"/>
        </w:rPr>
      </w:pPr>
      <w:r>
        <w:rPr>
          <w:lang w:val="fr-FR"/>
        </w:rPr>
        <w:t>7.</w:t>
      </w:r>
      <w:r>
        <w:rPr>
          <w:lang w:val="fr-FR"/>
        </w:rPr>
        <w:tab/>
        <w:t>Prévention et répression de la piraterie et du vol à main armée en mer.</w:t>
      </w:r>
    </w:p>
    <w:p w14:paraId="133F8B61" w14:textId="77777777" w:rsidR="00C324CF" w:rsidRPr="00450147" w:rsidRDefault="00C324CF" w:rsidP="00C324CF">
      <w:pPr>
        <w:pStyle w:val="SingleTxtG"/>
        <w:ind w:left="1701"/>
        <w:rPr>
          <w:rFonts w:eastAsia="Times New Roman"/>
          <w:color w:val="000000" w:themeColor="text1"/>
        </w:rPr>
      </w:pPr>
      <w:r>
        <w:rPr>
          <w:lang w:val="fr-FR"/>
        </w:rPr>
        <w:t>8.</w:t>
      </w:r>
      <w:r>
        <w:rPr>
          <w:lang w:val="fr-FR"/>
        </w:rPr>
        <w:tab/>
        <w:t>Moyens auxiliaires de détermination des règles de droit international.</w:t>
      </w:r>
    </w:p>
    <w:p w14:paraId="07D2B69F" w14:textId="77777777" w:rsidR="00C324CF" w:rsidRPr="00450147" w:rsidRDefault="00C324CF" w:rsidP="00C324CF">
      <w:pPr>
        <w:pStyle w:val="SingleTxtG"/>
        <w:keepNext/>
        <w:ind w:left="1701"/>
        <w:rPr>
          <w:rFonts w:eastAsia="Times New Roman"/>
          <w:color w:val="000000" w:themeColor="text1"/>
        </w:rPr>
      </w:pPr>
      <w:r>
        <w:rPr>
          <w:lang w:val="fr-FR"/>
        </w:rPr>
        <w:t>9.</w:t>
      </w:r>
      <w:r>
        <w:rPr>
          <w:lang w:val="fr-FR"/>
        </w:rPr>
        <w:tab/>
        <w:t>Les accords internationaux juridiquement non contraignants.</w:t>
      </w:r>
    </w:p>
    <w:p w14:paraId="39B4B5F2" w14:textId="77777777" w:rsidR="00C324CF" w:rsidRPr="00450147" w:rsidRDefault="00C324CF" w:rsidP="00C324CF">
      <w:pPr>
        <w:pStyle w:val="SingleTxtG"/>
        <w:ind w:left="1701"/>
        <w:rPr>
          <w:rFonts w:eastAsia="Times New Roman"/>
          <w:color w:val="000000" w:themeColor="text1"/>
        </w:rPr>
      </w:pPr>
      <w:r>
        <w:rPr>
          <w:lang w:val="fr-FR"/>
        </w:rPr>
        <w:t>10.</w:t>
      </w:r>
      <w:r>
        <w:rPr>
          <w:lang w:val="fr-FR"/>
        </w:rPr>
        <w:tab/>
        <w:t>Célébration du soixante-quinzième anniversaire de la Commission.</w:t>
      </w:r>
    </w:p>
    <w:p w14:paraId="64B4E9FE" w14:textId="77777777" w:rsidR="00C324CF" w:rsidRPr="00450147" w:rsidRDefault="00C324CF" w:rsidP="00C324CF">
      <w:pPr>
        <w:pStyle w:val="SingleTxtG"/>
        <w:ind w:left="2268" w:hanging="567"/>
        <w:rPr>
          <w:rFonts w:eastAsia="Times New Roman"/>
          <w:color w:val="000000" w:themeColor="text1"/>
        </w:rPr>
      </w:pPr>
      <w:r>
        <w:rPr>
          <w:lang w:val="fr-FR"/>
        </w:rPr>
        <w:t>11.</w:t>
      </w:r>
      <w:r>
        <w:rPr>
          <w:lang w:val="fr-FR"/>
        </w:rPr>
        <w:tab/>
        <w:t>Programme, procédures, méthodes de travail et documentation de la Commission.</w:t>
      </w:r>
    </w:p>
    <w:p w14:paraId="0B819064" w14:textId="77777777" w:rsidR="00C324CF" w:rsidRPr="00450147" w:rsidRDefault="00C324CF" w:rsidP="00C324CF">
      <w:pPr>
        <w:pStyle w:val="SingleTxtG"/>
        <w:ind w:left="1701"/>
        <w:rPr>
          <w:rFonts w:eastAsia="Times New Roman"/>
          <w:color w:val="000000" w:themeColor="text1"/>
        </w:rPr>
      </w:pPr>
      <w:r>
        <w:rPr>
          <w:lang w:val="fr-FR"/>
        </w:rPr>
        <w:lastRenderedPageBreak/>
        <w:t>12.</w:t>
      </w:r>
      <w:r>
        <w:rPr>
          <w:lang w:val="fr-FR"/>
        </w:rPr>
        <w:tab/>
        <w:t>Dates et lieu de la soixante-seizième session.</w:t>
      </w:r>
    </w:p>
    <w:p w14:paraId="048CFB03" w14:textId="5566A94D" w:rsidR="00C324CF" w:rsidRPr="00450147" w:rsidRDefault="00C324CF" w:rsidP="00C324CF">
      <w:pPr>
        <w:pStyle w:val="SingleTxtG"/>
        <w:ind w:left="1701"/>
        <w:rPr>
          <w:rFonts w:eastAsia="Times New Roman"/>
          <w:color w:val="000000" w:themeColor="text1"/>
        </w:rPr>
      </w:pPr>
      <w:r>
        <w:rPr>
          <w:lang w:val="fr-FR"/>
        </w:rPr>
        <w:t>13.</w:t>
      </w:r>
      <w:r>
        <w:rPr>
          <w:lang w:val="fr-FR"/>
        </w:rPr>
        <w:tab/>
        <w:t>Coopération avec d</w:t>
      </w:r>
      <w:r w:rsidR="004C5E26">
        <w:rPr>
          <w:lang w:val="fr-FR"/>
        </w:rPr>
        <w:t>’</w:t>
      </w:r>
      <w:r>
        <w:rPr>
          <w:lang w:val="fr-FR"/>
        </w:rPr>
        <w:t>autres organismes.</w:t>
      </w:r>
    </w:p>
    <w:p w14:paraId="2F865BC9" w14:textId="77777777" w:rsidR="00C324CF" w:rsidRDefault="00C324CF" w:rsidP="00C324CF">
      <w:pPr>
        <w:pStyle w:val="SingleTxtG"/>
        <w:ind w:left="1701"/>
        <w:rPr>
          <w:lang w:val="fr-FR"/>
        </w:rPr>
      </w:pPr>
      <w:r>
        <w:rPr>
          <w:lang w:val="fr-FR"/>
        </w:rPr>
        <w:t>14.</w:t>
      </w:r>
      <w:r>
        <w:rPr>
          <w:lang w:val="fr-FR"/>
        </w:rPr>
        <w:tab/>
        <w:t>Questions diverses.</w:t>
      </w:r>
    </w:p>
    <w:p w14:paraId="55D48F74" w14:textId="3241C8E2" w:rsidR="00C324CF" w:rsidRDefault="00C324CF">
      <w:pPr>
        <w:suppressAutoHyphens w:val="0"/>
        <w:kinsoku/>
        <w:overflowPunct/>
        <w:autoSpaceDE/>
        <w:autoSpaceDN/>
        <w:adjustRightInd/>
        <w:snapToGrid/>
        <w:spacing w:line="240" w:lineRule="auto"/>
        <w:rPr>
          <w:lang w:val="fr-FR"/>
        </w:rPr>
      </w:pPr>
      <w:r>
        <w:rPr>
          <w:lang w:val="fr-FR"/>
        </w:rPr>
        <w:br w:type="page"/>
      </w:r>
    </w:p>
    <w:p w14:paraId="4D5BC9EA" w14:textId="77777777" w:rsidR="00C324CF" w:rsidRPr="00E76779" w:rsidRDefault="00C324CF" w:rsidP="00C324CF">
      <w:pPr>
        <w:pStyle w:val="HChG"/>
      </w:pPr>
      <w:r>
        <w:rPr>
          <w:lang w:val="fr-FR"/>
        </w:rPr>
        <w:lastRenderedPageBreak/>
        <w:tab/>
      </w:r>
      <w:r>
        <w:rPr>
          <w:lang w:val="fr-FR"/>
        </w:rPr>
        <w:tab/>
      </w:r>
      <w:r w:rsidRPr="00E76779">
        <w:rPr>
          <w:lang w:val="fr-FR"/>
        </w:rPr>
        <w:t>Chapitre II</w:t>
      </w:r>
      <w:r w:rsidRPr="00E76779">
        <w:rPr>
          <w:lang w:val="fr-FR"/>
        </w:rPr>
        <w:br/>
      </w:r>
      <w:bookmarkStart w:id="13" w:name="_Hlk175322906"/>
      <w:r w:rsidRPr="00E76779">
        <w:rPr>
          <w:lang w:val="fr-FR"/>
        </w:rPr>
        <w:t xml:space="preserve">Résumé des travaux de la Commission </w:t>
      </w:r>
      <w:r>
        <w:rPr>
          <w:lang w:val="fr-FR"/>
        </w:rPr>
        <w:br/>
      </w:r>
      <w:r w:rsidRPr="00E76779">
        <w:rPr>
          <w:lang w:val="fr-FR"/>
        </w:rPr>
        <w:t>à sa soixante-quinzième session</w:t>
      </w:r>
      <w:bookmarkEnd w:id="13"/>
    </w:p>
    <w:p w14:paraId="555DF4F1" w14:textId="0452A01F" w:rsidR="00C324CF" w:rsidRPr="00E76779" w:rsidRDefault="00C324CF" w:rsidP="00C324CF">
      <w:pPr>
        <w:pStyle w:val="SingleTxtG"/>
      </w:pPr>
      <w:r w:rsidRPr="00E76779">
        <w:t>1</w:t>
      </w:r>
      <w:r>
        <w:t>5</w:t>
      </w:r>
      <w:r w:rsidRPr="001B61C8">
        <w:t>.</w:t>
      </w:r>
      <w:r w:rsidRPr="00E76779">
        <w:tab/>
      </w:r>
      <w:r w:rsidRPr="00E76779">
        <w:rPr>
          <w:lang w:val="fr-FR"/>
        </w:rPr>
        <w:t>En ce qui concerne le sujet « </w:t>
      </w:r>
      <w:r w:rsidRPr="00E76779">
        <w:rPr>
          <w:b/>
          <w:bCs/>
          <w:lang w:val="fr-FR"/>
        </w:rPr>
        <w:t>Règlement des différends auxquels des organisations internationales sont parties</w:t>
      </w:r>
      <w:r>
        <w:rPr>
          <w:lang w:val="fr-FR"/>
        </w:rPr>
        <w:t> </w:t>
      </w:r>
      <w:r w:rsidRPr="00E76779">
        <w:rPr>
          <w:lang w:val="fr-FR"/>
        </w:rPr>
        <w:t>», la Commission était saisie du deuxième rapport du Rapporteur spécial sur le sujet (</w:t>
      </w:r>
      <w:hyperlink r:id="rId28" w:history="1">
        <w:r w:rsidRPr="00E76779">
          <w:rPr>
            <w:rStyle w:val="Lienhypertexte"/>
            <w:lang w:val="fr-FR"/>
          </w:rPr>
          <w:t>A/CN</w:t>
        </w:r>
        <w:r w:rsidRPr="001B61C8">
          <w:rPr>
            <w:rStyle w:val="Lienhypertexte"/>
            <w:lang w:val="fr-FR"/>
          </w:rPr>
          <w:t>.</w:t>
        </w:r>
        <w:r w:rsidRPr="00E76779">
          <w:rPr>
            <w:rStyle w:val="Lienhypertexte"/>
            <w:lang w:val="fr-FR"/>
          </w:rPr>
          <w:t>4/766</w:t>
        </w:r>
      </w:hyperlink>
      <w:r w:rsidRPr="00E76779">
        <w:rPr>
          <w:lang w:val="fr-FR"/>
        </w:rPr>
        <w:t xml:space="preserve">), qui portait essentiellement sur les </w:t>
      </w:r>
      <w:r>
        <w:rPr>
          <w:lang w:val="fr-FR"/>
        </w:rPr>
        <w:t>« </w:t>
      </w:r>
      <w:r w:rsidRPr="00E76779">
        <w:rPr>
          <w:lang w:val="fr-FR"/>
        </w:rPr>
        <w:t>différends internationaux</w:t>
      </w:r>
      <w:r>
        <w:rPr>
          <w:lang w:val="fr-FR"/>
        </w:rPr>
        <w:t> ».</w:t>
      </w:r>
      <w:r w:rsidRPr="00E76779">
        <w:rPr>
          <w:lang w:val="fr-FR"/>
        </w:rPr>
        <w:t xml:space="preserve"> Le deuxième rapport contenait une analyse de la pratique en matière de règlement des différends internationaux auxquels des organisations internationales sont parties, et soulevait des questions de principe pertinentes pour les travaux de la Commission sur le sujet</w:t>
      </w:r>
      <w:r w:rsidRPr="001B61C8">
        <w:rPr>
          <w:lang w:val="fr-FR"/>
        </w:rPr>
        <w:t>.</w:t>
      </w:r>
      <w:r w:rsidRPr="00E76779">
        <w:rPr>
          <w:lang w:val="fr-FR"/>
        </w:rPr>
        <w:t xml:space="preserve"> Le Rapporteur spécial y avait également exposé ses projets pour la suite des travaux sur le sujet</w:t>
      </w:r>
      <w:r w:rsidRPr="001B61C8">
        <w:rPr>
          <w:lang w:val="fr-FR"/>
        </w:rPr>
        <w:t>.</w:t>
      </w:r>
      <w:r w:rsidRPr="00E76779">
        <w:rPr>
          <w:lang w:val="fr-FR"/>
        </w:rPr>
        <w:t xml:space="preserve"> Il avait proposé quatre projets de directive</w:t>
      </w:r>
      <w:r w:rsidRPr="001B61C8">
        <w:rPr>
          <w:lang w:val="fr-FR"/>
        </w:rPr>
        <w:t>.</w:t>
      </w:r>
      <w:r w:rsidRPr="00E76779">
        <w:rPr>
          <w:lang w:val="fr-FR"/>
        </w:rPr>
        <w:t xml:space="preserve"> La Commission était également saisie d</w:t>
      </w:r>
      <w:r w:rsidR="004C5E26">
        <w:rPr>
          <w:lang w:val="fr-FR"/>
        </w:rPr>
        <w:t>’</w:t>
      </w:r>
      <w:r w:rsidRPr="00E76779">
        <w:rPr>
          <w:lang w:val="fr-FR"/>
        </w:rPr>
        <w:t>une étude du Secrétariat (</w:t>
      </w:r>
      <w:hyperlink r:id="rId29" w:history="1">
        <w:r w:rsidRPr="00E76779">
          <w:rPr>
            <w:rStyle w:val="Lienhypertexte"/>
            <w:lang w:val="fr-FR"/>
          </w:rPr>
          <w:t>A/CN</w:t>
        </w:r>
        <w:r w:rsidRPr="001B61C8">
          <w:rPr>
            <w:rStyle w:val="Lienhypertexte"/>
            <w:lang w:val="fr-FR"/>
          </w:rPr>
          <w:t>.</w:t>
        </w:r>
        <w:r w:rsidRPr="00E76779">
          <w:rPr>
            <w:rStyle w:val="Lienhypertexte"/>
            <w:lang w:val="fr-FR"/>
          </w:rPr>
          <w:t>4/764</w:t>
        </w:r>
      </w:hyperlink>
      <w:r w:rsidRPr="00E76779">
        <w:rPr>
          <w:lang w:val="fr-FR"/>
        </w:rPr>
        <w:t>) contenant des informations sur la pratique des États et des organisations internationales qui pouvaient présenter un intérêt pour la suite de ses travaux sur le sujet, y compris les différends internationaux et les différends de droit privé, recueillies sur la base du questionnaire établi par le Rapporteur spécial</w:t>
      </w:r>
      <w:r w:rsidRPr="001B61C8">
        <w:rPr>
          <w:lang w:val="fr-FR"/>
        </w:rPr>
        <w:t>.</w:t>
      </w:r>
    </w:p>
    <w:p w14:paraId="108AA0B7" w14:textId="34986462" w:rsidR="00C324CF" w:rsidRPr="00E76779" w:rsidRDefault="00C324CF" w:rsidP="00C324CF">
      <w:pPr>
        <w:pStyle w:val="SingleTxtG"/>
      </w:pPr>
      <w:r>
        <w:t>16</w:t>
      </w:r>
      <w:r w:rsidRPr="001B61C8">
        <w:t>.</w:t>
      </w:r>
      <w:r w:rsidRPr="00E76779">
        <w:tab/>
      </w:r>
      <w:r w:rsidRPr="00E76779">
        <w:rPr>
          <w:lang w:val="fr-FR"/>
        </w:rPr>
        <w:t>Dans son deuxième rapport, le Rapporteur spécial expliquait que ce rapport portait principalement sur les différends internationaux entre organisations internationales ainsi que des différends entre des organisations internationales et des États ou d</w:t>
      </w:r>
      <w:r w:rsidR="004C5E26">
        <w:rPr>
          <w:lang w:val="fr-FR"/>
        </w:rPr>
        <w:t>’</w:t>
      </w:r>
      <w:r w:rsidRPr="00E76779">
        <w:rPr>
          <w:lang w:val="fr-FR"/>
        </w:rPr>
        <w:t>autres sujets de droit international survenant en droit international</w:t>
      </w:r>
      <w:r w:rsidRPr="001B61C8">
        <w:rPr>
          <w:lang w:val="fr-FR"/>
        </w:rPr>
        <w:t>.</w:t>
      </w:r>
      <w:r w:rsidRPr="00E76779">
        <w:rPr>
          <w:lang w:val="fr-FR"/>
        </w:rPr>
        <w:t xml:space="preserve"> Le rapport n</w:t>
      </w:r>
      <w:r w:rsidR="004C5E26">
        <w:rPr>
          <w:lang w:val="fr-FR"/>
        </w:rPr>
        <w:t>’</w:t>
      </w:r>
      <w:r w:rsidRPr="00E76779">
        <w:rPr>
          <w:lang w:val="fr-FR"/>
        </w:rPr>
        <w:t>abordait pas les différends à caractère non international, qui seraient traités dans le troisième rapport</w:t>
      </w:r>
      <w:r w:rsidRPr="001B61C8">
        <w:rPr>
          <w:lang w:val="fr-FR"/>
        </w:rPr>
        <w:t>.</w:t>
      </w:r>
      <w:r w:rsidRPr="00E76779">
        <w:rPr>
          <w:lang w:val="fr-FR"/>
        </w:rPr>
        <w:t xml:space="preserve"> L</w:t>
      </w:r>
      <w:r w:rsidR="004C5E26">
        <w:rPr>
          <w:lang w:val="fr-FR"/>
        </w:rPr>
        <w:t>’</w:t>
      </w:r>
      <w:r w:rsidRPr="00E76779">
        <w:rPr>
          <w:lang w:val="fr-FR"/>
        </w:rPr>
        <w:t>analyse de la pratique des organisations internationales avait montré que tous les modes de règlement des différends étaient utilisés dans la pratique, mais certains moins fréquemment que d</w:t>
      </w:r>
      <w:r w:rsidR="004C5E26">
        <w:rPr>
          <w:lang w:val="fr-FR"/>
        </w:rPr>
        <w:t>’</w:t>
      </w:r>
      <w:r w:rsidRPr="00E76779">
        <w:rPr>
          <w:lang w:val="fr-FR"/>
        </w:rPr>
        <w:t>autres</w:t>
      </w:r>
      <w:r w:rsidRPr="001B61C8">
        <w:rPr>
          <w:lang w:val="fr-FR"/>
        </w:rPr>
        <w:t>.</w:t>
      </w:r>
      <w:r w:rsidRPr="00E76779">
        <w:rPr>
          <w:lang w:val="fr-FR"/>
        </w:rPr>
        <w:t xml:space="preserve"> Une utilisation plus fréquente de la négociation, de consultation</w:t>
      </w:r>
      <w:r>
        <w:rPr>
          <w:lang w:val="fr-FR"/>
        </w:rPr>
        <w:t>s</w:t>
      </w:r>
      <w:r w:rsidRPr="00E76779">
        <w:rPr>
          <w:lang w:val="fr-FR"/>
        </w:rPr>
        <w:t xml:space="preserve"> ou d</w:t>
      </w:r>
      <w:r w:rsidR="004C5E26">
        <w:rPr>
          <w:lang w:val="fr-FR"/>
        </w:rPr>
        <w:t>’</w:t>
      </w:r>
      <w:r w:rsidRPr="00E76779">
        <w:rPr>
          <w:lang w:val="fr-FR"/>
        </w:rPr>
        <w:t>autres moyens de règlement amiable des différends semblait refléter le fait que de nombreuses dispositions relatives au règlement des différends prévoyaient ce mode de règlement des différends comme une première étape, ainsi que le fait que les organisations internationales et les États préféraient régler leurs différends discrètement et diplomatiquement, de manière informelle</w:t>
      </w:r>
      <w:r w:rsidRPr="001B61C8">
        <w:rPr>
          <w:lang w:val="fr-FR"/>
        </w:rPr>
        <w:t>.</w:t>
      </w:r>
      <w:r w:rsidRPr="00E76779">
        <w:rPr>
          <w:lang w:val="fr-FR"/>
        </w:rPr>
        <w:t xml:space="preserve"> Les organisations internationales ne semblaient pas recourir très souvent à la médiation, à la conciliation, à l</w:t>
      </w:r>
      <w:r w:rsidR="004C5E26">
        <w:rPr>
          <w:lang w:val="fr-FR"/>
        </w:rPr>
        <w:t>’</w:t>
      </w:r>
      <w:r w:rsidRPr="00E76779">
        <w:rPr>
          <w:lang w:val="fr-FR"/>
        </w:rPr>
        <w:t>enquête ou à l</w:t>
      </w:r>
      <w:r w:rsidR="004C5E26">
        <w:rPr>
          <w:lang w:val="fr-FR"/>
        </w:rPr>
        <w:t>’</w:t>
      </w:r>
      <w:r w:rsidRPr="00E76779">
        <w:rPr>
          <w:lang w:val="fr-FR"/>
        </w:rPr>
        <w:t>établissement des faits</w:t>
      </w:r>
      <w:r w:rsidRPr="001B61C8">
        <w:rPr>
          <w:lang w:val="fr-FR"/>
        </w:rPr>
        <w:t>.</w:t>
      </w:r>
      <w:r w:rsidRPr="00E76779">
        <w:rPr>
          <w:lang w:val="fr-FR"/>
        </w:rPr>
        <w:t xml:space="preserve"> La pratique de l</w:t>
      </w:r>
      <w:r w:rsidR="004C5E26">
        <w:rPr>
          <w:lang w:val="fr-FR"/>
        </w:rPr>
        <w:t>’</w:t>
      </w:r>
      <w:r w:rsidRPr="00E76779">
        <w:rPr>
          <w:lang w:val="fr-FR"/>
        </w:rPr>
        <w:t>arbitrage comme moyen de règlement des différends internationaux auxquels des organisations internationales étaient parties était également limitée, principalement parce que l</w:t>
      </w:r>
      <w:r w:rsidR="004C5E26">
        <w:rPr>
          <w:lang w:val="fr-FR"/>
        </w:rPr>
        <w:t>’</w:t>
      </w:r>
      <w:r w:rsidRPr="00E76779">
        <w:rPr>
          <w:lang w:val="fr-FR"/>
        </w:rPr>
        <w:t>arbitrage n</w:t>
      </w:r>
      <w:r w:rsidR="004C5E26">
        <w:rPr>
          <w:lang w:val="fr-FR"/>
        </w:rPr>
        <w:t>’</w:t>
      </w:r>
      <w:r w:rsidRPr="00E76779">
        <w:rPr>
          <w:lang w:val="fr-FR"/>
        </w:rPr>
        <w:t xml:space="preserve">était expressément prévu que dans un nombre limité de traités et que les organisations </w:t>
      </w:r>
      <w:r>
        <w:rPr>
          <w:lang w:val="fr-FR"/>
        </w:rPr>
        <w:t xml:space="preserve">internationales </w:t>
      </w:r>
      <w:r w:rsidRPr="00E76779">
        <w:rPr>
          <w:lang w:val="fr-FR"/>
        </w:rPr>
        <w:t>et autres parties semblaient réticentes à engager une procédure d</w:t>
      </w:r>
      <w:r w:rsidR="004C5E26">
        <w:rPr>
          <w:lang w:val="fr-FR"/>
        </w:rPr>
        <w:t>’</w:t>
      </w:r>
      <w:r w:rsidRPr="00E76779">
        <w:rPr>
          <w:lang w:val="fr-FR"/>
        </w:rPr>
        <w:t>arbitrage</w:t>
      </w:r>
      <w:r w:rsidRPr="001B61C8">
        <w:rPr>
          <w:lang w:val="fr-FR"/>
        </w:rPr>
        <w:t>.</w:t>
      </w:r>
      <w:r w:rsidRPr="00E76779">
        <w:rPr>
          <w:lang w:val="fr-FR"/>
        </w:rPr>
        <w:t xml:space="preserve"> En ce qui concerne le règlement judiciaire des différends, diverses juridictions internationales </w:t>
      </w:r>
      <w:r>
        <w:rPr>
          <w:lang w:val="fr-FR"/>
        </w:rPr>
        <w:t>avaie</w:t>
      </w:r>
      <w:r w:rsidRPr="00E76779">
        <w:rPr>
          <w:lang w:val="fr-FR"/>
        </w:rPr>
        <w:t>nt joué un rôle important dans le règlement de différends internationaux auxquels des organisations internationales étaient parties, en particulier en rendant des avis consultatifs et en permettant le règlement judiciaire de différends entre des organisations régionales d</w:t>
      </w:r>
      <w:r w:rsidR="004C5E26">
        <w:rPr>
          <w:lang w:val="fr-FR"/>
        </w:rPr>
        <w:t>’</w:t>
      </w:r>
      <w:r w:rsidRPr="00E76779">
        <w:rPr>
          <w:lang w:val="fr-FR"/>
        </w:rPr>
        <w:t>intégration économique et leurs membres</w:t>
      </w:r>
      <w:r w:rsidRPr="001B61C8">
        <w:rPr>
          <w:lang w:val="fr-FR"/>
        </w:rPr>
        <w:t>.</w:t>
      </w:r>
      <w:r w:rsidRPr="00E76779">
        <w:rPr>
          <w:lang w:val="fr-FR"/>
        </w:rPr>
        <w:t xml:space="preserve"> Le deuxième rapport abordait également des principes ancrés dans l</w:t>
      </w:r>
      <w:r w:rsidR="004C5E26">
        <w:rPr>
          <w:lang w:val="fr-FR"/>
        </w:rPr>
        <w:t>’</w:t>
      </w:r>
      <w:r w:rsidRPr="00E76779">
        <w:rPr>
          <w:lang w:val="fr-FR"/>
        </w:rPr>
        <w:t xml:space="preserve">état de </w:t>
      </w:r>
      <w:r w:rsidRPr="00E25AB0">
        <w:rPr>
          <w:lang w:val="fr-FR"/>
        </w:rPr>
        <w:t>droit, telle que</w:t>
      </w:r>
      <w:r w:rsidRPr="00E76779">
        <w:rPr>
          <w:lang w:val="fr-FR"/>
        </w:rPr>
        <w:t xml:space="preserve"> la notion s</w:t>
      </w:r>
      <w:r w:rsidR="004C5E26">
        <w:rPr>
          <w:lang w:val="fr-FR"/>
        </w:rPr>
        <w:t>’</w:t>
      </w:r>
      <w:r w:rsidRPr="00E76779">
        <w:rPr>
          <w:lang w:val="fr-FR"/>
        </w:rPr>
        <w:t>entend</w:t>
      </w:r>
      <w:r>
        <w:rPr>
          <w:lang w:val="fr-FR"/>
        </w:rPr>
        <w:t>ait</w:t>
      </w:r>
      <w:r w:rsidRPr="00E76779">
        <w:rPr>
          <w:lang w:val="fr-FR"/>
        </w:rPr>
        <w:t xml:space="preserve"> au niveau international, notamment trois aspects particuliers</w:t>
      </w:r>
      <w:r>
        <w:rPr>
          <w:lang w:val="fr-FR"/>
        </w:rPr>
        <w:t> </w:t>
      </w:r>
      <w:r w:rsidRPr="00E76779">
        <w:rPr>
          <w:lang w:val="fr-FR"/>
        </w:rPr>
        <w:t>: l</w:t>
      </w:r>
      <w:r w:rsidR="004C5E26">
        <w:rPr>
          <w:lang w:val="fr-FR"/>
        </w:rPr>
        <w:t>’</w:t>
      </w:r>
      <w:r w:rsidRPr="00E76779">
        <w:rPr>
          <w:lang w:val="fr-FR"/>
        </w:rPr>
        <w:t>accès au règlement des différends ; l</w:t>
      </w:r>
      <w:r w:rsidR="004C5E26">
        <w:rPr>
          <w:lang w:val="fr-FR"/>
        </w:rPr>
        <w:t>’</w:t>
      </w:r>
      <w:r w:rsidRPr="00E76779">
        <w:rPr>
          <w:lang w:val="fr-FR"/>
        </w:rPr>
        <w:t>indépendance et l</w:t>
      </w:r>
      <w:r w:rsidR="004C5E26">
        <w:rPr>
          <w:lang w:val="fr-FR"/>
        </w:rPr>
        <w:t>’</w:t>
      </w:r>
      <w:r w:rsidRPr="00E76779">
        <w:rPr>
          <w:lang w:val="fr-FR"/>
        </w:rPr>
        <w:t>impartialité des juges et des arbitres ; une procédure régulière ou un procès équitable</w:t>
      </w:r>
      <w:r w:rsidRPr="001B61C8">
        <w:rPr>
          <w:lang w:val="fr-FR"/>
        </w:rPr>
        <w:t>.</w:t>
      </w:r>
      <w:r w:rsidRPr="00E76779">
        <w:rPr>
          <w:lang w:val="fr-FR"/>
        </w:rPr>
        <w:t xml:space="preserve"> Le Rapporteur spécial expliquait également que dans son troisième rapport, en 2025, il analyserait la pratique concernant le règlement des différends non internationaux auxquels des organisations internationales étaient parties</w:t>
      </w:r>
      <w:r w:rsidRPr="001B61C8">
        <w:rPr>
          <w:lang w:val="fr-FR"/>
        </w:rPr>
        <w:t>.</w:t>
      </w:r>
      <w:r w:rsidRPr="00E76779">
        <w:rPr>
          <w:lang w:val="fr-FR"/>
        </w:rPr>
        <w:t xml:space="preserve"> On pourrait ainsi conclure l</w:t>
      </w:r>
      <w:r w:rsidR="004C5E26">
        <w:rPr>
          <w:lang w:val="fr-FR"/>
        </w:rPr>
        <w:t>’</w:t>
      </w:r>
      <w:r w:rsidRPr="00E76779">
        <w:rPr>
          <w:lang w:val="fr-FR"/>
        </w:rPr>
        <w:t>examen du sujet en première lecture, et la seconde lecture aurait lieu sur la base des commentaires des États, en</w:t>
      </w:r>
      <w:r>
        <w:rPr>
          <w:lang w:val="fr-FR"/>
        </w:rPr>
        <w:t> </w:t>
      </w:r>
      <w:r w:rsidRPr="00E76779">
        <w:rPr>
          <w:lang w:val="fr-FR"/>
        </w:rPr>
        <w:t>2027</w:t>
      </w:r>
      <w:r w:rsidRPr="001B61C8">
        <w:rPr>
          <w:lang w:val="fr-FR"/>
        </w:rPr>
        <w:t>.</w:t>
      </w:r>
    </w:p>
    <w:p w14:paraId="314433D2" w14:textId="73A72CF4" w:rsidR="00C324CF" w:rsidRPr="00E76779" w:rsidRDefault="00C324CF" w:rsidP="00C324CF">
      <w:pPr>
        <w:pStyle w:val="SingleTxtG"/>
      </w:pPr>
      <w:r>
        <w:t>17</w:t>
      </w:r>
      <w:r w:rsidRPr="001B61C8">
        <w:t>.</w:t>
      </w:r>
      <w:r w:rsidRPr="00E76779">
        <w:tab/>
      </w:r>
      <w:r w:rsidRPr="00E76779">
        <w:rPr>
          <w:lang w:val="fr-FR"/>
        </w:rPr>
        <w:t>Le Rapporteur spécial avait proposé quatre projets de directive sur le sujet</w:t>
      </w:r>
      <w:r w:rsidRPr="001B61C8">
        <w:rPr>
          <w:lang w:val="fr-FR"/>
        </w:rPr>
        <w:t>.</w:t>
      </w:r>
      <w:r w:rsidRPr="00E76779">
        <w:rPr>
          <w:lang w:val="fr-FR"/>
        </w:rPr>
        <w:t xml:space="preserve"> Le projet de directive 3 énonçait ce qu</w:t>
      </w:r>
      <w:r w:rsidR="004C5E26">
        <w:rPr>
          <w:lang w:val="fr-FR"/>
        </w:rPr>
        <w:t>’</w:t>
      </w:r>
      <w:r w:rsidRPr="00E76779">
        <w:rPr>
          <w:lang w:val="fr-FR"/>
        </w:rPr>
        <w:t xml:space="preserve">il fallait entendre par </w:t>
      </w:r>
      <w:r>
        <w:rPr>
          <w:lang w:val="fr-FR"/>
        </w:rPr>
        <w:t>« </w:t>
      </w:r>
      <w:r w:rsidRPr="00E76779">
        <w:rPr>
          <w:lang w:val="fr-FR"/>
        </w:rPr>
        <w:t>différends internationaux</w:t>
      </w:r>
      <w:r>
        <w:rPr>
          <w:lang w:val="fr-FR"/>
        </w:rPr>
        <w:t> »</w:t>
      </w:r>
      <w:r w:rsidRPr="00E76779">
        <w:rPr>
          <w:lang w:val="fr-FR"/>
        </w:rPr>
        <w:t xml:space="preserve"> et le projet de directive 4 portait sur la pratique du règlement des différends auxquels des organisations internationales étaient parties</w:t>
      </w:r>
      <w:r w:rsidRPr="001B61C8">
        <w:rPr>
          <w:lang w:val="fr-FR"/>
        </w:rPr>
        <w:t>.</w:t>
      </w:r>
      <w:r w:rsidRPr="00E76779">
        <w:rPr>
          <w:lang w:val="fr-FR"/>
        </w:rPr>
        <w:t xml:space="preserve"> Les projets de directives 5 et 6 portaient sur les considérations de principe et les recommandations formulées dans le deuxième rapport</w:t>
      </w:r>
      <w:r w:rsidRPr="001B61C8">
        <w:rPr>
          <w:lang w:val="fr-FR"/>
        </w:rPr>
        <w:t>.</w:t>
      </w:r>
    </w:p>
    <w:p w14:paraId="2084C0A1" w14:textId="4B36EAA3" w:rsidR="00C324CF" w:rsidRPr="00E76779" w:rsidRDefault="00C324CF" w:rsidP="00C324CF">
      <w:pPr>
        <w:pStyle w:val="SingleTxtG"/>
      </w:pPr>
      <w:r>
        <w:t>18</w:t>
      </w:r>
      <w:r w:rsidRPr="001B61C8">
        <w:t>.</w:t>
      </w:r>
      <w:r w:rsidRPr="00E76779">
        <w:tab/>
      </w:r>
      <w:r w:rsidRPr="00E76779">
        <w:rPr>
          <w:lang w:val="fr-FR"/>
        </w:rPr>
        <w:t>Des membres de la Commission ont salué l</w:t>
      </w:r>
      <w:r w:rsidR="004C5E26">
        <w:rPr>
          <w:lang w:val="fr-FR"/>
        </w:rPr>
        <w:t>’</w:t>
      </w:r>
      <w:r w:rsidRPr="00E76779">
        <w:rPr>
          <w:lang w:val="fr-FR"/>
        </w:rPr>
        <w:t>analyse fouillée et très complète de la pratique en matière de règlement des différends contenue dans le deuxième rapport du Rapporteur spécial</w:t>
      </w:r>
      <w:r w:rsidRPr="001B61C8">
        <w:rPr>
          <w:lang w:val="fr-FR"/>
        </w:rPr>
        <w:t>.</w:t>
      </w:r>
      <w:r w:rsidRPr="00E76779">
        <w:rPr>
          <w:lang w:val="fr-FR"/>
        </w:rPr>
        <w:t xml:space="preserve"> Des membres ont relevé qu</w:t>
      </w:r>
      <w:r w:rsidR="004C5E26">
        <w:rPr>
          <w:lang w:val="fr-FR"/>
        </w:rPr>
        <w:t>’</w:t>
      </w:r>
      <w:r w:rsidRPr="00E76779">
        <w:rPr>
          <w:lang w:val="fr-FR"/>
        </w:rPr>
        <w:t>il était difficile de faire la distinction entre les différends internationaux et non internationaux</w:t>
      </w:r>
      <w:r w:rsidRPr="001B61C8">
        <w:rPr>
          <w:lang w:val="fr-FR"/>
        </w:rPr>
        <w:t>.</w:t>
      </w:r>
      <w:r w:rsidRPr="00E76779">
        <w:rPr>
          <w:lang w:val="fr-FR"/>
        </w:rPr>
        <w:t xml:space="preserve"> Les avis ont divergé sur la question de savoir si la distinction devait être établie sur la base des parties au différend, ou du droit </w:t>
      </w:r>
      <w:r w:rsidRPr="00E76779">
        <w:rPr>
          <w:lang w:val="fr-FR"/>
        </w:rPr>
        <w:lastRenderedPageBreak/>
        <w:t>applicable, ou des deux</w:t>
      </w:r>
      <w:r w:rsidRPr="001B61C8">
        <w:rPr>
          <w:lang w:val="fr-FR"/>
        </w:rPr>
        <w:t>.</w:t>
      </w:r>
      <w:r w:rsidRPr="00E76779">
        <w:rPr>
          <w:lang w:val="fr-FR"/>
        </w:rPr>
        <w:t xml:space="preserve"> Observant la pratique des organisations internationales en matière de règlement des différends, des membres ont dit préférer un</w:t>
      </w:r>
      <w:r>
        <w:rPr>
          <w:lang w:val="fr-FR"/>
        </w:rPr>
        <w:t xml:space="preserve"> projet d</w:t>
      </w:r>
      <w:r w:rsidRPr="00E76779">
        <w:rPr>
          <w:lang w:val="fr-FR"/>
        </w:rPr>
        <w:t>e directive ayant un contenu normatif à une description de cette pratique</w:t>
      </w:r>
      <w:r w:rsidRPr="001B61C8">
        <w:rPr>
          <w:lang w:val="fr-FR"/>
        </w:rPr>
        <w:t>.</w:t>
      </w:r>
      <w:r w:rsidRPr="00E76779">
        <w:rPr>
          <w:lang w:val="fr-FR"/>
        </w:rPr>
        <w:t xml:space="preserve"> Il a été fait observer que</w:t>
      </w:r>
      <w:r>
        <w:rPr>
          <w:lang w:val="fr-FR"/>
        </w:rPr>
        <w:t>, telle que proposée par le Rapporteur spécial,</w:t>
      </w:r>
      <w:r w:rsidRPr="00E76779">
        <w:rPr>
          <w:lang w:val="fr-FR"/>
        </w:rPr>
        <w:t xml:space="preserve"> la description de la pratique en matière de règlement des différends semblait faire apparaître une certaine hiérarchie entre les moyens de règlement des différends, l</w:t>
      </w:r>
      <w:r w:rsidR="004C5E26">
        <w:rPr>
          <w:lang w:val="fr-FR"/>
        </w:rPr>
        <w:t>’</w:t>
      </w:r>
      <w:r w:rsidRPr="00E76779">
        <w:rPr>
          <w:lang w:val="fr-FR"/>
        </w:rPr>
        <w:t>accent étant mis sur les moyens juridictionnels de règlement des différends</w:t>
      </w:r>
      <w:r w:rsidRPr="001B61C8">
        <w:rPr>
          <w:lang w:val="fr-FR"/>
        </w:rPr>
        <w:t>.</w:t>
      </w:r>
      <w:r w:rsidRPr="00E76779">
        <w:rPr>
          <w:lang w:val="fr-FR"/>
        </w:rPr>
        <w:t xml:space="preserve"> Des membres ont estimé que des considérations pratiques telles que le coût, la rapidité et la préservation de relations semblaient souvent rendre l</w:t>
      </w:r>
      <w:r w:rsidR="004C5E26">
        <w:rPr>
          <w:lang w:val="fr-FR"/>
        </w:rPr>
        <w:t>’</w:t>
      </w:r>
      <w:r w:rsidRPr="00E76779">
        <w:rPr>
          <w:lang w:val="fr-FR"/>
        </w:rPr>
        <w:t>arbitrage ou le règlement judiciaire moins attrayants que les moyens non juridictionnels</w:t>
      </w:r>
      <w:r w:rsidRPr="001B61C8">
        <w:rPr>
          <w:lang w:val="fr-FR"/>
        </w:rPr>
        <w:t>.</w:t>
      </w:r>
      <w:r w:rsidRPr="00E76779">
        <w:rPr>
          <w:lang w:val="fr-FR"/>
        </w:rPr>
        <w:t xml:space="preserve"> De même, des membres se sont demandé s</w:t>
      </w:r>
      <w:r w:rsidR="004C5E26">
        <w:rPr>
          <w:lang w:val="fr-FR"/>
        </w:rPr>
        <w:t>’</w:t>
      </w:r>
      <w:r w:rsidRPr="00E76779">
        <w:rPr>
          <w:lang w:val="fr-FR"/>
        </w:rPr>
        <w:t>il était vraiment souhaitable de recommander un recours accru à l</w:t>
      </w:r>
      <w:r w:rsidR="004C5E26">
        <w:rPr>
          <w:lang w:val="fr-FR"/>
        </w:rPr>
        <w:t>’</w:t>
      </w:r>
      <w:r w:rsidRPr="00E76779">
        <w:rPr>
          <w:lang w:val="fr-FR"/>
        </w:rPr>
        <w:t>arbitrage et au règlement judiciaire des différends, plutôt que de rendre ces moyens plus largement accessibles</w:t>
      </w:r>
      <w:r w:rsidRPr="001B61C8">
        <w:rPr>
          <w:lang w:val="fr-FR"/>
        </w:rPr>
        <w:t>.</w:t>
      </w:r>
      <w:r w:rsidRPr="00E76779">
        <w:rPr>
          <w:lang w:val="fr-FR"/>
        </w:rPr>
        <w:t xml:space="preserve"> Il a été souligné que selon le type de différend, di</w:t>
      </w:r>
      <w:r>
        <w:rPr>
          <w:lang w:val="fr-FR"/>
        </w:rPr>
        <w:t>ver</w:t>
      </w:r>
      <w:r w:rsidRPr="00E76779">
        <w:rPr>
          <w:lang w:val="fr-FR"/>
        </w:rPr>
        <w:t>s modes de règlement des différends pouvaient être appropriés aux circonstances</w:t>
      </w:r>
      <w:r w:rsidRPr="001B61C8">
        <w:rPr>
          <w:lang w:val="fr-FR"/>
        </w:rPr>
        <w:t>.</w:t>
      </w:r>
      <w:r w:rsidRPr="00E76779">
        <w:rPr>
          <w:lang w:val="fr-FR"/>
        </w:rPr>
        <w:t xml:space="preserve"> Des membres ont approuvé la recommandation élémentaire selon laquelle les modes juridictionnels de règlement des différends devaient satisfaire aux exigences de l</w:t>
      </w:r>
      <w:r w:rsidR="004C5E26">
        <w:rPr>
          <w:lang w:val="fr-FR"/>
        </w:rPr>
        <w:t>’</w:t>
      </w:r>
      <w:r w:rsidRPr="00E76779">
        <w:rPr>
          <w:lang w:val="fr-FR"/>
        </w:rPr>
        <w:t>état de droit, mais les avis ont divergé sur la meilleure façon de l</w:t>
      </w:r>
      <w:r w:rsidR="004C5E26">
        <w:rPr>
          <w:lang w:val="fr-FR"/>
        </w:rPr>
        <w:t>’</w:t>
      </w:r>
      <w:r w:rsidRPr="00E76779">
        <w:rPr>
          <w:lang w:val="fr-FR"/>
        </w:rPr>
        <w:t>exprimer</w:t>
      </w:r>
      <w:r w:rsidRPr="001B61C8">
        <w:rPr>
          <w:lang w:val="fr-FR"/>
        </w:rPr>
        <w:t>.</w:t>
      </w:r>
      <w:r w:rsidRPr="00E76779">
        <w:rPr>
          <w:lang w:val="fr-FR"/>
        </w:rPr>
        <w:t xml:space="preserve"> Des membres ont également dit apprécier la </w:t>
      </w:r>
      <w:r>
        <w:rPr>
          <w:lang w:val="fr-FR"/>
        </w:rPr>
        <w:t>« </w:t>
      </w:r>
      <w:r w:rsidRPr="00E76779">
        <w:rPr>
          <w:lang w:val="fr-FR"/>
        </w:rPr>
        <w:t>feuille de route</w:t>
      </w:r>
      <w:r>
        <w:rPr>
          <w:lang w:val="fr-FR"/>
        </w:rPr>
        <w:t> »</w:t>
      </w:r>
      <w:r w:rsidRPr="00E76779">
        <w:rPr>
          <w:lang w:val="fr-FR"/>
        </w:rPr>
        <w:t xml:space="preserve"> présentée par le Rapporteur spécial pour le sujet, bien que certains l</w:t>
      </w:r>
      <w:r w:rsidR="004C5E26">
        <w:rPr>
          <w:lang w:val="fr-FR"/>
        </w:rPr>
        <w:t>’</w:t>
      </w:r>
      <w:r w:rsidRPr="00E76779">
        <w:rPr>
          <w:lang w:val="fr-FR"/>
        </w:rPr>
        <w:t>aient jugée assez ambitieuse</w:t>
      </w:r>
      <w:r w:rsidRPr="001B61C8">
        <w:rPr>
          <w:lang w:val="fr-FR"/>
        </w:rPr>
        <w:t>.</w:t>
      </w:r>
    </w:p>
    <w:p w14:paraId="1FDEA2F4" w14:textId="0A46D625" w:rsidR="00C324CF" w:rsidRDefault="00C324CF" w:rsidP="00C324CF">
      <w:pPr>
        <w:pStyle w:val="SingleTxtG"/>
      </w:pPr>
      <w:r>
        <w:t>19</w:t>
      </w:r>
      <w:r w:rsidRPr="001B61C8">
        <w:t>.</w:t>
      </w:r>
      <w:r w:rsidRPr="00E76779">
        <w:tab/>
      </w:r>
      <w:r w:rsidRPr="00E76779">
        <w:rPr>
          <w:lang w:val="fr-FR"/>
        </w:rPr>
        <w:t>À l</w:t>
      </w:r>
      <w:r w:rsidR="004C5E26">
        <w:rPr>
          <w:lang w:val="fr-FR"/>
        </w:rPr>
        <w:t>’</w:t>
      </w:r>
      <w:r w:rsidRPr="00E76779">
        <w:rPr>
          <w:lang w:val="fr-FR"/>
        </w:rPr>
        <w:t>issue du débat en plénière, compte tenu des commentaires et observations qui avaient été formulés, la Commission a décidé de renvoyer au Comité de rédaction les projets de directives</w:t>
      </w:r>
      <w:r>
        <w:rPr>
          <w:lang w:val="fr-FR"/>
        </w:rPr>
        <w:t> </w:t>
      </w:r>
      <w:r w:rsidRPr="00E76779">
        <w:rPr>
          <w:lang w:val="fr-FR"/>
        </w:rPr>
        <w:t>3, 4, 5 et 6, tels que proposés dans le deuxième rapport</w:t>
      </w:r>
      <w:r w:rsidRPr="001B61C8">
        <w:rPr>
          <w:lang w:val="fr-FR"/>
        </w:rPr>
        <w:t>.</w:t>
      </w:r>
      <w:r w:rsidRPr="00E76779">
        <w:rPr>
          <w:lang w:val="fr-FR"/>
        </w:rPr>
        <w:t xml:space="preserve"> Le projet de directive</w:t>
      </w:r>
      <w:r>
        <w:rPr>
          <w:lang w:val="fr-FR"/>
        </w:rPr>
        <w:t> </w:t>
      </w:r>
      <w:r w:rsidRPr="00E76779">
        <w:rPr>
          <w:lang w:val="fr-FR"/>
        </w:rPr>
        <w:t>3 a fait l</w:t>
      </w:r>
      <w:r w:rsidR="004C5E26">
        <w:rPr>
          <w:lang w:val="fr-FR"/>
        </w:rPr>
        <w:t>’</w:t>
      </w:r>
      <w:r w:rsidRPr="00E76779">
        <w:rPr>
          <w:lang w:val="fr-FR"/>
        </w:rPr>
        <w:t>objet d</w:t>
      </w:r>
      <w:r w:rsidR="004C5E26">
        <w:rPr>
          <w:lang w:val="fr-FR"/>
        </w:rPr>
        <w:t>’</w:t>
      </w:r>
      <w:r w:rsidRPr="00E76779">
        <w:rPr>
          <w:lang w:val="fr-FR"/>
        </w:rPr>
        <w:t>un débat long et approfondi au sein du Comité de rédaction, qui a porté sur l</w:t>
      </w:r>
      <w:r w:rsidR="004C5E26">
        <w:rPr>
          <w:lang w:val="fr-FR"/>
        </w:rPr>
        <w:t>’</w:t>
      </w:r>
      <w:r w:rsidRPr="00E76779">
        <w:rPr>
          <w:lang w:val="fr-FR"/>
        </w:rPr>
        <w:t xml:space="preserve">emploi du terme </w:t>
      </w:r>
      <w:r>
        <w:rPr>
          <w:lang w:val="fr-FR"/>
        </w:rPr>
        <w:t>« </w:t>
      </w:r>
      <w:r w:rsidRPr="00E76779">
        <w:rPr>
          <w:lang w:val="fr-FR"/>
        </w:rPr>
        <w:t>différends internationaux</w:t>
      </w:r>
      <w:r>
        <w:rPr>
          <w:lang w:val="fr-FR"/>
        </w:rPr>
        <w:t> »</w:t>
      </w:r>
      <w:r w:rsidRPr="00E76779">
        <w:rPr>
          <w:lang w:val="fr-FR"/>
        </w:rPr>
        <w:t>, sur la question de savoir s</w:t>
      </w:r>
      <w:r w:rsidR="004C5E26">
        <w:rPr>
          <w:lang w:val="fr-FR"/>
        </w:rPr>
        <w:t>’</w:t>
      </w:r>
      <w:r w:rsidRPr="00E76779">
        <w:rPr>
          <w:lang w:val="fr-FR"/>
        </w:rPr>
        <w:t>il était approprié que le projet de directive contienne une référence aux parties au différend et au droit applicable, et sur l</w:t>
      </w:r>
      <w:r w:rsidR="004C5E26">
        <w:rPr>
          <w:lang w:val="fr-FR"/>
        </w:rPr>
        <w:t>’</w:t>
      </w:r>
      <w:r w:rsidRPr="00E76779">
        <w:rPr>
          <w:lang w:val="fr-FR"/>
        </w:rPr>
        <w:t>emploi de la formulation «</w:t>
      </w:r>
      <w:r>
        <w:rPr>
          <w:lang w:val="fr-FR"/>
        </w:rPr>
        <w:t> </w:t>
      </w:r>
      <w:r w:rsidRPr="00E76779">
        <w:rPr>
          <w:lang w:val="fr-FR"/>
        </w:rPr>
        <w:t>autres sujets de droit international</w:t>
      </w:r>
      <w:r>
        <w:rPr>
          <w:lang w:val="fr-FR"/>
        </w:rPr>
        <w:t> </w:t>
      </w:r>
      <w:r w:rsidRPr="00E76779">
        <w:rPr>
          <w:lang w:val="fr-FR"/>
        </w:rPr>
        <w:t>»</w:t>
      </w:r>
      <w:r w:rsidRPr="001B61C8">
        <w:rPr>
          <w:lang w:val="fr-FR"/>
        </w:rPr>
        <w:t>.</w:t>
      </w:r>
      <w:r w:rsidRPr="00E76779">
        <w:rPr>
          <w:lang w:val="fr-FR"/>
        </w:rPr>
        <w:t xml:space="preserve"> Le Comité de rédaction a décidé d</w:t>
      </w:r>
      <w:r w:rsidR="004C5E26">
        <w:rPr>
          <w:lang w:val="fr-FR"/>
        </w:rPr>
        <w:t>’</w:t>
      </w:r>
      <w:r w:rsidRPr="00E76779">
        <w:rPr>
          <w:lang w:val="fr-FR"/>
        </w:rPr>
        <w:t>agencer les projets de directive en différentes parties, le projet de directive 3 clarifiant le champ d</w:t>
      </w:r>
      <w:r w:rsidR="004C5E26">
        <w:rPr>
          <w:lang w:val="fr-FR"/>
        </w:rPr>
        <w:t>’</w:t>
      </w:r>
      <w:r w:rsidRPr="00E76779">
        <w:rPr>
          <w:lang w:val="fr-FR"/>
        </w:rPr>
        <w:t>application de la Deuxième partie</w:t>
      </w:r>
      <w:r w:rsidRPr="001B61C8">
        <w:rPr>
          <w:lang w:val="fr-FR"/>
        </w:rPr>
        <w:t>.</w:t>
      </w:r>
      <w:r w:rsidRPr="00E76779">
        <w:rPr>
          <w:lang w:val="fr-FR"/>
        </w:rPr>
        <w:t xml:space="preserve"> Le membre de phrase « survenant en droit international » a été supprimé par souci de clarté, étant entendu que le droit applicable aux différends visés par le projet de directive</w:t>
      </w:r>
      <w:r>
        <w:rPr>
          <w:lang w:val="fr-FR"/>
        </w:rPr>
        <w:t> </w:t>
      </w:r>
      <w:r w:rsidRPr="00E76779">
        <w:rPr>
          <w:lang w:val="fr-FR"/>
        </w:rPr>
        <w:t>3 serait expliqué dans les commentaires</w:t>
      </w:r>
      <w:r w:rsidRPr="001B61C8">
        <w:rPr>
          <w:lang w:val="fr-FR"/>
        </w:rPr>
        <w:t>.</w:t>
      </w:r>
      <w:r w:rsidRPr="00E76779">
        <w:rPr>
          <w:lang w:val="fr-FR"/>
        </w:rPr>
        <w:t xml:space="preserve"> Certains membres ont réservé leur position sur cette suppression</w:t>
      </w:r>
      <w:r w:rsidRPr="001B61C8">
        <w:rPr>
          <w:lang w:val="fr-FR"/>
        </w:rPr>
        <w:t>.</w:t>
      </w:r>
      <w:r w:rsidRPr="00E76779">
        <w:rPr>
          <w:lang w:val="fr-FR"/>
        </w:rPr>
        <w:t xml:space="preserve"> </w:t>
      </w:r>
      <w:r>
        <w:rPr>
          <w:lang w:val="fr-FR"/>
        </w:rPr>
        <w:t>Après un échange de vues</w:t>
      </w:r>
      <w:r w:rsidRPr="00E76779">
        <w:rPr>
          <w:lang w:val="fr-FR"/>
        </w:rPr>
        <w:t xml:space="preserve"> divergent</w:t>
      </w:r>
      <w:r>
        <w:rPr>
          <w:lang w:val="fr-FR"/>
        </w:rPr>
        <w:t>e</w:t>
      </w:r>
      <w:r w:rsidRPr="00E76779">
        <w:rPr>
          <w:lang w:val="fr-FR"/>
        </w:rPr>
        <w:t>s, la référence à « d</w:t>
      </w:r>
      <w:r w:rsidR="004C5E26">
        <w:rPr>
          <w:lang w:val="fr-FR"/>
        </w:rPr>
        <w:t>’</w:t>
      </w:r>
      <w:r w:rsidRPr="00E76779">
        <w:rPr>
          <w:lang w:val="fr-FR"/>
        </w:rPr>
        <w:t>autres sujets de droit international » a également été supprimée</w:t>
      </w:r>
      <w:r w:rsidRPr="001B61C8">
        <w:rPr>
          <w:lang w:val="fr-FR"/>
        </w:rPr>
        <w:t>.</w:t>
      </w:r>
      <w:r w:rsidRPr="00E76779">
        <w:rPr>
          <w:lang w:val="fr-FR"/>
        </w:rPr>
        <w:t xml:space="preserve"> Le Comité de rédaction a révisé les projets de directive</w:t>
      </w:r>
      <w:r>
        <w:rPr>
          <w:lang w:val="fr-FR"/>
        </w:rPr>
        <w:t>s 4 et 5</w:t>
      </w:r>
      <w:r w:rsidRPr="00E76779">
        <w:rPr>
          <w:lang w:val="fr-FR"/>
        </w:rPr>
        <w:t xml:space="preserve"> de manière à répondre aux préoccupations des membres, en particulier la perception d</w:t>
      </w:r>
      <w:r w:rsidR="004C5E26">
        <w:rPr>
          <w:lang w:val="fr-FR"/>
        </w:rPr>
        <w:t>’</w:t>
      </w:r>
      <w:r w:rsidRPr="00E76779">
        <w:rPr>
          <w:lang w:val="fr-FR"/>
        </w:rPr>
        <w:t>une hiérarchie entre moyens de règlement des différends</w:t>
      </w:r>
      <w:r w:rsidRPr="001B61C8">
        <w:rPr>
          <w:lang w:val="fr-FR"/>
        </w:rPr>
        <w:t>.</w:t>
      </w:r>
      <w:r w:rsidRPr="00E76779">
        <w:rPr>
          <w:lang w:val="fr-FR"/>
        </w:rPr>
        <w:t xml:space="preserve"> Il a également révisé le projet de directive</w:t>
      </w:r>
      <w:r w:rsidR="00CF26DB">
        <w:rPr>
          <w:lang w:val="fr-FR"/>
        </w:rPr>
        <w:t> </w:t>
      </w:r>
      <w:r w:rsidRPr="00E76779">
        <w:rPr>
          <w:lang w:val="fr-FR"/>
        </w:rPr>
        <w:t>6 afin de supprimer la référence expresse à l</w:t>
      </w:r>
      <w:r w:rsidR="004C5E26">
        <w:rPr>
          <w:lang w:val="fr-FR"/>
        </w:rPr>
        <w:t>’</w:t>
      </w:r>
      <w:r w:rsidRPr="00E76779">
        <w:rPr>
          <w:lang w:val="fr-FR"/>
        </w:rPr>
        <w:t>état de droit et de mettre l</w:t>
      </w:r>
      <w:r w:rsidR="004C5E26">
        <w:rPr>
          <w:lang w:val="fr-FR"/>
        </w:rPr>
        <w:t>’</w:t>
      </w:r>
      <w:r w:rsidRPr="00E76779">
        <w:rPr>
          <w:lang w:val="fr-FR"/>
        </w:rPr>
        <w:t xml:space="preserve">accent sur les garanties </w:t>
      </w:r>
      <w:r>
        <w:rPr>
          <w:lang w:val="fr-FR"/>
        </w:rPr>
        <w:t>juridictionnelles</w:t>
      </w:r>
      <w:r w:rsidRPr="00E76779">
        <w:rPr>
          <w:lang w:val="fr-FR"/>
        </w:rPr>
        <w:t xml:space="preserve"> d</w:t>
      </w:r>
      <w:r w:rsidR="004C5E26">
        <w:rPr>
          <w:lang w:val="fr-FR"/>
        </w:rPr>
        <w:t>’</w:t>
      </w:r>
      <w:r w:rsidRPr="00E76779">
        <w:rPr>
          <w:lang w:val="fr-FR"/>
        </w:rPr>
        <w:t>indépendance, d</w:t>
      </w:r>
      <w:r w:rsidR="004C5E26">
        <w:rPr>
          <w:lang w:val="fr-FR"/>
        </w:rPr>
        <w:t>’</w:t>
      </w:r>
      <w:r w:rsidRPr="00E76779">
        <w:rPr>
          <w:lang w:val="fr-FR"/>
        </w:rPr>
        <w:t>impartialité et de régularité de la procédure</w:t>
      </w:r>
      <w:r w:rsidRPr="001B61C8">
        <w:rPr>
          <w:lang w:val="fr-FR"/>
        </w:rPr>
        <w:t>.</w:t>
      </w:r>
      <w:r w:rsidRPr="00E76779">
        <w:rPr>
          <w:lang w:val="fr-FR"/>
        </w:rPr>
        <w:t xml:space="preserve"> Après avoir examiné le rapport du Comité de rédaction (</w:t>
      </w:r>
      <w:hyperlink r:id="rId30" w:history="1">
        <w:r w:rsidRPr="00C322F1">
          <w:rPr>
            <w:rStyle w:val="Lienhypertexte"/>
            <w:lang w:val="fr-FR"/>
          </w:rPr>
          <w:t>A/CN</w:t>
        </w:r>
        <w:r w:rsidRPr="001B61C8">
          <w:rPr>
            <w:rStyle w:val="Lienhypertexte"/>
            <w:lang w:val="fr-FR"/>
          </w:rPr>
          <w:t>.</w:t>
        </w:r>
        <w:r w:rsidRPr="00C322F1">
          <w:rPr>
            <w:rStyle w:val="Lienhypertexte"/>
            <w:lang w:val="fr-FR"/>
          </w:rPr>
          <w:t>4/L</w:t>
        </w:r>
        <w:r w:rsidRPr="001B61C8">
          <w:rPr>
            <w:rStyle w:val="Lienhypertexte"/>
            <w:lang w:val="fr-FR"/>
          </w:rPr>
          <w:t>.</w:t>
        </w:r>
        <w:r w:rsidRPr="00C322F1">
          <w:rPr>
            <w:rStyle w:val="Lienhypertexte"/>
            <w:lang w:val="fr-FR"/>
          </w:rPr>
          <w:t>998</w:t>
        </w:r>
      </w:hyperlink>
      <w:r w:rsidRPr="00E76779">
        <w:rPr>
          <w:lang w:val="fr-FR"/>
        </w:rPr>
        <w:t xml:space="preserve"> et </w:t>
      </w:r>
      <w:hyperlink r:id="rId31" w:history="1">
        <w:r w:rsidRPr="00C322F1">
          <w:rPr>
            <w:rStyle w:val="Lienhypertexte"/>
            <w:lang w:val="fr-FR"/>
          </w:rPr>
          <w:t>Add</w:t>
        </w:r>
        <w:r w:rsidRPr="001B61C8">
          <w:rPr>
            <w:rStyle w:val="Lienhypertexte"/>
            <w:lang w:val="fr-FR"/>
          </w:rPr>
          <w:t>.</w:t>
        </w:r>
        <w:r w:rsidRPr="00C322F1">
          <w:rPr>
            <w:rStyle w:val="Lienhypertexte"/>
            <w:lang w:val="fr-FR"/>
          </w:rPr>
          <w:t>1</w:t>
        </w:r>
      </w:hyperlink>
      <w:r w:rsidRPr="00E76779">
        <w:rPr>
          <w:lang w:val="fr-FR"/>
        </w:rPr>
        <w:t>), la Commission a provisoirement adopté les projets de directives</w:t>
      </w:r>
      <w:r>
        <w:rPr>
          <w:lang w:val="fr-FR"/>
        </w:rPr>
        <w:t> </w:t>
      </w:r>
      <w:r w:rsidRPr="00E76779">
        <w:rPr>
          <w:lang w:val="fr-FR"/>
        </w:rPr>
        <w:t>3, 4, 5 et 6 et les commentaires s</w:t>
      </w:r>
      <w:r w:rsidR="004C5E26">
        <w:rPr>
          <w:lang w:val="fr-FR"/>
        </w:rPr>
        <w:t>’</w:t>
      </w:r>
      <w:r w:rsidRPr="00E76779">
        <w:rPr>
          <w:lang w:val="fr-FR"/>
        </w:rPr>
        <w:t>y rapportant (chap</w:t>
      </w:r>
      <w:r w:rsidRPr="001B61C8">
        <w:rPr>
          <w:lang w:val="fr-FR"/>
        </w:rPr>
        <w:t>.</w:t>
      </w:r>
      <w:r>
        <w:rPr>
          <w:lang w:val="fr-FR"/>
        </w:rPr>
        <w:t> </w:t>
      </w:r>
      <w:r w:rsidRPr="00E76779">
        <w:rPr>
          <w:lang w:val="fr-FR"/>
        </w:rPr>
        <w:t>IV)</w:t>
      </w:r>
      <w:r w:rsidRPr="001B61C8">
        <w:rPr>
          <w:lang w:val="fr-FR"/>
        </w:rPr>
        <w:t>.</w:t>
      </w:r>
    </w:p>
    <w:p w14:paraId="3B1E228A" w14:textId="195077B4" w:rsidR="00C324CF" w:rsidRPr="00E76779" w:rsidRDefault="00C324CF" w:rsidP="00C324CF">
      <w:pPr>
        <w:pStyle w:val="SingleTxtG"/>
        <w:rPr>
          <w:lang w:val="fr-FR"/>
        </w:rPr>
      </w:pPr>
      <w:r>
        <w:rPr>
          <w:lang w:val="fr-FR"/>
        </w:rPr>
        <w:t>20</w:t>
      </w:r>
      <w:r w:rsidRPr="001B61C8">
        <w:rPr>
          <w:lang w:val="fr-FR"/>
        </w:rPr>
        <w:t>.</w:t>
      </w:r>
      <w:r w:rsidRPr="00E76779">
        <w:rPr>
          <w:lang w:val="fr-FR"/>
        </w:rPr>
        <w:tab/>
        <w:t>En ce qui concerne le sujet «</w:t>
      </w:r>
      <w:r w:rsidRPr="00E76779">
        <w:rPr>
          <w:b/>
          <w:bCs/>
          <w:lang w:val="fr-FR"/>
        </w:rPr>
        <w:t> Moyens auxiliaires de détermination des règles de droit international</w:t>
      </w:r>
      <w:r w:rsidRPr="00E76779">
        <w:rPr>
          <w:lang w:val="fr-FR"/>
        </w:rPr>
        <w:t> », la Commission était saisie du deuxième rapport du Rapporteur spécial (</w:t>
      </w:r>
      <w:hyperlink r:id="rId32" w:history="1">
        <w:r w:rsidRPr="00E76779">
          <w:rPr>
            <w:rStyle w:val="Lienhypertexte"/>
            <w:lang w:val="fr-FR"/>
          </w:rPr>
          <w:t>A/CN</w:t>
        </w:r>
        <w:r w:rsidRPr="001B61C8">
          <w:rPr>
            <w:rStyle w:val="Lienhypertexte"/>
            <w:lang w:val="fr-FR"/>
          </w:rPr>
          <w:t>.</w:t>
        </w:r>
        <w:r w:rsidRPr="00E76779">
          <w:rPr>
            <w:rStyle w:val="Lienhypertexte"/>
            <w:lang w:val="fr-FR"/>
          </w:rPr>
          <w:t>4/769</w:t>
        </w:r>
      </w:hyperlink>
      <w:r w:rsidRPr="00E76779">
        <w:rPr>
          <w:lang w:val="fr-FR"/>
        </w:rPr>
        <w:t>), dans lequel étaient examinés, entre autres, l</w:t>
      </w:r>
      <w:r w:rsidR="004C5E26">
        <w:rPr>
          <w:lang w:val="fr-FR"/>
        </w:rPr>
        <w:t>’</w:t>
      </w:r>
      <w:r w:rsidRPr="00E76779">
        <w:rPr>
          <w:lang w:val="fr-FR"/>
        </w:rPr>
        <w:t>état d</w:t>
      </w:r>
      <w:r w:rsidR="004C5E26">
        <w:rPr>
          <w:lang w:val="fr-FR"/>
        </w:rPr>
        <w:t>’</w:t>
      </w:r>
      <w:r w:rsidRPr="00E76779">
        <w:rPr>
          <w:lang w:val="fr-FR"/>
        </w:rPr>
        <w:t>avancement des travaux de la Commission sur le sujet et les vues exprimées par les États à la Sixième Commission ; la nature et la fonction des moyens auxiliaires et, en particulier, les décisions judiciaires en tant que moyens auxiliaires de détermination des règles de droit</w:t>
      </w:r>
      <w:r>
        <w:rPr>
          <w:lang w:val="fr-FR"/>
        </w:rPr>
        <w:t xml:space="preserve"> international </w:t>
      </w:r>
      <w:r w:rsidRPr="00E76779">
        <w:rPr>
          <w:lang w:val="fr-FR"/>
        </w:rPr>
        <w:t>; la nature générale du précédent dans les décisions des juridictions nationales et internationales, notamment le lien entre l</w:t>
      </w:r>
      <w:r w:rsidR="004C5E26">
        <w:rPr>
          <w:lang w:val="fr-FR"/>
        </w:rPr>
        <w:t>’</w:t>
      </w:r>
      <w:r w:rsidRPr="00E76779">
        <w:rPr>
          <w:lang w:val="fr-FR"/>
        </w:rPr>
        <w:t>alinéa</w:t>
      </w:r>
      <w:r>
        <w:rPr>
          <w:lang w:val="fr-FR"/>
        </w:rPr>
        <w:t> </w:t>
      </w:r>
      <w:r w:rsidRPr="00E76779">
        <w:rPr>
          <w:lang w:val="fr-FR"/>
        </w:rPr>
        <w:t>d) du paragraphe</w:t>
      </w:r>
      <w:r>
        <w:rPr>
          <w:lang w:val="fr-FR"/>
        </w:rPr>
        <w:t> </w:t>
      </w:r>
      <w:r w:rsidRPr="00E76779">
        <w:rPr>
          <w:lang w:val="fr-FR"/>
        </w:rPr>
        <w:t>1 de l</w:t>
      </w:r>
      <w:r w:rsidR="004C5E26">
        <w:rPr>
          <w:lang w:val="fr-FR"/>
        </w:rPr>
        <w:t>’</w:t>
      </w:r>
      <w:r w:rsidRPr="00E76779">
        <w:rPr>
          <w:lang w:val="fr-FR"/>
        </w:rPr>
        <w:t>Article</w:t>
      </w:r>
      <w:r>
        <w:rPr>
          <w:lang w:val="fr-FR"/>
        </w:rPr>
        <w:t> </w:t>
      </w:r>
      <w:r w:rsidRPr="00E76779">
        <w:rPr>
          <w:lang w:val="fr-FR"/>
        </w:rPr>
        <w:t>38 et l</w:t>
      </w:r>
      <w:r w:rsidR="004C5E26">
        <w:rPr>
          <w:lang w:val="fr-FR"/>
        </w:rPr>
        <w:t>’</w:t>
      </w:r>
      <w:r w:rsidRPr="00E76779">
        <w:rPr>
          <w:lang w:val="fr-FR"/>
        </w:rPr>
        <w:t>Article</w:t>
      </w:r>
      <w:r>
        <w:rPr>
          <w:lang w:val="fr-FR"/>
        </w:rPr>
        <w:t> </w:t>
      </w:r>
      <w:r w:rsidRPr="00E76779">
        <w:rPr>
          <w:lang w:val="fr-FR"/>
        </w:rPr>
        <w:t>59 du Statut de la Cour internationale de Justice</w:t>
      </w:r>
      <w:r>
        <w:rPr>
          <w:lang w:val="fr-FR"/>
        </w:rPr>
        <w:t> </w:t>
      </w:r>
      <w:r w:rsidRPr="00E76779">
        <w:rPr>
          <w:lang w:val="fr-FR"/>
        </w:rPr>
        <w:t>; et le programme de travail futur sur le sujet, qui prévoyait que la première lecture serait achevée à la soixante-seizième session (2025)</w:t>
      </w:r>
      <w:r w:rsidRPr="001B61C8">
        <w:rPr>
          <w:lang w:val="fr-FR"/>
        </w:rPr>
        <w:t>.</w:t>
      </w:r>
      <w:r w:rsidRPr="00E76779">
        <w:rPr>
          <w:lang w:val="fr-FR"/>
        </w:rPr>
        <w:t xml:space="preserve"> La Commission était également saisie de la deuxième étude du Secrétariat dans laquelle étaient recensés des exemples de décisions judiciaires et d</w:t>
      </w:r>
      <w:r w:rsidR="004C5E26">
        <w:rPr>
          <w:lang w:val="fr-FR"/>
        </w:rPr>
        <w:t>’</w:t>
      </w:r>
      <w:r w:rsidRPr="00E76779">
        <w:rPr>
          <w:lang w:val="fr-FR"/>
        </w:rPr>
        <w:t>autres éléments figurant dans la jurisprudence des juridictions internationales et d</w:t>
      </w:r>
      <w:r w:rsidR="004C5E26">
        <w:rPr>
          <w:lang w:val="fr-FR"/>
        </w:rPr>
        <w:t>’</w:t>
      </w:r>
      <w:r w:rsidRPr="00E76779">
        <w:rPr>
          <w:lang w:val="fr-FR"/>
        </w:rPr>
        <w:t>autres organes qui étaient susceptibles de l</w:t>
      </w:r>
      <w:r w:rsidR="004C5E26">
        <w:rPr>
          <w:lang w:val="fr-FR"/>
        </w:rPr>
        <w:t>’</w:t>
      </w:r>
      <w:r w:rsidRPr="00E76779">
        <w:rPr>
          <w:lang w:val="fr-FR"/>
        </w:rPr>
        <w:t>aider dans ses travaux futurs (</w:t>
      </w:r>
      <w:hyperlink r:id="rId33" w:history="1">
        <w:r w:rsidRPr="00E76779">
          <w:rPr>
            <w:rStyle w:val="Lienhypertexte"/>
            <w:lang w:val="fr-FR"/>
          </w:rPr>
          <w:t>A/CN</w:t>
        </w:r>
        <w:r w:rsidRPr="001B61C8">
          <w:rPr>
            <w:rStyle w:val="Lienhypertexte"/>
            <w:lang w:val="fr-FR"/>
          </w:rPr>
          <w:t>.</w:t>
        </w:r>
        <w:r w:rsidRPr="00E76779">
          <w:rPr>
            <w:rStyle w:val="Lienhypertexte"/>
            <w:lang w:val="fr-FR"/>
          </w:rPr>
          <w:t>4/765</w:t>
        </w:r>
      </w:hyperlink>
      <w:r w:rsidRPr="00E76779">
        <w:rPr>
          <w:lang w:val="fr-FR"/>
        </w:rPr>
        <w:t>)</w:t>
      </w:r>
      <w:r w:rsidRPr="001B61C8">
        <w:rPr>
          <w:lang w:val="fr-FR"/>
        </w:rPr>
        <w:t>.</w:t>
      </w:r>
    </w:p>
    <w:p w14:paraId="0E1FCEF2" w14:textId="3DB7CF84" w:rsidR="00C324CF" w:rsidRPr="00E76779" w:rsidRDefault="00C324CF" w:rsidP="00C324CF">
      <w:pPr>
        <w:pStyle w:val="SingleTxtG"/>
        <w:rPr>
          <w:lang w:val="fr-FR"/>
        </w:rPr>
      </w:pPr>
      <w:r>
        <w:rPr>
          <w:lang w:val="fr-FR"/>
        </w:rPr>
        <w:t>21</w:t>
      </w:r>
      <w:r w:rsidRPr="001B61C8">
        <w:rPr>
          <w:lang w:val="fr-FR"/>
        </w:rPr>
        <w:t>.</w:t>
      </w:r>
      <w:r w:rsidRPr="00E76779">
        <w:rPr>
          <w:lang w:val="fr-FR"/>
        </w:rPr>
        <w:tab/>
        <w:t>Dans son deuxième rapport, le Rapporteur spécial expliquait la nature et la fonction générale des moyens auxiliaire</w:t>
      </w:r>
      <w:r>
        <w:rPr>
          <w:lang w:val="fr-FR"/>
        </w:rPr>
        <w:t>s</w:t>
      </w:r>
      <w:r w:rsidRPr="00E76779">
        <w:rPr>
          <w:lang w:val="fr-FR"/>
        </w:rPr>
        <w:t>, rappelant qu</w:t>
      </w:r>
      <w:r w:rsidR="004C5E26">
        <w:rPr>
          <w:lang w:val="fr-FR"/>
        </w:rPr>
        <w:t>’</w:t>
      </w:r>
      <w:r w:rsidRPr="00E76779">
        <w:rPr>
          <w:lang w:val="fr-FR"/>
        </w:rPr>
        <w:t>ils étaient subordonnés aux sources du droit international</w:t>
      </w:r>
      <w:r w:rsidRPr="00E76779">
        <w:rPr>
          <w:lang w:val="fr-CA"/>
        </w:rPr>
        <w:t xml:space="preserve"> énumérées</w:t>
      </w:r>
      <w:r w:rsidRPr="00E76779">
        <w:rPr>
          <w:lang w:val="fr-FR"/>
        </w:rPr>
        <w:t xml:space="preserve"> aux alinéas</w:t>
      </w:r>
      <w:r>
        <w:rPr>
          <w:lang w:val="fr-FR"/>
        </w:rPr>
        <w:t> </w:t>
      </w:r>
      <w:r w:rsidRPr="00E76779">
        <w:rPr>
          <w:lang w:val="fr-FR"/>
        </w:rPr>
        <w:t>a) à c) du paragraphe</w:t>
      </w:r>
      <w:r>
        <w:rPr>
          <w:lang w:val="fr-FR"/>
        </w:rPr>
        <w:t> </w:t>
      </w:r>
      <w:r w:rsidRPr="00E76779">
        <w:rPr>
          <w:lang w:val="fr-FR"/>
        </w:rPr>
        <w:t>1 de l</w:t>
      </w:r>
      <w:r w:rsidR="004C5E26">
        <w:rPr>
          <w:lang w:val="fr-FR"/>
        </w:rPr>
        <w:t>’</w:t>
      </w:r>
      <w:r w:rsidRPr="00E76779">
        <w:rPr>
          <w:lang w:val="fr-FR"/>
        </w:rPr>
        <w:t>Article</w:t>
      </w:r>
      <w:r>
        <w:rPr>
          <w:lang w:val="fr-FR"/>
        </w:rPr>
        <w:t> </w:t>
      </w:r>
      <w:r w:rsidRPr="00E76779">
        <w:rPr>
          <w:lang w:val="fr-FR"/>
        </w:rPr>
        <w:t>38 du Statut de la Cour internationale de Justice</w:t>
      </w:r>
      <w:r w:rsidRPr="001B61C8">
        <w:rPr>
          <w:lang w:val="fr-FR"/>
        </w:rPr>
        <w:t>.</w:t>
      </w:r>
      <w:r w:rsidRPr="00E76779">
        <w:rPr>
          <w:lang w:val="fr-FR"/>
        </w:rPr>
        <w:t xml:space="preserve"> Les moyens auxiliaires jouaient un rôle d</w:t>
      </w:r>
      <w:r w:rsidR="004C5E26">
        <w:rPr>
          <w:lang w:val="fr-FR"/>
        </w:rPr>
        <w:t>’</w:t>
      </w:r>
      <w:r w:rsidRPr="00E76779">
        <w:rPr>
          <w:lang w:val="fr-FR"/>
        </w:rPr>
        <w:t>assistance vis-à-vis des sources du droit international</w:t>
      </w:r>
      <w:r w:rsidRPr="001B61C8">
        <w:rPr>
          <w:lang w:val="fr-FR"/>
        </w:rPr>
        <w:t>.</w:t>
      </w:r>
      <w:r w:rsidRPr="00E76779">
        <w:rPr>
          <w:lang w:val="fr-FR"/>
        </w:rPr>
        <w:t xml:space="preserve"> Cette idée était étayée par les travaux préparatoires de </w:t>
      </w:r>
      <w:r w:rsidRPr="00E76779">
        <w:rPr>
          <w:lang w:val="fr-FR"/>
        </w:rPr>
        <w:lastRenderedPageBreak/>
        <w:t>l</w:t>
      </w:r>
      <w:r w:rsidR="004C5E26">
        <w:rPr>
          <w:lang w:val="fr-FR"/>
        </w:rPr>
        <w:t>’</w:t>
      </w:r>
      <w:r w:rsidRPr="00E76779">
        <w:rPr>
          <w:lang w:val="fr-FR"/>
        </w:rPr>
        <w:t>alinéa</w:t>
      </w:r>
      <w:r>
        <w:rPr>
          <w:lang w:val="fr-FR"/>
        </w:rPr>
        <w:t> </w:t>
      </w:r>
      <w:r w:rsidRPr="00E76779">
        <w:rPr>
          <w:lang w:val="fr-FR"/>
        </w:rPr>
        <w:t>d) du paragraphe 1 de l</w:t>
      </w:r>
      <w:r w:rsidR="004C5E26">
        <w:rPr>
          <w:lang w:val="fr-FR"/>
        </w:rPr>
        <w:t>’</w:t>
      </w:r>
      <w:r w:rsidRPr="00E76779">
        <w:rPr>
          <w:lang w:val="fr-FR"/>
        </w:rPr>
        <w:t>Article</w:t>
      </w:r>
      <w:r>
        <w:rPr>
          <w:lang w:val="fr-FR"/>
        </w:rPr>
        <w:t> </w:t>
      </w:r>
      <w:r w:rsidRPr="00E76779">
        <w:rPr>
          <w:lang w:val="fr-FR"/>
        </w:rPr>
        <w:t>38 du Statut de la Cour internationale de Justice et confirmée par la pratique actuelle de la Cour internationale de Justice et d</w:t>
      </w:r>
      <w:r w:rsidR="004C5E26">
        <w:rPr>
          <w:lang w:val="fr-FR"/>
        </w:rPr>
        <w:t>’</w:t>
      </w:r>
      <w:r w:rsidRPr="00E76779">
        <w:rPr>
          <w:lang w:val="fr-FR"/>
        </w:rPr>
        <w:t>autres juridictions internationales, la pratique de certaines juridictions nationales et des travaux doctrinaux</w:t>
      </w:r>
      <w:r w:rsidRPr="001B61C8">
        <w:rPr>
          <w:lang w:val="fr-FR"/>
        </w:rPr>
        <w:t>.</w:t>
      </w:r>
      <w:r w:rsidRPr="00E76779">
        <w:rPr>
          <w:lang w:val="fr-FR"/>
        </w:rPr>
        <w:t xml:space="preserve"> Le Rapporteur spécial s</w:t>
      </w:r>
      <w:r w:rsidR="004C5E26">
        <w:rPr>
          <w:lang w:val="fr-FR"/>
        </w:rPr>
        <w:t>’</w:t>
      </w:r>
      <w:r w:rsidRPr="00E76779">
        <w:rPr>
          <w:lang w:val="fr-FR"/>
        </w:rPr>
        <w:t>intéressait en outre à la nature générale du précédent dans les décisions des juridictions nationales et internationales</w:t>
      </w:r>
      <w:r w:rsidRPr="001B61C8">
        <w:rPr>
          <w:lang w:val="fr-FR"/>
        </w:rPr>
        <w:t>.</w:t>
      </w:r>
      <w:r w:rsidRPr="00E76779">
        <w:rPr>
          <w:lang w:val="fr-FR"/>
        </w:rPr>
        <w:t xml:space="preserve"> Bien qu</w:t>
      </w:r>
      <w:r w:rsidR="004C5E26">
        <w:rPr>
          <w:lang w:val="fr-FR"/>
        </w:rPr>
        <w:t>’</w:t>
      </w:r>
      <w:r w:rsidRPr="00E76779">
        <w:rPr>
          <w:lang w:val="fr-FR"/>
        </w:rPr>
        <w:t>il n</w:t>
      </w:r>
      <w:r w:rsidR="004C5E26">
        <w:rPr>
          <w:lang w:val="fr-FR"/>
        </w:rPr>
        <w:t>’</w:t>
      </w:r>
      <w:r w:rsidRPr="00E76779">
        <w:rPr>
          <w:lang w:val="fr-FR"/>
        </w:rPr>
        <w:t>y ait pas en droit international de théorie ou de règle formelles du précédent au sens étroit du terme, la Cour internationale de Justice et d</w:t>
      </w:r>
      <w:r w:rsidR="004C5E26">
        <w:rPr>
          <w:lang w:val="fr-FR"/>
        </w:rPr>
        <w:t>’</w:t>
      </w:r>
      <w:r w:rsidRPr="00E76779">
        <w:rPr>
          <w:lang w:val="fr-FR"/>
        </w:rPr>
        <w:t>autres juridictions internationales suivaient les décisions et arrêts antérieurs lorsque, entre autres, il n</w:t>
      </w:r>
      <w:r w:rsidR="004C5E26">
        <w:rPr>
          <w:lang w:val="fr-FR"/>
        </w:rPr>
        <w:t>’</w:t>
      </w:r>
      <w:r w:rsidRPr="00E76779">
        <w:rPr>
          <w:lang w:val="fr-FR"/>
        </w:rPr>
        <w:t>y avait aucune raison de se départir d</w:t>
      </w:r>
      <w:r w:rsidR="004C5E26">
        <w:rPr>
          <w:lang w:val="fr-FR"/>
        </w:rPr>
        <w:t>’</w:t>
      </w:r>
      <w:r w:rsidRPr="00E76779">
        <w:rPr>
          <w:lang w:val="fr-FR"/>
        </w:rPr>
        <w:t>une argumentation juridique antérieure qui paraissait toujours bien fondée</w:t>
      </w:r>
      <w:r w:rsidRPr="001B61C8">
        <w:rPr>
          <w:lang w:val="fr-FR"/>
        </w:rPr>
        <w:t>.</w:t>
      </w:r>
      <w:r w:rsidRPr="00E76779">
        <w:rPr>
          <w:lang w:val="fr-FR"/>
        </w:rPr>
        <w:t xml:space="preserve"> À cet égard, le Rapporteur spécial examinait la relation entre l</w:t>
      </w:r>
      <w:r w:rsidR="004C5E26">
        <w:rPr>
          <w:lang w:val="fr-FR"/>
        </w:rPr>
        <w:t>’</w:t>
      </w:r>
      <w:r w:rsidRPr="00E76779">
        <w:rPr>
          <w:lang w:val="fr-FR"/>
        </w:rPr>
        <w:t>alinéa</w:t>
      </w:r>
      <w:r>
        <w:rPr>
          <w:lang w:val="fr-FR"/>
        </w:rPr>
        <w:t> </w:t>
      </w:r>
      <w:r w:rsidRPr="00E76779">
        <w:rPr>
          <w:lang w:val="fr-FR"/>
        </w:rPr>
        <w:t>d) du paragraphe</w:t>
      </w:r>
      <w:r>
        <w:rPr>
          <w:lang w:val="fr-FR"/>
        </w:rPr>
        <w:t> </w:t>
      </w:r>
      <w:r w:rsidRPr="00E76779">
        <w:rPr>
          <w:lang w:val="fr-FR"/>
        </w:rPr>
        <w:t>1 de l</w:t>
      </w:r>
      <w:r w:rsidR="004C5E26">
        <w:rPr>
          <w:lang w:val="fr-FR"/>
        </w:rPr>
        <w:t>’</w:t>
      </w:r>
      <w:r w:rsidRPr="00E76779">
        <w:rPr>
          <w:lang w:val="fr-FR"/>
        </w:rPr>
        <w:t>Article</w:t>
      </w:r>
      <w:r>
        <w:rPr>
          <w:lang w:val="fr-FR"/>
        </w:rPr>
        <w:t> </w:t>
      </w:r>
      <w:r w:rsidRPr="00E76779">
        <w:rPr>
          <w:lang w:val="fr-FR"/>
        </w:rPr>
        <w:t>38 et l</w:t>
      </w:r>
      <w:r w:rsidR="004C5E26">
        <w:rPr>
          <w:lang w:val="fr-FR"/>
        </w:rPr>
        <w:t>’</w:t>
      </w:r>
      <w:r w:rsidRPr="00E76779">
        <w:rPr>
          <w:lang w:val="fr-FR"/>
        </w:rPr>
        <w:t>Article 59 du Statut de la Cour internationale de Justice, le deuxième disposant que les décisions de la Cour n</w:t>
      </w:r>
      <w:r w:rsidR="004C5E26">
        <w:rPr>
          <w:lang w:val="fr-FR"/>
        </w:rPr>
        <w:t>’</w:t>
      </w:r>
      <w:r w:rsidRPr="00E76779">
        <w:rPr>
          <w:lang w:val="fr-FR"/>
        </w:rPr>
        <w:t>étaient obligatoires que pour les parties en litige et ayant vocation à nuancer le premier ; le lien entre les Articles</w:t>
      </w:r>
      <w:r>
        <w:rPr>
          <w:lang w:val="fr-FR"/>
        </w:rPr>
        <w:t> </w:t>
      </w:r>
      <w:r w:rsidRPr="00E76779">
        <w:rPr>
          <w:lang w:val="fr-FR"/>
        </w:rPr>
        <w:t>59 et</w:t>
      </w:r>
      <w:r>
        <w:rPr>
          <w:lang w:val="fr-FR"/>
        </w:rPr>
        <w:t xml:space="preserve"> </w:t>
      </w:r>
      <w:r w:rsidRPr="00E76779">
        <w:rPr>
          <w:lang w:val="fr-FR"/>
        </w:rPr>
        <w:t>61 ; et la pratique des juridictions, en particulier celle de la Cour internationale de Justice et du Tribunal international du droit de la mer</w:t>
      </w:r>
      <w:r w:rsidRPr="001B61C8">
        <w:rPr>
          <w:lang w:val="fr-FR"/>
        </w:rPr>
        <w:t>.</w:t>
      </w:r>
      <w:r w:rsidRPr="00E76779">
        <w:rPr>
          <w:lang w:val="fr-FR"/>
        </w:rPr>
        <w:t xml:space="preserve"> Il concluait que, bien qu</w:t>
      </w:r>
      <w:r w:rsidR="004C5E26">
        <w:rPr>
          <w:lang w:val="fr-FR"/>
        </w:rPr>
        <w:t>’</w:t>
      </w:r>
      <w:r w:rsidRPr="00E76779">
        <w:rPr>
          <w:lang w:val="fr-FR"/>
        </w:rPr>
        <w:t>il n</w:t>
      </w:r>
      <w:r w:rsidR="004C5E26">
        <w:rPr>
          <w:lang w:val="fr-FR"/>
        </w:rPr>
        <w:t>’</w:t>
      </w:r>
      <w:r w:rsidRPr="00E76779">
        <w:rPr>
          <w:lang w:val="fr-FR"/>
        </w:rPr>
        <w:t xml:space="preserve">y ait pas de règle du </w:t>
      </w:r>
      <w:proofErr w:type="spellStart"/>
      <w:r w:rsidRPr="00E76779">
        <w:rPr>
          <w:i/>
          <w:iCs/>
          <w:lang w:val="fr-FR"/>
        </w:rPr>
        <w:t>stare</w:t>
      </w:r>
      <w:proofErr w:type="spellEnd"/>
      <w:r w:rsidRPr="00E76779">
        <w:rPr>
          <w:i/>
          <w:iCs/>
          <w:lang w:val="fr-FR"/>
        </w:rPr>
        <w:t xml:space="preserve"> </w:t>
      </w:r>
      <w:proofErr w:type="spellStart"/>
      <w:r w:rsidRPr="00E76779">
        <w:rPr>
          <w:i/>
          <w:iCs/>
          <w:lang w:val="fr-FR"/>
        </w:rPr>
        <w:t>decisis</w:t>
      </w:r>
      <w:proofErr w:type="spellEnd"/>
      <w:r w:rsidRPr="00E76779">
        <w:rPr>
          <w:lang w:val="fr-FR"/>
        </w:rPr>
        <w:t xml:space="preserve"> en droit international, les effets juridiques des décisions étaient </w:t>
      </w:r>
      <w:r>
        <w:rPr>
          <w:lang w:val="fr-FR"/>
        </w:rPr>
        <w:t xml:space="preserve">sources de </w:t>
      </w:r>
      <w:r w:rsidRPr="00E76779">
        <w:rPr>
          <w:lang w:val="fr-FR"/>
        </w:rPr>
        <w:t>contrai</w:t>
      </w:r>
      <w:r>
        <w:rPr>
          <w:lang w:val="fr-FR"/>
        </w:rPr>
        <w:t>ntes,</w:t>
      </w:r>
      <w:r w:rsidRPr="00E76779">
        <w:rPr>
          <w:lang w:val="fr-FR"/>
        </w:rPr>
        <w:t xml:space="preserve"> non seulement </w:t>
      </w:r>
      <w:r>
        <w:rPr>
          <w:lang w:val="fr-FR"/>
        </w:rPr>
        <w:t>pour l</w:t>
      </w:r>
      <w:r w:rsidRPr="00E76779">
        <w:rPr>
          <w:lang w:val="fr-FR"/>
        </w:rPr>
        <w:t xml:space="preserve">es parties, mais aussi </w:t>
      </w:r>
      <w:r>
        <w:rPr>
          <w:lang w:val="fr-FR"/>
        </w:rPr>
        <w:t>pour l</w:t>
      </w:r>
      <w:r w:rsidRPr="00E76779">
        <w:rPr>
          <w:lang w:val="fr-FR"/>
        </w:rPr>
        <w:t>es tiers, en raison de la force des décisions de la Cour internationale de Justice, qui énonçaient des règles de droit international, et que les décisions antérieures étaient suivies pour des raisons de sécurité juridique et de prévisibilité et parce qu</w:t>
      </w:r>
      <w:r w:rsidR="004C5E26">
        <w:rPr>
          <w:lang w:val="fr-FR"/>
        </w:rPr>
        <w:t>’</w:t>
      </w:r>
      <w:r w:rsidRPr="00E76779">
        <w:rPr>
          <w:lang w:val="fr-FR"/>
        </w:rPr>
        <w:t>elles avaient une valeur persuasive et pratique en ce qu</w:t>
      </w:r>
      <w:r w:rsidR="004C5E26">
        <w:rPr>
          <w:lang w:val="fr-FR"/>
        </w:rPr>
        <w:t>’</w:t>
      </w:r>
      <w:r w:rsidRPr="00E76779">
        <w:rPr>
          <w:lang w:val="fr-FR"/>
        </w:rPr>
        <w:t>elles aidaient à régler de nouveaux différends</w:t>
      </w:r>
      <w:r w:rsidRPr="001B61C8">
        <w:rPr>
          <w:lang w:val="fr-FR"/>
        </w:rPr>
        <w:t>.</w:t>
      </w:r>
    </w:p>
    <w:p w14:paraId="7552BFFA" w14:textId="68160128" w:rsidR="00C324CF" w:rsidRPr="00E76779" w:rsidRDefault="00C324CF" w:rsidP="00C324CF">
      <w:pPr>
        <w:pStyle w:val="SingleTxtG"/>
        <w:rPr>
          <w:lang w:val="fr-FR"/>
        </w:rPr>
      </w:pPr>
      <w:r>
        <w:rPr>
          <w:lang w:val="fr-FR"/>
        </w:rPr>
        <w:t>22</w:t>
      </w:r>
      <w:r w:rsidRPr="001B61C8">
        <w:rPr>
          <w:lang w:val="fr-FR"/>
        </w:rPr>
        <w:t>.</w:t>
      </w:r>
      <w:r w:rsidRPr="00E76779">
        <w:rPr>
          <w:lang w:val="fr-FR"/>
        </w:rPr>
        <w:tab/>
        <w:t>Le Rapporteur spécial proposait trois projets de conclusion portant sur la nature et la fonction des moyens auxiliaires</w:t>
      </w:r>
      <w:r>
        <w:rPr>
          <w:lang w:val="fr-FR"/>
        </w:rPr>
        <w:t xml:space="preserve"> (projet de conclusion 6)</w:t>
      </w:r>
      <w:r w:rsidRPr="00E76779">
        <w:rPr>
          <w:lang w:val="fr-FR"/>
        </w:rPr>
        <w:t>, l</w:t>
      </w:r>
      <w:r w:rsidR="004C5E26">
        <w:rPr>
          <w:lang w:val="fr-FR"/>
        </w:rPr>
        <w:t>’</w:t>
      </w:r>
      <w:r w:rsidRPr="00E76779">
        <w:rPr>
          <w:lang w:val="fr-FR"/>
        </w:rPr>
        <w:t xml:space="preserve">absence de règle du précédent en droit international </w:t>
      </w:r>
      <w:r>
        <w:rPr>
          <w:lang w:val="fr-FR"/>
        </w:rPr>
        <w:t xml:space="preserve">(projet de conclusion 7) </w:t>
      </w:r>
      <w:r w:rsidRPr="00E76779">
        <w:rPr>
          <w:lang w:val="fr-FR"/>
        </w:rPr>
        <w:t>et la valeur persuasive des décisions de juridictions</w:t>
      </w:r>
      <w:r>
        <w:rPr>
          <w:lang w:val="fr-FR"/>
        </w:rPr>
        <w:t xml:space="preserve"> (projet de conclusion 8)</w:t>
      </w:r>
      <w:r w:rsidRPr="001B61C8">
        <w:rPr>
          <w:lang w:val="fr-FR"/>
        </w:rPr>
        <w:t>.</w:t>
      </w:r>
    </w:p>
    <w:p w14:paraId="029BBE27" w14:textId="7361C398" w:rsidR="00C324CF" w:rsidRPr="00E76779" w:rsidRDefault="00C324CF" w:rsidP="00C324CF">
      <w:pPr>
        <w:pStyle w:val="SingleTxtG"/>
        <w:rPr>
          <w:lang w:val="fr-FR"/>
        </w:rPr>
      </w:pPr>
      <w:r>
        <w:rPr>
          <w:lang w:val="fr-FR"/>
        </w:rPr>
        <w:t>23</w:t>
      </w:r>
      <w:r w:rsidRPr="001B61C8">
        <w:rPr>
          <w:lang w:val="fr-FR"/>
        </w:rPr>
        <w:t>.</w:t>
      </w:r>
      <w:r w:rsidRPr="00E76779">
        <w:rPr>
          <w:lang w:val="fr-FR"/>
        </w:rPr>
        <w:tab/>
        <w:t xml:space="preserve">Les membres de la Commission ont accueilli </w:t>
      </w:r>
      <w:r>
        <w:rPr>
          <w:lang w:val="fr-FR"/>
        </w:rPr>
        <w:t>favorablement</w:t>
      </w:r>
      <w:r w:rsidRPr="00E76779">
        <w:rPr>
          <w:lang w:val="fr-FR"/>
        </w:rPr>
        <w:t xml:space="preserve"> le rapport </w:t>
      </w:r>
      <w:r>
        <w:rPr>
          <w:lang w:val="fr-FR"/>
        </w:rPr>
        <w:t xml:space="preserve">très complet </w:t>
      </w:r>
      <w:r w:rsidRPr="00E76779">
        <w:rPr>
          <w:lang w:val="fr-FR"/>
        </w:rPr>
        <w:t>du Rapporteur spécial et se sont félicités qu</w:t>
      </w:r>
      <w:r w:rsidR="004C5E26">
        <w:rPr>
          <w:lang w:val="fr-FR"/>
        </w:rPr>
        <w:t>’</w:t>
      </w:r>
      <w:r w:rsidRPr="00E76779">
        <w:rPr>
          <w:lang w:val="fr-FR"/>
        </w:rPr>
        <w:t>il contienne une analyse approfondie de questions conceptuelles complexes</w:t>
      </w:r>
      <w:r w:rsidRPr="001B61C8">
        <w:rPr>
          <w:lang w:val="fr-FR"/>
        </w:rPr>
        <w:t>.</w:t>
      </w:r>
      <w:r w:rsidRPr="00E76779">
        <w:rPr>
          <w:lang w:val="fr-FR"/>
        </w:rPr>
        <w:t xml:space="preserve"> Ils sont convenus avec le Rapporteur spécial que les moyens auxiliaires n</w:t>
      </w:r>
      <w:r w:rsidR="004C5E26">
        <w:rPr>
          <w:lang w:val="fr-FR"/>
        </w:rPr>
        <w:t>’</w:t>
      </w:r>
      <w:r w:rsidRPr="00E76779">
        <w:rPr>
          <w:lang w:val="fr-FR"/>
        </w:rPr>
        <w:t>étaient pas une source du droit international et que, de manière générale, il n</w:t>
      </w:r>
      <w:r w:rsidR="004C5E26">
        <w:rPr>
          <w:lang w:val="fr-FR"/>
        </w:rPr>
        <w:t>’</w:t>
      </w:r>
      <w:r w:rsidRPr="00E76779">
        <w:rPr>
          <w:lang w:val="fr-FR"/>
        </w:rPr>
        <w:t xml:space="preserve">y avait pas de système de précédent obligatoire en droit international, mais que </w:t>
      </w:r>
      <w:r w:rsidRPr="00204C3C">
        <w:rPr>
          <w:lang w:val="fr-FR"/>
        </w:rPr>
        <w:t xml:space="preserve">les </w:t>
      </w:r>
      <w:r w:rsidRPr="00E76779">
        <w:rPr>
          <w:lang w:val="fr-FR"/>
        </w:rPr>
        <w:t>décisions judiciaires étaient suivies, notamment pour des raisons de sécurité juridique et de prévisibilité, deux éléments essentiels de tout système juridique reposant sur l</w:t>
      </w:r>
      <w:r w:rsidR="004C5E26">
        <w:rPr>
          <w:lang w:val="fr-FR"/>
        </w:rPr>
        <w:t>’</w:t>
      </w:r>
      <w:r w:rsidRPr="00E76779">
        <w:rPr>
          <w:lang w:val="fr-FR"/>
        </w:rPr>
        <w:t>état de droit</w:t>
      </w:r>
      <w:r w:rsidRPr="001B61C8">
        <w:rPr>
          <w:lang w:val="fr-FR"/>
        </w:rPr>
        <w:t>.</w:t>
      </w:r>
      <w:r w:rsidRPr="00E76779">
        <w:rPr>
          <w:lang w:val="fr-FR"/>
        </w:rPr>
        <w:t xml:space="preserve"> Des réticences ont toutefois été exprimées concernant la référence à la « valeur persuasive » des décisions judiciaires</w:t>
      </w:r>
      <w:r w:rsidRPr="001B61C8">
        <w:rPr>
          <w:lang w:val="fr-FR"/>
        </w:rPr>
        <w:t>.</w:t>
      </w:r>
      <w:r w:rsidRPr="00E76779">
        <w:rPr>
          <w:lang w:val="fr-FR"/>
        </w:rPr>
        <w:t xml:space="preserve"> Certains membres ont demandé des précisions sur la référence faite par le Rapporteur spécial dans son deuxième rapport non seulement à la fonction générale des moyens auxiliaires, mais aussi aux fonctions particulières que les différents moyens auxiliaires pourraient avoir</w:t>
      </w:r>
      <w:r w:rsidRPr="001B61C8">
        <w:rPr>
          <w:lang w:val="fr-FR"/>
        </w:rPr>
        <w:t>.</w:t>
      </w:r>
      <w:r w:rsidRPr="00E76779">
        <w:rPr>
          <w:lang w:val="fr-FR"/>
        </w:rPr>
        <w:t xml:space="preserve"> </w:t>
      </w:r>
      <w:r>
        <w:rPr>
          <w:lang w:val="fr-FR"/>
        </w:rPr>
        <w:t>Certains</w:t>
      </w:r>
      <w:r w:rsidRPr="00E76779">
        <w:rPr>
          <w:lang w:val="fr-FR"/>
        </w:rPr>
        <w:t xml:space="preserve"> membres </w:t>
      </w:r>
      <w:r>
        <w:rPr>
          <w:lang w:val="fr-FR"/>
        </w:rPr>
        <w:t>o</w:t>
      </w:r>
      <w:r w:rsidRPr="00E76779">
        <w:rPr>
          <w:lang w:val="fr-FR"/>
        </w:rPr>
        <w:t xml:space="preserve">nt </w:t>
      </w:r>
      <w:r>
        <w:rPr>
          <w:lang w:val="fr-FR"/>
        </w:rPr>
        <w:t xml:space="preserve">aussi estimé </w:t>
      </w:r>
      <w:r w:rsidRPr="00E76779">
        <w:rPr>
          <w:lang w:val="fr-FR"/>
        </w:rPr>
        <w:t>que le projet de conclusions devrait donner des indications non seulement aux juridictions, en ce qu</w:t>
      </w:r>
      <w:r w:rsidR="004C5E26">
        <w:rPr>
          <w:lang w:val="fr-FR"/>
        </w:rPr>
        <w:t>’</w:t>
      </w:r>
      <w:r w:rsidRPr="00E76779">
        <w:rPr>
          <w:lang w:val="fr-FR"/>
        </w:rPr>
        <w:t>elles se référaient aux décisions judiciaires, mais aussi à d</w:t>
      </w:r>
      <w:r w:rsidR="004C5E26">
        <w:rPr>
          <w:lang w:val="fr-FR"/>
        </w:rPr>
        <w:t>’</w:t>
      </w:r>
      <w:r w:rsidRPr="00E76779">
        <w:rPr>
          <w:lang w:val="fr-FR"/>
        </w:rPr>
        <w:t>autres personnes, notamment les décideurs politiques, les conseillers juridiques, les agents et les avocats</w:t>
      </w:r>
      <w:r w:rsidRPr="001B61C8">
        <w:rPr>
          <w:lang w:val="fr-FR"/>
        </w:rPr>
        <w:t>.</w:t>
      </w:r>
    </w:p>
    <w:p w14:paraId="2BDA9A0A" w14:textId="753D2BB4" w:rsidR="00C324CF" w:rsidRPr="00E76779" w:rsidRDefault="00C324CF" w:rsidP="00C324CF">
      <w:pPr>
        <w:pStyle w:val="SingleTxtG"/>
        <w:rPr>
          <w:lang w:val="fr-CA"/>
        </w:rPr>
      </w:pPr>
      <w:r>
        <w:rPr>
          <w:lang w:val="fr-CA"/>
        </w:rPr>
        <w:t>24</w:t>
      </w:r>
      <w:r w:rsidRPr="001B61C8">
        <w:rPr>
          <w:lang w:val="fr-CA"/>
        </w:rPr>
        <w:t>.</w:t>
      </w:r>
      <w:r w:rsidRPr="00E76779">
        <w:rPr>
          <w:lang w:val="fr-CA"/>
        </w:rPr>
        <w:tab/>
      </w:r>
      <w:r w:rsidRPr="00E76779">
        <w:rPr>
          <w:lang w:val="fr-FR"/>
        </w:rPr>
        <w:t>À l</w:t>
      </w:r>
      <w:r w:rsidR="004C5E26">
        <w:rPr>
          <w:lang w:val="fr-FR"/>
        </w:rPr>
        <w:t>’</w:t>
      </w:r>
      <w:r w:rsidRPr="00E76779">
        <w:rPr>
          <w:lang w:val="fr-FR"/>
        </w:rPr>
        <w:t>issue du débat en plénière, la Commission a renvoyé au Comité de rédaction les projets de conclusions</w:t>
      </w:r>
      <w:r>
        <w:rPr>
          <w:lang w:val="fr-FR"/>
        </w:rPr>
        <w:t> </w:t>
      </w:r>
      <w:r w:rsidRPr="00E76779">
        <w:rPr>
          <w:lang w:val="fr-FR"/>
        </w:rPr>
        <w:t>6, 7 et 8, tels qu</w:t>
      </w:r>
      <w:r w:rsidR="004C5E26">
        <w:rPr>
          <w:lang w:val="fr-FR"/>
        </w:rPr>
        <w:t>’</w:t>
      </w:r>
      <w:r w:rsidRPr="00E76779">
        <w:rPr>
          <w:lang w:val="fr-FR"/>
        </w:rPr>
        <w:t>ils figuraient dans le deuxième rapport</w:t>
      </w:r>
      <w:r w:rsidRPr="001B61C8">
        <w:rPr>
          <w:lang w:val="fr-FR"/>
        </w:rPr>
        <w:t>.</w:t>
      </w:r>
      <w:r w:rsidRPr="00E76779">
        <w:rPr>
          <w:lang w:val="fr-FR"/>
        </w:rPr>
        <w:t xml:space="preserve"> Le Rapporteur spécial a présenté les conclusions ainsi que divers documents de travail dans lesquels il avait modifié les projets de conclusion </w:t>
      </w:r>
      <w:r>
        <w:rPr>
          <w:lang w:val="fr-FR"/>
        </w:rPr>
        <w:t>qu</w:t>
      </w:r>
      <w:r w:rsidR="004C5E26">
        <w:rPr>
          <w:lang w:val="fr-FR"/>
        </w:rPr>
        <w:t>’</w:t>
      </w:r>
      <w:r>
        <w:rPr>
          <w:lang w:val="fr-FR"/>
        </w:rPr>
        <w:t xml:space="preserve">il avait proposés, </w:t>
      </w:r>
      <w:r w:rsidRPr="00E76779">
        <w:rPr>
          <w:lang w:val="fr-FR"/>
        </w:rPr>
        <w:t>compte tenu des avis exprimés par les membres en plénière</w:t>
      </w:r>
      <w:r w:rsidRPr="001B61C8">
        <w:rPr>
          <w:lang w:val="fr-FR"/>
        </w:rPr>
        <w:t>.</w:t>
      </w:r>
      <w:r w:rsidRPr="00E76779">
        <w:rPr>
          <w:lang w:val="fr-FR"/>
        </w:rPr>
        <w:t xml:space="preserve"> En ce qui concerne le projet de conclusion 6, le Comité de rédaction a préféré </w:t>
      </w:r>
      <w:r>
        <w:rPr>
          <w:lang w:val="fr-FR"/>
        </w:rPr>
        <w:t>exprimer par la</w:t>
      </w:r>
      <w:r w:rsidRPr="00E76779">
        <w:rPr>
          <w:lang w:val="fr-FR"/>
        </w:rPr>
        <w:t xml:space="preserve"> négative</w:t>
      </w:r>
      <w:r>
        <w:rPr>
          <w:lang w:val="fr-FR"/>
        </w:rPr>
        <w:t xml:space="preserve"> le fait</w:t>
      </w:r>
      <w:r w:rsidRPr="00E76779">
        <w:rPr>
          <w:lang w:val="fr-FR"/>
        </w:rPr>
        <w:t xml:space="preserve"> que les moyens auxiliaires ne constituaient pas une source du droit international</w:t>
      </w:r>
      <w:r w:rsidRPr="00E76779">
        <w:rPr>
          <w:lang w:val="fr-CA"/>
        </w:rPr>
        <w:t>,</w:t>
      </w:r>
      <w:r w:rsidRPr="00E76779">
        <w:rPr>
          <w:lang w:val="fr-FR"/>
        </w:rPr>
        <w:t xml:space="preserve"> décidé de traiter de la nature et de la fonction des moyens auxiliaires dans une seule et même disposition faisant référence à la fonction d</w:t>
      </w:r>
      <w:r w:rsidR="004C5E26">
        <w:rPr>
          <w:lang w:val="fr-FR"/>
        </w:rPr>
        <w:t>’</w:t>
      </w:r>
      <w:r w:rsidRPr="00E76779">
        <w:rPr>
          <w:lang w:val="fr-FR"/>
        </w:rPr>
        <w:t>assistance des moyens auxiliaires et précisé que l</w:t>
      </w:r>
      <w:r w:rsidR="004C5E26">
        <w:rPr>
          <w:lang w:val="fr-FR"/>
        </w:rPr>
        <w:t>’</w:t>
      </w:r>
      <w:r w:rsidRPr="00E76779">
        <w:rPr>
          <w:lang w:val="fr-FR"/>
        </w:rPr>
        <w:t xml:space="preserve">utilisation </w:t>
      </w:r>
      <w:r>
        <w:rPr>
          <w:lang w:val="fr-FR"/>
        </w:rPr>
        <w:t>d</w:t>
      </w:r>
      <w:r w:rsidR="004C5E26">
        <w:rPr>
          <w:lang w:val="fr-FR"/>
        </w:rPr>
        <w:t>’</w:t>
      </w:r>
      <w:r>
        <w:rPr>
          <w:lang w:val="fr-FR"/>
        </w:rPr>
        <w:t>éléments</w:t>
      </w:r>
      <w:r w:rsidRPr="00E76779">
        <w:rPr>
          <w:lang w:val="fr-FR"/>
        </w:rPr>
        <w:t xml:space="preserve"> comme moyens auxiliaires était sans préjudice de leur utilisation à d</w:t>
      </w:r>
      <w:r w:rsidR="004C5E26">
        <w:rPr>
          <w:lang w:val="fr-FR"/>
        </w:rPr>
        <w:t>’</w:t>
      </w:r>
      <w:r w:rsidRPr="00E76779">
        <w:rPr>
          <w:lang w:val="fr-FR"/>
        </w:rPr>
        <w:t>autres fins</w:t>
      </w:r>
      <w:r w:rsidRPr="001B61C8">
        <w:rPr>
          <w:lang w:val="fr-FR"/>
        </w:rPr>
        <w:t>.</w:t>
      </w:r>
      <w:r w:rsidRPr="00E76779">
        <w:rPr>
          <w:lang w:val="fr-FR"/>
        </w:rPr>
        <w:t xml:space="preserve"> Le Rapporteur spécial a recommandé que la question de la place du projet de conclusion</w:t>
      </w:r>
      <w:r>
        <w:rPr>
          <w:lang w:val="fr-FR"/>
        </w:rPr>
        <w:t> </w:t>
      </w:r>
      <w:r w:rsidRPr="00E76779">
        <w:rPr>
          <w:lang w:val="fr-FR"/>
        </w:rPr>
        <w:t>6, sur la fonction, soit réexaminée lorsque la Commission aurait achevé sa première lecture du sujet en 2025</w:t>
      </w:r>
      <w:r w:rsidRPr="001B61C8">
        <w:rPr>
          <w:lang w:val="fr-FR"/>
        </w:rPr>
        <w:t>.</w:t>
      </w:r>
      <w:r w:rsidRPr="00E76779">
        <w:rPr>
          <w:lang w:val="fr-FR"/>
        </w:rPr>
        <w:t xml:space="preserve"> En ce qui concerne le projet de conclusion</w:t>
      </w:r>
      <w:r>
        <w:rPr>
          <w:lang w:val="fr-FR"/>
        </w:rPr>
        <w:t> </w:t>
      </w:r>
      <w:r w:rsidRPr="00E76779">
        <w:rPr>
          <w:lang w:val="fr-FR"/>
        </w:rPr>
        <w:t>7, sur l</w:t>
      </w:r>
      <w:r w:rsidR="004C5E26">
        <w:rPr>
          <w:lang w:val="fr-FR"/>
        </w:rPr>
        <w:t>’</w:t>
      </w:r>
      <w:r w:rsidRPr="00E76779">
        <w:rPr>
          <w:lang w:val="fr-FR"/>
        </w:rPr>
        <w:t>absence de précédents juridiquement contraignants en droit international, le Comité de rédaction a décidé d</w:t>
      </w:r>
      <w:r w:rsidR="004C5E26">
        <w:rPr>
          <w:lang w:val="fr-FR"/>
        </w:rPr>
        <w:t>’</w:t>
      </w:r>
      <w:r w:rsidRPr="00E76779">
        <w:rPr>
          <w:lang w:val="fr-FR"/>
        </w:rPr>
        <w:t>inscrire dans la première phrase la règle générale selon laquelle « [l]es décisions des juridictions internationales peuvent être suivies sur des points de droit lorsque ces décisions traitent de questions identiques ou similaires » et de clarifier dans la seconde phrase que « [c]es décisions ne constituent pas des précédents juridiquement contraignants, à moins qu</w:t>
      </w:r>
      <w:r w:rsidR="004C5E26">
        <w:rPr>
          <w:lang w:val="fr-FR"/>
        </w:rPr>
        <w:t>’</w:t>
      </w:r>
      <w:r w:rsidRPr="00E76779">
        <w:rPr>
          <w:lang w:val="fr-FR"/>
        </w:rPr>
        <w:t>un instrument ou une règle spécifique de droit international n</w:t>
      </w:r>
      <w:r w:rsidR="004C5E26">
        <w:rPr>
          <w:lang w:val="fr-FR"/>
        </w:rPr>
        <w:t>’</w:t>
      </w:r>
      <w:r w:rsidRPr="00E76779">
        <w:rPr>
          <w:lang w:val="fr-FR"/>
        </w:rPr>
        <w:t>en dispose autrement »</w:t>
      </w:r>
      <w:r w:rsidRPr="001B61C8">
        <w:rPr>
          <w:lang w:val="fr-FR"/>
        </w:rPr>
        <w:t>.</w:t>
      </w:r>
      <w:r w:rsidRPr="00E76779">
        <w:rPr>
          <w:lang w:val="fr-FR"/>
        </w:rPr>
        <w:t xml:space="preserve"> En ce qui concerne le projet de conclusion</w:t>
      </w:r>
      <w:r>
        <w:rPr>
          <w:lang w:val="fr-FR"/>
        </w:rPr>
        <w:t> </w:t>
      </w:r>
      <w:r w:rsidRPr="00E76779">
        <w:rPr>
          <w:lang w:val="fr-FR"/>
        </w:rPr>
        <w:t xml:space="preserve">8, le </w:t>
      </w:r>
      <w:r w:rsidRPr="00E76779">
        <w:rPr>
          <w:lang w:val="fr-FR"/>
        </w:rPr>
        <w:lastRenderedPageBreak/>
        <w:t>Comité de rédaction a indiqué que la liste non exhaustive des critères à utiliser aux fins de la détermination du poids à accorder aux décisions des juridictions venait compléter celle donnée au projet de conclusion</w:t>
      </w:r>
      <w:r>
        <w:rPr>
          <w:lang w:val="fr-FR"/>
        </w:rPr>
        <w:t> </w:t>
      </w:r>
      <w:r w:rsidRPr="00E76779">
        <w:rPr>
          <w:lang w:val="fr-FR"/>
        </w:rPr>
        <w:t>3, comme la Commission l</w:t>
      </w:r>
      <w:r w:rsidR="004C5E26">
        <w:rPr>
          <w:lang w:val="fr-FR"/>
        </w:rPr>
        <w:t>’</w:t>
      </w:r>
      <w:r w:rsidRPr="00E76779">
        <w:rPr>
          <w:lang w:val="fr-FR"/>
        </w:rPr>
        <w:t>avait envisagé dans le commentaire de cette disposition adopté en 2023</w:t>
      </w:r>
      <w:r w:rsidRPr="001B61C8">
        <w:rPr>
          <w:lang w:val="fr-FR"/>
        </w:rPr>
        <w:t>.</w:t>
      </w:r>
      <w:r w:rsidRPr="00E76779">
        <w:rPr>
          <w:lang w:val="fr-FR"/>
        </w:rPr>
        <w:t xml:space="preserve"> Après avoir examiné le rapport du Comité de rédaction (</w:t>
      </w:r>
      <w:hyperlink r:id="rId34" w:history="1">
        <w:r w:rsidRPr="00E76779">
          <w:rPr>
            <w:rStyle w:val="Lienhypertexte"/>
            <w:lang w:val="fr-FR"/>
          </w:rPr>
          <w:t>A/CN</w:t>
        </w:r>
        <w:r w:rsidRPr="001B61C8">
          <w:rPr>
            <w:rStyle w:val="Lienhypertexte"/>
            <w:lang w:val="fr-FR"/>
          </w:rPr>
          <w:t>.</w:t>
        </w:r>
        <w:r w:rsidRPr="00E76779">
          <w:rPr>
            <w:rStyle w:val="Lienhypertexte"/>
            <w:lang w:val="fr-FR"/>
          </w:rPr>
          <w:t>4/L</w:t>
        </w:r>
        <w:r w:rsidRPr="001B61C8">
          <w:rPr>
            <w:rStyle w:val="Lienhypertexte"/>
            <w:lang w:val="fr-FR"/>
          </w:rPr>
          <w:t>.</w:t>
        </w:r>
        <w:r w:rsidRPr="00E76779">
          <w:rPr>
            <w:rStyle w:val="Lienhypertexte"/>
            <w:lang w:val="fr-FR"/>
          </w:rPr>
          <w:t>999</w:t>
        </w:r>
      </w:hyperlink>
      <w:r w:rsidRPr="00E76779">
        <w:rPr>
          <w:lang w:val="fr-FR"/>
        </w:rPr>
        <w:t>), la Commission a provisoirement adopté les projets de conclusions</w:t>
      </w:r>
      <w:r w:rsidR="00086AAF">
        <w:rPr>
          <w:lang w:val="fr-FR"/>
        </w:rPr>
        <w:t> </w:t>
      </w:r>
      <w:r w:rsidRPr="00E76779">
        <w:rPr>
          <w:lang w:val="fr-FR"/>
        </w:rPr>
        <w:t>6, 7 et 8 ainsi que les commentaires y relatifs</w:t>
      </w:r>
      <w:r w:rsidRPr="001B61C8">
        <w:rPr>
          <w:lang w:val="fr-FR"/>
        </w:rPr>
        <w:t>.</w:t>
      </w:r>
      <w:r w:rsidRPr="00E76779">
        <w:rPr>
          <w:lang w:val="fr-FR"/>
        </w:rPr>
        <w:t xml:space="preserve"> Au début de la présente session, la Commission avait également provisoirement adopté le projet de conclusion</w:t>
      </w:r>
      <w:r>
        <w:rPr>
          <w:lang w:val="fr-FR"/>
        </w:rPr>
        <w:t> </w:t>
      </w:r>
      <w:r w:rsidRPr="00E76779">
        <w:rPr>
          <w:lang w:val="fr-FR"/>
        </w:rPr>
        <w:t>4 (Décisions de juridictions) et le projet de conclusion</w:t>
      </w:r>
      <w:r>
        <w:rPr>
          <w:lang w:val="fr-FR"/>
        </w:rPr>
        <w:t> </w:t>
      </w:r>
      <w:r w:rsidRPr="00E76779">
        <w:rPr>
          <w:lang w:val="fr-FR"/>
        </w:rPr>
        <w:t>5 (Doctrine) tels que révisés oralement, dont elle n</w:t>
      </w:r>
      <w:r w:rsidR="004C5E26">
        <w:rPr>
          <w:lang w:val="fr-FR"/>
        </w:rPr>
        <w:t>’</w:t>
      </w:r>
      <w:r w:rsidRPr="00E76779">
        <w:rPr>
          <w:lang w:val="fr-FR"/>
        </w:rPr>
        <w:t>avait fait que prendre note à la soixante-quatorzième session (</w:t>
      </w:r>
      <w:hyperlink r:id="rId35" w:history="1">
        <w:r w:rsidRPr="00E76779">
          <w:rPr>
            <w:rStyle w:val="Lienhypertexte"/>
            <w:lang w:val="fr-FR"/>
          </w:rPr>
          <w:t>A/CN</w:t>
        </w:r>
        <w:r w:rsidRPr="001B61C8">
          <w:rPr>
            <w:rStyle w:val="Lienhypertexte"/>
            <w:lang w:val="fr-FR"/>
          </w:rPr>
          <w:t>.</w:t>
        </w:r>
        <w:r w:rsidRPr="00E76779">
          <w:rPr>
            <w:rStyle w:val="Lienhypertexte"/>
            <w:lang w:val="fr-FR"/>
          </w:rPr>
          <w:t>4/L</w:t>
        </w:r>
        <w:r w:rsidRPr="001B61C8">
          <w:rPr>
            <w:rStyle w:val="Lienhypertexte"/>
            <w:lang w:val="fr-FR"/>
          </w:rPr>
          <w:t>.</w:t>
        </w:r>
        <w:r w:rsidRPr="00E76779">
          <w:rPr>
            <w:rStyle w:val="Lienhypertexte"/>
            <w:lang w:val="fr-FR"/>
          </w:rPr>
          <w:t>985/Add</w:t>
        </w:r>
        <w:r w:rsidRPr="001B61C8">
          <w:rPr>
            <w:rStyle w:val="Lienhypertexte"/>
            <w:lang w:val="fr-FR"/>
          </w:rPr>
          <w:t>.</w:t>
        </w:r>
        <w:r w:rsidRPr="00E76779">
          <w:rPr>
            <w:rStyle w:val="Lienhypertexte"/>
            <w:lang w:val="fr-FR"/>
          </w:rPr>
          <w:t>1</w:t>
        </w:r>
      </w:hyperlink>
      <w:r w:rsidRPr="00E76779">
        <w:rPr>
          <w:lang w:val="fr-FR"/>
        </w:rPr>
        <w:t xml:space="preserve">), et a </w:t>
      </w:r>
      <w:r>
        <w:rPr>
          <w:lang w:val="fr-FR"/>
        </w:rPr>
        <w:t xml:space="preserve">aussi </w:t>
      </w:r>
      <w:r w:rsidRPr="00E76779">
        <w:rPr>
          <w:lang w:val="fr-FR"/>
        </w:rPr>
        <w:t>adopté les commentaires y relatifs (chap</w:t>
      </w:r>
      <w:r w:rsidRPr="001B61C8">
        <w:rPr>
          <w:lang w:val="fr-FR"/>
        </w:rPr>
        <w:t>.</w:t>
      </w:r>
      <w:r>
        <w:rPr>
          <w:lang w:val="fr-FR"/>
        </w:rPr>
        <w:t> </w:t>
      </w:r>
      <w:r w:rsidRPr="00E76779">
        <w:rPr>
          <w:lang w:val="fr-FR"/>
        </w:rPr>
        <w:t>V)</w:t>
      </w:r>
      <w:r w:rsidRPr="001B61C8">
        <w:rPr>
          <w:lang w:val="fr-FR"/>
        </w:rPr>
        <w:t>.</w:t>
      </w:r>
    </w:p>
    <w:p w14:paraId="7C542A21" w14:textId="7BEAA577" w:rsidR="00C324CF" w:rsidRPr="00E76779" w:rsidRDefault="00C324CF" w:rsidP="00C324CF">
      <w:pPr>
        <w:pStyle w:val="SingleTxtG"/>
        <w:rPr>
          <w:lang w:val="fr-FR"/>
        </w:rPr>
      </w:pPr>
      <w:r>
        <w:rPr>
          <w:lang w:val="fr-FR"/>
        </w:rPr>
        <w:t>25</w:t>
      </w:r>
      <w:r w:rsidRPr="001B61C8">
        <w:rPr>
          <w:lang w:val="fr-FR"/>
        </w:rPr>
        <w:t>.</w:t>
      </w:r>
      <w:r w:rsidRPr="00E76779">
        <w:rPr>
          <w:lang w:val="fr-FR"/>
        </w:rPr>
        <w:tab/>
        <w:t>En ce qui concerne le sujet «</w:t>
      </w:r>
      <w:r>
        <w:rPr>
          <w:lang w:val="fr-FR"/>
        </w:rPr>
        <w:t> </w:t>
      </w:r>
      <w:r w:rsidRPr="00E76779">
        <w:rPr>
          <w:b/>
          <w:bCs/>
          <w:lang w:val="fr-FR"/>
        </w:rPr>
        <w:t>Prévention et répression de la piraterie et du vol à main armée en mer</w:t>
      </w:r>
      <w:r w:rsidRPr="00E76779">
        <w:rPr>
          <w:lang w:val="fr-FR"/>
        </w:rPr>
        <w:t> », la Commission était saisie du deuxième rapport du Rapporteur spécial (</w:t>
      </w:r>
      <w:hyperlink r:id="rId36" w:history="1">
        <w:r w:rsidRPr="00E76779">
          <w:rPr>
            <w:rStyle w:val="Lienhypertexte"/>
            <w:lang w:val="fr-FR"/>
          </w:rPr>
          <w:t>A/CN</w:t>
        </w:r>
        <w:r w:rsidRPr="001B61C8">
          <w:rPr>
            <w:rStyle w:val="Lienhypertexte"/>
            <w:lang w:val="fr-FR"/>
          </w:rPr>
          <w:t>.</w:t>
        </w:r>
        <w:r w:rsidRPr="00E76779">
          <w:rPr>
            <w:rStyle w:val="Lienhypertexte"/>
            <w:lang w:val="fr-FR"/>
          </w:rPr>
          <w:t>4/770</w:t>
        </w:r>
      </w:hyperlink>
      <w:r w:rsidRPr="00E76779">
        <w:rPr>
          <w:lang w:val="fr-FR"/>
        </w:rPr>
        <w:t>), dans lequel étaient examinés la pratique des organisations internationales impliquées dans la lutte contre la piraterie et le vol à main armée en mer,</w:t>
      </w:r>
      <w:r>
        <w:rPr>
          <w:lang w:val="fr-FR"/>
        </w:rPr>
        <w:t xml:space="preserve"> </w:t>
      </w:r>
      <w:r w:rsidRPr="00E76779">
        <w:rPr>
          <w:lang w:val="fr-FR"/>
        </w:rPr>
        <w:t>les approches régionales et sous-régionales de lutte contre la piraterie et le vol à main armée en mer, la pratique des États concernant la conclusion d</w:t>
      </w:r>
      <w:r w:rsidR="004C5E26">
        <w:rPr>
          <w:lang w:val="fr-FR"/>
        </w:rPr>
        <w:t>’</w:t>
      </w:r>
      <w:r w:rsidRPr="00E76779">
        <w:rPr>
          <w:lang w:val="fr-FR"/>
        </w:rPr>
        <w:t>accords bilatéraux et les travaux futurs sur le sujet</w:t>
      </w:r>
      <w:r w:rsidRPr="001B61C8">
        <w:rPr>
          <w:lang w:val="fr-FR"/>
        </w:rPr>
        <w:t>.</w:t>
      </w:r>
      <w:r w:rsidRPr="00E76779">
        <w:rPr>
          <w:lang w:val="fr-FR"/>
        </w:rPr>
        <w:t xml:space="preserve"> La Commission était également saisie d</w:t>
      </w:r>
      <w:r w:rsidR="004C5E26">
        <w:rPr>
          <w:lang w:val="fr-FR"/>
        </w:rPr>
        <w:t>’</w:t>
      </w:r>
      <w:r w:rsidRPr="00E76779">
        <w:rPr>
          <w:lang w:val="fr-FR"/>
        </w:rPr>
        <w:t>une étude du Secrétariat comportant des informations sur le sort réservé à la définition de la piraterie figurant dans le projet d</w:t>
      </w:r>
      <w:r w:rsidR="004C5E26">
        <w:rPr>
          <w:lang w:val="fr-FR"/>
        </w:rPr>
        <w:t>’</w:t>
      </w:r>
      <w:r w:rsidRPr="00E76779">
        <w:rPr>
          <w:lang w:val="fr-FR"/>
        </w:rPr>
        <w:t>articles relatif au droit de la mer de 1956</w:t>
      </w:r>
      <w:r w:rsidRPr="00E76779">
        <w:rPr>
          <w:lang w:val="fr-CA"/>
        </w:rPr>
        <w:t>,</w:t>
      </w:r>
      <w:r w:rsidRPr="00E76779">
        <w:rPr>
          <w:lang w:val="fr-FR"/>
        </w:rPr>
        <w:t xml:space="preserve"> les vues exprimées à cet égard par les États à la première Conférence des Nations Unies sur le droit de la mer et à la troisième Conférence des Nations</w:t>
      </w:r>
      <w:r>
        <w:rPr>
          <w:lang w:val="fr-FR"/>
        </w:rPr>
        <w:t> </w:t>
      </w:r>
      <w:r w:rsidRPr="00E76779">
        <w:rPr>
          <w:lang w:val="fr-FR"/>
        </w:rPr>
        <w:t>Unies sur le droit de la mer et la doctrine pertinente en ce qui concerne la définition de la piraterie et du vol à main armée en mer (</w:t>
      </w:r>
      <w:hyperlink r:id="rId37" w:history="1">
        <w:r w:rsidRPr="00E76779">
          <w:rPr>
            <w:rStyle w:val="Lienhypertexte"/>
            <w:lang w:val="fr-FR"/>
          </w:rPr>
          <w:t>A/CN</w:t>
        </w:r>
        <w:r w:rsidRPr="001B61C8">
          <w:rPr>
            <w:rStyle w:val="Lienhypertexte"/>
            <w:lang w:val="fr-FR"/>
          </w:rPr>
          <w:t>.</w:t>
        </w:r>
        <w:r w:rsidRPr="00E76779">
          <w:rPr>
            <w:rStyle w:val="Lienhypertexte"/>
            <w:lang w:val="fr-FR"/>
          </w:rPr>
          <w:t>4/767</w:t>
        </w:r>
      </w:hyperlink>
      <w:r w:rsidRPr="00E76779">
        <w:rPr>
          <w:lang w:val="fr-FR"/>
        </w:rPr>
        <w:t>)</w:t>
      </w:r>
      <w:r w:rsidRPr="001B61C8">
        <w:rPr>
          <w:lang w:val="fr-FR"/>
        </w:rPr>
        <w:t>.</w:t>
      </w:r>
    </w:p>
    <w:p w14:paraId="43E1232F" w14:textId="4AF3B496" w:rsidR="00C324CF" w:rsidRPr="00E76779" w:rsidRDefault="00C324CF" w:rsidP="00C324CF">
      <w:pPr>
        <w:pStyle w:val="SingleTxtG"/>
        <w:rPr>
          <w:lang w:val="fr-FR"/>
        </w:rPr>
      </w:pPr>
      <w:r>
        <w:rPr>
          <w:lang w:val="fr-FR"/>
        </w:rPr>
        <w:t>26</w:t>
      </w:r>
      <w:r w:rsidRPr="001B61C8">
        <w:rPr>
          <w:lang w:val="fr-FR"/>
        </w:rPr>
        <w:t>.</w:t>
      </w:r>
      <w:r w:rsidRPr="00E76779">
        <w:rPr>
          <w:lang w:val="fr-FR"/>
        </w:rPr>
        <w:tab/>
        <w:t>Dans son deuxième rapport, le Rapporteur spécial s</w:t>
      </w:r>
      <w:r w:rsidR="004C5E26">
        <w:rPr>
          <w:lang w:val="fr-FR"/>
        </w:rPr>
        <w:t>’</w:t>
      </w:r>
      <w:r w:rsidRPr="00E76779">
        <w:rPr>
          <w:lang w:val="fr-FR"/>
        </w:rPr>
        <w:t>intéressait tout d</w:t>
      </w:r>
      <w:r w:rsidR="004C5E26">
        <w:rPr>
          <w:lang w:val="fr-FR"/>
        </w:rPr>
        <w:t>’</w:t>
      </w:r>
      <w:r w:rsidRPr="00E76779">
        <w:rPr>
          <w:lang w:val="fr-FR"/>
        </w:rPr>
        <w:t>abord à la pratique des organisations internationales impliquées dans la lutte contre la piraterie et le vol à main armée en mer, en particulier aux résolutions de l</w:t>
      </w:r>
      <w:r w:rsidR="004C5E26">
        <w:rPr>
          <w:lang w:val="fr-FR"/>
        </w:rPr>
        <w:t>’</w:t>
      </w:r>
      <w:r w:rsidRPr="00E76779">
        <w:rPr>
          <w:lang w:val="fr-FR"/>
        </w:rPr>
        <w:t>Assemblée générale, du Conseil de sécurité et de l</w:t>
      </w:r>
      <w:r w:rsidR="004C5E26">
        <w:rPr>
          <w:lang w:val="fr-FR"/>
        </w:rPr>
        <w:t>’</w:t>
      </w:r>
      <w:r w:rsidRPr="00E76779">
        <w:rPr>
          <w:lang w:val="fr-FR"/>
        </w:rPr>
        <w:t>Organisation maritime internationale (OMI), ainsi qu</w:t>
      </w:r>
      <w:r w:rsidR="004C5E26">
        <w:rPr>
          <w:lang w:val="fr-FR"/>
        </w:rPr>
        <w:t>’</w:t>
      </w:r>
      <w:r w:rsidRPr="00E76779">
        <w:rPr>
          <w:lang w:val="fr-FR"/>
        </w:rPr>
        <w:t>à la pratique de l</w:t>
      </w:r>
      <w:r w:rsidR="004C5E26">
        <w:rPr>
          <w:lang w:val="fr-FR"/>
        </w:rPr>
        <w:t>’</w:t>
      </w:r>
      <w:r w:rsidRPr="00E76779">
        <w:rPr>
          <w:lang w:val="fr-FR"/>
        </w:rPr>
        <w:t>Organisation du Traité de l</w:t>
      </w:r>
      <w:r w:rsidR="004C5E26">
        <w:rPr>
          <w:lang w:val="fr-FR"/>
        </w:rPr>
        <w:t>’</w:t>
      </w:r>
      <w:r w:rsidRPr="00E76779">
        <w:rPr>
          <w:lang w:val="fr-FR"/>
        </w:rPr>
        <w:t>Atlantique Nord, qui avait déployé des navires avec l</w:t>
      </w:r>
      <w:r w:rsidR="004C5E26">
        <w:rPr>
          <w:lang w:val="fr-FR"/>
        </w:rPr>
        <w:t>’</w:t>
      </w:r>
      <w:r w:rsidRPr="00E76779">
        <w:rPr>
          <w:lang w:val="fr-FR"/>
        </w:rPr>
        <w:t xml:space="preserve">autorisation du Conseil de sécurité agissant en vertu du </w:t>
      </w:r>
      <w:r>
        <w:rPr>
          <w:lang w:val="fr-FR"/>
        </w:rPr>
        <w:t>C</w:t>
      </w:r>
      <w:r w:rsidRPr="00E76779">
        <w:rPr>
          <w:lang w:val="fr-FR"/>
        </w:rPr>
        <w:t>hapitre</w:t>
      </w:r>
      <w:r>
        <w:rPr>
          <w:lang w:val="fr-FR"/>
        </w:rPr>
        <w:t> </w:t>
      </w:r>
      <w:r w:rsidRPr="00E76779">
        <w:rPr>
          <w:lang w:val="fr-FR"/>
        </w:rPr>
        <w:t>VII de la Charte des Nations</w:t>
      </w:r>
      <w:r>
        <w:rPr>
          <w:lang w:val="fr-FR"/>
        </w:rPr>
        <w:t> </w:t>
      </w:r>
      <w:r w:rsidRPr="00E76779">
        <w:rPr>
          <w:lang w:val="fr-FR"/>
        </w:rPr>
        <w:t>Unies</w:t>
      </w:r>
      <w:r w:rsidRPr="001B61C8">
        <w:rPr>
          <w:lang w:val="fr-FR"/>
        </w:rPr>
        <w:t>.</w:t>
      </w:r>
      <w:r w:rsidRPr="00E76779">
        <w:rPr>
          <w:lang w:val="fr-FR"/>
        </w:rPr>
        <w:t xml:space="preserve"> Il précisait que le Conseil de sécurité, l</w:t>
      </w:r>
      <w:r w:rsidR="004C5E26">
        <w:rPr>
          <w:lang w:val="fr-FR"/>
        </w:rPr>
        <w:t>’</w:t>
      </w:r>
      <w:r w:rsidRPr="00E76779">
        <w:rPr>
          <w:lang w:val="fr-FR"/>
        </w:rPr>
        <w:t>Assemblée générale et l</w:t>
      </w:r>
      <w:r w:rsidR="004C5E26">
        <w:rPr>
          <w:lang w:val="fr-FR"/>
        </w:rPr>
        <w:t>’</w:t>
      </w:r>
      <w:r w:rsidRPr="00E76779">
        <w:rPr>
          <w:lang w:val="fr-FR"/>
        </w:rPr>
        <w:t>OMI avaient constamment affirmé que la criminalisation et l</w:t>
      </w:r>
      <w:r w:rsidR="004C5E26">
        <w:rPr>
          <w:lang w:val="fr-FR"/>
        </w:rPr>
        <w:t>’</w:t>
      </w:r>
      <w:r w:rsidRPr="00E76779">
        <w:rPr>
          <w:lang w:val="fr-FR"/>
        </w:rPr>
        <w:t>établissement de la compétence des juridictions nationales étaient deux conditions qui devaient être réunies aux fins de la répression de la piraterie et du vol à main armée en mer</w:t>
      </w:r>
      <w:r w:rsidRPr="001B61C8">
        <w:rPr>
          <w:lang w:val="fr-FR"/>
        </w:rPr>
        <w:t>.</w:t>
      </w:r>
      <w:r w:rsidRPr="00E76779">
        <w:rPr>
          <w:lang w:val="fr-FR"/>
        </w:rPr>
        <w:t xml:space="preserve"> Il se penchait ensuite sur la pratique des organisations régionales et sous-régionales en matière de prévention et de répression de la piraterie et du vol à main armée en mer en Afrique, en Asie, en Europe, en Amérique et en Océanie</w:t>
      </w:r>
      <w:r w:rsidRPr="001B61C8">
        <w:rPr>
          <w:lang w:val="fr-FR"/>
        </w:rPr>
        <w:t>.</w:t>
      </w:r>
      <w:r w:rsidRPr="00E76779">
        <w:rPr>
          <w:lang w:val="fr-FR"/>
        </w:rPr>
        <w:t xml:space="preserve"> Cette pratique montrait que les modalités de coopération étaient diverses et donnait un sens concret à la notion de coopération tout en délimitant sa portée opérationnelle</w:t>
      </w:r>
      <w:r w:rsidRPr="001B61C8">
        <w:rPr>
          <w:lang w:val="fr-FR"/>
        </w:rPr>
        <w:t>.</w:t>
      </w:r>
      <w:r w:rsidRPr="00E76779">
        <w:rPr>
          <w:lang w:val="fr-FR"/>
        </w:rPr>
        <w:t xml:space="preserve"> Le Rapporteur spécial examinait en outre des accords bilatéraux qui visaient à renforcer la coopération en matière de prévention et de répression de la piraterie et du vol à main armée en mer et portaient sur un éventail de questions juridiques</w:t>
      </w:r>
      <w:r w:rsidRPr="001B61C8">
        <w:rPr>
          <w:lang w:val="fr-FR"/>
        </w:rPr>
        <w:t>.</w:t>
      </w:r>
      <w:r w:rsidRPr="00E76779">
        <w:rPr>
          <w:lang w:val="fr-FR"/>
        </w:rPr>
        <w:t xml:space="preserve"> Il expliquait qu</w:t>
      </w:r>
      <w:r w:rsidR="004C5E26">
        <w:rPr>
          <w:lang w:val="fr-FR"/>
        </w:rPr>
        <w:t>’</w:t>
      </w:r>
      <w:r w:rsidRPr="00E76779">
        <w:rPr>
          <w:lang w:val="fr-FR"/>
        </w:rPr>
        <w:t xml:space="preserve">il comptait consacrer son troisième rapport à la doctrine et aux écrits </w:t>
      </w:r>
      <w:r>
        <w:rPr>
          <w:lang w:val="fr-FR"/>
        </w:rPr>
        <w:t>universitaires</w:t>
      </w:r>
      <w:r w:rsidRPr="00E76779">
        <w:rPr>
          <w:lang w:val="fr-FR"/>
        </w:rPr>
        <w:t xml:space="preserve"> qui avaient trait aux aspects soulevant des questions juridiques dans le domaine de la prévention et la répression de la piraterie et du vol à main armée en mer</w:t>
      </w:r>
      <w:r w:rsidRPr="001B61C8">
        <w:rPr>
          <w:lang w:val="fr-FR"/>
        </w:rPr>
        <w:t>.</w:t>
      </w:r>
      <w:r w:rsidRPr="00E76779">
        <w:rPr>
          <w:lang w:val="fr-FR"/>
        </w:rPr>
        <w:t xml:space="preserve"> </w:t>
      </w:r>
    </w:p>
    <w:p w14:paraId="2F0F8AD5" w14:textId="71743260" w:rsidR="00C324CF" w:rsidRPr="00E76779" w:rsidRDefault="00C324CF" w:rsidP="00C324CF">
      <w:pPr>
        <w:pStyle w:val="SingleTxtG"/>
        <w:rPr>
          <w:lang w:val="fr-FR"/>
        </w:rPr>
      </w:pPr>
      <w:r>
        <w:rPr>
          <w:lang w:val="fr-FR"/>
        </w:rPr>
        <w:t>27</w:t>
      </w:r>
      <w:r w:rsidRPr="001B61C8">
        <w:rPr>
          <w:lang w:val="fr-FR"/>
        </w:rPr>
        <w:t>.</w:t>
      </w:r>
      <w:r w:rsidRPr="00E76779">
        <w:rPr>
          <w:lang w:val="fr-FR"/>
        </w:rPr>
        <w:tab/>
        <w:t>Le Rapporteur spécial a proposé quatre projets d</w:t>
      </w:r>
      <w:r w:rsidR="004C5E26">
        <w:rPr>
          <w:lang w:val="fr-FR"/>
        </w:rPr>
        <w:t>’</w:t>
      </w:r>
      <w:r w:rsidRPr="00E76779">
        <w:rPr>
          <w:lang w:val="fr-FR"/>
        </w:rPr>
        <w:t xml:space="preserve">article, présentés dans son </w:t>
      </w:r>
      <w:r>
        <w:rPr>
          <w:lang w:val="fr-FR"/>
        </w:rPr>
        <w:t xml:space="preserve">deuxième </w:t>
      </w:r>
      <w:r w:rsidRPr="00E76779">
        <w:rPr>
          <w:lang w:val="fr-FR"/>
        </w:rPr>
        <w:t>rapport</w:t>
      </w:r>
      <w:r w:rsidRPr="001B61C8">
        <w:rPr>
          <w:lang w:val="fr-FR"/>
        </w:rPr>
        <w:t>.</w:t>
      </w:r>
      <w:r w:rsidRPr="00E76779">
        <w:rPr>
          <w:lang w:val="fr-FR"/>
        </w:rPr>
        <w:t xml:space="preserve"> Les projets d</w:t>
      </w:r>
      <w:r w:rsidR="004C5E26">
        <w:rPr>
          <w:lang w:val="fr-FR"/>
        </w:rPr>
        <w:t>’</w:t>
      </w:r>
      <w:r w:rsidRPr="00E76779">
        <w:rPr>
          <w:lang w:val="fr-FR"/>
        </w:rPr>
        <w:t>articles</w:t>
      </w:r>
      <w:r>
        <w:rPr>
          <w:lang w:val="fr-FR"/>
        </w:rPr>
        <w:t> </w:t>
      </w:r>
      <w:r w:rsidRPr="00E76779">
        <w:rPr>
          <w:lang w:val="fr-FR"/>
        </w:rPr>
        <w:t>4 et 5 venaient donner corps à l</w:t>
      </w:r>
      <w:r w:rsidR="004C5E26">
        <w:rPr>
          <w:lang w:val="fr-FR"/>
        </w:rPr>
        <w:t>’</w:t>
      </w:r>
      <w:r w:rsidRPr="00E76779">
        <w:rPr>
          <w:lang w:val="fr-FR"/>
        </w:rPr>
        <w:t>obligation générale énoncée à l</w:t>
      </w:r>
      <w:r w:rsidR="004C5E26">
        <w:rPr>
          <w:lang w:val="fr-FR"/>
        </w:rPr>
        <w:t>’</w:t>
      </w:r>
      <w:r w:rsidRPr="00E76779">
        <w:rPr>
          <w:lang w:val="fr-FR"/>
        </w:rPr>
        <w:t>article</w:t>
      </w:r>
      <w:r>
        <w:rPr>
          <w:lang w:val="fr-FR"/>
        </w:rPr>
        <w:t> </w:t>
      </w:r>
      <w:r w:rsidRPr="00E76779">
        <w:rPr>
          <w:lang w:val="fr-FR"/>
        </w:rPr>
        <w:t>100 de la Convention des Nations Unies sur le droit de la mer</w:t>
      </w:r>
      <w:r w:rsidRPr="001B61C8">
        <w:rPr>
          <w:lang w:val="fr-FR"/>
        </w:rPr>
        <w:t>.</w:t>
      </w:r>
      <w:r w:rsidRPr="00E76779">
        <w:rPr>
          <w:lang w:val="fr-FR"/>
        </w:rPr>
        <w:t xml:space="preserve"> Les projets d</w:t>
      </w:r>
      <w:r w:rsidR="004C5E26">
        <w:rPr>
          <w:lang w:val="fr-FR"/>
        </w:rPr>
        <w:t>’</w:t>
      </w:r>
      <w:r w:rsidRPr="00E76779">
        <w:rPr>
          <w:lang w:val="fr-FR"/>
        </w:rPr>
        <w:t>articles</w:t>
      </w:r>
      <w:r>
        <w:rPr>
          <w:lang w:val="fr-FR"/>
        </w:rPr>
        <w:t> </w:t>
      </w:r>
      <w:r w:rsidRPr="00E76779">
        <w:rPr>
          <w:lang w:val="fr-FR"/>
        </w:rPr>
        <w:t>6 et 7 concernaient respectivement la criminalisation de la piraterie et du vol à main armée en mer en vertu du droit interne et l</w:t>
      </w:r>
      <w:r w:rsidR="004C5E26">
        <w:rPr>
          <w:lang w:val="fr-FR"/>
        </w:rPr>
        <w:t>’</w:t>
      </w:r>
      <w:r w:rsidRPr="00E76779">
        <w:rPr>
          <w:lang w:val="fr-FR"/>
        </w:rPr>
        <w:t>établissement de la compétence des juridictions nationales, deux conditions considérées fondamentales pour la répression de la piraterie et du vol à main armée en mer</w:t>
      </w:r>
      <w:r w:rsidRPr="001B61C8">
        <w:rPr>
          <w:lang w:val="fr-FR"/>
        </w:rPr>
        <w:t>.</w:t>
      </w:r>
      <w:r w:rsidRPr="00E76779">
        <w:rPr>
          <w:lang w:val="fr-FR"/>
        </w:rPr>
        <w:t xml:space="preserve"> </w:t>
      </w:r>
    </w:p>
    <w:p w14:paraId="024DCF2C" w14:textId="55443CC9" w:rsidR="00C324CF" w:rsidRPr="00E76779" w:rsidRDefault="00C324CF" w:rsidP="00C324CF">
      <w:pPr>
        <w:pStyle w:val="SingleTxtG"/>
        <w:rPr>
          <w:lang w:val="fr-FR"/>
        </w:rPr>
      </w:pPr>
      <w:r>
        <w:rPr>
          <w:lang w:val="fr-FR"/>
        </w:rPr>
        <w:t>28</w:t>
      </w:r>
      <w:r w:rsidRPr="001B61C8">
        <w:rPr>
          <w:lang w:val="fr-FR"/>
        </w:rPr>
        <w:t>.</w:t>
      </w:r>
      <w:r w:rsidRPr="00E76779">
        <w:rPr>
          <w:lang w:val="fr-FR"/>
        </w:rPr>
        <w:tab/>
        <w:t>Les membres de la Commission ont dans l</w:t>
      </w:r>
      <w:r w:rsidR="004C5E26">
        <w:rPr>
          <w:lang w:val="fr-FR"/>
        </w:rPr>
        <w:t>’</w:t>
      </w:r>
      <w:r w:rsidRPr="00E76779">
        <w:rPr>
          <w:lang w:val="fr-FR"/>
        </w:rPr>
        <w:t>ensemble accueilli avec intérêt le deuxième rapport du Rapporteur spécial et la richesse des informations fournies et ont souligné l</w:t>
      </w:r>
      <w:r w:rsidR="004C5E26">
        <w:rPr>
          <w:lang w:val="fr-FR"/>
        </w:rPr>
        <w:t>’</w:t>
      </w:r>
      <w:r w:rsidRPr="00E76779">
        <w:rPr>
          <w:lang w:val="fr-FR"/>
        </w:rPr>
        <w:t>importance et la complexité du sujet</w:t>
      </w:r>
      <w:r w:rsidRPr="001B61C8">
        <w:rPr>
          <w:lang w:val="fr-FR"/>
        </w:rPr>
        <w:t>.</w:t>
      </w:r>
      <w:r w:rsidRPr="00E76779">
        <w:rPr>
          <w:lang w:val="fr-FR"/>
        </w:rPr>
        <w:t xml:space="preserve"> Ils ont soulevé plusieurs points importants : la pertinence de la Convention des Nations Unies sur le droit de la mer comme point de départ de l</w:t>
      </w:r>
      <w:r w:rsidR="004C5E26">
        <w:rPr>
          <w:lang w:val="fr-FR"/>
        </w:rPr>
        <w:t>’</w:t>
      </w:r>
      <w:r w:rsidRPr="00E76779">
        <w:rPr>
          <w:lang w:val="fr-FR"/>
        </w:rPr>
        <w:t>analyse ; l</w:t>
      </w:r>
      <w:r w:rsidR="004C5E26">
        <w:rPr>
          <w:lang w:val="fr-FR"/>
        </w:rPr>
        <w:t>’</w:t>
      </w:r>
      <w:r w:rsidRPr="00E76779">
        <w:rPr>
          <w:lang w:val="fr-FR"/>
        </w:rPr>
        <w:t>importance de plusieurs autres conventions internationales et la nécessité d</w:t>
      </w:r>
      <w:r w:rsidR="004C5E26">
        <w:rPr>
          <w:lang w:val="fr-FR"/>
        </w:rPr>
        <w:t>’</w:t>
      </w:r>
      <w:r w:rsidRPr="00E76779">
        <w:rPr>
          <w:lang w:val="fr-FR"/>
        </w:rPr>
        <w:t xml:space="preserve">éviter tout double emploi avec les cadres juridiques existants ; la nécessité </w:t>
      </w:r>
      <w:r>
        <w:rPr>
          <w:lang w:val="fr-FR"/>
        </w:rPr>
        <w:t xml:space="preserve">de </w:t>
      </w:r>
      <w:r w:rsidRPr="00E76779">
        <w:rPr>
          <w:lang w:val="fr-FR"/>
        </w:rPr>
        <w:t>se montrer prudent dans l</w:t>
      </w:r>
      <w:r w:rsidR="004C5E26">
        <w:rPr>
          <w:lang w:val="fr-FR"/>
        </w:rPr>
        <w:t>’</w:t>
      </w:r>
      <w:r w:rsidRPr="00E76779">
        <w:rPr>
          <w:lang w:val="fr-FR"/>
        </w:rPr>
        <w:t>analyse de la pratique de l</w:t>
      </w:r>
      <w:r w:rsidR="004C5E26">
        <w:rPr>
          <w:lang w:val="fr-FR"/>
        </w:rPr>
        <w:t>’</w:t>
      </w:r>
      <w:r w:rsidRPr="00E76779">
        <w:rPr>
          <w:lang w:val="fr-FR"/>
        </w:rPr>
        <w:t>Assemblée générale et du Conseil de sécurité sachant qu</w:t>
      </w:r>
      <w:r w:rsidR="004C5E26">
        <w:rPr>
          <w:lang w:val="fr-FR"/>
        </w:rPr>
        <w:t>’</w:t>
      </w:r>
      <w:r w:rsidRPr="00E76779">
        <w:rPr>
          <w:lang w:val="fr-FR"/>
        </w:rPr>
        <w:t>elle ne dérogeait pas aux normes du droit international ; l</w:t>
      </w:r>
      <w:r w:rsidR="004C5E26">
        <w:rPr>
          <w:lang w:val="fr-FR"/>
        </w:rPr>
        <w:t>’</w:t>
      </w:r>
      <w:r w:rsidRPr="00E76779">
        <w:rPr>
          <w:lang w:val="fr-FR"/>
        </w:rPr>
        <w:t xml:space="preserve">importance de faire la </w:t>
      </w:r>
      <w:r w:rsidRPr="00735191">
        <w:rPr>
          <w:lang w:val="fr-FR"/>
        </w:rPr>
        <w:lastRenderedPageBreak/>
        <w:t>distinction entre piraterie et vol à main armée en mer lors de l</w:t>
      </w:r>
      <w:r w:rsidR="004C5E26">
        <w:rPr>
          <w:lang w:val="fr-FR"/>
        </w:rPr>
        <w:t>’</w:t>
      </w:r>
      <w:r w:rsidRPr="00735191">
        <w:rPr>
          <w:lang w:val="fr-FR"/>
        </w:rPr>
        <w:t xml:space="preserve">analyse de la pratique étant donné que les </w:t>
      </w:r>
      <w:r w:rsidRPr="006D2D8C">
        <w:rPr>
          <w:lang w:val="fr-FR"/>
        </w:rPr>
        <w:t>compétences</w:t>
      </w:r>
      <w:r w:rsidRPr="00735191">
        <w:rPr>
          <w:lang w:val="fr-FR"/>
        </w:rPr>
        <w:t xml:space="preserve"> et les lois applicables n</w:t>
      </w:r>
      <w:r w:rsidR="004C5E26">
        <w:rPr>
          <w:lang w:val="fr-FR"/>
        </w:rPr>
        <w:t>’</w:t>
      </w:r>
      <w:r w:rsidRPr="00735191">
        <w:rPr>
          <w:lang w:val="fr-FR"/>
        </w:rPr>
        <w:t>étaient pas les mêmes</w:t>
      </w:r>
      <w:r w:rsidRPr="006D2D8C">
        <w:rPr>
          <w:lang w:val="fr-FR"/>
        </w:rPr>
        <w:t xml:space="preserve"> pour chacune de ces infractions</w:t>
      </w:r>
      <w:r w:rsidRPr="00735191">
        <w:rPr>
          <w:lang w:val="fr-FR"/>
        </w:rPr>
        <w:t>. Les membres ont appuyé l</w:t>
      </w:r>
      <w:r w:rsidR="004C5E26">
        <w:rPr>
          <w:lang w:val="fr-FR"/>
        </w:rPr>
        <w:t>’</w:t>
      </w:r>
      <w:r w:rsidRPr="00735191">
        <w:rPr>
          <w:lang w:val="fr-FR"/>
        </w:rPr>
        <w:t>inclusion d</w:t>
      </w:r>
      <w:r w:rsidR="004C5E26">
        <w:rPr>
          <w:lang w:val="fr-FR"/>
        </w:rPr>
        <w:t>’</w:t>
      </w:r>
      <w:r w:rsidRPr="00735191">
        <w:rPr>
          <w:lang w:val="fr-FR"/>
        </w:rPr>
        <w:t>une disposition relative à l</w:t>
      </w:r>
      <w:r w:rsidR="004C5E26">
        <w:rPr>
          <w:lang w:val="fr-FR"/>
        </w:rPr>
        <w:t>’</w:t>
      </w:r>
      <w:r w:rsidRPr="00735191">
        <w:rPr>
          <w:lang w:val="fr-FR"/>
        </w:rPr>
        <w:t>obligation générale des États</w:t>
      </w:r>
      <w:r w:rsidRPr="00E76779">
        <w:rPr>
          <w:lang w:val="fr-FR"/>
        </w:rPr>
        <w:t xml:space="preserve"> de coopérer à la prévention et à la répression de la piraterie et du vol à main armée en mer et étaient, dans l</w:t>
      </w:r>
      <w:r w:rsidR="004C5E26">
        <w:rPr>
          <w:lang w:val="fr-FR"/>
        </w:rPr>
        <w:t>’</w:t>
      </w:r>
      <w:r w:rsidRPr="00E76779">
        <w:rPr>
          <w:lang w:val="fr-FR"/>
        </w:rPr>
        <w:t>ensemble</w:t>
      </w:r>
      <w:r>
        <w:rPr>
          <w:lang w:val="fr-FR"/>
        </w:rPr>
        <w:t>,</w:t>
      </w:r>
      <w:r w:rsidRPr="00E76779">
        <w:rPr>
          <w:lang w:val="fr-FR"/>
        </w:rPr>
        <w:t xml:space="preserve"> favorables à la promotion de l</w:t>
      </w:r>
      <w:r w:rsidR="004C5E26">
        <w:rPr>
          <w:lang w:val="fr-FR"/>
        </w:rPr>
        <w:t>’</w:t>
      </w:r>
      <w:r w:rsidRPr="00E76779">
        <w:rPr>
          <w:lang w:val="fr-FR"/>
        </w:rPr>
        <w:t xml:space="preserve">harmonisation des législations nationales concernant la criminalisation de la piraterie et du vol à </w:t>
      </w:r>
      <w:r w:rsidRPr="00720C18">
        <w:rPr>
          <w:lang w:val="fr-FR"/>
        </w:rPr>
        <w:t>main armée en mer ainsi qu</w:t>
      </w:r>
      <w:r w:rsidR="004C5E26">
        <w:rPr>
          <w:lang w:val="fr-FR"/>
        </w:rPr>
        <w:t>’</w:t>
      </w:r>
      <w:r w:rsidRPr="00720C18">
        <w:rPr>
          <w:lang w:val="fr-FR"/>
        </w:rPr>
        <w:t>à l</w:t>
      </w:r>
      <w:r w:rsidR="004C5E26">
        <w:rPr>
          <w:lang w:val="fr-FR"/>
        </w:rPr>
        <w:t>’</w:t>
      </w:r>
      <w:r w:rsidRPr="00720C18">
        <w:rPr>
          <w:lang w:val="fr-FR"/>
        </w:rPr>
        <w:t>établissement de la compétence nationale pour ces crimes. Des membres ont émis des doutes sur certains points des projets d</w:t>
      </w:r>
      <w:r w:rsidR="004C5E26">
        <w:rPr>
          <w:lang w:val="fr-FR"/>
        </w:rPr>
        <w:t>’</w:t>
      </w:r>
      <w:r w:rsidRPr="00720C18">
        <w:rPr>
          <w:lang w:val="fr-FR"/>
        </w:rPr>
        <w:t>article proposés, notamment l</w:t>
      </w:r>
      <w:r w:rsidR="004C5E26">
        <w:rPr>
          <w:lang w:val="fr-FR"/>
        </w:rPr>
        <w:t>’</w:t>
      </w:r>
      <w:r w:rsidRPr="00720C18">
        <w:rPr>
          <w:lang w:val="fr-FR"/>
        </w:rPr>
        <w:t>obligation</w:t>
      </w:r>
      <w:r w:rsidRPr="00E76779">
        <w:rPr>
          <w:lang w:val="fr-FR"/>
        </w:rPr>
        <w:t xml:space="preserve"> de réprimer la piraterie et le vol à main armée en mer, la référence au « conflit armé », le fait que le vol à main armée en mer soit qualifié de crime de droit international</w:t>
      </w:r>
      <w:r>
        <w:rPr>
          <w:lang w:val="fr-FR"/>
        </w:rPr>
        <w:t>,</w:t>
      </w:r>
      <w:r w:rsidRPr="00E76779">
        <w:rPr>
          <w:lang w:val="fr-FR"/>
        </w:rPr>
        <w:t xml:space="preserve"> la nécessité de coopérer avec les acteurs non étatiques, la référence aux infractions commises sur ordre d</w:t>
      </w:r>
      <w:r w:rsidR="004C5E26">
        <w:rPr>
          <w:lang w:val="fr-FR"/>
        </w:rPr>
        <w:t>’</w:t>
      </w:r>
      <w:r w:rsidRPr="00E76779">
        <w:rPr>
          <w:lang w:val="fr-FR"/>
        </w:rPr>
        <w:t>un gouvernement ou à celles commises par une personne exerçant une fonction officielle, l</w:t>
      </w:r>
      <w:r w:rsidR="004C5E26">
        <w:rPr>
          <w:lang w:val="fr-FR"/>
        </w:rPr>
        <w:t>’</w:t>
      </w:r>
      <w:r w:rsidRPr="00E76779">
        <w:rPr>
          <w:lang w:val="fr-FR"/>
        </w:rPr>
        <w:t>idée que la piraterie et le vol à main armée en mer ne devraient être soumis à aucune prescription et l</w:t>
      </w:r>
      <w:r w:rsidR="004C5E26">
        <w:rPr>
          <w:lang w:val="fr-FR"/>
        </w:rPr>
        <w:t>’</w:t>
      </w:r>
      <w:r w:rsidRPr="00E76779">
        <w:rPr>
          <w:lang w:val="fr-FR"/>
        </w:rPr>
        <w:t>application de la compétence universelle au vol à main armée en mer</w:t>
      </w:r>
      <w:r w:rsidRPr="001B61C8">
        <w:rPr>
          <w:lang w:val="fr-FR"/>
        </w:rPr>
        <w:t>.</w:t>
      </w:r>
      <w:r>
        <w:rPr>
          <w:lang w:val="fr-FR"/>
        </w:rPr>
        <w:t xml:space="preserve"> Des membres ont également fait observer que la Commission gagnerait à avoir un débat sur une « feuille de route » ou un cadre général pour l</w:t>
      </w:r>
      <w:r w:rsidR="004C5E26">
        <w:rPr>
          <w:lang w:val="fr-FR"/>
        </w:rPr>
        <w:t>’</w:t>
      </w:r>
      <w:r>
        <w:rPr>
          <w:lang w:val="fr-FR"/>
        </w:rPr>
        <w:t>analyse du sujet.</w:t>
      </w:r>
    </w:p>
    <w:p w14:paraId="7E116A87" w14:textId="25290FE2" w:rsidR="00C324CF" w:rsidRPr="00E76779" w:rsidRDefault="00C324CF" w:rsidP="00C324CF">
      <w:pPr>
        <w:pStyle w:val="SingleTxtG"/>
        <w:rPr>
          <w:lang w:val="fr-FR"/>
        </w:rPr>
      </w:pPr>
      <w:r>
        <w:rPr>
          <w:lang w:val="fr-FR"/>
        </w:rPr>
        <w:t>29</w:t>
      </w:r>
      <w:r w:rsidRPr="001B61C8">
        <w:rPr>
          <w:lang w:val="fr-FR"/>
        </w:rPr>
        <w:t>.</w:t>
      </w:r>
      <w:r w:rsidRPr="00E76779">
        <w:rPr>
          <w:lang w:val="fr-FR"/>
        </w:rPr>
        <w:tab/>
        <w:t>À l</w:t>
      </w:r>
      <w:r w:rsidR="004C5E26">
        <w:rPr>
          <w:lang w:val="fr-FR"/>
        </w:rPr>
        <w:t>’</w:t>
      </w:r>
      <w:r w:rsidRPr="00E76779">
        <w:rPr>
          <w:lang w:val="fr-FR"/>
        </w:rPr>
        <w:t>issue du débat en plénière, la Commission a décidé de renvoyer au Comité de rédaction les projets d</w:t>
      </w:r>
      <w:r w:rsidR="004C5E26">
        <w:rPr>
          <w:lang w:val="fr-FR"/>
        </w:rPr>
        <w:t>’</w:t>
      </w:r>
      <w:r w:rsidRPr="00E76779">
        <w:rPr>
          <w:lang w:val="fr-FR"/>
        </w:rPr>
        <w:t>articles 4, 5, 6 et 7 tels qu</w:t>
      </w:r>
      <w:r w:rsidR="004C5E26">
        <w:rPr>
          <w:lang w:val="fr-FR"/>
        </w:rPr>
        <w:t>’</w:t>
      </w:r>
      <w:r w:rsidRPr="00E76779">
        <w:rPr>
          <w:lang w:val="fr-FR"/>
        </w:rPr>
        <w:t>ils figuraient dans le rapport du Rapporteur spécial, compte tenu des vues qui avaient été exprimées</w:t>
      </w:r>
      <w:r w:rsidRPr="001B61C8">
        <w:rPr>
          <w:lang w:val="fr-FR"/>
        </w:rPr>
        <w:t>.</w:t>
      </w:r>
      <w:r w:rsidRPr="00E76779">
        <w:rPr>
          <w:lang w:val="fr-FR"/>
        </w:rPr>
        <w:t xml:space="preserve"> Il était entendu que le Comité aurait d</w:t>
      </w:r>
      <w:r w:rsidR="004C5E26">
        <w:rPr>
          <w:lang w:val="fr-FR"/>
        </w:rPr>
        <w:t>’</w:t>
      </w:r>
      <w:r w:rsidRPr="00E76779">
        <w:rPr>
          <w:lang w:val="fr-FR"/>
        </w:rPr>
        <w:t>abord une discussion générale sur le sujet dans son ensemble et sur l</w:t>
      </w:r>
      <w:r w:rsidR="004C5E26">
        <w:rPr>
          <w:lang w:val="fr-FR"/>
        </w:rPr>
        <w:t>’</w:t>
      </w:r>
      <w:r w:rsidRPr="00E76779">
        <w:rPr>
          <w:lang w:val="fr-FR"/>
        </w:rPr>
        <w:t>orientation à donner aux travaux</w:t>
      </w:r>
      <w:r w:rsidRPr="001B61C8">
        <w:rPr>
          <w:lang w:val="fr-FR"/>
        </w:rPr>
        <w:t>.</w:t>
      </w:r>
      <w:r w:rsidRPr="00E76779">
        <w:rPr>
          <w:lang w:val="fr-FR"/>
        </w:rPr>
        <w:t xml:space="preserve"> Au cours de la discussion en question, </w:t>
      </w:r>
      <w:r>
        <w:rPr>
          <w:lang w:val="fr-FR"/>
        </w:rPr>
        <w:t>d</w:t>
      </w:r>
      <w:r w:rsidRPr="00E76779">
        <w:rPr>
          <w:lang w:val="fr-FR"/>
        </w:rPr>
        <w:t>es membres du Comité de rédaction sont convenus que la Convention des Nations Unies sur le droit de la mer constituait le point de départ de l</w:t>
      </w:r>
      <w:r w:rsidR="004C5E26">
        <w:rPr>
          <w:lang w:val="fr-FR"/>
        </w:rPr>
        <w:t>’</w:t>
      </w:r>
      <w:r w:rsidRPr="00E76779">
        <w:rPr>
          <w:lang w:val="fr-FR"/>
        </w:rPr>
        <w:t>étude du sujet et que l</w:t>
      </w:r>
      <w:r w:rsidR="004C5E26">
        <w:rPr>
          <w:lang w:val="fr-FR"/>
        </w:rPr>
        <w:t>’</w:t>
      </w:r>
      <w:r w:rsidRPr="00E76779">
        <w:rPr>
          <w:lang w:val="fr-FR"/>
        </w:rPr>
        <w:t xml:space="preserve">approche </w:t>
      </w:r>
      <w:r>
        <w:rPr>
          <w:lang w:val="fr-FR"/>
        </w:rPr>
        <w:t>adoptée par</w:t>
      </w:r>
      <w:r w:rsidRPr="00E76779">
        <w:rPr>
          <w:lang w:val="fr-FR"/>
        </w:rPr>
        <w:t xml:space="preserve"> la Commission </w:t>
      </w:r>
      <w:r>
        <w:rPr>
          <w:lang w:val="fr-FR"/>
        </w:rPr>
        <w:t>é</w:t>
      </w:r>
      <w:r w:rsidRPr="00E76779">
        <w:rPr>
          <w:lang w:val="fr-FR"/>
        </w:rPr>
        <w:t xml:space="preserve">tait </w:t>
      </w:r>
      <w:r>
        <w:rPr>
          <w:lang w:val="fr-FR"/>
        </w:rPr>
        <w:t>de ne</w:t>
      </w:r>
      <w:r w:rsidRPr="00E76779">
        <w:rPr>
          <w:lang w:val="fr-FR"/>
        </w:rPr>
        <w:t xml:space="preserve"> pas modifier les limites normatives fixées par la Convention, mais </w:t>
      </w:r>
      <w:r>
        <w:rPr>
          <w:lang w:val="fr-FR"/>
        </w:rPr>
        <w:t>d</w:t>
      </w:r>
      <w:r w:rsidR="004C5E26">
        <w:rPr>
          <w:lang w:val="fr-FR"/>
        </w:rPr>
        <w:t>’</w:t>
      </w:r>
      <w:r>
        <w:rPr>
          <w:lang w:val="fr-FR"/>
        </w:rPr>
        <w:t>y</w:t>
      </w:r>
      <w:r w:rsidRPr="00E76779">
        <w:rPr>
          <w:lang w:val="fr-FR"/>
        </w:rPr>
        <w:t xml:space="preserve"> </w:t>
      </w:r>
      <w:r>
        <w:rPr>
          <w:lang w:val="fr-FR"/>
        </w:rPr>
        <w:t xml:space="preserve">inscrire </w:t>
      </w:r>
      <w:r w:rsidRPr="00E76779">
        <w:rPr>
          <w:lang w:val="fr-FR"/>
        </w:rPr>
        <w:t>ses travaux</w:t>
      </w:r>
      <w:r w:rsidRPr="001B61C8">
        <w:rPr>
          <w:lang w:val="fr-FR"/>
        </w:rPr>
        <w:t>.</w:t>
      </w:r>
      <w:r w:rsidRPr="00E76779">
        <w:rPr>
          <w:lang w:val="fr-FR"/>
        </w:rPr>
        <w:t xml:space="preserve"> Comme cette convention ne traitait pas expressément du vol à main armée en mer, la Commission pourrait clarifier les règles pertinentes, les questions qui n</w:t>
      </w:r>
      <w:r w:rsidR="004C5E26">
        <w:rPr>
          <w:lang w:val="fr-FR"/>
        </w:rPr>
        <w:t>’</w:t>
      </w:r>
      <w:r w:rsidRPr="00E76779">
        <w:rPr>
          <w:lang w:val="fr-FR"/>
        </w:rPr>
        <w:t>étaient pas réglementées par la Convention des Nations Unies sur le droit de la mer étant régies par le droit international général</w:t>
      </w:r>
      <w:r w:rsidRPr="001B61C8">
        <w:rPr>
          <w:lang w:val="fr-FR"/>
        </w:rPr>
        <w:t>.</w:t>
      </w:r>
      <w:r w:rsidRPr="00E76779">
        <w:rPr>
          <w:lang w:val="fr-FR"/>
        </w:rPr>
        <w:t xml:space="preserve"> La pertinence d</w:t>
      </w:r>
      <w:r w:rsidR="004C5E26">
        <w:rPr>
          <w:lang w:val="fr-FR"/>
        </w:rPr>
        <w:t>’</w:t>
      </w:r>
      <w:r w:rsidRPr="00E76779">
        <w:rPr>
          <w:lang w:val="fr-FR"/>
        </w:rPr>
        <w:t>autres instruments, notamment la Convention pour la répression d</w:t>
      </w:r>
      <w:r w:rsidR="004C5E26">
        <w:rPr>
          <w:lang w:val="fr-FR"/>
        </w:rPr>
        <w:t>’</w:t>
      </w:r>
      <w:r w:rsidRPr="00E76779">
        <w:rPr>
          <w:lang w:val="fr-FR"/>
        </w:rPr>
        <w:t>actes illicites contre la sécurité de la navigation maritime, la Convention des Nations Unies contre la criminalité transnationale organisée et leurs protocoles respectifs, a été soulignée</w:t>
      </w:r>
      <w:r w:rsidRPr="001B61C8">
        <w:rPr>
          <w:lang w:val="fr-FR"/>
        </w:rPr>
        <w:t>.</w:t>
      </w:r>
      <w:r w:rsidRPr="00E76779">
        <w:rPr>
          <w:lang w:val="fr-FR"/>
        </w:rPr>
        <w:t xml:space="preserve"> Le Comité de rédaction a recensé les domaines dans lesquels il y avait des lacunes ou des questions juridiques à examiner</w:t>
      </w:r>
      <w:r w:rsidRPr="001B61C8">
        <w:rPr>
          <w:lang w:val="fr-FR"/>
        </w:rPr>
        <w:t>.</w:t>
      </w:r>
      <w:r w:rsidRPr="00E76779">
        <w:rPr>
          <w:lang w:val="fr-FR"/>
        </w:rPr>
        <w:t xml:space="preserve"> Il fallait se pencher, entre autres, sur les définitions de la piraterie et du vol à main armée en mer (notamment le sens à donner aux expressions « actes illicites de violence ou […] déprédation » et « fins privées »), les nouvelles technologies (notamment l</w:t>
      </w:r>
      <w:r w:rsidR="004C5E26">
        <w:rPr>
          <w:lang w:val="fr-FR"/>
        </w:rPr>
        <w:t>’</w:t>
      </w:r>
      <w:r w:rsidRPr="00E76779">
        <w:rPr>
          <w:lang w:val="fr-FR"/>
        </w:rPr>
        <w:t>utilisation de drones et d</w:t>
      </w:r>
      <w:r w:rsidR="004C5E26">
        <w:rPr>
          <w:lang w:val="fr-FR"/>
        </w:rPr>
        <w:t>’</w:t>
      </w:r>
      <w:r w:rsidRPr="00E76779">
        <w:rPr>
          <w:lang w:val="fr-FR"/>
        </w:rPr>
        <w:t>engins autonomes), la piraterie moderne, y compris les actes commis sur terre, et d</w:t>
      </w:r>
      <w:r w:rsidR="004C5E26">
        <w:rPr>
          <w:lang w:val="fr-FR"/>
        </w:rPr>
        <w:t>’</w:t>
      </w:r>
      <w:r w:rsidRPr="00E76779">
        <w:rPr>
          <w:lang w:val="fr-FR"/>
        </w:rPr>
        <w:t>autres questions concernant notamment les législations nationales, la compétence, l</w:t>
      </w:r>
      <w:r w:rsidR="004C5E26">
        <w:rPr>
          <w:lang w:val="fr-FR"/>
        </w:rPr>
        <w:t>’</w:t>
      </w:r>
      <w:r w:rsidRPr="00E76779">
        <w:rPr>
          <w:lang w:val="fr-FR"/>
        </w:rPr>
        <w:t>exécution, la poursuite des criminels, les entreprises de sécurité privées et les causes profondes de la piraterie</w:t>
      </w:r>
      <w:r w:rsidRPr="001B61C8">
        <w:rPr>
          <w:lang w:val="fr-FR"/>
        </w:rPr>
        <w:t>.</w:t>
      </w:r>
      <w:r w:rsidRPr="00E76779">
        <w:rPr>
          <w:lang w:val="fr-FR"/>
        </w:rPr>
        <w:t xml:space="preserve"> Il fallait également s</w:t>
      </w:r>
      <w:r w:rsidR="004C5E26">
        <w:rPr>
          <w:lang w:val="fr-FR"/>
        </w:rPr>
        <w:t>’</w:t>
      </w:r>
      <w:r w:rsidRPr="00E76779">
        <w:rPr>
          <w:lang w:val="fr-FR"/>
        </w:rPr>
        <w:t>intéresser aux modalités de la coopération, notamment le partage des agents embarqués des services de lutte contre la criminalité (« </w:t>
      </w:r>
      <w:proofErr w:type="spellStart"/>
      <w:r w:rsidRPr="00E76779">
        <w:rPr>
          <w:i/>
          <w:iCs/>
          <w:lang w:val="fr-FR"/>
        </w:rPr>
        <w:t>shipriders</w:t>
      </w:r>
      <w:proofErr w:type="spellEnd"/>
      <w:r w:rsidRPr="00E76779">
        <w:rPr>
          <w:lang w:val="fr-FR"/>
        </w:rPr>
        <w:t> »), l</w:t>
      </w:r>
      <w:r w:rsidR="004C5E26">
        <w:rPr>
          <w:lang w:val="fr-FR"/>
        </w:rPr>
        <w:t>’</w:t>
      </w:r>
      <w:r w:rsidRPr="00E76779">
        <w:rPr>
          <w:lang w:val="fr-FR"/>
        </w:rPr>
        <w:t>entraide judiciaire internationale et les considérations relatives aux droits de l</w:t>
      </w:r>
      <w:r w:rsidR="004C5E26">
        <w:rPr>
          <w:lang w:val="fr-FR"/>
        </w:rPr>
        <w:t>’</w:t>
      </w:r>
      <w:r w:rsidRPr="00E76779">
        <w:rPr>
          <w:lang w:val="fr-FR"/>
        </w:rPr>
        <w:t>homme</w:t>
      </w:r>
      <w:r w:rsidRPr="001B61C8">
        <w:rPr>
          <w:lang w:val="fr-FR"/>
        </w:rPr>
        <w:t>.</w:t>
      </w:r>
      <w:r w:rsidRPr="00E76779">
        <w:rPr>
          <w:lang w:val="fr-FR"/>
        </w:rPr>
        <w:t xml:space="preserve"> Le Comité de rédaction a constaté que les fondements juridictionnels pertinents étaient différents pour la piraterie et pour le vol à main armée</w:t>
      </w:r>
      <w:r w:rsidRPr="001B61C8">
        <w:rPr>
          <w:lang w:val="fr-FR"/>
        </w:rPr>
        <w:t>.</w:t>
      </w:r>
      <w:r w:rsidRPr="00E76779">
        <w:rPr>
          <w:lang w:val="fr-FR"/>
        </w:rPr>
        <w:t xml:space="preserve"> Les fondements juridiques des règles relatives au vol à main armée en mer n</w:t>
      </w:r>
      <w:r w:rsidR="004C5E26">
        <w:rPr>
          <w:lang w:val="fr-FR"/>
        </w:rPr>
        <w:t>’</w:t>
      </w:r>
      <w:r w:rsidRPr="00E76779">
        <w:rPr>
          <w:lang w:val="fr-FR"/>
        </w:rPr>
        <w:t>étaient pas aussi clairs que les dispositions sur la piraterie figurant dans la Convention des Nations</w:t>
      </w:r>
      <w:r>
        <w:rPr>
          <w:lang w:val="fr-FR"/>
        </w:rPr>
        <w:t> </w:t>
      </w:r>
      <w:r w:rsidRPr="00E76779">
        <w:rPr>
          <w:lang w:val="fr-FR"/>
        </w:rPr>
        <w:t>Unies sur le droit de la mer, mais il convenait de les examiner de manière coordonnée et de les traiter ensemble et séparément, selon que de besoin</w:t>
      </w:r>
      <w:r w:rsidRPr="001B61C8">
        <w:rPr>
          <w:lang w:val="fr-FR"/>
        </w:rPr>
        <w:t>.</w:t>
      </w:r>
      <w:r w:rsidRPr="00E76779">
        <w:rPr>
          <w:lang w:val="fr-FR"/>
        </w:rPr>
        <w:t xml:space="preserve"> Des membres du Comité de rédaction ont en outre recensé plusieurs domaines dans lesquels la Commission pourrait faire œuvre utile en proposant des projets d</w:t>
      </w:r>
      <w:r w:rsidR="004C5E26">
        <w:rPr>
          <w:lang w:val="fr-FR"/>
        </w:rPr>
        <w:t>’</w:t>
      </w:r>
      <w:r w:rsidRPr="00E76779">
        <w:rPr>
          <w:lang w:val="fr-FR"/>
        </w:rPr>
        <w:t>article dans la perspective d</w:t>
      </w:r>
      <w:r w:rsidR="004C5E26">
        <w:rPr>
          <w:lang w:val="fr-FR"/>
        </w:rPr>
        <w:t>’</w:t>
      </w:r>
      <w:r w:rsidRPr="00E76779">
        <w:rPr>
          <w:lang w:val="fr-FR"/>
        </w:rPr>
        <w:t>une éventuelle convention</w:t>
      </w:r>
      <w:r w:rsidRPr="001B61C8">
        <w:rPr>
          <w:lang w:val="fr-FR"/>
        </w:rPr>
        <w:t>.</w:t>
      </w:r>
      <w:bookmarkStart w:id="14" w:name="_Hlk171156559"/>
      <w:bookmarkEnd w:id="14"/>
    </w:p>
    <w:p w14:paraId="7D30A8F0" w14:textId="226C9921" w:rsidR="00C324CF" w:rsidRPr="00E76779" w:rsidRDefault="00C324CF" w:rsidP="00C324CF">
      <w:pPr>
        <w:pStyle w:val="SingleTxtG"/>
        <w:rPr>
          <w:lang w:val="fr-FR"/>
        </w:rPr>
      </w:pPr>
      <w:bookmarkStart w:id="15" w:name="_Hlk171320966"/>
      <w:r>
        <w:rPr>
          <w:lang w:val="fr-FR"/>
        </w:rPr>
        <w:t>30</w:t>
      </w:r>
      <w:r w:rsidRPr="001B61C8">
        <w:rPr>
          <w:lang w:val="fr-FR"/>
        </w:rPr>
        <w:t>.</w:t>
      </w:r>
      <w:r w:rsidRPr="00E76779">
        <w:rPr>
          <w:lang w:val="fr-FR"/>
        </w:rPr>
        <w:tab/>
        <w:t>Le Comité de rédaction a examiné les projets d</w:t>
      </w:r>
      <w:r w:rsidR="004C5E26">
        <w:rPr>
          <w:lang w:val="fr-FR"/>
        </w:rPr>
        <w:t>’</w:t>
      </w:r>
      <w:r w:rsidRPr="00E76779">
        <w:rPr>
          <w:lang w:val="fr-FR"/>
        </w:rPr>
        <w:t>article proposés par le Rapporteur spécial et adopté le projet d</w:t>
      </w:r>
      <w:r w:rsidR="004C5E26">
        <w:rPr>
          <w:lang w:val="fr-FR"/>
        </w:rPr>
        <w:t>’</w:t>
      </w:r>
      <w:r w:rsidRPr="00E76779">
        <w:rPr>
          <w:lang w:val="fr-FR"/>
        </w:rPr>
        <w:t>article 4</w:t>
      </w:r>
      <w:r w:rsidRPr="001B61C8">
        <w:rPr>
          <w:lang w:val="fr-FR"/>
        </w:rPr>
        <w:t>.</w:t>
      </w:r>
      <w:r w:rsidRPr="00E76779">
        <w:rPr>
          <w:lang w:val="fr-FR"/>
        </w:rPr>
        <w:t xml:space="preserve"> Cette disposition était issue d</w:t>
      </w:r>
      <w:r w:rsidR="004C5E26">
        <w:rPr>
          <w:lang w:val="fr-FR"/>
        </w:rPr>
        <w:t>’</w:t>
      </w:r>
      <w:r w:rsidRPr="00E76779">
        <w:rPr>
          <w:lang w:val="fr-FR"/>
        </w:rPr>
        <w:t>une proposition révisée du Rapporteur spécial qui faisait fond sur les projets d</w:t>
      </w:r>
      <w:r w:rsidR="004C5E26">
        <w:rPr>
          <w:lang w:val="fr-FR"/>
        </w:rPr>
        <w:t>’</w:t>
      </w:r>
      <w:r w:rsidRPr="00E76779">
        <w:rPr>
          <w:lang w:val="fr-FR"/>
        </w:rPr>
        <w:t>articles 4 et 5</w:t>
      </w:r>
      <w:r w:rsidRPr="001B61C8">
        <w:rPr>
          <w:lang w:val="fr-FR"/>
        </w:rPr>
        <w:t>.</w:t>
      </w:r>
      <w:r w:rsidRPr="00E76779">
        <w:rPr>
          <w:lang w:val="fr-FR"/>
        </w:rPr>
        <w:t xml:space="preserve"> Elle imposait aux États une obligation générale de prévenir et réprimer la piraterie et le vol à main armée en mer, conformément au droit international, d</w:t>
      </w:r>
      <w:r w:rsidR="004C5E26">
        <w:rPr>
          <w:lang w:val="fr-FR"/>
        </w:rPr>
        <w:t>’</w:t>
      </w:r>
      <w:r w:rsidRPr="00E76779">
        <w:rPr>
          <w:lang w:val="fr-FR"/>
        </w:rPr>
        <w:t>une part, en prenant des mesures législatives, administratives, judiciaires ou autres mesures appropriées efficaces et, d</w:t>
      </w:r>
      <w:r w:rsidR="004C5E26">
        <w:rPr>
          <w:lang w:val="fr-FR"/>
        </w:rPr>
        <w:t>’</w:t>
      </w:r>
      <w:r w:rsidRPr="00E76779">
        <w:rPr>
          <w:lang w:val="fr-FR"/>
        </w:rPr>
        <w:t>autre part, en coopérant dans toute la mesure possible avec d</w:t>
      </w:r>
      <w:r w:rsidR="004C5E26">
        <w:rPr>
          <w:lang w:val="fr-FR"/>
        </w:rPr>
        <w:t>’</w:t>
      </w:r>
      <w:r w:rsidRPr="00E76779">
        <w:rPr>
          <w:lang w:val="fr-FR"/>
        </w:rPr>
        <w:t>autres États et les organisations internationales compétentes aux niveaux international, régional et sous-régional</w:t>
      </w:r>
      <w:r w:rsidRPr="001B61C8">
        <w:rPr>
          <w:lang w:val="fr-FR"/>
        </w:rPr>
        <w:t>.</w:t>
      </w:r>
      <w:r w:rsidRPr="00E76779">
        <w:rPr>
          <w:lang w:val="fr-FR"/>
        </w:rPr>
        <w:t xml:space="preserve"> La Commission a pris note du rapport intermédiaire présenté oralement par la Présidente du </w:t>
      </w:r>
      <w:r w:rsidRPr="00E76779">
        <w:rPr>
          <w:lang w:val="fr-FR"/>
        </w:rPr>
        <w:lastRenderedPageBreak/>
        <w:t>Comité de rédaction</w:t>
      </w:r>
      <w:r w:rsidRPr="001B61C8">
        <w:rPr>
          <w:lang w:val="fr-FR"/>
        </w:rPr>
        <w:t>.</w:t>
      </w:r>
      <w:r w:rsidRPr="00E76779">
        <w:rPr>
          <w:lang w:val="fr-FR"/>
        </w:rPr>
        <w:t xml:space="preserve"> Le rapport du Comité de rédaction sur le sujet (</w:t>
      </w:r>
      <w:hyperlink r:id="rId38" w:history="1">
        <w:r w:rsidRPr="00E76779">
          <w:rPr>
            <w:rStyle w:val="Lienhypertexte"/>
            <w:lang w:val="fr-FR"/>
          </w:rPr>
          <w:t>A/CN</w:t>
        </w:r>
        <w:r w:rsidRPr="001B61C8">
          <w:rPr>
            <w:rStyle w:val="Lienhypertexte"/>
            <w:lang w:val="fr-FR"/>
          </w:rPr>
          <w:t>.</w:t>
        </w:r>
        <w:r w:rsidRPr="00E76779">
          <w:rPr>
            <w:rStyle w:val="Lienhypertexte"/>
            <w:lang w:val="fr-FR"/>
          </w:rPr>
          <w:t>4/L</w:t>
        </w:r>
        <w:r w:rsidRPr="001B61C8">
          <w:rPr>
            <w:rStyle w:val="Lienhypertexte"/>
            <w:lang w:val="fr-FR"/>
          </w:rPr>
          <w:t>.</w:t>
        </w:r>
        <w:r w:rsidRPr="00E76779">
          <w:rPr>
            <w:rStyle w:val="Lienhypertexte"/>
            <w:lang w:val="fr-FR"/>
          </w:rPr>
          <w:t>1000</w:t>
        </w:r>
      </w:hyperlink>
      <w:r w:rsidRPr="00E76779">
        <w:rPr>
          <w:lang w:val="fr-FR"/>
        </w:rPr>
        <w:t>) serait examiné à une session ultérieure, car il n</w:t>
      </w:r>
      <w:r w:rsidR="004C5E26">
        <w:rPr>
          <w:lang w:val="fr-FR"/>
        </w:rPr>
        <w:t>’</w:t>
      </w:r>
      <w:r w:rsidRPr="00E76779">
        <w:rPr>
          <w:lang w:val="fr-FR"/>
        </w:rPr>
        <w:t>avait pas été possible de rédiger les projets de commentaire à la présente session</w:t>
      </w:r>
      <w:r>
        <w:rPr>
          <w:lang w:val="fr-FR"/>
        </w:rPr>
        <w:t>.</w:t>
      </w:r>
      <w:r w:rsidRPr="00E76779">
        <w:rPr>
          <w:lang w:val="fr-FR"/>
        </w:rPr>
        <w:t xml:space="preserve"> </w:t>
      </w:r>
      <w:r>
        <w:rPr>
          <w:lang w:val="fr-FR"/>
        </w:rPr>
        <w:t>À la suite de la démission de M. Yacouba Cissé, Rapporteur spécial pour le sujet, à sa 3701</w:t>
      </w:r>
      <w:r w:rsidRPr="007141EE">
        <w:rPr>
          <w:vertAlign w:val="superscript"/>
          <w:lang w:val="fr-FR"/>
        </w:rPr>
        <w:t>e</w:t>
      </w:r>
      <w:r>
        <w:rPr>
          <w:lang w:val="fr-FR"/>
        </w:rPr>
        <w:t> séance, le 2 août 2024, la Commission a désigné M. Louis </w:t>
      </w:r>
      <w:proofErr w:type="spellStart"/>
      <w:r>
        <w:rPr>
          <w:lang w:val="fr-FR"/>
        </w:rPr>
        <w:t>Savadogo</w:t>
      </w:r>
      <w:proofErr w:type="spellEnd"/>
      <w:r>
        <w:rPr>
          <w:lang w:val="fr-FR"/>
        </w:rPr>
        <w:t xml:space="preserve"> Rapporteur spécial</w:t>
      </w:r>
      <w:r w:rsidRPr="00E76779">
        <w:rPr>
          <w:lang w:val="fr-FR"/>
        </w:rPr>
        <w:t xml:space="preserve"> (chap</w:t>
      </w:r>
      <w:r w:rsidRPr="001B61C8">
        <w:rPr>
          <w:lang w:val="fr-FR"/>
        </w:rPr>
        <w:t>.</w:t>
      </w:r>
      <w:r>
        <w:rPr>
          <w:lang w:val="fr-FR"/>
        </w:rPr>
        <w:t> </w:t>
      </w:r>
      <w:r w:rsidRPr="00E76779">
        <w:rPr>
          <w:lang w:val="fr-FR"/>
        </w:rPr>
        <w:t>VI)</w:t>
      </w:r>
      <w:r w:rsidRPr="001B61C8">
        <w:rPr>
          <w:lang w:val="fr-FR"/>
        </w:rPr>
        <w:t>.</w:t>
      </w:r>
      <w:bookmarkEnd w:id="15"/>
    </w:p>
    <w:p w14:paraId="4ECE05AF" w14:textId="411FFA22" w:rsidR="00C324CF" w:rsidRPr="00E76779" w:rsidRDefault="00C324CF" w:rsidP="00C324CF">
      <w:pPr>
        <w:pStyle w:val="SingleTxtG"/>
        <w:rPr>
          <w:lang w:val="fr-FR"/>
        </w:rPr>
      </w:pPr>
      <w:r>
        <w:rPr>
          <w:lang w:val="fr-FR"/>
        </w:rPr>
        <w:t>31</w:t>
      </w:r>
      <w:r w:rsidRPr="001B61C8">
        <w:rPr>
          <w:lang w:val="fr-FR"/>
        </w:rPr>
        <w:t>.</w:t>
      </w:r>
      <w:r w:rsidRPr="00E76779">
        <w:rPr>
          <w:lang w:val="fr-FR"/>
        </w:rPr>
        <w:tab/>
        <w:t>En ce qui concerne le sujet «</w:t>
      </w:r>
      <w:r>
        <w:rPr>
          <w:lang w:val="fr-FR"/>
        </w:rPr>
        <w:t> </w:t>
      </w:r>
      <w:r w:rsidRPr="00E76779">
        <w:rPr>
          <w:b/>
          <w:bCs/>
          <w:lang w:val="fr-FR"/>
        </w:rPr>
        <w:t>Immunité de juridiction pénale étrangère des représentants de l</w:t>
      </w:r>
      <w:r w:rsidR="004C5E26">
        <w:rPr>
          <w:b/>
          <w:bCs/>
          <w:lang w:val="fr-FR"/>
        </w:rPr>
        <w:t>’</w:t>
      </w:r>
      <w:r w:rsidRPr="00E76779">
        <w:rPr>
          <w:b/>
          <w:bCs/>
          <w:lang w:val="fr-FR"/>
        </w:rPr>
        <w:t>État</w:t>
      </w:r>
      <w:r w:rsidRPr="00E76779">
        <w:rPr>
          <w:lang w:val="fr-FR"/>
        </w:rPr>
        <w:t xml:space="preserve"> », la Commission était saisie du premier rapport du Rapporteur spécial Claudio Grossman </w:t>
      </w:r>
      <w:proofErr w:type="spellStart"/>
      <w:r w:rsidRPr="00E76779">
        <w:rPr>
          <w:lang w:val="fr-FR"/>
        </w:rPr>
        <w:t>Guiloff</w:t>
      </w:r>
      <w:proofErr w:type="spellEnd"/>
      <w:r w:rsidRPr="00E76779">
        <w:rPr>
          <w:lang w:val="fr-FR"/>
        </w:rPr>
        <w:t xml:space="preserve"> (</w:t>
      </w:r>
      <w:hyperlink r:id="rId39" w:history="1">
        <w:r w:rsidRPr="00E76779">
          <w:rPr>
            <w:rStyle w:val="Lienhypertexte"/>
            <w:lang w:val="fr-FR"/>
          </w:rPr>
          <w:t>A/CN</w:t>
        </w:r>
        <w:r w:rsidRPr="001B61C8">
          <w:rPr>
            <w:rStyle w:val="Lienhypertexte"/>
            <w:lang w:val="fr-FR"/>
          </w:rPr>
          <w:t>.</w:t>
        </w:r>
        <w:r w:rsidRPr="00E76779">
          <w:rPr>
            <w:rStyle w:val="Lienhypertexte"/>
            <w:lang w:val="fr-FR"/>
          </w:rPr>
          <w:t>4/775</w:t>
        </w:r>
      </w:hyperlink>
      <w:r w:rsidRPr="00E76779">
        <w:rPr>
          <w:lang w:val="fr-FR"/>
        </w:rPr>
        <w:t>), qui portait sur les projets d</w:t>
      </w:r>
      <w:r w:rsidR="004C5E26">
        <w:rPr>
          <w:lang w:val="fr-FR"/>
        </w:rPr>
        <w:t>’</w:t>
      </w:r>
      <w:r w:rsidRPr="00E76779">
        <w:rPr>
          <w:lang w:val="fr-FR"/>
        </w:rPr>
        <w:t>articles</w:t>
      </w:r>
      <w:r>
        <w:rPr>
          <w:lang w:val="fr-FR"/>
        </w:rPr>
        <w:t> 1</w:t>
      </w:r>
      <w:r w:rsidRPr="00E76779">
        <w:rPr>
          <w:lang w:val="fr-FR"/>
        </w:rPr>
        <w:t xml:space="preserve"> à 6</w:t>
      </w:r>
      <w:r w:rsidRPr="001B61C8">
        <w:rPr>
          <w:lang w:val="fr-FR"/>
        </w:rPr>
        <w:t>.</w:t>
      </w:r>
      <w:r w:rsidRPr="00E76779">
        <w:rPr>
          <w:lang w:val="fr-FR"/>
        </w:rPr>
        <w:t xml:space="preserve"> Le Rapporteur spécial a expliqué certaines des difficultés auxquelles il s</w:t>
      </w:r>
      <w:r w:rsidR="004C5E26">
        <w:rPr>
          <w:lang w:val="fr-FR"/>
        </w:rPr>
        <w:t>’</w:t>
      </w:r>
      <w:r w:rsidRPr="00E76779">
        <w:rPr>
          <w:lang w:val="fr-FR"/>
        </w:rPr>
        <w:t>était heurté dans l</w:t>
      </w:r>
      <w:r w:rsidR="004C5E26">
        <w:rPr>
          <w:lang w:val="fr-FR"/>
        </w:rPr>
        <w:t>’</w:t>
      </w:r>
      <w:r w:rsidRPr="00E76779">
        <w:rPr>
          <w:lang w:val="fr-FR"/>
        </w:rPr>
        <w:t>élaboration du rapport</w:t>
      </w:r>
      <w:r w:rsidRPr="001B61C8">
        <w:rPr>
          <w:lang w:val="fr-FR"/>
        </w:rPr>
        <w:t>.</w:t>
      </w:r>
      <w:r w:rsidRPr="00E76779">
        <w:rPr>
          <w:lang w:val="fr-FR"/>
        </w:rPr>
        <w:t xml:space="preserve"> La présentation des observations des États à l</w:t>
      </w:r>
      <w:r w:rsidR="004C5E26">
        <w:rPr>
          <w:lang w:val="fr-FR"/>
        </w:rPr>
        <w:t>’</w:t>
      </w:r>
      <w:r w:rsidRPr="00E76779">
        <w:rPr>
          <w:lang w:val="fr-FR"/>
        </w:rPr>
        <w:t xml:space="preserve">égard des </w:t>
      </w:r>
      <w:r>
        <w:rPr>
          <w:lang w:val="fr-FR"/>
        </w:rPr>
        <w:t xml:space="preserve">seuls </w:t>
      </w:r>
      <w:r w:rsidRPr="00E76779">
        <w:rPr>
          <w:lang w:val="fr-FR"/>
        </w:rPr>
        <w:t>projets d</w:t>
      </w:r>
      <w:r w:rsidR="004C5E26">
        <w:rPr>
          <w:lang w:val="fr-FR"/>
        </w:rPr>
        <w:t>’</w:t>
      </w:r>
      <w:r w:rsidRPr="00E76779">
        <w:rPr>
          <w:lang w:val="fr-FR"/>
        </w:rPr>
        <w:t>articles</w:t>
      </w:r>
      <w:r>
        <w:rPr>
          <w:lang w:val="fr-FR"/>
        </w:rPr>
        <w:t> 1</w:t>
      </w:r>
      <w:r w:rsidRPr="00E76779">
        <w:rPr>
          <w:lang w:val="fr-FR"/>
        </w:rPr>
        <w:t xml:space="preserve"> à 6 permettait, conformément au souhait exprimé par certains États, de disposer de plus de temps pour réfléchir au sujet et de consacrer plus d</w:t>
      </w:r>
      <w:r w:rsidR="004C5E26">
        <w:rPr>
          <w:lang w:val="fr-FR"/>
        </w:rPr>
        <w:t>’</w:t>
      </w:r>
      <w:r w:rsidRPr="00E76779">
        <w:rPr>
          <w:lang w:val="fr-FR"/>
        </w:rPr>
        <w:t>une session à la seconde lecture</w:t>
      </w:r>
      <w:r w:rsidRPr="001B61C8">
        <w:rPr>
          <w:lang w:val="fr-FR"/>
        </w:rPr>
        <w:t>.</w:t>
      </w:r>
      <w:r w:rsidRPr="00E76779">
        <w:rPr>
          <w:lang w:val="fr-FR"/>
        </w:rPr>
        <w:t xml:space="preserve"> Le rapport dans lequel le Rapporteur spécial analyserait les commentaires et observations des États concernant les projets d</w:t>
      </w:r>
      <w:r w:rsidR="004C5E26">
        <w:rPr>
          <w:lang w:val="fr-FR"/>
        </w:rPr>
        <w:t>’</w:t>
      </w:r>
      <w:r w:rsidRPr="00E76779">
        <w:rPr>
          <w:lang w:val="fr-FR"/>
        </w:rPr>
        <w:t>articles 7 à 18 serait soumis et examiné en 2025</w:t>
      </w:r>
      <w:r w:rsidRPr="001B61C8">
        <w:rPr>
          <w:lang w:val="fr-FR"/>
        </w:rPr>
        <w:t>.</w:t>
      </w:r>
      <w:r w:rsidRPr="00E76779">
        <w:rPr>
          <w:lang w:val="fr-FR"/>
        </w:rPr>
        <w:t xml:space="preserve"> La Commission était également saisie d</w:t>
      </w:r>
      <w:r w:rsidR="004C5E26">
        <w:rPr>
          <w:lang w:val="fr-FR"/>
        </w:rPr>
        <w:t>’</w:t>
      </w:r>
      <w:r w:rsidRPr="00E76779">
        <w:rPr>
          <w:lang w:val="fr-FR"/>
        </w:rPr>
        <w:t xml:space="preserve">une compilation des commentaires et observations reçus des États </w:t>
      </w:r>
      <w:r>
        <w:rPr>
          <w:lang w:val="fr-FR"/>
        </w:rPr>
        <w:t>au sujet du</w:t>
      </w:r>
      <w:r w:rsidRPr="00E76779">
        <w:rPr>
          <w:lang w:val="fr-FR"/>
        </w:rPr>
        <w:t xml:space="preserve"> projet d</w:t>
      </w:r>
      <w:r w:rsidR="004C5E26">
        <w:rPr>
          <w:lang w:val="fr-FR"/>
        </w:rPr>
        <w:t>’</w:t>
      </w:r>
      <w:r w:rsidRPr="00E76779">
        <w:rPr>
          <w:lang w:val="fr-FR"/>
        </w:rPr>
        <w:t>articles sur l</w:t>
      </w:r>
      <w:r w:rsidR="004C5E26">
        <w:rPr>
          <w:lang w:val="fr-FR"/>
        </w:rPr>
        <w:t>’</w:t>
      </w:r>
      <w:r w:rsidRPr="00E76779">
        <w:rPr>
          <w:lang w:val="fr-FR"/>
        </w:rPr>
        <w:t>immunité de juridiction pénale étrangère des représentants de l</w:t>
      </w:r>
      <w:r w:rsidR="004C5E26">
        <w:rPr>
          <w:lang w:val="fr-FR"/>
        </w:rPr>
        <w:t>’</w:t>
      </w:r>
      <w:r w:rsidRPr="00E76779">
        <w:rPr>
          <w:lang w:val="fr-FR"/>
        </w:rPr>
        <w:t>État</w:t>
      </w:r>
      <w:r>
        <w:rPr>
          <w:lang w:val="fr-FR"/>
        </w:rPr>
        <w:t xml:space="preserve"> qu</w:t>
      </w:r>
      <w:r w:rsidR="004C5E26">
        <w:rPr>
          <w:lang w:val="fr-FR"/>
        </w:rPr>
        <w:t>’</w:t>
      </w:r>
      <w:r>
        <w:rPr>
          <w:lang w:val="fr-FR"/>
        </w:rPr>
        <w:t>elle avait</w:t>
      </w:r>
      <w:r w:rsidRPr="00E76779">
        <w:rPr>
          <w:lang w:val="fr-FR"/>
        </w:rPr>
        <w:t xml:space="preserve"> adopté en première lecture</w:t>
      </w:r>
      <w:r>
        <w:rPr>
          <w:lang w:val="fr-FR"/>
        </w:rPr>
        <w:t xml:space="preserve"> à sa soixante</w:t>
      </w:r>
      <w:r>
        <w:rPr>
          <w:lang w:val="fr-FR"/>
        </w:rPr>
        <w:noBreakHyphen/>
        <w:t>treizième session</w:t>
      </w:r>
      <w:r w:rsidRPr="00E76779">
        <w:rPr>
          <w:lang w:val="fr-FR"/>
        </w:rPr>
        <w:t xml:space="preserve"> </w:t>
      </w:r>
      <w:r>
        <w:rPr>
          <w:lang w:val="fr-FR"/>
        </w:rPr>
        <w:t xml:space="preserve">(2022) </w:t>
      </w:r>
      <w:r w:rsidRPr="00E76779">
        <w:rPr>
          <w:lang w:val="fr-FR"/>
        </w:rPr>
        <w:t>(</w:t>
      </w:r>
      <w:hyperlink r:id="rId40" w:history="1">
        <w:r w:rsidRPr="00E76779">
          <w:rPr>
            <w:rStyle w:val="Lienhypertexte"/>
            <w:lang w:val="fr-FR"/>
          </w:rPr>
          <w:t>A/CN</w:t>
        </w:r>
        <w:r w:rsidRPr="001B61C8">
          <w:rPr>
            <w:rStyle w:val="Lienhypertexte"/>
            <w:lang w:val="fr-FR"/>
          </w:rPr>
          <w:t>.</w:t>
        </w:r>
        <w:r w:rsidRPr="00E76779">
          <w:rPr>
            <w:rStyle w:val="Lienhypertexte"/>
            <w:lang w:val="fr-FR"/>
          </w:rPr>
          <w:t>4/771</w:t>
        </w:r>
      </w:hyperlink>
      <w:r w:rsidRPr="00E76779">
        <w:rPr>
          <w:lang w:val="fr-FR"/>
        </w:rPr>
        <w:t xml:space="preserve"> et </w:t>
      </w:r>
      <w:hyperlink r:id="rId41" w:history="1">
        <w:r w:rsidRPr="00E76779">
          <w:rPr>
            <w:rStyle w:val="Lienhypertexte"/>
            <w:lang w:val="fr-FR"/>
          </w:rPr>
          <w:t>Add</w:t>
        </w:r>
        <w:r w:rsidRPr="001B61C8">
          <w:rPr>
            <w:rStyle w:val="Lienhypertexte"/>
            <w:lang w:val="fr-FR"/>
          </w:rPr>
          <w:t>.</w:t>
        </w:r>
        <w:r w:rsidRPr="00E76779">
          <w:rPr>
            <w:rStyle w:val="Lienhypertexte"/>
            <w:lang w:val="fr-FR"/>
          </w:rPr>
          <w:t>1</w:t>
        </w:r>
      </w:hyperlink>
      <w:r w:rsidRPr="00E76779">
        <w:rPr>
          <w:lang w:val="fr-FR"/>
        </w:rPr>
        <w:t xml:space="preserve"> et </w:t>
      </w:r>
      <w:hyperlink r:id="rId42" w:history="1">
        <w:r w:rsidRPr="00E76779">
          <w:rPr>
            <w:rStyle w:val="Lienhypertexte"/>
            <w:lang w:val="fr-FR"/>
          </w:rPr>
          <w:t>2</w:t>
        </w:r>
      </w:hyperlink>
      <w:r w:rsidRPr="00E76779">
        <w:rPr>
          <w:lang w:val="fr-FR"/>
        </w:rPr>
        <w:t>)</w:t>
      </w:r>
      <w:r w:rsidRPr="001B61C8">
        <w:rPr>
          <w:lang w:val="fr-FR"/>
        </w:rPr>
        <w:t>.</w:t>
      </w:r>
    </w:p>
    <w:p w14:paraId="50BCE636" w14:textId="00AF62A5" w:rsidR="00C324CF" w:rsidRPr="00E76779" w:rsidRDefault="00C324CF" w:rsidP="00C324CF">
      <w:pPr>
        <w:pStyle w:val="SingleTxtG"/>
        <w:rPr>
          <w:lang w:val="fr-FR"/>
        </w:rPr>
      </w:pPr>
      <w:r>
        <w:rPr>
          <w:lang w:val="fr-FR"/>
        </w:rPr>
        <w:t>32</w:t>
      </w:r>
      <w:r w:rsidRPr="001B61C8">
        <w:rPr>
          <w:lang w:val="fr-FR"/>
        </w:rPr>
        <w:t>.</w:t>
      </w:r>
      <w:r w:rsidRPr="00E76779">
        <w:rPr>
          <w:lang w:val="fr-FR"/>
        </w:rPr>
        <w:tab/>
        <w:t>Dans son premier rapport, le Rapporteur spécial expliquait comment il envisageait l</w:t>
      </w:r>
      <w:r w:rsidR="004C5E26">
        <w:rPr>
          <w:lang w:val="fr-FR"/>
        </w:rPr>
        <w:t>’</w:t>
      </w:r>
      <w:r w:rsidRPr="00E76779">
        <w:rPr>
          <w:lang w:val="fr-FR"/>
        </w:rPr>
        <w:t>examen du projet d</w:t>
      </w:r>
      <w:r w:rsidR="004C5E26">
        <w:rPr>
          <w:lang w:val="fr-FR"/>
        </w:rPr>
        <w:t>’</w:t>
      </w:r>
      <w:r w:rsidRPr="00E76779">
        <w:rPr>
          <w:lang w:val="fr-FR"/>
        </w:rPr>
        <w:t xml:space="preserve">articles en seconde lecture et présentait un résumé des </w:t>
      </w:r>
      <w:r>
        <w:rPr>
          <w:lang w:val="fr-FR"/>
        </w:rPr>
        <w:t xml:space="preserve">commentaires et </w:t>
      </w:r>
      <w:r w:rsidRPr="00E76779">
        <w:rPr>
          <w:lang w:val="fr-FR"/>
        </w:rPr>
        <w:t>observations reçus des États, l</w:t>
      </w:r>
      <w:r w:rsidR="004C5E26">
        <w:rPr>
          <w:lang w:val="fr-FR"/>
        </w:rPr>
        <w:t>’</w:t>
      </w:r>
      <w:r w:rsidRPr="00E76779">
        <w:rPr>
          <w:lang w:val="fr-FR"/>
        </w:rPr>
        <w:t>analyse qu</w:t>
      </w:r>
      <w:r w:rsidR="004C5E26">
        <w:rPr>
          <w:lang w:val="fr-FR"/>
        </w:rPr>
        <w:t>’</w:t>
      </w:r>
      <w:r w:rsidRPr="00E76779">
        <w:rPr>
          <w:lang w:val="fr-FR"/>
        </w:rPr>
        <w:t>il faisait du sujet en sa qualité de Rapporteur spécial et diverses recommandations de modification du projet d</w:t>
      </w:r>
      <w:r w:rsidR="004C5E26">
        <w:rPr>
          <w:lang w:val="fr-FR"/>
        </w:rPr>
        <w:t>’</w:t>
      </w:r>
      <w:r w:rsidRPr="00E76779">
        <w:rPr>
          <w:lang w:val="fr-FR"/>
        </w:rPr>
        <w:t xml:space="preserve">articles destinées à rendre compte des </w:t>
      </w:r>
      <w:r>
        <w:rPr>
          <w:lang w:val="fr-FR"/>
        </w:rPr>
        <w:t>commentaires</w:t>
      </w:r>
      <w:r w:rsidRPr="00E76779">
        <w:rPr>
          <w:lang w:val="fr-FR"/>
        </w:rPr>
        <w:t xml:space="preserve"> des États</w:t>
      </w:r>
      <w:r w:rsidRPr="001B61C8">
        <w:rPr>
          <w:lang w:val="fr-FR"/>
        </w:rPr>
        <w:t>.</w:t>
      </w:r>
      <w:r w:rsidRPr="00E76779">
        <w:rPr>
          <w:lang w:val="fr-FR"/>
        </w:rPr>
        <w:t xml:space="preserve"> Compte tenu des vues exprimées par les États, il proposait que les commentaires apportent davantage de précisions sur ce qui distinguait exercice de la compétence pénale et inviolabilité et expliquent, exemples à l</w:t>
      </w:r>
      <w:r w:rsidR="004C5E26">
        <w:rPr>
          <w:lang w:val="fr-FR"/>
        </w:rPr>
        <w:t>’</w:t>
      </w:r>
      <w:r w:rsidRPr="00E76779">
        <w:rPr>
          <w:lang w:val="fr-FR"/>
        </w:rPr>
        <w:t>appui, ce que recouvraient les termes « représentant de l</w:t>
      </w:r>
      <w:r w:rsidR="004C5E26">
        <w:rPr>
          <w:lang w:val="fr-FR"/>
        </w:rPr>
        <w:t>’</w:t>
      </w:r>
      <w:r w:rsidRPr="00E76779">
        <w:rPr>
          <w:lang w:val="fr-FR"/>
        </w:rPr>
        <w:t>État » et « acte accompli à titre officiel »</w:t>
      </w:r>
      <w:r w:rsidRPr="001B61C8">
        <w:rPr>
          <w:lang w:val="fr-FR"/>
        </w:rPr>
        <w:t>.</w:t>
      </w:r>
      <w:r w:rsidRPr="00E76779">
        <w:rPr>
          <w:lang w:val="fr-FR"/>
        </w:rPr>
        <w:t xml:space="preserve"> Il proposait que le paragraphe 3 du projet d</w:t>
      </w:r>
      <w:r w:rsidR="004C5E26">
        <w:rPr>
          <w:lang w:val="fr-FR"/>
        </w:rPr>
        <w:t>’</w:t>
      </w:r>
      <w:r w:rsidRPr="00E76779">
        <w:rPr>
          <w:lang w:val="fr-FR"/>
        </w:rPr>
        <w:t xml:space="preserve">article </w:t>
      </w:r>
      <w:r w:rsidR="001B2081">
        <w:rPr>
          <w:lang w:val="fr-FR"/>
        </w:rPr>
        <w:t>1</w:t>
      </w:r>
      <w:r w:rsidRPr="00E76779">
        <w:rPr>
          <w:lang w:val="fr-FR"/>
        </w:rPr>
        <w:t xml:space="preserve"> soit modifié de sorte à clarifier le lien avec les juridictions internationales, y compris celles créées par le Conseil de sécurité</w:t>
      </w:r>
      <w:r w:rsidRPr="001B61C8">
        <w:rPr>
          <w:lang w:val="fr-FR"/>
        </w:rPr>
        <w:t>.</w:t>
      </w:r>
      <w:r w:rsidRPr="00E76779">
        <w:rPr>
          <w:lang w:val="fr-FR"/>
        </w:rPr>
        <w:t xml:space="preserve"> Il ne recommandait pas la modification du projet d</w:t>
      </w:r>
      <w:r w:rsidR="004C5E26">
        <w:rPr>
          <w:lang w:val="fr-FR"/>
        </w:rPr>
        <w:t>’</w:t>
      </w:r>
      <w:r w:rsidRPr="00E76779">
        <w:rPr>
          <w:lang w:val="fr-FR"/>
        </w:rPr>
        <w:t>article 3 relatif à la limitation de l</w:t>
      </w:r>
      <w:r w:rsidR="004C5E26">
        <w:rPr>
          <w:lang w:val="fr-FR"/>
        </w:rPr>
        <w:t>’</w:t>
      </w:r>
      <w:r w:rsidRPr="00E76779">
        <w:rPr>
          <w:lang w:val="fr-FR"/>
        </w:rPr>
        <w:t xml:space="preserve">immunité </w:t>
      </w:r>
      <w:r w:rsidRPr="00E76779">
        <w:rPr>
          <w:i/>
          <w:iCs/>
          <w:lang w:val="fr-FR"/>
        </w:rPr>
        <w:t>ratione personae</w:t>
      </w:r>
      <w:r w:rsidRPr="00E76779">
        <w:rPr>
          <w:lang w:val="fr-FR"/>
        </w:rPr>
        <w:t xml:space="preserve"> à la troïka</w:t>
      </w:r>
      <w:r w:rsidRPr="001B61C8">
        <w:rPr>
          <w:lang w:val="fr-FR"/>
        </w:rPr>
        <w:t>.</w:t>
      </w:r>
      <w:r w:rsidRPr="00E76779">
        <w:rPr>
          <w:lang w:val="fr-FR"/>
        </w:rPr>
        <w:t xml:space="preserve"> Toutefois, il proposait que l</w:t>
      </w:r>
      <w:r w:rsidR="004C5E26">
        <w:rPr>
          <w:lang w:val="fr-FR"/>
        </w:rPr>
        <w:t>’</w:t>
      </w:r>
      <w:r w:rsidRPr="00E76779">
        <w:rPr>
          <w:lang w:val="fr-FR"/>
        </w:rPr>
        <w:t>on clarifie quelques-uns des projets d</w:t>
      </w:r>
      <w:r w:rsidR="004C5E26">
        <w:rPr>
          <w:lang w:val="fr-FR"/>
        </w:rPr>
        <w:t>’</w:t>
      </w:r>
      <w:r w:rsidRPr="00E76779">
        <w:rPr>
          <w:lang w:val="fr-FR"/>
        </w:rPr>
        <w:t>article, notamment le projet d</w:t>
      </w:r>
      <w:r w:rsidR="004C5E26">
        <w:rPr>
          <w:lang w:val="fr-FR"/>
        </w:rPr>
        <w:t>’</w:t>
      </w:r>
      <w:r w:rsidRPr="00E76779">
        <w:rPr>
          <w:lang w:val="fr-FR"/>
        </w:rPr>
        <w:t>article 5, que certains États jugeaient problématiques</w:t>
      </w:r>
      <w:r w:rsidRPr="001B61C8">
        <w:rPr>
          <w:lang w:val="fr-FR"/>
        </w:rPr>
        <w:t>.</w:t>
      </w:r>
      <w:r w:rsidRPr="00E76779">
        <w:rPr>
          <w:lang w:val="fr-FR"/>
        </w:rPr>
        <w:t xml:space="preserve"> Il suggérait que le Comité de rédaction examine certaines autres propositions d</w:t>
      </w:r>
      <w:r w:rsidR="004C5E26">
        <w:rPr>
          <w:lang w:val="fr-FR"/>
        </w:rPr>
        <w:t>’</w:t>
      </w:r>
      <w:r w:rsidRPr="00E76779">
        <w:rPr>
          <w:lang w:val="fr-FR"/>
        </w:rPr>
        <w:t>ordre rédactionnel formulées par les États</w:t>
      </w:r>
      <w:r w:rsidRPr="001B61C8">
        <w:rPr>
          <w:lang w:val="fr-FR"/>
        </w:rPr>
        <w:t>.</w:t>
      </w:r>
    </w:p>
    <w:p w14:paraId="79D88513" w14:textId="5AFC4275" w:rsidR="00C324CF" w:rsidRPr="00E76779" w:rsidRDefault="00C324CF" w:rsidP="00C324CF">
      <w:pPr>
        <w:pStyle w:val="SingleTxtG"/>
        <w:rPr>
          <w:lang w:val="fr-FR"/>
        </w:rPr>
      </w:pPr>
      <w:r>
        <w:rPr>
          <w:lang w:val="fr-FR"/>
        </w:rPr>
        <w:t>33</w:t>
      </w:r>
      <w:r w:rsidRPr="001B61C8">
        <w:rPr>
          <w:lang w:val="fr-FR"/>
        </w:rPr>
        <w:t>.</w:t>
      </w:r>
      <w:r w:rsidRPr="00E76779">
        <w:rPr>
          <w:lang w:val="fr-FR"/>
        </w:rPr>
        <w:tab/>
        <w:t>Les membres de la Commission ont fait un accueil favorable au premier rapport du Rapporteur spécial et ont de manière générale approuvé la décision de se concentrer sur les projets d</w:t>
      </w:r>
      <w:r w:rsidR="004C5E26">
        <w:rPr>
          <w:lang w:val="fr-FR"/>
        </w:rPr>
        <w:t>’</w:t>
      </w:r>
      <w:r w:rsidRPr="00E76779">
        <w:rPr>
          <w:lang w:val="fr-FR"/>
        </w:rPr>
        <w:t xml:space="preserve">article </w:t>
      </w:r>
      <w:r>
        <w:rPr>
          <w:lang w:val="fr-FR"/>
        </w:rPr>
        <w:t>1</w:t>
      </w:r>
      <w:r w:rsidRPr="004F1DEB">
        <w:rPr>
          <w:vertAlign w:val="superscript"/>
          <w:lang w:val="fr-FR"/>
        </w:rPr>
        <w:t>er</w:t>
      </w:r>
      <w:r w:rsidRPr="00E76779">
        <w:rPr>
          <w:lang w:val="fr-FR"/>
        </w:rPr>
        <w:t xml:space="preserve"> à 6</w:t>
      </w:r>
      <w:r w:rsidRPr="001B61C8">
        <w:rPr>
          <w:lang w:val="fr-FR"/>
        </w:rPr>
        <w:t>.</w:t>
      </w:r>
      <w:r w:rsidRPr="00E76779">
        <w:rPr>
          <w:lang w:val="fr-FR"/>
        </w:rPr>
        <w:t xml:space="preserve"> </w:t>
      </w:r>
      <w:r>
        <w:rPr>
          <w:lang w:val="fr-FR"/>
        </w:rPr>
        <w:t>Des membres</w:t>
      </w:r>
      <w:r w:rsidRPr="00E76779">
        <w:rPr>
          <w:lang w:val="fr-FR"/>
        </w:rPr>
        <w:t xml:space="preserve"> ont fait observer que le sujet était d</w:t>
      </w:r>
      <w:r w:rsidR="004C5E26">
        <w:rPr>
          <w:lang w:val="fr-FR"/>
        </w:rPr>
        <w:t>’</w:t>
      </w:r>
      <w:r w:rsidRPr="00E76779">
        <w:rPr>
          <w:lang w:val="fr-FR"/>
        </w:rPr>
        <w:t>une grande importance et</w:t>
      </w:r>
      <w:r>
        <w:rPr>
          <w:lang w:val="fr-FR"/>
        </w:rPr>
        <w:t xml:space="preserve"> ont,</w:t>
      </w:r>
      <w:r w:rsidRPr="00E76779">
        <w:rPr>
          <w:lang w:val="fr-FR"/>
        </w:rPr>
        <w:t xml:space="preserve"> dans l</w:t>
      </w:r>
      <w:r w:rsidR="004C5E26">
        <w:rPr>
          <w:lang w:val="fr-FR"/>
        </w:rPr>
        <w:t>’</w:t>
      </w:r>
      <w:r w:rsidRPr="00E76779">
        <w:rPr>
          <w:lang w:val="fr-FR"/>
        </w:rPr>
        <w:t>ensemble</w:t>
      </w:r>
      <w:r>
        <w:rPr>
          <w:lang w:val="fr-FR"/>
        </w:rPr>
        <w:t>,</w:t>
      </w:r>
      <w:r w:rsidRPr="00E76779">
        <w:rPr>
          <w:lang w:val="fr-FR"/>
        </w:rPr>
        <w:t xml:space="preserve"> </w:t>
      </w:r>
      <w:r>
        <w:rPr>
          <w:lang w:val="fr-FR"/>
        </w:rPr>
        <w:t xml:space="preserve">approuvé </w:t>
      </w:r>
      <w:r w:rsidRPr="00E76779">
        <w:rPr>
          <w:lang w:val="fr-FR"/>
        </w:rPr>
        <w:t>l</w:t>
      </w:r>
      <w:r w:rsidR="004C5E26">
        <w:rPr>
          <w:lang w:val="fr-FR"/>
        </w:rPr>
        <w:t>’</w:t>
      </w:r>
      <w:r w:rsidRPr="00E76779">
        <w:rPr>
          <w:lang w:val="fr-FR"/>
        </w:rPr>
        <w:t>approche retenue par le Rapporteur spécial</w:t>
      </w:r>
      <w:r>
        <w:rPr>
          <w:lang w:val="fr-FR"/>
        </w:rPr>
        <w:t xml:space="preserve"> consistant à se concentrer sur les projets </w:t>
      </w:r>
      <w:r w:rsidRPr="00E76779">
        <w:rPr>
          <w:lang w:val="fr-FR"/>
        </w:rPr>
        <w:t>d</w:t>
      </w:r>
      <w:r w:rsidR="004C5E26">
        <w:rPr>
          <w:lang w:val="fr-FR"/>
        </w:rPr>
        <w:t>’</w:t>
      </w:r>
      <w:r w:rsidRPr="00E76779">
        <w:rPr>
          <w:lang w:val="fr-FR"/>
        </w:rPr>
        <w:t xml:space="preserve">articles </w:t>
      </w:r>
      <w:r>
        <w:rPr>
          <w:lang w:val="fr-FR"/>
        </w:rPr>
        <w:t>1</w:t>
      </w:r>
      <w:r w:rsidRPr="00E76779">
        <w:rPr>
          <w:lang w:val="fr-FR"/>
        </w:rPr>
        <w:t xml:space="preserve"> à</w:t>
      </w:r>
      <w:r>
        <w:rPr>
          <w:lang w:val="fr-FR"/>
        </w:rPr>
        <w:t xml:space="preserve"> 6</w:t>
      </w:r>
      <w:r w:rsidRPr="00E76779">
        <w:rPr>
          <w:lang w:val="fr-FR"/>
        </w:rPr>
        <w:t xml:space="preserve"> et </w:t>
      </w:r>
      <w:r>
        <w:rPr>
          <w:lang w:val="fr-FR"/>
        </w:rPr>
        <w:t>salué l</w:t>
      </w:r>
      <w:r w:rsidRPr="00E76779">
        <w:rPr>
          <w:lang w:val="fr-FR"/>
        </w:rPr>
        <w:t>es progrès réalisés à ce jour dans les travaux sur le sujet</w:t>
      </w:r>
      <w:r w:rsidRPr="001B61C8">
        <w:rPr>
          <w:lang w:val="fr-FR"/>
        </w:rPr>
        <w:t>.</w:t>
      </w:r>
      <w:r w:rsidRPr="00E76779">
        <w:rPr>
          <w:lang w:val="fr-FR"/>
        </w:rPr>
        <w:t xml:space="preserve"> Certains membres de la Commission se sont dits favorables à l</w:t>
      </w:r>
      <w:r w:rsidR="004C5E26">
        <w:rPr>
          <w:lang w:val="fr-FR"/>
        </w:rPr>
        <w:t>’</w:t>
      </w:r>
      <w:r w:rsidRPr="00E76779">
        <w:rPr>
          <w:lang w:val="fr-FR"/>
        </w:rPr>
        <w:t>inclusion d</w:t>
      </w:r>
      <w:r w:rsidR="004C5E26">
        <w:rPr>
          <w:lang w:val="fr-FR"/>
        </w:rPr>
        <w:t>’</w:t>
      </w:r>
      <w:r w:rsidRPr="00E76779">
        <w:rPr>
          <w:lang w:val="fr-FR"/>
        </w:rPr>
        <w:t>une définition de l</w:t>
      </w:r>
      <w:r w:rsidR="004C5E26">
        <w:rPr>
          <w:lang w:val="fr-FR"/>
        </w:rPr>
        <w:t>’</w:t>
      </w:r>
      <w:r w:rsidRPr="00E76779">
        <w:rPr>
          <w:lang w:val="fr-FR"/>
        </w:rPr>
        <w:t>exercice de la juridiction pénale étrangère et de l</w:t>
      </w:r>
      <w:r w:rsidR="004C5E26">
        <w:rPr>
          <w:lang w:val="fr-FR"/>
        </w:rPr>
        <w:t>’</w:t>
      </w:r>
      <w:r w:rsidRPr="00E76779">
        <w:rPr>
          <w:lang w:val="fr-FR"/>
        </w:rPr>
        <w:t>inviolabilité, sinon dans le projet d</w:t>
      </w:r>
      <w:r w:rsidR="004C5E26">
        <w:rPr>
          <w:lang w:val="fr-FR"/>
        </w:rPr>
        <w:t>’</w:t>
      </w:r>
      <w:r w:rsidRPr="00E76779">
        <w:rPr>
          <w:lang w:val="fr-FR"/>
        </w:rPr>
        <w:t xml:space="preserve">articles, du moins dans </w:t>
      </w:r>
      <w:r>
        <w:rPr>
          <w:lang w:val="fr-FR"/>
        </w:rPr>
        <w:t>l</w:t>
      </w:r>
      <w:r w:rsidRPr="00E76779">
        <w:rPr>
          <w:lang w:val="fr-FR"/>
        </w:rPr>
        <w:t>es commentaires</w:t>
      </w:r>
      <w:r w:rsidRPr="001B61C8">
        <w:rPr>
          <w:lang w:val="fr-FR"/>
        </w:rPr>
        <w:t>.</w:t>
      </w:r>
      <w:r w:rsidRPr="00E76779">
        <w:rPr>
          <w:lang w:val="fr-FR"/>
        </w:rPr>
        <w:t xml:space="preserve"> Différentes opinions ont été exprimées sur certaines suggestions d</w:t>
      </w:r>
      <w:r w:rsidR="004C5E26">
        <w:rPr>
          <w:lang w:val="fr-FR"/>
        </w:rPr>
        <w:t>’</w:t>
      </w:r>
      <w:r w:rsidRPr="00E76779">
        <w:rPr>
          <w:lang w:val="fr-FR"/>
        </w:rPr>
        <w:t>ordre rédactionnel</w:t>
      </w:r>
      <w:r w:rsidRPr="001B61C8">
        <w:rPr>
          <w:lang w:val="fr-FR"/>
        </w:rPr>
        <w:t>.</w:t>
      </w:r>
      <w:r w:rsidRPr="00E76779">
        <w:rPr>
          <w:lang w:val="fr-FR"/>
        </w:rPr>
        <w:t xml:space="preserve"> Le Comité de rédaction les a examinées</w:t>
      </w:r>
      <w:r w:rsidRPr="001B61C8">
        <w:rPr>
          <w:lang w:val="fr-FR"/>
        </w:rPr>
        <w:t>.</w:t>
      </w:r>
      <w:r w:rsidRPr="00E76779">
        <w:rPr>
          <w:lang w:val="fr-FR"/>
        </w:rPr>
        <w:t xml:space="preserve"> Plusieurs membres de la Commission ont donné leur avis sur l</w:t>
      </w:r>
      <w:r w:rsidR="004C5E26">
        <w:rPr>
          <w:lang w:val="fr-FR"/>
        </w:rPr>
        <w:t>’</w:t>
      </w:r>
      <w:r w:rsidRPr="00E76779">
        <w:rPr>
          <w:lang w:val="fr-FR"/>
        </w:rPr>
        <w:t>alternative que le Rapporteur spécial avait soumise à la Commission concernant les éventuelles recommandations à faire à l</w:t>
      </w:r>
      <w:r w:rsidR="004C5E26">
        <w:rPr>
          <w:lang w:val="fr-FR"/>
        </w:rPr>
        <w:t>’</w:t>
      </w:r>
      <w:r w:rsidRPr="00E76779">
        <w:rPr>
          <w:lang w:val="fr-FR"/>
        </w:rPr>
        <w:t>Assemblée générale, à savoir soit recommander le projet d</w:t>
      </w:r>
      <w:r w:rsidR="004C5E26">
        <w:rPr>
          <w:lang w:val="fr-FR"/>
        </w:rPr>
        <w:t>’</w:t>
      </w:r>
      <w:r w:rsidRPr="00E76779">
        <w:rPr>
          <w:lang w:val="fr-FR"/>
        </w:rPr>
        <w:t>articles aux États en général soit recommander qu</w:t>
      </w:r>
      <w:r w:rsidR="004C5E26">
        <w:rPr>
          <w:lang w:val="fr-FR"/>
        </w:rPr>
        <w:t>’</w:t>
      </w:r>
      <w:r w:rsidRPr="00E76779">
        <w:rPr>
          <w:lang w:val="fr-FR"/>
        </w:rPr>
        <w:t>il serve de base à la négociation d</w:t>
      </w:r>
      <w:r w:rsidR="004C5E26">
        <w:rPr>
          <w:lang w:val="fr-FR"/>
        </w:rPr>
        <w:t>’</w:t>
      </w:r>
      <w:r w:rsidRPr="00E76779">
        <w:rPr>
          <w:lang w:val="fr-FR"/>
        </w:rPr>
        <w:t>un futur traité sur le sujet</w:t>
      </w:r>
      <w:r w:rsidRPr="001B61C8">
        <w:rPr>
          <w:lang w:val="fr-FR"/>
        </w:rPr>
        <w:t>.</w:t>
      </w:r>
    </w:p>
    <w:p w14:paraId="0276137B" w14:textId="668FD591" w:rsidR="00C324CF" w:rsidRPr="00E76779" w:rsidRDefault="00C324CF" w:rsidP="00C324CF">
      <w:pPr>
        <w:pStyle w:val="SingleTxtG"/>
        <w:rPr>
          <w:lang w:val="fr-FR"/>
        </w:rPr>
      </w:pPr>
      <w:r>
        <w:rPr>
          <w:lang w:val="fr-FR"/>
        </w:rPr>
        <w:t>34</w:t>
      </w:r>
      <w:r w:rsidRPr="001B61C8">
        <w:rPr>
          <w:lang w:val="fr-FR"/>
        </w:rPr>
        <w:t>.</w:t>
      </w:r>
      <w:r w:rsidRPr="00E76779">
        <w:rPr>
          <w:lang w:val="fr-FR"/>
        </w:rPr>
        <w:tab/>
        <w:t>Le Comité de rédaction a examiné les projets d</w:t>
      </w:r>
      <w:r w:rsidR="004C5E26">
        <w:rPr>
          <w:lang w:val="fr-FR"/>
        </w:rPr>
        <w:t>’</w:t>
      </w:r>
      <w:r w:rsidRPr="00E76779">
        <w:rPr>
          <w:lang w:val="fr-FR"/>
        </w:rPr>
        <w:t>article proposés par le Rapporteur spécial</w:t>
      </w:r>
      <w:r w:rsidRPr="001B61C8">
        <w:rPr>
          <w:lang w:val="fr-FR"/>
        </w:rPr>
        <w:t>.</w:t>
      </w:r>
      <w:r w:rsidRPr="00E76779">
        <w:rPr>
          <w:lang w:val="fr-FR"/>
        </w:rPr>
        <w:t xml:space="preserve"> </w:t>
      </w:r>
      <w:r>
        <w:rPr>
          <w:lang w:val="fr-FR"/>
        </w:rPr>
        <w:t>Il a</w:t>
      </w:r>
      <w:r w:rsidRPr="00E76779">
        <w:rPr>
          <w:lang w:val="fr-FR"/>
        </w:rPr>
        <w:t xml:space="preserve"> proposé que quelques modifications soient apporté</w:t>
      </w:r>
      <w:r>
        <w:rPr>
          <w:lang w:val="fr-FR"/>
        </w:rPr>
        <w:t>e</w:t>
      </w:r>
      <w:r w:rsidRPr="00E76779">
        <w:rPr>
          <w:lang w:val="fr-FR"/>
        </w:rPr>
        <w:t>s aux projets d</w:t>
      </w:r>
      <w:r w:rsidR="004C5E26">
        <w:rPr>
          <w:lang w:val="fr-FR"/>
        </w:rPr>
        <w:t>’</w:t>
      </w:r>
      <w:r w:rsidRPr="00E76779">
        <w:rPr>
          <w:lang w:val="fr-FR"/>
        </w:rPr>
        <w:t>articles compte tenu des avis des États et des propositions du Rapporteur spécial</w:t>
      </w:r>
      <w:r>
        <w:rPr>
          <w:lang w:val="fr-FR"/>
        </w:rPr>
        <w:t>. La Commission a pris note des projets d</w:t>
      </w:r>
      <w:r w:rsidR="004C5E26">
        <w:rPr>
          <w:lang w:val="fr-FR"/>
        </w:rPr>
        <w:t>’</w:t>
      </w:r>
      <w:r>
        <w:rPr>
          <w:lang w:val="fr-FR"/>
        </w:rPr>
        <w:t>articles 1, 3, 4 et 5</w:t>
      </w:r>
      <w:r w:rsidRPr="00E76779">
        <w:rPr>
          <w:lang w:val="fr-FR"/>
        </w:rPr>
        <w:t xml:space="preserve"> (chap</w:t>
      </w:r>
      <w:r w:rsidRPr="001B61C8">
        <w:rPr>
          <w:lang w:val="fr-FR"/>
        </w:rPr>
        <w:t>.</w:t>
      </w:r>
      <w:r>
        <w:rPr>
          <w:lang w:val="fr-FR"/>
        </w:rPr>
        <w:t> </w:t>
      </w:r>
      <w:r w:rsidRPr="00E76779">
        <w:rPr>
          <w:lang w:val="fr-FR"/>
        </w:rPr>
        <w:t>VII)</w:t>
      </w:r>
      <w:r w:rsidRPr="001B61C8">
        <w:rPr>
          <w:lang w:val="fr-FR"/>
        </w:rPr>
        <w:t>.</w:t>
      </w:r>
    </w:p>
    <w:p w14:paraId="06D6069E" w14:textId="554F783F" w:rsidR="00C324CF" w:rsidRPr="00E76779" w:rsidRDefault="00C324CF" w:rsidP="00C324CF">
      <w:pPr>
        <w:pStyle w:val="SingleTxtG"/>
        <w:rPr>
          <w:lang w:val="fr-FR"/>
        </w:rPr>
      </w:pPr>
      <w:r>
        <w:rPr>
          <w:lang w:val="fr-FR"/>
        </w:rPr>
        <w:t>35</w:t>
      </w:r>
      <w:r w:rsidRPr="001B61C8">
        <w:rPr>
          <w:lang w:val="fr-FR"/>
        </w:rPr>
        <w:t>.</w:t>
      </w:r>
      <w:r w:rsidRPr="00E76779">
        <w:rPr>
          <w:lang w:val="fr-FR"/>
        </w:rPr>
        <w:tab/>
        <w:t>En ce qui concerne le sujet « </w:t>
      </w:r>
      <w:r w:rsidRPr="00E76779">
        <w:rPr>
          <w:b/>
          <w:bCs/>
          <w:lang w:val="fr-FR"/>
        </w:rPr>
        <w:t>Les accords internationaux juridiquement non contraignants</w:t>
      </w:r>
      <w:r w:rsidRPr="00E76779">
        <w:rPr>
          <w:lang w:val="fr-FR"/>
        </w:rPr>
        <w:t> », la Commission était saisie du premier rapport du Rapporteur spécial (</w:t>
      </w:r>
      <w:hyperlink r:id="rId43" w:history="1">
        <w:r w:rsidRPr="00E76779">
          <w:rPr>
            <w:rStyle w:val="Lienhypertexte"/>
            <w:lang w:val="fr-FR"/>
          </w:rPr>
          <w:t>A/CN</w:t>
        </w:r>
        <w:r w:rsidRPr="001B61C8">
          <w:rPr>
            <w:rStyle w:val="Lienhypertexte"/>
            <w:lang w:val="fr-FR"/>
          </w:rPr>
          <w:t>.</w:t>
        </w:r>
        <w:r w:rsidRPr="00E76779">
          <w:rPr>
            <w:rStyle w:val="Lienhypertexte"/>
            <w:lang w:val="fr-FR"/>
          </w:rPr>
          <w:t>4/772</w:t>
        </w:r>
      </w:hyperlink>
      <w:r w:rsidRPr="00E76779">
        <w:rPr>
          <w:lang w:val="fr-FR"/>
        </w:rPr>
        <w:t>)</w:t>
      </w:r>
      <w:r w:rsidRPr="001B61C8">
        <w:rPr>
          <w:lang w:val="fr-FR"/>
        </w:rPr>
        <w:t>.</w:t>
      </w:r>
      <w:r w:rsidRPr="00E76779">
        <w:rPr>
          <w:lang w:val="fr-FR"/>
        </w:rPr>
        <w:t xml:space="preserve"> Le Rapporteur spécial expliquait que son premier rapport avait un caractère préliminaire et ne comportait délibérément aucun projet de </w:t>
      </w:r>
      <w:r>
        <w:rPr>
          <w:lang w:val="fr-FR"/>
        </w:rPr>
        <w:t>disposition</w:t>
      </w:r>
      <w:r w:rsidRPr="001B61C8">
        <w:rPr>
          <w:lang w:val="fr-FR"/>
        </w:rPr>
        <w:t>.</w:t>
      </w:r>
      <w:r w:rsidRPr="00E76779">
        <w:rPr>
          <w:lang w:val="fr-FR"/>
        </w:rPr>
        <w:t xml:space="preserve"> Le rapport contenait une présentation générale du sujet, un premier examen du matériau pertinent et des propositions concernant le champ du sujet et les questions à examiner</w:t>
      </w:r>
      <w:r w:rsidRPr="001B61C8">
        <w:rPr>
          <w:lang w:val="fr-FR"/>
        </w:rPr>
        <w:t>.</w:t>
      </w:r>
      <w:r w:rsidRPr="00E76779">
        <w:rPr>
          <w:lang w:val="fr-FR"/>
        </w:rPr>
        <w:t xml:space="preserve"> Cet examen </w:t>
      </w:r>
      <w:r w:rsidRPr="00E76779">
        <w:rPr>
          <w:lang w:val="fr-FR"/>
        </w:rPr>
        <w:lastRenderedPageBreak/>
        <w:t xml:space="preserve">préliminaire visait </w:t>
      </w:r>
      <w:r>
        <w:rPr>
          <w:lang w:val="fr-FR"/>
        </w:rPr>
        <w:t xml:space="preserve">à </w:t>
      </w:r>
      <w:r w:rsidRPr="00E76779">
        <w:rPr>
          <w:lang w:val="fr-FR"/>
        </w:rPr>
        <w:t xml:space="preserve">permettre à la Commission de se préparer à rédiger des projets de </w:t>
      </w:r>
      <w:r>
        <w:rPr>
          <w:lang w:val="fr-FR"/>
        </w:rPr>
        <w:t>disposition</w:t>
      </w:r>
      <w:r w:rsidRPr="00E76779">
        <w:rPr>
          <w:lang w:val="fr-FR"/>
        </w:rPr>
        <w:t xml:space="preserve"> en 2025 sur la base des orientations générales qui seraient définies collégialement à la présente session</w:t>
      </w:r>
      <w:r w:rsidRPr="001B61C8">
        <w:rPr>
          <w:lang w:val="fr-FR"/>
        </w:rPr>
        <w:t>.</w:t>
      </w:r>
      <w:r w:rsidRPr="00E76779">
        <w:rPr>
          <w:lang w:val="fr-FR"/>
        </w:rPr>
        <w:t xml:space="preserve"> Le Rapporteur spécial </w:t>
      </w:r>
      <w:r>
        <w:rPr>
          <w:lang w:val="fr-FR"/>
        </w:rPr>
        <w:t>présentait</w:t>
      </w:r>
      <w:r w:rsidRPr="00E76779">
        <w:rPr>
          <w:lang w:val="fr-FR"/>
        </w:rPr>
        <w:t xml:space="preserve"> certaines questions sur lesquelles il serait particulièrement utile de recueillir des avis, à savoir l</w:t>
      </w:r>
      <w:r w:rsidR="004C5E26">
        <w:rPr>
          <w:lang w:val="fr-FR"/>
        </w:rPr>
        <w:t>’</w:t>
      </w:r>
      <w:r w:rsidRPr="00E76779">
        <w:rPr>
          <w:lang w:val="fr-FR"/>
        </w:rPr>
        <w:t>emploi du mot « accords » dans l</w:t>
      </w:r>
      <w:r w:rsidR="004C5E26">
        <w:rPr>
          <w:lang w:val="fr-FR"/>
        </w:rPr>
        <w:t>’</w:t>
      </w:r>
      <w:r w:rsidRPr="00E76779">
        <w:rPr>
          <w:lang w:val="fr-FR"/>
        </w:rPr>
        <w:t>intitulé</w:t>
      </w:r>
      <w:r>
        <w:rPr>
          <w:lang w:val="fr-FR"/>
        </w:rPr>
        <w:t> </w:t>
      </w:r>
      <w:r w:rsidRPr="00E76779">
        <w:rPr>
          <w:lang w:val="fr-FR"/>
        </w:rPr>
        <w:t>; le champ exact du sujet, notamment l</w:t>
      </w:r>
      <w:r w:rsidR="004C5E26">
        <w:rPr>
          <w:lang w:val="fr-FR"/>
        </w:rPr>
        <w:t>’</w:t>
      </w:r>
      <w:r w:rsidRPr="00E76779">
        <w:rPr>
          <w:lang w:val="fr-FR"/>
        </w:rPr>
        <w:t xml:space="preserve">exclusion des actes adoptés par des organisations internationales en tant que telles, des accords oraux ou tacites et des accords </w:t>
      </w:r>
      <w:r>
        <w:rPr>
          <w:lang w:val="fr-FR"/>
        </w:rPr>
        <w:t>inter</w:t>
      </w:r>
      <w:r w:rsidRPr="00E76779">
        <w:rPr>
          <w:lang w:val="fr-FR"/>
        </w:rPr>
        <w:t>institutionnels ; les effets juridiques (potentiels) des accords internationaux juridiquement non contraignants</w:t>
      </w:r>
      <w:r>
        <w:rPr>
          <w:lang w:val="fr-FR"/>
        </w:rPr>
        <w:t> </w:t>
      </w:r>
      <w:r w:rsidRPr="00E76779">
        <w:rPr>
          <w:lang w:val="fr-FR"/>
        </w:rPr>
        <w:t>; et la forme à donner au résultat final des travaux sur le sujet, à ce stade envisagés comme un projet de conclusions</w:t>
      </w:r>
      <w:r w:rsidRPr="001B61C8">
        <w:rPr>
          <w:lang w:val="fr-FR"/>
        </w:rPr>
        <w:t>.</w:t>
      </w:r>
      <w:r w:rsidRPr="00E76779">
        <w:rPr>
          <w:lang w:val="fr-FR"/>
        </w:rPr>
        <w:t xml:space="preserve"> Il a souligné qu</w:t>
      </w:r>
      <w:r w:rsidR="004C5E26">
        <w:rPr>
          <w:lang w:val="fr-FR"/>
        </w:rPr>
        <w:t>’</w:t>
      </w:r>
      <w:r w:rsidRPr="00E76779">
        <w:rPr>
          <w:lang w:val="fr-FR"/>
        </w:rPr>
        <w:t>il importait que la pratique étatique examinée soit représentative et il inviterait les membres de la Commission et les États à lui fournir des exemples de pratique</w:t>
      </w:r>
      <w:r w:rsidRPr="001B61C8">
        <w:rPr>
          <w:lang w:val="fr-FR"/>
        </w:rPr>
        <w:t>.</w:t>
      </w:r>
      <w:r w:rsidRPr="00E76779">
        <w:rPr>
          <w:lang w:val="fr-FR"/>
        </w:rPr>
        <w:t xml:space="preserve"> Il a aussi souligné qu</w:t>
      </w:r>
      <w:r w:rsidR="004C5E26">
        <w:rPr>
          <w:lang w:val="fr-FR"/>
        </w:rPr>
        <w:t>’</w:t>
      </w:r>
      <w:r w:rsidRPr="00E76779">
        <w:rPr>
          <w:lang w:val="fr-FR"/>
        </w:rPr>
        <w:t xml:space="preserve">il fallait procéder avec la plus grande prudence sur le sujet, se garder de transformer </w:t>
      </w:r>
      <w:r>
        <w:rPr>
          <w:lang w:val="fr-FR"/>
        </w:rPr>
        <w:t xml:space="preserve">indirectement </w:t>
      </w:r>
      <w:r w:rsidRPr="00E76779">
        <w:rPr>
          <w:lang w:val="fr-FR"/>
        </w:rPr>
        <w:t>les accords non contraignants en accords contraignants alors qu</w:t>
      </w:r>
      <w:r w:rsidR="004C5E26">
        <w:rPr>
          <w:lang w:val="fr-FR"/>
        </w:rPr>
        <w:t>’</w:t>
      </w:r>
      <w:r w:rsidRPr="00E76779">
        <w:rPr>
          <w:lang w:val="fr-FR"/>
        </w:rPr>
        <w:t>ils ne l</w:t>
      </w:r>
      <w:r w:rsidR="004C5E26">
        <w:rPr>
          <w:lang w:val="fr-FR"/>
        </w:rPr>
        <w:t>’</w:t>
      </w:r>
      <w:r w:rsidRPr="00E76779">
        <w:rPr>
          <w:lang w:val="fr-FR"/>
        </w:rPr>
        <w:t xml:space="preserve">étaient </w:t>
      </w:r>
      <w:r w:rsidRPr="003A54EC">
        <w:rPr>
          <w:lang w:val="fr-FR"/>
        </w:rPr>
        <w:t>pas et m</w:t>
      </w:r>
      <w:r>
        <w:rPr>
          <w:lang w:val="fr-FR"/>
        </w:rPr>
        <w:t>ainteni</w:t>
      </w:r>
      <w:r w:rsidRPr="003A54EC">
        <w:rPr>
          <w:lang w:val="fr-FR"/>
        </w:rPr>
        <w:t>r une certaine souplesse dans la coopération internationale.</w:t>
      </w:r>
    </w:p>
    <w:p w14:paraId="5BC87FF7" w14:textId="5C13EB93" w:rsidR="00C324CF" w:rsidRPr="00E76779" w:rsidRDefault="00C324CF" w:rsidP="00C324CF">
      <w:pPr>
        <w:pStyle w:val="SingleTxtG"/>
        <w:rPr>
          <w:lang w:val="fr-FR"/>
        </w:rPr>
      </w:pPr>
      <w:r>
        <w:rPr>
          <w:lang w:val="fr-FR"/>
        </w:rPr>
        <w:t>36</w:t>
      </w:r>
      <w:r w:rsidRPr="001B61C8">
        <w:rPr>
          <w:lang w:val="fr-FR"/>
        </w:rPr>
        <w:t>.</w:t>
      </w:r>
      <w:r w:rsidRPr="00E76779">
        <w:rPr>
          <w:lang w:val="fr-FR"/>
        </w:rPr>
        <w:tab/>
        <w:t>Les membres de la Commission ont favorablement accueilli le premier rapport du Rapporteur spécial et appuyé son approche consistant à commencer par une discussion générale sur le sujet</w:t>
      </w:r>
      <w:r w:rsidRPr="001B61C8">
        <w:rPr>
          <w:lang w:val="fr-FR"/>
        </w:rPr>
        <w:t>.</w:t>
      </w:r>
      <w:r w:rsidRPr="00E76779">
        <w:rPr>
          <w:lang w:val="fr-FR"/>
        </w:rPr>
        <w:t xml:space="preserve"> Ils sont convenus qu</w:t>
      </w:r>
      <w:r w:rsidR="004C5E26">
        <w:rPr>
          <w:lang w:val="fr-FR"/>
        </w:rPr>
        <w:t>’</w:t>
      </w:r>
      <w:r w:rsidRPr="00E76779">
        <w:rPr>
          <w:lang w:val="fr-FR"/>
        </w:rPr>
        <w:t>il fallait se concentrer sur les aspects pratiques du sujet et assurer la représentativité de la pratique des États</w:t>
      </w:r>
      <w:r w:rsidRPr="001B61C8">
        <w:rPr>
          <w:lang w:val="fr-FR"/>
        </w:rPr>
        <w:t>.</w:t>
      </w:r>
      <w:r w:rsidRPr="00E76779">
        <w:rPr>
          <w:lang w:val="fr-FR"/>
        </w:rPr>
        <w:t xml:space="preserve"> Des avis divergents ont été exprimés sur l</w:t>
      </w:r>
      <w:r w:rsidR="004C5E26">
        <w:rPr>
          <w:lang w:val="fr-FR"/>
        </w:rPr>
        <w:t>’</w:t>
      </w:r>
      <w:r w:rsidRPr="00E76779">
        <w:rPr>
          <w:lang w:val="fr-FR"/>
        </w:rPr>
        <w:t>intitulé du sujet : une majorité de membres était favorable à l</w:t>
      </w:r>
      <w:r w:rsidR="004C5E26">
        <w:rPr>
          <w:lang w:val="fr-FR"/>
        </w:rPr>
        <w:t>’</w:t>
      </w:r>
      <w:r w:rsidRPr="00E76779">
        <w:rPr>
          <w:lang w:val="fr-FR"/>
        </w:rPr>
        <w:t>emploi du mot « accords » dans l</w:t>
      </w:r>
      <w:r w:rsidR="004C5E26">
        <w:rPr>
          <w:lang w:val="fr-FR"/>
        </w:rPr>
        <w:t>’</w:t>
      </w:r>
      <w:r w:rsidRPr="00E76779">
        <w:rPr>
          <w:lang w:val="fr-FR"/>
        </w:rPr>
        <w:t>intitulé, mais d</w:t>
      </w:r>
      <w:r w:rsidR="004C5E26">
        <w:rPr>
          <w:lang w:val="fr-FR"/>
        </w:rPr>
        <w:t>’</w:t>
      </w:r>
      <w:r w:rsidRPr="00E76779">
        <w:rPr>
          <w:lang w:val="fr-FR"/>
        </w:rPr>
        <w:t>autres ont dit préférer d</w:t>
      </w:r>
      <w:r w:rsidR="004C5E26">
        <w:rPr>
          <w:lang w:val="fr-FR"/>
        </w:rPr>
        <w:t>’</w:t>
      </w:r>
      <w:r w:rsidRPr="00E76779">
        <w:rPr>
          <w:lang w:val="fr-FR"/>
        </w:rPr>
        <w:t>autres solutions</w:t>
      </w:r>
      <w:r w:rsidRPr="001B61C8">
        <w:rPr>
          <w:lang w:val="fr-FR"/>
        </w:rPr>
        <w:t>.</w:t>
      </w:r>
      <w:r w:rsidRPr="00E76779">
        <w:rPr>
          <w:lang w:val="fr-FR"/>
        </w:rPr>
        <w:t xml:space="preserve"> Parmi ces autres solutions, le terme « instruments » a été jugé trop large par </w:t>
      </w:r>
      <w:r>
        <w:rPr>
          <w:lang w:val="fr-FR"/>
        </w:rPr>
        <w:t>un certain nombre de</w:t>
      </w:r>
      <w:r w:rsidRPr="00E76779">
        <w:rPr>
          <w:lang w:val="fr-FR"/>
        </w:rPr>
        <w:t xml:space="preserve"> membres, notamment parce que l</w:t>
      </w:r>
      <w:r w:rsidR="004C5E26">
        <w:rPr>
          <w:lang w:val="fr-FR"/>
        </w:rPr>
        <w:t>’</w:t>
      </w:r>
      <w:r w:rsidRPr="00E76779">
        <w:rPr>
          <w:lang w:val="fr-FR"/>
        </w:rPr>
        <w:t>employer reviendrait à inclure dans le champ du sujet les résolutions adoptées par les organisations internationales en tant que telles</w:t>
      </w:r>
      <w:r w:rsidRPr="001B61C8">
        <w:rPr>
          <w:lang w:val="fr-FR"/>
        </w:rPr>
        <w:t>.</w:t>
      </w:r>
      <w:r w:rsidRPr="00E76779">
        <w:rPr>
          <w:lang w:val="fr-FR"/>
        </w:rPr>
        <w:t xml:space="preserve"> D</w:t>
      </w:r>
      <w:r w:rsidR="004C5E26">
        <w:rPr>
          <w:lang w:val="fr-FR"/>
        </w:rPr>
        <w:t>’</w:t>
      </w:r>
      <w:r w:rsidRPr="00E76779">
        <w:rPr>
          <w:lang w:val="fr-FR"/>
        </w:rPr>
        <w:t>aucuns étaient d</w:t>
      </w:r>
      <w:r w:rsidR="004C5E26">
        <w:rPr>
          <w:lang w:val="fr-FR"/>
        </w:rPr>
        <w:t>’</w:t>
      </w:r>
      <w:r w:rsidRPr="00E76779">
        <w:rPr>
          <w:lang w:val="fr-FR"/>
        </w:rPr>
        <w:t>avis que le terme « arrangements » ne rendait pas bien compte du champ du sujet et était difficile à traduire dans toutes les langues officielles</w:t>
      </w:r>
      <w:r w:rsidRPr="001B61C8">
        <w:rPr>
          <w:lang w:val="fr-FR"/>
        </w:rPr>
        <w:t>.</w:t>
      </w:r>
      <w:r w:rsidRPr="00E76779">
        <w:rPr>
          <w:lang w:val="fr-FR"/>
        </w:rPr>
        <w:t xml:space="preserve"> S</w:t>
      </w:r>
      <w:r w:rsidR="004C5E26">
        <w:rPr>
          <w:lang w:val="fr-FR"/>
        </w:rPr>
        <w:t>’</w:t>
      </w:r>
      <w:r w:rsidRPr="00E76779">
        <w:rPr>
          <w:lang w:val="fr-FR"/>
        </w:rPr>
        <w:t>agissant du champ du sujet, les membres de la Commission sont dans l</w:t>
      </w:r>
      <w:r w:rsidR="004C5E26">
        <w:rPr>
          <w:lang w:val="fr-FR"/>
        </w:rPr>
        <w:t>’</w:t>
      </w:r>
      <w:r w:rsidRPr="00E76779">
        <w:rPr>
          <w:lang w:val="fr-FR"/>
        </w:rPr>
        <w:t>ensemble convenus qu</w:t>
      </w:r>
      <w:r w:rsidR="004C5E26">
        <w:rPr>
          <w:lang w:val="fr-FR"/>
        </w:rPr>
        <w:t>’</w:t>
      </w:r>
      <w:r w:rsidRPr="00E76779">
        <w:rPr>
          <w:lang w:val="fr-FR"/>
        </w:rPr>
        <w:t>il fallait en exclure les accords oraux ou tacites, les actes unilatéraux, les dispositions non contraignantes des traités et les accords qui ne faisaient qu</w:t>
      </w:r>
      <w:r w:rsidR="004C5E26">
        <w:rPr>
          <w:lang w:val="fr-FR"/>
        </w:rPr>
        <w:t>’</w:t>
      </w:r>
      <w:r w:rsidRPr="00E76779">
        <w:rPr>
          <w:lang w:val="fr-FR"/>
        </w:rPr>
        <w:t>énoncer des faits et des positions</w:t>
      </w:r>
      <w:r w:rsidRPr="001B61C8">
        <w:rPr>
          <w:lang w:val="fr-FR"/>
        </w:rPr>
        <w:t>.</w:t>
      </w:r>
      <w:r w:rsidRPr="00E76779">
        <w:rPr>
          <w:lang w:val="fr-FR"/>
        </w:rPr>
        <w:t xml:space="preserve"> Différents points de vue ont été exprimés quant à l</w:t>
      </w:r>
      <w:r w:rsidR="004C5E26">
        <w:rPr>
          <w:lang w:val="fr-FR"/>
        </w:rPr>
        <w:t>’</w:t>
      </w:r>
      <w:r w:rsidRPr="00E76779">
        <w:rPr>
          <w:lang w:val="fr-FR"/>
        </w:rPr>
        <w:t xml:space="preserve">inclusion des accords conclus au niveau </w:t>
      </w:r>
      <w:r>
        <w:rPr>
          <w:lang w:val="fr-FR"/>
        </w:rPr>
        <w:t>interinstitutionnel</w:t>
      </w:r>
      <w:r w:rsidRPr="00E76779">
        <w:rPr>
          <w:lang w:val="fr-FR"/>
        </w:rPr>
        <w:t xml:space="preserve"> et des accords issus de conférences intergouvernementales, et il a été dit qu</w:t>
      </w:r>
      <w:r w:rsidR="004C5E26">
        <w:rPr>
          <w:lang w:val="fr-FR"/>
        </w:rPr>
        <w:t>’</w:t>
      </w:r>
      <w:r w:rsidRPr="00E76779">
        <w:rPr>
          <w:lang w:val="fr-FR"/>
        </w:rPr>
        <w:t>une certaine souplesse était nécessaire</w:t>
      </w:r>
      <w:r w:rsidRPr="001B61C8">
        <w:rPr>
          <w:lang w:val="fr-FR"/>
        </w:rPr>
        <w:t>.</w:t>
      </w:r>
      <w:r w:rsidRPr="00E76779">
        <w:rPr>
          <w:lang w:val="fr-FR"/>
        </w:rPr>
        <w:t xml:space="preserve"> Quelques membres ont suggéré que les accords conclus avec des </w:t>
      </w:r>
      <w:r>
        <w:rPr>
          <w:lang w:val="fr-FR"/>
        </w:rPr>
        <w:t>acteurs non étatiques</w:t>
      </w:r>
      <w:r w:rsidRPr="00E76779">
        <w:rPr>
          <w:lang w:val="fr-FR"/>
        </w:rPr>
        <w:t xml:space="preserve"> soient envisagés, au moins indirectement</w:t>
      </w:r>
      <w:r w:rsidRPr="001B61C8">
        <w:rPr>
          <w:lang w:val="fr-FR"/>
        </w:rPr>
        <w:t>.</w:t>
      </w:r>
      <w:r w:rsidRPr="00E76779">
        <w:rPr>
          <w:lang w:val="fr-FR"/>
        </w:rPr>
        <w:t xml:space="preserve"> À propos du résultat des travaux sur le sujet, certains membres préféraient, comme le Rapporteur spécial, un projet de conclusions, tandis que d</w:t>
      </w:r>
      <w:r w:rsidR="004C5E26">
        <w:rPr>
          <w:lang w:val="fr-FR"/>
        </w:rPr>
        <w:t>’</w:t>
      </w:r>
      <w:r w:rsidRPr="00E76779">
        <w:rPr>
          <w:lang w:val="fr-FR"/>
        </w:rPr>
        <w:t>autres préféraient un projet de directives</w:t>
      </w:r>
      <w:r w:rsidRPr="001B61C8">
        <w:rPr>
          <w:lang w:val="fr-FR"/>
        </w:rPr>
        <w:t>.</w:t>
      </w:r>
      <w:r w:rsidRPr="00E76779">
        <w:rPr>
          <w:lang w:val="fr-FR"/>
        </w:rPr>
        <w:t xml:space="preserve"> Les membres étaient cependant d</w:t>
      </w:r>
      <w:r w:rsidR="004C5E26">
        <w:rPr>
          <w:lang w:val="fr-FR"/>
        </w:rPr>
        <w:t>’</w:t>
      </w:r>
      <w:r w:rsidRPr="00E76779">
        <w:rPr>
          <w:lang w:val="fr-FR"/>
        </w:rPr>
        <w:t>accord que le résultat des travaux sur le sujet ne devait pas avoir de caractère prescriptif</w:t>
      </w:r>
      <w:r w:rsidRPr="001B61C8">
        <w:rPr>
          <w:lang w:val="fr-FR"/>
        </w:rPr>
        <w:t>.</w:t>
      </w:r>
    </w:p>
    <w:p w14:paraId="35E209C7" w14:textId="08F3205E" w:rsidR="00C324CF" w:rsidRDefault="00C324CF" w:rsidP="00C324CF">
      <w:pPr>
        <w:pStyle w:val="SingleTxtG"/>
        <w:rPr>
          <w:lang w:val="fr-FR"/>
        </w:rPr>
      </w:pPr>
      <w:r>
        <w:rPr>
          <w:lang w:val="fr-FR"/>
        </w:rPr>
        <w:t>37</w:t>
      </w:r>
      <w:r w:rsidRPr="001B61C8">
        <w:rPr>
          <w:lang w:val="fr-FR"/>
        </w:rPr>
        <w:t>.</w:t>
      </w:r>
      <w:r w:rsidRPr="00E76779">
        <w:rPr>
          <w:lang w:val="fr-FR"/>
        </w:rPr>
        <w:tab/>
        <w:t>À la lumière des débats sur l</w:t>
      </w:r>
      <w:r w:rsidR="004C5E26">
        <w:rPr>
          <w:lang w:val="fr-FR"/>
        </w:rPr>
        <w:t>’</w:t>
      </w:r>
      <w:r w:rsidRPr="00E76779">
        <w:rPr>
          <w:lang w:val="fr-FR"/>
        </w:rPr>
        <w:t>intitulé du sujet, le Rapporteur spécial a dit qu</w:t>
      </w:r>
      <w:r w:rsidR="004C5E26">
        <w:rPr>
          <w:lang w:val="fr-FR"/>
        </w:rPr>
        <w:t>’</w:t>
      </w:r>
      <w:r w:rsidRPr="00E76779">
        <w:rPr>
          <w:lang w:val="fr-FR"/>
        </w:rPr>
        <w:t>il fallait conserver l</w:t>
      </w:r>
      <w:r w:rsidR="004C5E26">
        <w:rPr>
          <w:lang w:val="fr-FR"/>
        </w:rPr>
        <w:t>’</w:t>
      </w:r>
      <w:r w:rsidRPr="00E76779">
        <w:rPr>
          <w:lang w:val="fr-FR"/>
        </w:rPr>
        <w:t>intitulé actuel, au moins jusqu</w:t>
      </w:r>
      <w:r w:rsidR="004C5E26">
        <w:rPr>
          <w:lang w:val="fr-FR"/>
        </w:rPr>
        <w:t>’</w:t>
      </w:r>
      <w:r w:rsidRPr="00E76779">
        <w:rPr>
          <w:lang w:val="fr-FR"/>
        </w:rPr>
        <w:t>à l</w:t>
      </w:r>
      <w:r w:rsidR="004C5E26">
        <w:rPr>
          <w:lang w:val="fr-FR"/>
        </w:rPr>
        <w:t>’</w:t>
      </w:r>
      <w:r w:rsidRPr="00E76779">
        <w:rPr>
          <w:lang w:val="fr-FR"/>
        </w:rPr>
        <w:t>examen à la Sixième Commission de l</w:t>
      </w:r>
      <w:r w:rsidR="004C5E26">
        <w:rPr>
          <w:lang w:val="fr-FR"/>
        </w:rPr>
        <w:t>’</w:t>
      </w:r>
      <w:r w:rsidRPr="00E76779">
        <w:rPr>
          <w:lang w:val="fr-FR"/>
        </w:rPr>
        <w:t>Assemblée générale</w:t>
      </w:r>
      <w:r w:rsidRPr="001B61C8">
        <w:rPr>
          <w:lang w:val="fr-FR"/>
        </w:rPr>
        <w:t>.</w:t>
      </w:r>
      <w:r w:rsidRPr="00E76779">
        <w:rPr>
          <w:lang w:val="fr-FR"/>
        </w:rPr>
        <w:t xml:space="preserve"> En tout état de cause, on indiquerait expressément dans les commentaires des projets de </w:t>
      </w:r>
      <w:r>
        <w:rPr>
          <w:lang w:val="fr-FR"/>
        </w:rPr>
        <w:t>disposition</w:t>
      </w:r>
      <w:r w:rsidRPr="00E76779">
        <w:rPr>
          <w:lang w:val="fr-FR"/>
        </w:rPr>
        <w:t xml:space="preserve"> à adopter que l</w:t>
      </w:r>
      <w:r w:rsidR="004C5E26">
        <w:rPr>
          <w:lang w:val="fr-FR"/>
        </w:rPr>
        <w:t>’</w:t>
      </w:r>
      <w:r w:rsidRPr="00E76779">
        <w:rPr>
          <w:lang w:val="fr-FR"/>
        </w:rPr>
        <w:t xml:space="preserve">intitulé était sans préjudice de la nature des accords couverts par les projets de </w:t>
      </w:r>
      <w:r>
        <w:rPr>
          <w:lang w:val="fr-FR"/>
        </w:rPr>
        <w:t>disposition</w:t>
      </w:r>
      <w:r w:rsidRPr="00E76779">
        <w:rPr>
          <w:lang w:val="fr-FR"/>
        </w:rPr>
        <w:t xml:space="preserve"> et des choix terminologiques faits par les États dans leur pratique</w:t>
      </w:r>
      <w:r w:rsidRPr="001B61C8">
        <w:rPr>
          <w:lang w:val="fr-FR"/>
        </w:rPr>
        <w:t>.</w:t>
      </w:r>
      <w:r w:rsidRPr="00E76779">
        <w:rPr>
          <w:lang w:val="fr-FR"/>
        </w:rPr>
        <w:t xml:space="preserve"> En ce qui concerne le champ du sujet, le Rapporteur spécial a constaté qu</w:t>
      </w:r>
      <w:r w:rsidR="004C5E26">
        <w:rPr>
          <w:lang w:val="fr-FR"/>
        </w:rPr>
        <w:t>’</w:t>
      </w:r>
      <w:r w:rsidRPr="00E76779">
        <w:rPr>
          <w:lang w:val="fr-FR"/>
        </w:rPr>
        <w:t>un accord général se dégageait sur la plupart des questions et des suggestions formulées dans le premier rapport, mais a aussi indiqué qu</w:t>
      </w:r>
      <w:r w:rsidR="004C5E26">
        <w:rPr>
          <w:lang w:val="fr-FR"/>
        </w:rPr>
        <w:t>’</w:t>
      </w:r>
      <w:r w:rsidRPr="00E76779">
        <w:rPr>
          <w:lang w:val="fr-FR"/>
        </w:rPr>
        <w:t>il fallait faire preuve de souplesse dans la délimitation des contours du sujet et ne pas adopter une perspective trop catégorique, en particulier s</w:t>
      </w:r>
      <w:r w:rsidR="004C5E26">
        <w:rPr>
          <w:lang w:val="fr-FR"/>
        </w:rPr>
        <w:t>’</w:t>
      </w:r>
      <w:r w:rsidRPr="00E76779">
        <w:rPr>
          <w:lang w:val="fr-FR"/>
        </w:rPr>
        <w:t xml:space="preserve">agissant des accords </w:t>
      </w:r>
      <w:r>
        <w:rPr>
          <w:lang w:val="fr-FR"/>
        </w:rPr>
        <w:t>inter</w:t>
      </w:r>
      <w:r w:rsidRPr="00E76779">
        <w:rPr>
          <w:lang w:val="fr-FR"/>
        </w:rPr>
        <w:t>institutionnels et des actes adoptés par les conférences internationales</w:t>
      </w:r>
      <w:r w:rsidRPr="001B61C8">
        <w:rPr>
          <w:lang w:val="fr-FR"/>
        </w:rPr>
        <w:t>.</w:t>
      </w:r>
      <w:r w:rsidRPr="00E76779">
        <w:rPr>
          <w:lang w:val="fr-FR"/>
        </w:rPr>
        <w:t xml:space="preserve"> À propos du résultat des travaux sur le sujet, il a expliqué que, comme il avait initialement proposé un projet de conclusions et que cette proposition avait reçu le soutien d</w:t>
      </w:r>
      <w:r w:rsidR="004C5E26">
        <w:rPr>
          <w:lang w:val="fr-FR"/>
        </w:rPr>
        <w:t>’</w:t>
      </w:r>
      <w:r w:rsidRPr="00E76779">
        <w:rPr>
          <w:lang w:val="fr-FR"/>
        </w:rPr>
        <w:t>une petite majorité de membres, il continuerait dans cette voie en attendant de recevoir les observations des États et de commencer à rédiger des dispositions à la session suivante</w:t>
      </w:r>
      <w:r w:rsidRPr="001B61C8">
        <w:rPr>
          <w:lang w:val="fr-FR"/>
        </w:rPr>
        <w:t>.</w:t>
      </w:r>
      <w:r w:rsidRPr="00E76779">
        <w:rPr>
          <w:lang w:val="fr-FR"/>
        </w:rPr>
        <w:t xml:space="preserve"> Il a indiqué que, en 2025, son deuxième rapport porterait sur l</w:t>
      </w:r>
      <w:r w:rsidR="004C5E26">
        <w:rPr>
          <w:lang w:val="fr-FR"/>
        </w:rPr>
        <w:t>’</w:t>
      </w:r>
      <w:r w:rsidRPr="00E76779">
        <w:rPr>
          <w:lang w:val="fr-FR"/>
        </w:rPr>
        <w:t>objet et le champ d</w:t>
      </w:r>
      <w:r w:rsidR="004C5E26">
        <w:rPr>
          <w:lang w:val="fr-FR"/>
        </w:rPr>
        <w:t>’</w:t>
      </w:r>
      <w:r w:rsidRPr="00E76779">
        <w:rPr>
          <w:lang w:val="fr-FR"/>
        </w:rPr>
        <w:t>application du sujet et sur les questions jugées les plus importantes par les membres, telles que les critères de distinction entre les accords juridiquement contraignants et les accords juridiquement non contraignants (chap</w:t>
      </w:r>
      <w:r w:rsidRPr="001B61C8">
        <w:rPr>
          <w:lang w:val="fr-FR"/>
        </w:rPr>
        <w:t>.</w:t>
      </w:r>
      <w:r>
        <w:rPr>
          <w:lang w:val="fr-FR"/>
        </w:rPr>
        <w:t> </w:t>
      </w:r>
      <w:r w:rsidRPr="00E76779">
        <w:rPr>
          <w:lang w:val="fr-FR"/>
        </w:rPr>
        <w:t>VIII)</w:t>
      </w:r>
      <w:r w:rsidRPr="001B61C8">
        <w:rPr>
          <w:lang w:val="fr-FR"/>
        </w:rPr>
        <w:t>.</w:t>
      </w:r>
    </w:p>
    <w:p w14:paraId="3B9DE6CB" w14:textId="4C956DAF" w:rsidR="00C324CF" w:rsidRPr="00E76779" w:rsidRDefault="00C324CF" w:rsidP="00C324CF">
      <w:pPr>
        <w:pStyle w:val="SingleTxtG"/>
        <w:rPr>
          <w:lang w:val="fr-FR"/>
        </w:rPr>
      </w:pPr>
      <w:r>
        <w:rPr>
          <w:lang w:val="fr-FR"/>
        </w:rPr>
        <w:t>38</w:t>
      </w:r>
      <w:r w:rsidRPr="001B61C8">
        <w:rPr>
          <w:lang w:val="fr-FR"/>
        </w:rPr>
        <w:t>.</w:t>
      </w:r>
      <w:r w:rsidRPr="00E76779">
        <w:rPr>
          <w:lang w:val="fr-FR"/>
        </w:rPr>
        <w:tab/>
        <w:t>En ce qui concerne le sujet «</w:t>
      </w:r>
      <w:r>
        <w:rPr>
          <w:lang w:val="fr-FR"/>
        </w:rPr>
        <w:t> </w:t>
      </w:r>
      <w:r w:rsidRPr="00E76779">
        <w:rPr>
          <w:b/>
          <w:bCs/>
          <w:lang w:val="fr-FR"/>
        </w:rPr>
        <w:t>Succession d</w:t>
      </w:r>
      <w:r w:rsidR="004C5E26">
        <w:rPr>
          <w:b/>
          <w:bCs/>
          <w:lang w:val="fr-FR"/>
        </w:rPr>
        <w:t>’</w:t>
      </w:r>
      <w:r w:rsidRPr="00E76779">
        <w:rPr>
          <w:b/>
          <w:bCs/>
          <w:lang w:val="fr-FR"/>
        </w:rPr>
        <w:t>États en matière de responsabilité de l</w:t>
      </w:r>
      <w:r w:rsidR="004C5E26">
        <w:rPr>
          <w:b/>
          <w:bCs/>
          <w:lang w:val="fr-FR"/>
        </w:rPr>
        <w:t>’</w:t>
      </w:r>
      <w:r w:rsidRPr="00E76779">
        <w:rPr>
          <w:b/>
          <w:bCs/>
          <w:lang w:val="fr-FR"/>
        </w:rPr>
        <w:t>État</w:t>
      </w:r>
      <w:r>
        <w:rPr>
          <w:lang w:val="fr-FR"/>
        </w:rPr>
        <w:t> </w:t>
      </w:r>
      <w:r w:rsidRPr="00E76779">
        <w:rPr>
          <w:lang w:val="fr-FR"/>
        </w:rPr>
        <w:t>», la Commission a reconstitué un Groupe de travail sur le sujet, présidé par M</w:t>
      </w:r>
      <w:r w:rsidRPr="001B61C8">
        <w:rPr>
          <w:lang w:val="fr-FR"/>
        </w:rPr>
        <w:t>.</w:t>
      </w:r>
      <w:r>
        <w:rPr>
          <w:lang w:val="fr-FR"/>
        </w:rPr>
        <w:t> </w:t>
      </w:r>
      <w:r w:rsidRPr="00E76779">
        <w:rPr>
          <w:lang w:val="fr-FR"/>
        </w:rPr>
        <w:t>August</w:t>
      </w:r>
      <w:r>
        <w:rPr>
          <w:lang w:val="fr-FR"/>
        </w:rPr>
        <w:t> </w:t>
      </w:r>
      <w:proofErr w:type="spellStart"/>
      <w:r w:rsidRPr="00E76779">
        <w:rPr>
          <w:lang w:val="fr-FR"/>
        </w:rPr>
        <w:t>Reinisch</w:t>
      </w:r>
      <w:proofErr w:type="spellEnd"/>
      <w:r w:rsidRPr="00E76779">
        <w:rPr>
          <w:lang w:val="fr-FR"/>
        </w:rPr>
        <w:t>, afin qu</w:t>
      </w:r>
      <w:r w:rsidR="004C5E26">
        <w:rPr>
          <w:lang w:val="fr-FR"/>
        </w:rPr>
        <w:t>’</w:t>
      </w:r>
      <w:r w:rsidRPr="00E76779">
        <w:rPr>
          <w:lang w:val="fr-FR"/>
        </w:rPr>
        <w:t>il formule une recommandation sur la voie à suivre concernant le sujet</w:t>
      </w:r>
      <w:r w:rsidRPr="001B61C8">
        <w:rPr>
          <w:lang w:val="fr-FR"/>
        </w:rPr>
        <w:t>.</w:t>
      </w:r>
      <w:r w:rsidRPr="00E76779">
        <w:rPr>
          <w:lang w:val="fr-FR"/>
        </w:rPr>
        <w:t xml:space="preserve"> Le Groupe de travail était saisi du document de travail établi par le Président du Groupe de travail</w:t>
      </w:r>
      <w:r w:rsidRPr="001B61C8">
        <w:rPr>
          <w:lang w:val="fr-FR"/>
        </w:rPr>
        <w:t>.</w:t>
      </w:r>
      <w:r w:rsidRPr="00E76779">
        <w:rPr>
          <w:lang w:val="fr-FR"/>
        </w:rPr>
        <w:t xml:space="preserve"> Le débat du Groupe de travail a porté sur plusieurs points, notamment : la </w:t>
      </w:r>
      <w:r w:rsidRPr="00E76779">
        <w:rPr>
          <w:lang w:val="fr-FR"/>
        </w:rPr>
        <w:lastRenderedPageBreak/>
        <w:t>question de savoir si la pratique des États était suffisante et si elle était représentative ; la question de savoir dans quelle mesure les solutions négociées entre États concernés pouvaient prouver l</w:t>
      </w:r>
      <w:r w:rsidR="004C5E26">
        <w:rPr>
          <w:lang w:val="fr-FR"/>
        </w:rPr>
        <w:t>’</w:t>
      </w:r>
      <w:r w:rsidRPr="00E76779">
        <w:rPr>
          <w:lang w:val="fr-FR"/>
        </w:rPr>
        <w:t>existence de règles de droit international coutumier ; la distinction entre le transfert de la responsabilité proprement dite et le transfert des droits et obligations découlant de la responsabilité de l</w:t>
      </w:r>
      <w:r w:rsidR="004C5E26">
        <w:rPr>
          <w:lang w:val="fr-FR"/>
        </w:rPr>
        <w:t>’</w:t>
      </w:r>
      <w:r w:rsidRPr="00E76779">
        <w:rPr>
          <w:lang w:val="fr-FR"/>
        </w:rPr>
        <w:t>État prédécesseur</w:t>
      </w:r>
      <w:r>
        <w:rPr>
          <w:lang w:val="fr-FR"/>
        </w:rPr>
        <w:t> </w:t>
      </w:r>
      <w:r w:rsidRPr="00E76779">
        <w:rPr>
          <w:lang w:val="fr-FR"/>
        </w:rPr>
        <w:t>; la nécessité de distinguer entre codification et développement progressif</w:t>
      </w:r>
      <w:r>
        <w:rPr>
          <w:lang w:val="fr-FR"/>
        </w:rPr>
        <w:t> </w:t>
      </w:r>
      <w:r w:rsidRPr="00E76779">
        <w:rPr>
          <w:lang w:val="fr-FR"/>
        </w:rPr>
        <w:t>; les principes militant pour ou contre la succession automatique et l</w:t>
      </w:r>
      <w:r w:rsidR="004C5E26">
        <w:rPr>
          <w:lang w:val="fr-FR"/>
        </w:rPr>
        <w:t>’</w:t>
      </w:r>
      <w:r w:rsidRPr="00E76779">
        <w:rPr>
          <w:lang w:val="fr-FR"/>
        </w:rPr>
        <w:t>approche de la «</w:t>
      </w:r>
      <w:r w:rsidR="00FF0F1C">
        <w:rPr>
          <w:lang w:val="fr-FR"/>
        </w:rPr>
        <w:t> </w:t>
      </w:r>
      <w:r w:rsidRPr="00E76779">
        <w:rPr>
          <w:lang w:val="fr-FR"/>
        </w:rPr>
        <w:t>table rase</w:t>
      </w:r>
      <w:r w:rsidR="00FF0F1C">
        <w:rPr>
          <w:lang w:val="fr-FR"/>
        </w:rPr>
        <w:t> </w:t>
      </w:r>
      <w:r w:rsidRPr="00E76779">
        <w:rPr>
          <w:lang w:val="fr-FR"/>
        </w:rPr>
        <w:t>»</w:t>
      </w:r>
      <w:r>
        <w:rPr>
          <w:lang w:val="fr-FR"/>
        </w:rPr>
        <w:t> </w:t>
      </w:r>
      <w:r w:rsidRPr="00E76779">
        <w:rPr>
          <w:lang w:val="fr-FR"/>
        </w:rPr>
        <w:t>; la question de savoir si un parallèle entre la responsabilité de l</w:t>
      </w:r>
      <w:r w:rsidR="004C5E26">
        <w:rPr>
          <w:lang w:val="fr-FR"/>
        </w:rPr>
        <w:t>’</w:t>
      </w:r>
      <w:r w:rsidRPr="00E76779">
        <w:rPr>
          <w:lang w:val="fr-FR"/>
        </w:rPr>
        <w:t>État et les dettes de l</w:t>
      </w:r>
      <w:r w:rsidR="004C5E26">
        <w:rPr>
          <w:lang w:val="fr-FR"/>
        </w:rPr>
        <w:t>’</w:t>
      </w:r>
      <w:r w:rsidRPr="00E76779">
        <w:rPr>
          <w:lang w:val="fr-FR"/>
        </w:rPr>
        <w:t>État se justifiait</w:t>
      </w:r>
      <w:r>
        <w:rPr>
          <w:lang w:val="fr-FR"/>
        </w:rPr>
        <w:t> </w:t>
      </w:r>
      <w:r w:rsidRPr="00E76779">
        <w:rPr>
          <w:lang w:val="fr-FR"/>
        </w:rPr>
        <w:t>; et le rapport entre le projet de directives et le principe de l</w:t>
      </w:r>
      <w:r w:rsidR="004C5E26">
        <w:rPr>
          <w:lang w:val="fr-FR"/>
        </w:rPr>
        <w:t>’</w:t>
      </w:r>
      <w:r w:rsidRPr="00E76779">
        <w:rPr>
          <w:lang w:val="fr-FR"/>
        </w:rPr>
        <w:t>enrichissement injustifié</w:t>
      </w:r>
      <w:r w:rsidRPr="001B61C8">
        <w:rPr>
          <w:lang w:val="fr-FR"/>
        </w:rPr>
        <w:t>.</w:t>
      </w:r>
      <w:r w:rsidRPr="00E76779">
        <w:rPr>
          <w:lang w:val="fr-FR"/>
        </w:rPr>
        <w:t xml:space="preserve"> Le Groupe de travail a également relevé plusieurs questions dans les projets de directive qui méritaient d</w:t>
      </w:r>
      <w:r w:rsidR="004C5E26">
        <w:rPr>
          <w:lang w:val="fr-FR"/>
        </w:rPr>
        <w:t>’</w:t>
      </w:r>
      <w:r w:rsidRPr="00E76779">
        <w:rPr>
          <w:lang w:val="fr-FR"/>
        </w:rPr>
        <w:t>être clarifiées</w:t>
      </w:r>
      <w:r w:rsidRPr="001B61C8">
        <w:rPr>
          <w:lang w:val="fr-FR"/>
        </w:rPr>
        <w:t>.</w:t>
      </w:r>
    </w:p>
    <w:p w14:paraId="33ABC8DF" w14:textId="70220D90" w:rsidR="00C324CF" w:rsidRPr="00E76779" w:rsidRDefault="00C324CF" w:rsidP="00C324CF">
      <w:pPr>
        <w:pStyle w:val="SingleTxtG"/>
        <w:rPr>
          <w:lang w:val="fr-FR"/>
        </w:rPr>
      </w:pPr>
      <w:r>
        <w:rPr>
          <w:lang w:val="fr-FR"/>
        </w:rPr>
        <w:t>39</w:t>
      </w:r>
      <w:r w:rsidRPr="001B61C8">
        <w:rPr>
          <w:lang w:val="fr-FR"/>
        </w:rPr>
        <w:t>.</w:t>
      </w:r>
      <w:r w:rsidRPr="00E76779">
        <w:rPr>
          <w:lang w:val="fr-FR"/>
        </w:rPr>
        <w:tab/>
        <w:t>Compte tenu des questions et difficultés soulevées, le Groupe de travail a envisagé plusieurs options possibles pour achever les travaux de la Commission sur le sujet</w:t>
      </w:r>
      <w:r w:rsidRPr="001B61C8">
        <w:rPr>
          <w:lang w:val="fr-FR"/>
        </w:rPr>
        <w:t>.</w:t>
      </w:r>
      <w:r w:rsidRPr="00E76779">
        <w:rPr>
          <w:lang w:val="fr-FR"/>
        </w:rPr>
        <w:t xml:space="preserve"> Après avoir résumé les diverses options, le Président du Groupe de travail a constaté que ses membres privilégiaient majoritairement l</w:t>
      </w:r>
      <w:r w:rsidR="004C5E26">
        <w:rPr>
          <w:lang w:val="fr-FR"/>
        </w:rPr>
        <w:t>’</w:t>
      </w:r>
      <w:r w:rsidRPr="00E76779">
        <w:rPr>
          <w:lang w:val="fr-FR"/>
        </w:rPr>
        <w:t>établissement d</w:t>
      </w:r>
      <w:r w:rsidR="004C5E26">
        <w:rPr>
          <w:lang w:val="fr-FR"/>
        </w:rPr>
        <w:t>’</w:t>
      </w:r>
      <w:r w:rsidRPr="00E76779">
        <w:rPr>
          <w:lang w:val="fr-FR"/>
        </w:rPr>
        <w:t>un rapport de synthèse dans lequel seraient décrites, mais non analysées au fond, les difficultés rencontrées dans le cadre des travaux sur le sujet et qui serait destiné à conclure ces travaux à la session suivante de la Commission</w:t>
      </w:r>
      <w:r w:rsidRPr="001B61C8">
        <w:rPr>
          <w:lang w:val="fr-FR"/>
        </w:rPr>
        <w:t>.</w:t>
      </w:r>
      <w:r w:rsidRPr="00E76779">
        <w:rPr>
          <w:lang w:val="fr-FR"/>
        </w:rPr>
        <w:t xml:space="preserve"> La Commission a décidé de créer un groupe de travail à sa soixante-seizième session afin qu</w:t>
      </w:r>
      <w:r w:rsidR="004C5E26">
        <w:rPr>
          <w:lang w:val="fr-FR"/>
        </w:rPr>
        <w:t>’</w:t>
      </w:r>
      <w:r w:rsidRPr="00E76779">
        <w:rPr>
          <w:lang w:val="fr-FR"/>
        </w:rPr>
        <w:t>il rédige un rapport qui mettra fin à ses travaux sur le sujet et de désigner M</w:t>
      </w:r>
      <w:r w:rsidRPr="001B61C8">
        <w:rPr>
          <w:lang w:val="fr-FR"/>
        </w:rPr>
        <w:t>.</w:t>
      </w:r>
      <w:r w:rsidRPr="00E76779">
        <w:rPr>
          <w:lang w:val="fr-FR"/>
        </w:rPr>
        <w:t> Bimal</w:t>
      </w:r>
      <w:r>
        <w:rPr>
          <w:lang w:val="fr-FR"/>
        </w:rPr>
        <w:t> </w:t>
      </w:r>
      <w:r w:rsidRPr="00E76779">
        <w:rPr>
          <w:lang w:val="fr-FR"/>
        </w:rPr>
        <w:t>N</w:t>
      </w:r>
      <w:r w:rsidRPr="001B61C8">
        <w:rPr>
          <w:lang w:val="fr-FR"/>
        </w:rPr>
        <w:t>.</w:t>
      </w:r>
      <w:r w:rsidRPr="00E76779">
        <w:rPr>
          <w:lang w:val="fr-FR"/>
        </w:rPr>
        <w:t> Patel Président de ce groupe (chap</w:t>
      </w:r>
      <w:r w:rsidRPr="001B61C8">
        <w:rPr>
          <w:lang w:val="fr-FR"/>
        </w:rPr>
        <w:t>.</w:t>
      </w:r>
      <w:r>
        <w:rPr>
          <w:lang w:val="fr-FR"/>
        </w:rPr>
        <w:t> </w:t>
      </w:r>
      <w:r w:rsidRPr="00E76779">
        <w:rPr>
          <w:lang w:val="fr-FR"/>
        </w:rPr>
        <w:t>IX)</w:t>
      </w:r>
      <w:r w:rsidRPr="001B61C8">
        <w:rPr>
          <w:lang w:val="fr-FR"/>
        </w:rPr>
        <w:t>.</w:t>
      </w:r>
    </w:p>
    <w:p w14:paraId="6045E5A8" w14:textId="2B292420" w:rsidR="00C324CF" w:rsidRPr="00E76779" w:rsidRDefault="00C324CF" w:rsidP="00C324CF">
      <w:pPr>
        <w:pStyle w:val="SingleTxtG"/>
        <w:rPr>
          <w:lang w:val="fr-FR"/>
        </w:rPr>
      </w:pPr>
      <w:r>
        <w:rPr>
          <w:lang w:val="fr-FR"/>
        </w:rPr>
        <w:t>40</w:t>
      </w:r>
      <w:r w:rsidRPr="001B61C8">
        <w:rPr>
          <w:lang w:val="fr-FR"/>
        </w:rPr>
        <w:t>.</w:t>
      </w:r>
      <w:r w:rsidRPr="00E76779">
        <w:rPr>
          <w:lang w:val="fr-FR"/>
        </w:rPr>
        <w:tab/>
        <w:t>En ce qui concerne le sujet « </w:t>
      </w:r>
      <w:r w:rsidRPr="00E76779">
        <w:rPr>
          <w:b/>
          <w:bCs/>
          <w:lang w:val="fr-FR"/>
        </w:rPr>
        <w:t>L</w:t>
      </w:r>
      <w:r w:rsidR="004C5E26">
        <w:rPr>
          <w:b/>
          <w:bCs/>
          <w:lang w:val="fr-FR"/>
        </w:rPr>
        <w:t>’</w:t>
      </w:r>
      <w:r w:rsidRPr="00E76779">
        <w:rPr>
          <w:b/>
          <w:bCs/>
          <w:lang w:val="fr-FR"/>
        </w:rPr>
        <w:t>élévation du niveau de la mer au regard du droit international</w:t>
      </w:r>
      <w:r w:rsidRPr="00E76779">
        <w:rPr>
          <w:lang w:val="fr-FR"/>
        </w:rPr>
        <w:t> », la Commission a reconstitué le Groupe d</w:t>
      </w:r>
      <w:r w:rsidR="004C5E26">
        <w:rPr>
          <w:lang w:val="fr-FR"/>
        </w:rPr>
        <w:t>’</w:t>
      </w:r>
      <w:r w:rsidRPr="00E76779">
        <w:rPr>
          <w:lang w:val="fr-FR"/>
        </w:rPr>
        <w:t>étude sur l</w:t>
      </w:r>
      <w:r w:rsidR="004C5E26">
        <w:rPr>
          <w:lang w:val="fr-FR"/>
        </w:rPr>
        <w:t>’</w:t>
      </w:r>
      <w:r w:rsidRPr="00E76779">
        <w:rPr>
          <w:lang w:val="fr-FR"/>
        </w:rPr>
        <w:t>élévation du niveau de la mer au regard du droit international</w:t>
      </w:r>
      <w:r w:rsidRPr="001B61C8">
        <w:rPr>
          <w:lang w:val="fr-FR"/>
        </w:rPr>
        <w:t>.</w:t>
      </w:r>
      <w:r w:rsidRPr="00E76779">
        <w:rPr>
          <w:lang w:val="fr-FR"/>
        </w:rPr>
        <w:t xml:space="preserve"> Le Groupe d</w:t>
      </w:r>
      <w:r w:rsidR="004C5E26">
        <w:rPr>
          <w:lang w:val="fr-FR"/>
        </w:rPr>
        <w:t>’</w:t>
      </w:r>
      <w:r w:rsidRPr="00E76779">
        <w:rPr>
          <w:lang w:val="fr-FR"/>
        </w:rPr>
        <w:t>étude était saisi de la note complémentaire (</w:t>
      </w:r>
      <w:hyperlink r:id="rId44" w:history="1">
        <w:r w:rsidRPr="00E76779">
          <w:rPr>
            <w:rStyle w:val="Lienhypertexte"/>
            <w:lang w:val="fr-FR"/>
          </w:rPr>
          <w:t>A/CN</w:t>
        </w:r>
        <w:r w:rsidRPr="001B61C8">
          <w:rPr>
            <w:rStyle w:val="Lienhypertexte"/>
            <w:lang w:val="fr-FR"/>
          </w:rPr>
          <w:t>.</w:t>
        </w:r>
        <w:r w:rsidRPr="00E76779">
          <w:rPr>
            <w:rStyle w:val="Lienhypertexte"/>
            <w:lang w:val="fr-FR"/>
          </w:rPr>
          <w:t>4/774</w:t>
        </w:r>
      </w:hyperlink>
      <w:r w:rsidRPr="00E76779">
        <w:rPr>
          <w:lang w:val="fr-FR"/>
        </w:rPr>
        <w:t xml:space="preserve">) à la seconde note thématique, établie par </w:t>
      </w:r>
      <w:r>
        <w:rPr>
          <w:lang w:val="fr-FR"/>
        </w:rPr>
        <w:t xml:space="preserve">les Coprésidents, </w:t>
      </w:r>
      <w:r w:rsidRPr="00E76779">
        <w:rPr>
          <w:lang w:val="fr-FR"/>
        </w:rPr>
        <w:t>M</w:t>
      </w:r>
      <w:r w:rsidRPr="00E76779">
        <w:rPr>
          <w:vertAlign w:val="superscript"/>
          <w:lang w:val="fr-FR"/>
        </w:rPr>
        <w:t>me</w:t>
      </w:r>
      <w:r>
        <w:rPr>
          <w:lang w:val="fr-FR"/>
        </w:rPr>
        <w:t> </w:t>
      </w:r>
      <w:proofErr w:type="spellStart"/>
      <w:r w:rsidRPr="00E76779">
        <w:rPr>
          <w:lang w:val="fr-FR"/>
        </w:rPr>
        <w:t>Galvão</w:t>
      </w:r>
      <w:proofErr w:type="spellEnd"/>
      <w:r>
        <w:rPr>
          <w:lang w:val="fr-FR"/>
        </w:rPr>
        <w:t> </w:t>
      </w:r>
      <w:proofErr w:type="spellStart"/>
      <w:r w:rsidRPr="00E76779">
        <w:rPr>
          <w:lang w:val="fr-FR"/>
        </w:rPr>
        <w:t>Teles</w:t>
      </w:r>
      <w:proofErr w:type="spellEnd"/>
      <w:r w:rsidRPr="00E76779">
        <w:rPr>
          <w:lang w:val="fr-FR"/>
        </w:rPr>
        <w:t xml:space="preserve"> et M</w:t>
      </w:r>
      <w:r w:rsidRPr="001B61C8">
        <w:rPr>
          <w:lang w:val="fr-FR"/>
        </w:rPr>
        <w:t>.</w:t>
      </w:r>
      <w:r>
        <w:rPr>
          <w:lang w:val="fr-FR"/>
        </w:rPr>
        <w:t> </w:t>
      </w:r>
      <w:proofErr w:type="spellStart"/>
      <w:r w:rsidRPr="00E76779">
        <w:rPr>
          <w:lang w:val="fr-FR"/>
        </w:rPr>
        <w:t>Ruda</w:t>
      </w:r>
      <w:proofErr w:type="spellEnd"/>
      <w:r>
        <w:rPr>
          <w:lang w:val="fr-FR"/>
        </w:rPr>
        <w:t> </w:t>
      </w:r>
      <w:proofErr w:type="spellStart"/>
      <w:r w:rsidRPr="00E76779">
        <w:rPr>
          <w:lang w:val="fr-FR"/>
        </w:rPr>
        <w:t>Santolaria</w:t>
      </w:r>
      <w:proofErr w:type="spellEnd"/>
      <w:r w:rsidRPr="00E76779">
        <w:rPr>
          <w:lang w:val="fr-FR"/>
        </w:rPr>
        <w:t>, qui y avaient traité de deux sous-sujets, à savoir la condition étatique et la protection des personnes touchées par l</w:t>
      </w:r>
      <w:r w:rsidR="004C5E26">
        <w:rPr>
          <w:lang w:val="fr-FR"/>
        </w:rPr>
        <w:t>’</w:t>
      </w:r>
      <w:r w:rsidRPr="00E76779">
        <w:rPr>
          <w:lang w:val="fr-FR"/>
        </w:rPr>
        <w:t>élévation du niveau de la mer</w:t>
      </w:r>
      <w:r w:rsidRPr="001B61C8">
        <w:rPr>
          <w:lang w:val="fr-FR"/>
        </w:rPr>
        <w:t>.</w:t>
      </w:r>
      <w:r w:rsidRPr="00E76779">
        <w:rPr>
          <w:lang w:val="fr-FR"/>
        </w:rPr>
        <w:t xml:space="preserve"> Une bibliographie sélective, établie en consultation avec les membres du Groupe d</w:t>
      </w:r>
      <w:r w:rsidR="004C5E26">
        <w:rPr>
          <w:lang w:val="fr-FR"/>
        </w:rPr>
        <w:t>’</w:t>
      </w:r>
      <w:r w:rsidRPr="00E76779">
        <w:rPr>
          <w:lang w:val="fr-FR"/>
        </w:rPr>
        <w:t>étude, a été publiée en tant qu</w:t>
      </w:r>
      <w:r w:rsidR="004C5E26">
        <w:rPr>
          <w:lang w:val="fr-FR"/>
        </w:rPr>
        <w:t>’</w:t>
      </w:r>
      <w:r w:rsidRPr="00E76779">
        <w:rPr>
          <w:lang w:val="fr-FR"/>
        </w:rPr>
        <w:t>additif (</w:t>
      </w:r>
      <w:hyperlink r:id="rId45" w:history="1">
        <w:r w:rsidRPr="00E76779">
          <w:rPr>
            <w:rStyle w:val="Lienhypertexte"/>
            <w:lang w:val="fr-FR"/>
          </w:rPr>
          <w:t>A/CN</w:t>
        </w:r>
        <w:r w:rsidRPr="001B61C8">
          <w:rPr>
            <w:rStyle w:val="Lienhypertexte"/>
            <w:lang w:val="fr-FR"/>
          </w:rPr>
          <w:t>.</w:t>
        </w:r>
        <w:r w:rsidRPr="00E76779">
          <w:rPr>
            <w:rStyle w:val="Lienhypertexte"/>
            <w:lang w:val="fr-FR"/>
          </w:rPr>
          <w:t>4/774/Add</w:t>
        </w:r>
        <w:r w:rsidRPr="001B61C8">
          <w:rPr>
            <w:rStyle w:val="Lienhypertexte"/>
            <w:lang w:val="fr-FR"/>
          </w:rPr>
          <w:t>.</w:t>
        </w:r>
        <w:r w:rsidRPr="00E76779">
          <w:rPr>
            <w:rStyle w:val="Lienhypertexte"/>
            <w:lang w:val="fr-FR"/>
          </w:rPr>
          <w:t>1</w:t>
        </w:r>
      </w:hyperlink>
      <w:r w:rsidRPr="00E76779">
        <w:rPr>
          <w:lang w:val="fr-FR"/>
        </w:rPr>
        <w:t>) à la note complémentaire</w:t>
      </w:r>
      <w:r w:rsidRPr="001B61C8">
        <w:rPr>
          <w:lang w:val="fr-FR"/>
        </w:rPr>
        <w:t>.</w:t>
      </w:r>
      <w:r w:rsidRPr="00E76779">
        <w:rPr>
          <w:lang w:val="fr-FR"/>
        </w:rPr>
        <w:t xml:space="preserve"> Le Groupe d</w:t>
      </w:r>
      <w:r w:rsidR="004C5E26">
        <w:rPr>
          <w:lang w:val="fr-FR"/>
        </w:rPr>
        <w:t>’</w:t>
      </w:r>
      <w:r w:rsidRPr="00E76779">
        <w:rPr>
          <w:lang w:val="fr-FR"/>
        </w:rPr>
        <w:t>étude était également saisi d</w:t>
      </w:r>
      <w:r w:rsidR="004C5E26">
        <w:rPr>
          <w:lang w:val="fr-FR"/>
        </w:rPr>
        <w:t>’</w:t>
      </w:r>
      <w:r w:rsidRPr="00E76779">
        <w:rPr>
          <w:lang w:val="fr-FR"/>
        </w:rPr>
        <w:t>une étude du Secrétariat recensant les éléments figurant dans les travaux antérieurs de la Commission susceptibles de présenter un intérêt particulier aux fins de l</w:t>
      </w:r>
      <w:r w:rsidR="004C5E26">
        <w:rPr>
          <w:lang w:val="fr-FR"/>
        </w:rPr>
        <w:t>’</w:t>
      </w:r>
      <w:r w:rsidRPr="00E76779">
        <w:rPr>
          <w:lang w:val="fr-FR"/>
        </w:rPr>
        <w:t>examen du sujet (</w:t>
      </w:r>
      <w:hyperlink r:id="rId46" w:history="1">
        <w:r w:rsidRPr="00E76779">
          <w:rPr>
            <w:rStyle w:val="Lienhypertexte"/>
            <w:lang w:val="fr-FR"/>
          </w:rPr>
          <w:t>A/CN</w:t>
        </w:r>
        <w:r w:rsidRPr="001B61C8">
          <w:rPr>
            <w:rStyle w:val="Lienhypertexte"/>
            <w:lang w:val="fr-FR"/>
          </w:rPr>
          <w:t>.</w:t>
        </w:r>
        <w:r w:rsidRPr="00E76779">
          <w:rPr>
            <w:rStyle w:val="Lienhypertexte"/>
            <w:lang w:val="fr-FR"/>
          </w:rPr>
          <w:t>4/768</w:t>
        </w:r>
      </w:hyperlink>
      <w:r w:rsidRPr="00E76779">
        <w:rPr>
          <w:lang w:val="fr-FR"/>
        </w:rPr>
        <w:t>)</w:t>
      </w:r>
      <w:r w:rsidRPr="001B61C8">
        <w:rPr>
          <w:lang w:val="fr-FR"/>
        </w:rPr>
        <w:t>.</w:t>
      </w:r>
    </w:p>
    <w:p w14:paraId="74884548" w14:textId="7E78CF1C" w:rsidR="00C324CF" w:rsidRPr="00E76779" w:rsidRDefault="00C324CF" w:rsidP="00C324CF">
      <w:pPr>
        <w:pStyle w:val="SingleTxtG"/>
        <w:rPr>
          <w:lang w:val="fr-FR"/>
        </w:rPr>
      </w:pPr>
      <w:r>
        <w:rPr>
          <w:lang w:val="fr-FR"/>
        </w:rPr>
        <w:t>41</w:t>
      </w:r>
      <w:r w:rsidRPr="001B61C8">
        <w:rPr>
          <w:lang w:val="fr-FR"/>
        </w:rPr>
        <w:t>.</w:t>
      </w:r>
      <w:r w:rsidRPr="00E76779">
        <w:rPr>
          <w:lang w:val="fr-FR"/>
        </w:rPr>
        <w:tab/>
        <w:t>La note complémentaire a donné lieu à un échange de vues très nourri au sein du Groupe d</w:t>
      </w:r>
      <w:r w:rsidR="004C5E26">
        <w:rPr>
          <w:lang w:val="fr-FR"/>
        </w:rPr>
        <w:t>’</w:t>
      </w:r>
      <w:r w:rsidRPr="00E76779">
        <w:rPr>
          <w:lang w:val="fr-FR"/>
        </w:rPr>
        <w:t>étude</w:t>
      </w:r>
      <w:r w:rsidRPr="001B61C8">
        <w:rPr>
          <w:lang w:val="fr-FR"/>
        </w:rPr>
        <w:t>.</w:t>
      </w:r>
      <w:r w:rsidRPr="00E76779">
        <w:rPr>
          <w:lang w:val="fr-FR"/>
        </w:rPr>
        <w:t xml:space="preserve"> Des membres du Groupe d</w:t>
      </w:r>
      <w:r w:rsidR="004C5E26">
        <w:rPr>
          <w:lang w:val="fr-FR"/>
        </w:rPr>
        <w:t>’</w:t>
      </w:r>
      <w:r w:rsidRPr="00E76779">
        <w:rPr>
          <w:lang w:val="fr-FR"/>
        </w:rPr>
        <w:t>étude ont réaffirmé l</w:t>
      </w:r>
      <w:r w:rsidR="004C5E26">
        <w:rPr>
          <w:lang w:val="fr-FR"/>
        </w:rPr>
        <w:t>’</w:t>
      </w:r>
      <w:r w:rsidRPr="00E76779">
        <w:rPr>
          <w:lang w:val="fr-FR"/>
        </w:rPr>
        <w:t>importance et la pertinence du sujet pour les États, spécialement ceux qui étaient directement touchés par l</w:t>
      </w:r>
      <w:r w:rsidR="004C5E26">
        <w:rPr>
          <w:lang w:val="fr-FR"/>
        </w:rPr>
        <w:t>’</w:t>
      </w:r>
      <w:r w:rsidRPr="00E76779">
        <w:rPr>
          <w:lang w:val="fr-FR"/>
        </w:rPr>
        <w:t>élévation du niveau de la mer, et la nécessité de démontrer l</w:t>
      </w:r>
      <w:r w:rsidR="004C5E26">
        <w:rPr>
          <w:lang w:val="fr-FR"/>
        </w:rPr>
        <w:t>’</w:t>
      </w:r>
      <w:r w:rsidRPr="00E76779">
        <w:rPr>
          <w:lang w:val="fr-FR"/>
        </w:rPr>
        <w:t>intérêt pratique du sujet pour les États</w:t>
      </w:r>
      <w:r w:rsidRPr="001B61C8">
        <w:rPr>
          <w:lang w:val="fr-FR"/>
        </w:rPr>
        <w:t>.</w:t>
      </w:r>
      <w:r w:rsidRPr="00E76779">
        <w:rPr>
          <w:lang w:val="fr-FR"/>
        </w:rPr>
        <w:t xml:space="preserve"> On a également insisté sur les liens entre les trois sous-sujets qui concernent l</w:t>
      </w:r>
      <w:r w:rsidR="004C5E26">
        <w:rPr>
          <w:lang w:val="fr-FR"/>
        </w:rPr>
        <w:t>’</w:t>
      </w:r>
      <w:r w:rsidRPr="00E76779">
        <w:rPr>
          <w:lang w:val="fr-FR"/>
        </w:rPr>
        <w:t>élévation du niveau de la mer</w:t>
      </w:r>
      <w:r w:rsidRPr="001B61C8">
        <w:rPr>
          <w:lang w:val="fr-FR"/>
        </w:rPr>
        <w:t>.</w:t>
      </w:r>
    </w:p>
    <w:p w14:paraId="2AD6C089" w14:textId="22252402" w:rsidR="00C324CF" w:rsidRPr="00E76779" w:rsidRDefault="00C324CF" w:rsidP="00C324CF">
      <w:pPr>
        <w:pStyle w:val="SingleTxtG"/>
        <w:rPr>
          <w:lang w:val="fr-FR"/>
        </w:rPr>
      </w:pPr>
      <w:r w:rsidRPr="00A3772E">
        <w:rPr>
          <w:lang w:val="fr-FR"/>
        </w:rPr>
        <w:t>42.</w:t>
      </w:r>
      <w:r w:rsidRPr="00A3772E">
        <w:rPr>
          <w:lang w:val="fr-FR"/>
        </w:rPr>
        <w:tab/>
        <w:t>En ce qui concerne</w:t>
      </w:r>
      <w:r w:rsidRPr="00E76779">
        <w:rPr>
          <w:lang w:val="fr-FR"/>
        </w:rPr>
        <w:t xml:space="preserve"> le sous-sujet de la condition étatique, le Groupe d</w:t>
      </w:r>
      <w:r w:rsidR="004C5E26">
        <w:rPr>
          <w:lang w:val="fr-FR"/>
        </w:rPr>
        <w:t>’</w:t>
      </w:r>
      <w:r w:rsidRPr="00E76779">
        <w:rPr>
          <w:lang w:val="fr-FR"/>
        </w:rPr>
        <w:t>étude a généralement soutenu l</w:t>
      </w:r>
      <w:r w:rsidR="004C5E26">
        <w:rPr>
          <w:lang w:val="fr-FR"/>
        </w:rPr>
        <w:t>’</w:t>
      </w:r>
      <w:r w:rsidRPr="00E76779">
        <w:rPr>
          <w:lang w:val="fr-FR"/>
        </w:rPr>
        <w:t>idée de la continuité de la condition étatique et convenu</w:t>
      </w:r>
      <w:r w:rsidRPr="002246E7">
        <w:rPr>
          <w:lang w:val="fr-FR"/>
        </w:rPr>
        <w:t xml:space="preserve"> </w:t>
      </w:r>
      <w:r w:rsidRPr="00E76779">
        <w:rPr>
          <w:lang w:val="fr-FR"/>
        </w:rPr>
        <w:t>que les éléments énoncés à l</w:t>
      </w:r>
      <w:r w:rsidR="004C5E26">
        <w:rPr>
          <w:lang w:val="fr-FR"/>
        </w:rPr>
        <w:t>’</w:t>
      </w:r>
      <w:r w:rsidRPr="00E76779">
        <w:rPr>
          <w:lang w:val="fr-FR"/>
        </w:rPr>
        <w:t>article</w:t>
      </w:r>
      <w:r>
        <w:rPr>
          <w:lang w:val="fr-FR"/>
        </w:rPr>
        <w:t> </w:t>
      </w:r>
      <w:r w:rsidRPr="00E76779">
        <w:rPr>
          <w:lang w:val="fr-FR"/>
        </w:rPr>
        <w:t>premier de la Convention de Montevideo sur les droits et devoirs des États, de 1933, généralement acceptés comme établi</w:t>
      </w:r>
      <w:r>
        <w:rPr>
          <w:lang w:val="fr-FR"/>
        </w:rPr>
        <w:t>ssant</w:t>
      </w:r>
      <w:r w:rsidRPr="00E76779">
        <w:rPr>
          <w:lang w:val="fr-FR"/>
        </w:rPr>
        <w:t xml:space="preserve"> l</w:t>
      </w:r>
      <w:r w:rsidR="004C5E26">
        <w:rPr>
          <w:lang w:val="fr-FR"/>
        </w:rPr>
        <w:t>’</w:t>
      </w:r>
      <w:r w:rsidRPr="00E76779">
        <w:rPr>
          <w:lang w:val="fr-FR"/>
        </w:rPr>
        <w:t>existence d</w:t>
      </w:r>
      <w:r w:rsidR="004C5E26">
        <w:rPr>
          <w:lang w:val="fr-FR"/>
        </w:rPr>
        <w:t>’</w:t>
      </w:r>
      <w:r w:rsidRPr="00E76779">
        <w:rPr>
          <w:lang w:val="fr-FR"/>
        </w:rPr>
        <w:t>un État en tant que sujet de droit international, ne répondaient pas vraiment à la question de la continuité de la condition étatique</w:t>
      </w:r>
      <w:r>
        <w:rPr>
          <w:lang w:val="fr-FR"/>
        </w:rPr>
        <w:t>.</w:t>
      </w:r>
      <w:r w:rsidRPr="00E76779">
        <w:rPr>
          <w:lang w:val="fr-FR"/>
        </w:rPr>
        <w:t xml:space="preserve"> En effet, la pratique des États avait montré que, s</w:t>
      </w:r>
      <w:r w:rsidR="004C5E26">
        <w:rPr>
          <w:lang w:val="fr-FR"/>
        </w:rPr>
        <w:t>’</w:t>
      </w:r>
      <w:r w:rsidRPr="00E76779">
        <w:rPr>
          <w:lang w:val="fr-FR"/>
        </w:rPr>
        <w:t>agissant des questions relatives à la condition étatique, le droit international était appliqué avec souplesse</w:t>
      </w:r>
      <w:r w:rsidRPr="001B61C8">
        <w:rPr>
          <w:lang w:val="fr-FR"/>
        </w:rPr>
        <w:t>.</w:t>
      </w:r>
      <w:r w:rsidRPr="00E76779">
        <w:rPr>
          <w:lang w:val="fr-FR"/>
        </w:rPr>
        <w:t xml:space="preserve"> La Déclaration de 2023 sur la continuité étatique et la protection des personnes face à l</w:t>
      </w:r>
      <w:r w:rsidR="004C5E26">
        <w:rPr>
          <w:lang w:val="fr-FR"/>
        </w:rPr>
        <w:t>’</w:t>
      </w:r>
      <w:r w:rsidRPr="00E76779">
        <w:rPr>
          <w:lang w:val="fr-FR"/>
        </w:rPr>
        <w:t>élévation du niveau de la mer liée aux changements climatiques, adoptée par le Forum des îles du Pacifique, illustrait particulièrement bien ce point, puisqu</w:t>
      </w:r>
      <w:r w:rsidR="004C5E26">
        <w:rPr>
          <w:lang w:val="fr-FR"/>
        </w:rPr>
        <w:t>’</w:t>
      </w:r>
      <w:r w:rsidRPr="00E76779">
        <w:rPr>
          <w:lang w:val="fr-FR"/>
        </w:rPr>
        <w:t>elle présumait la continuité de la condition étatique indépendamment des effets de l</w:t>
      </w:r>
      <w:r w:rsidR="004C5E26">
        <w:rPr>
          <w:lang w:val="fr-FR"/>
        </w:rPr>
        <w:t>’</w:t>
      </w:r>
      <w:r w:rsidRPr="00E76779">
        <w:rPr>
          <w:lang w:val="fr-FR"/>
        </w:rPr>
        <w:t>élévation du niveau de la mer</w:t>
      </w:r>
      <w:r w:rsidRPr="001B61C8">
        <w:rPr>
          <w:lang w:val="fr-FR"/>
        </w:rPr>
        <w:t>.</w:t>
      </w:r>
      <w:r w:rsidRPr="00E76779">
        <w:rPr>
          <w:lang w:val="fr-FR"/>
        </w:rPr>
        <w:t xml:space="preserve"> S</w:t>
      </w:r>
      <w:r w:rsidR="004C5E26">
        <w:rPr>
          <w:lang w:val="fr-FR"/>
        </w:rPr>
        <w:t>’</w:t>
      </w:r>
      <w:r w:rsidRPr="00E76779">
        <w:rPr>
          <w:lang w:val="fr-FR"/>
        </w:rPr>
        <w:t>appuyant sur la note complémentaire, le Groupe d</w:t>
      </w:r>
      <w:r w:rsidR="004C5E26">
        <w:rPr>
          <w:lang w:val="fr-FR"/>
        </w:rPr>
        <w:t>’</w:t>
      </w:r>
      <w:r w:rsidRPr="00E76779">
        <w:rPr>
          <w:lang w:val="fr-FR"/>
        </w:rPr>
        <w:t xml:space="preserve">étude a examiné les différents fondements possibles de la continuité étatique, </w:t>
      </w:r>
      <w:r>
        <w:rPr>
          <w:lang w:val="fr-FR"/>
        </w:rPr>
        <w:t>y compris</w:t>
      </w:r>
      <w:r w:rsidRPr="00E76779">
        <w:rPr>
          <w:lang w:val="fr-FR"/>
        </w:rPr>
        <w:t xml:space="preserve"> le droit d</w:t>
      </w:r>
      <w:r w:rsidR="004C5E26">
        <w:rPr>
          <w:lang w:val="fr-FR"/>
        </w:rPr>
        <w:t>’</w:t>
      </w:r>
      <w:r w:rsidRPr="00E76779">
        <w:rPr>
          <w:lang w:val="fr-FR"/>
        </w:rPr>
        <w:t>un État de préserver son existence ; le rôle de la reconnaissance pour la continuité de la condition étatique ; le droit de chaque État de défendre son intégrité territoriale ; le droit des peuples à l</w:t>
      </w:r>
      <w:r w:rsidR="004C5E26">
        <w:rPr>
          <w:lang w:val="fr-FR"/>
        </w:rPr>
        <w:t>’</w:t>
      </w:r>
      <w:proofErr w:type="spellStart"/>
      <w:r w:rsidRPr="00E76779">
        <w:rPr>
          <w:lang w:val="fr-FR"/>
        </w:rPr>
        <w:t>autodétermination</w:t>
      </w:r>
      <w:proofErr w:type="spellEnd"/>
      <w:r>
        <w:rPr>
          <w:lang w:val="fr-FR"/>
        </w:rPr>
        <w:t> </w:t>
      </w:r>
      <w:r w:rsidRPr="00E76779">
        <w:rPr>
          <w:lang w:val="fr-FR"/>
        </w:rPr>
        <w:t>; et le consentement de l</w:t>
      </w:r>
      <w:r w:rsidR="004C5E26">
        <w:rPr>
          <w:lang w:val="fr-FR"/>
        </w:rPr>
        <w:t>’</w:t>
      </w:r>
      <w:r w:rsidRPr="00E76779">
        <w:rPr>
          <w:lang w:val="fr-FR"/>
        </w:rPr>
        <w:t>État confronté à une perte de territoire habitable</w:t>
      </w:r>
      <w:r w:rsidRPr="001B61C8">
        <w:rPr>
          <w:lang w:val="fr-FR"/>
        </w:rPr>
        <w:t>.</w:t>
      </w:r>
      <w:r w:rsidRPr="00E76779">
        <w:rPr>
          <w:lang w:val="fr-FR"/>
        </w:rPr>
        <w:t xml:space="preserve"> On a également considéré d</w:t>
      </w:r>
      <w:r w:rsidR="004C5E26">
        <w:rPr>
          <w:lang w:val="fr-FR"/>
        </w:rPr>
        <w:t>’</w:t>
      </w:r>
      <w:r w:rsidRPr="00E76779">
        <w:rPr>
          <w:lang w:val="fr-FR"/>
        </w:rPr>
        <w:t>autres éléments, notamment : la sécurité, la stabilité, la certitude et la prévisibilité ; l</w:t>
      </w:r>
      <w:r w:rsidR="004C5E26">
        <w:rPr>
          <w:lang w:val="fr-FR"/>
        </w:rPr>
        <w:t>’</w:t>
      </w:r>
      <w:r w:rsidRPr="00E76779">
        <w:rPr>
          <w:lang w:val="fr-FR"/>
        </w:rPr>
        <w:t>équité et la justice ; l</w:t>
      </w:r>
      <w:r w:rsidR="004C5E26">
        <w:rPr>
          <w:lang w:val="fr-FR"/>
        </w:rPr>
        <w:t>’</w:t>
      </w:r>
      <w:r w:rsidRPr="00E76779">
        <w:rPr>
          <w:lang w:val="fr-FR"/>
        </w:rPr>
        <w:t>égalité souveraine des États ; la souveraineté permanente des États sur leurs ressources naturelles</w:t>
      </w:r>
      <w:r>
        <w:rPr>
          <w:lang w:val="fr-FR"/>
        </w:rPr>
        <w:t> </w:t>
      </w:r>
      <w:r w:rsidRPr="00E76779">
        <w:rPr>
          <w:lang w:val="fr-FR"/>
        </w:rPr>
        <w:t>; le maintien de la paix et de la sécurité internationales</w:t>
      </w:r>
      <w:r>
        <w:rPr>
          <w:lang w:val="fr-FR"/>
        </w:rPr>
        <w:t> </w:t>
      </w:r>
      <w:r w:rsidRPr="00E76779">
        <w:rPr>
          <w:lang w:val="fr-FR"/>
        </w:rPr>
        <w:t>; la stabilité des relations internationales ; la coopération internationale</w:t>
      </w:r>
      <w:r w:rsidRPr="001B61C8">
        <w:rPr>
          <w:lang w:val="fr-FR"/>
        </w:rPr>
        <w:t>.</w:t>
      </w:r>
    </w:p>
    <w:p w14:paraId="0BA51879" w14:textId="71772493" w:rsidR="00C324CF" w:rsidRPr="00E76779" w:rsidRDefault="00C324CF" w:rsidP="00C324CF">
      <w:pPr>
        <w:pStyle w:val="SingleTxtG"/>
        <w:rPr>
          <w:lang w:val="fr-FR"/>
        </w:rPr>
      </w:pPr>
      <w:r>
        <w:rPr>
          <w:lang w:val="fr-FR"/>
        </w:rPr>
        <w:lastRenderedPageBreak/>
        <w:t>43</w:t>
      </w:r>
      <w:r w:rsidRPr="001B61C8">
        <w:rPr>
          <w:lang w:val="fr-FR"/>
        </w:rPr>
        <w:t>.</w:t>
      </w:r>
      <w:r w:rsidRPr="00E76779">
        <w:rPr>
          <w:lang w:val="fr-FR"/>
        </w:rPr>
        <w:tab/>
        <w:t>Examinant les cas de figures possibles concernant la condition étatique dans le contexte de l</w:t>
      </w:r>
      <w:r w:rsidR="004C5E26">
        <w:rPr>
          <w:lang w:val="fr-FR"/>
        </w:rPr>
        <w:t>’</w:t>
      </w:r>
      <w:r w:rsidRPr="00E76779">
        <w:rPr>
          <w:lang w:val="fr-FR"/>
        </w:rPr>
        <w:t>élévation du niveau de la mer, le Groupe d</w:t>
      </w:r>
      <w:r w:rsidR="004C5E26">
        <w:rPr>
          <w:lang w:val="fr-FR"/>
        </w:rPr>
        <w:t>’</w:t>
      </w:r>
      <w:r w:rsidRPr="00E76779">
        <w:rPr>
          <w:lang w:val="fr-FR"/>
        </w:rPr>
        <w:t>étude a convenu qu</w:t>
      </w:r>
      <w:r w:rsidR="004C5E26">
        <w:rPr>
          <w:lang w:val="fr-FR"/>
        </w:rPr>
        <w:t>’</w:t>
      </w:r>
      <w:r w:rsidRPr="00E76779">
        <w:rPr>
          <w:lang w:val="fr-FR"/>
        </w:rPr>
        <w:t>il fallait distinguer entre les cas de submersion partielle de la surface terrestre d</w:t>
      </w:r>
      <w:r w:rsidR="004C5E26">
        <w:rPr>
          <w:lang w:val="fr-FR"/>
        </w:rPr>
        <w:t>’</w:t>
      </w:r>
      <w:r w:rsidRPr="00E76779">
        <w:rPr>
          <w:lang w:val="fr-FR"/>
        </w:rPr>
        <w:t>un État, qui serait inhabitable, et les cas de submersion totale de la surface terrestre en raison du phénomène</w:t>
      </w:r>
      <w:r w:rsidRPr="001B61C8">
        <w:rPr>
          <w:lang w:val="fr-FR"/>
        </w:rPr>
        <w:t>.</w:t>
      </w:r>
      <w:r w:rsidRPr="00E76779">
        <w:rPr>
          <w:lang w:val="fr-FR"/>
        </w:rPr>
        <w:t xml:space="preserve"> Les États ont le droit de pourvoir à leur conservation, ce qui peut prendre de nombreuses formes, y compris diverses mesures d</w:t>
      </w:r>
      <w:r w:rsidR="004C5E26">
        <w:rPr>
          <w:lang w:val="fr-FR"/>
        </w:rPr>
        <w:t>’</w:t>
      </w:r>
      <w:r w:rsidRPr="00E76779">
        <w:rPr>
          <w:lang w:val="fr-FR"/>
        </w:rPr>
        <w:t>adaptation visant à réduire les effets de l</w:t>
      </w:r>
      <w:r w:rsidR="004C5E26">
        <w:rPr>
          <w:lang w:val="fr-FR"/>
        </w:rPr>
        <w:t>’</w:t>
      </w:r>
      <w:r w:rsidRPr="00E76779">
        <w:rPr>
          <w:lang w:val="fr-FR"/>
        </w:rPr>
        <w:t>élévation du niveau de la mer</w:t>
      </w:r>
      <w:r w:rsidRPr="001B61C8">
        <w:rPr>
          <w:lang w:val="fr-FR"/>
        </w:rPr>
        <w:t>.</w:t>
      </w:r>
      <w:r w:rsidRPr="00E76779">
        <w:rPr>
          <w:lang w:val="fr-FR"/>
        </w:rPr>
        <w:t xml:space="preserve"> Dans ce contexte, la coopération internationale a été jugée essentielle</w:t>
      </w:r>
      <w:r w:rsidRPr="001B61C8">
        <w:rPr>
          <w:lang w:val="fr-FR"/>
        </w:rPr>
        <w:t>.</w:t>
      </w:r>
      <w:r w:rsidRPr="00E76779">
        <w:rPr>
          <w:lang w:val="fr-FR"/>
        </w:rPr>
        <w:t xml:space="preserve"> Le Groupe d</w:t>
      </w:r>
      <w:r w:rsidR="004C5E26">
        <w:rPr>
          <w:lang w:val="fr-FR"/>
        </w:rPr>
        <w:t>’</w:t>
      </w:r>
      <w:r w:rsidRPr="00E76779">
        <w:rPr>
          <w:lang w:val="fr-FR"/>
        </w:rPr>
        <w:t>étude a examiné diverses modalités possibles pour l</w:t>
      </w:r>
      <w:r w:rsidR="004C5E26">
        <w:rPr>
          <w:lang w:val="fr-FR"/>
        </w:rPr>
        <w:t>’</w:t>
      </w:r>
      <w:r w:rsidRPr="00E76779">
        <w:rPr>
          <w:lang w:val="fr-FR"/>
        </w:rPr>
        <w:t>avenir, et on a rappelé que la consultation des populations concernées, y compris les peuples autochtones, et une coopération de bonne foi avec elles étaient nécessaires, tout comme une coopération entre États touchés et autres membres de la communauté internationale, en raison de l</w:t>
      </w:r>
      <w:r w:rsidR="004C5E26">
        <w:rPr>
          <w:lang w:val="fr-FR"/>
        </w:rPr>
        <w:t>’</w:t>
      </w:r>
      <w:r w:rsidRPr="00E76779">
        <w:rPr>
          <w:lang w:val="fr-FR"/>
        </w:rPr>
        <w:t>égalité souveraine des États, ainsi que de considérations d</w:t>
      </w:r>
      <w:r w:rsidR="004C5E26">
        <w:rPr>
          <w:lang w:val="fr-FR"/>
        </w:rPr>
        <w:t>’</w:t>
      </w:r>
      <w:r w:rsidRPr="00E76779">
        <w:rPr>
          <w:lang w:val="fr-FR"/>
        </w:rPr>
        <w:t>équité et de justice</w:t>
      </w:r>
      <w:r w:rsidRPr="001B61C8">
        <w:rPr>
          <w:lang w:val="fr-FR"/>
        </w:rPr>
        <w:t>.</w:t>
      </w:r>
    </w:p>
    <w:p w14:paraId="57A87F1F" w14:textId="7AAD658F" w:rsidR="00C324CF" w:rsidRPr="00E76779" w:rsidRDefault="00C324CF" w:rsidP="00C324CF">
      <w:pPr>
        <w:pStyle w:val="SingleTxtG"/>
        <w:rPr>
          <w:lang w:val="fr-FR"/>
        </w:rPr>
      </w:pPr>
      <w:r>
        <w:rPr>
          <w:lang w:val="fr-FR"/>
        </w:rPr>
        <w:t>44</w:t>
      </w:r>
      <w:r w:rsidRPr="001B61C8">
        <w:rPr>
          <w:lang w:val="fr-FR"/>
        </w:rPr>
        <w:t>.</w:t>
      </w:r>
      <w:r w:rsidRPr="00E76779">
        <w:rPr>
          <w:lang w:val="fr-FR"/>
        </w:rPr>
        <w:tab/>
        <w:t>En ce qui concerne le sous-sujet de la protection des personnes touchées par l</w:t>
      </w:r>
      <w:r w:rsidR="004C5E26">
        <w:rPr>
          <w:lang w:val="fr-FR"/>
        </w:rPr>
        <w:t>’</w:t>
      </w:r>
      <w:r w:rsidRPr="00E76779">
        <w:rPr>
          <w:lang w:val="fr-FR"/>
        </w:rPr>
        <w:t>élévation du niveau de la mer, le Groupe d</w:t>
      </w:r>
      <w:r w:rsidR="004C5E26">
        <w:rPr>
          <w:lang w:val="fr-FR"/>
        </w:rPr>
        <w:t>’</w:t>
      </w:r>
      <w:r w:rsidRPr="00E76779">
        <w:rPr>
          <w:lang w:val="fr-FR"/>
        </w:rPr>
        <w:t>étude a souscrit à la conclusion figurant dans la note complémentaire selon laquelle les cadres juridiques internationaux existants potentiellement applicables à la protection des personnes touchées par l</w:t>
      </w:r>
      <w:r w:rsidR="004C5E26">
        <w:rPr>
          <w:lang w:val="fr-FR"/>
        </w:rPr>
        <w:t>’</w:t>
      </w:r>
      <w:r w:rsidRPr="00E76779">
        <w:rPr>
          <w:lang w:val="fr-FR"/>
        </w:rPr>
        <w:t>élévation du niveau de la mer étaient fragmentés et n</w:t>
      </w:r>
      <w:r w:rsidR="004C5E26">
        <w:rPr>
          <w:lang w:val="fr-FR"/>
        </w:rPr>
        <w:t>’</w:t>
      </w:r>
      <w:r w:rsidRPr="00E76779">
        <w:rPr>
          <w:lang w:val="fr-FR"/>
        </w:rPr>
        <w:t>étaient pas, pour la plupart, propres à la problématique en question</w:t>
      </w:r>
      <w:r w:rsidRPr="001B61C8">
        <w:rPr>
          <w:lang w:val="fr-FR"/>
        </w:rPr>
        <w:t>.</w:t>
      </w:r>
      <w:r w:rsidRPr="00E76779">
        <w:rPr>
          <w:lang w:val="fr-FR"/>
        </w:rPr>
        <w:t xml:space="preserve"> Le Groupe d</w:t>
      </w:r>
      <w:r w:rsidR="004C5E26">
        <w:rPr>
          <w:lang w:val="fr-FR"/>
        </w:rPr>
        <w:t>’</w:t>
      </w:r>
      <w:r w:rsidRPr="00E76779">
        <w:rPr>
          <w:lang w:val="fr-FR"/>
        </w:rPr>
        <w:t>étude a salué l</w:t>
      </w:r>
      <w:r w:rsidR="004C5E26">
        <w:rPr>
          <w:lang w:val="fr-FR"/>
        </w:rPr>
        <w:t>’</w:t>
      </w:r>
      <w:r w:rsidRPr="00E76779">
        <w:rPr>
          <w:lang w:val="fr-FR"/>
        </w:rPr>
        <w:t>analyse, figurant dans la note complémentaire, des éléments susceptibles d</w:t>
      </w:r>
      <w:r w:rsidR="004C5E26">
        <w:rPr>
          <w:lang w:val="fr-FR"/>
        </w:rPr>
        <w:t>’</w:t>
      </w:r>
      <w:r w:rsidRPr="00E76779">
        <w:rPr>
          <w:lang w:val="fr-FR"/>
        </w:rPr>
        <w:t>être pris en compte dans l</w:t>
      </w:r>
      <w:r w:rsidR="004C5E26">
        <w:rPr>
          <w:lang w:val="fr-FR"/>
        </w:rPr>
        <w:t>’</w:t>
      </w:r>
      <w:r w:rsidRPr="00E76779">
        <w:rPr>
          <w:lang w:val="fr-FR"/>
        </w:rPr>
        <w:t>établissement d</w:t>
      </w:r>
      <w:r w:rsidR="004C5E26">
        <w:rPr>
          <w:lang w:val="fr-FR"/>
        </w:rPr>
        <w:t>’</w:t>
      </w:r>
      <w:r w:rsidRPr="00E76779">
        <w:rPr>
          <w:lang w:val="fr-FR"/>
        </w:rPr>
        <w:t>une protection juridique des personnes touchées par l</w:t>
      </w:r>
      <w:r w:rsidR="004C5E26">
        <w:rPr>
          <w:lang w:val="fr-FR"/>
        </w:rPr>
        <w:t>’</w:t>
      </w:r>
      <w:r w:rsidRPr="00E76779">
        <w:rPr>
          <w:lang w:val="fr-FR"/>
        </w:rPr>
        <w:t xml:space="preserve">élévation du niveau de la mer fondée sur les cadres juridiques internationaux existants, notamment la dignité </w:t>
      </w:r>
      <w:r w:rsidRPr="00B80280">
        <w:rPr>
          <w:lang w:val="fr-FR"/>
        </w:rPr>
        <w:t xml:space="preserve">humaine comme principe </w:t>
      </w:r>
      <w:r>
        <w:rPr>
          <w:lang w:val="fr-FR"/>
        </w:rPr>
        <w:t>cardinal</w:t>
      </w:r>
      <w:r w:rsidRPr="00B80280">
        <w:rPr>
          <w:lang w:val="fr-FR"/>
        </w:rPr>
        <w:t xml:space="preserve"> dans</w:t>
      </w:r>
      <w:r w:rsidRPr="00E76779">
        <w:rPr>
          <w:lang w:val="fr-FR"/>
        </w:rPr>
        <w:t xml:space="preserve"> le cadre de toute action à prendre dans le contexte de l</w:t>
      </w:r>
      <w:r w:rsidR="004C5E26">
        <w:rPr>
          <w:lang w:val="fr-FR"/>
        </w:rPr>
        <w:t>’</w:t>
      </w:r>
      <w:r w:rsidRPr="00E76779">
        <w:rPr>
          <w:lang w:val="fr-FR"/>
        </w:rPr>
        <w:t>élévation du niveau de la mer</w:t>
      </w:r>
      <w:r>
        <w:rPr>
          <w:lang w:val="fr-FR"/>
        </w:rPr>
        <w:t> </w:t>
      </w:r>
      <w:r w:rsidRPr="00E76779">
        <w:rPr>
          <w:lang w:val="fr-FR"/>
        </w:rPr>
        <w:t>; la nécessaire combinaison d</w:t>
      </w:r>
      <w:r w:rsidR="004C5E26">
        <w:rPr>
          <w:lang w:val="fr-FR"/>
        </w:rPr>
        <w:t>’</w:t>
      </w:r>
      <w:r w:rsidRPr="00E76779">
        <w:rPr>
          <w:lang w:val="fr-FR"/>
        </w:rPr>
        <w:t>une approche fondée sur les besoins et d</w:t>
      </w:r>
      <w:r w:rsidR="004C5E26">
        <w:rPr>
          <w:lang w:val="fr-FR"/>
        </w:rPr>
        <w:t>’</w:t>
      </w:r>
      <w:r w:rsidRPr="00E76779">
        <w:rPr>
          <w:lang w:val="fr-FR"/>
        </w:rPr>
        <w:t>une approche fondée sur les droits comme fondement de la protection des personnes touchées par l</w:t>
      </w:r>
      <w:r w:rsidR="004C5E26">
        <w:rPr>
          <w:lang w:val="fr-FR"/>
        </w:rPr>
        <w:t>’</w:t>
      </w:r>
      <w:r w:rsidRPr="00E76779">
        <w:rPr>
          <w:lang w:val="fr-FR"/>
        </w:rPr>
        <w:t>élévation du niveau de la mer</w:t>
      </w:r>
      <w:r>
        <w:rPr>
          <w:lang w:val="fr-FR"/>
        </w:rPr>
        <w:t> </w:t>
      </w:r>
      <w:r w:rsidRPr="00E76779">
        <w:rPr>
          <w:lang w:val="fr-FR"/>
        </w:rPr>
        <w:t>; la nécessité de définir les obligations en matière de droits de l</w:t>
      </w:r>
      <w:r w:rsidR="004C5E26">
        <w:rPr>
          <w:lang w:val="fr-FR"/>
        </w:rPr>
        <w:t>’</w:t>
      </w:r>
      <w:r w:rsidRPr="00E76779">
        <w:rPr>
          <w:lang w:val="fr-FR"/>
        </w:rPr>
        <w:t>homme qui relèvent de différents débiteurs d</w:t>
      </w:r>
      <w:r w:rsidR="004C5E26">
        <w:rPr>
          <w:lang w:val="fr-FR"/>
        </w:rPr>
        <w:t>’</w:t>
      </w:r>
      <w:r w:rsidRPr="00E76779">
        <w:rPr>
          <w:lang w:val="fr-FR"/>
        </w:rPr>
        <w:t>obligations en la matière</w:t>
      </w:r>
      <w:r>
        <w:rPr>
          <w:lang w:val="fr-FR"/>
        </w:rPr>
        <w:t> </w:t>
      </w:r>
      <w:r w:rsidRPr="00E76779">
        <w:rPr>
          <w:lang w:val="fr-FR"/>
        </w:rPr>
        <w:t>; une reconnaissance de l</w:t>
      </w:r>
      <w:r w:rsidR="004C5E26">
        <w:rPr>
          <w:lang w:val="fr-FR"/>
        </w:rPr>
        <w:t>’</w:t>
      </w:r>
      <w:r w:rsidRPr="00E76779">
        <w:rPr>
          <w:lang w:val="fr-FR"/>
        </w:rPr>
        <w:t>importance des obligations générales en matière de droits de l</w:t>
      </w:r>
      <w:r w:rsidR="004C5E26">
        <w:rPr>
          <w:lang w:val="fr-FR"/>
        </w:rPr>
        <w:t>’</w:t>
      </w:r>
      <w:r w:rsidRPr="00E76779">
        <w:rPr>
          <w:lang w:val="fr-FR"/>
        </w:rPr>
        <w:t>homme dans le contexte de la protection des personnes touchée</w:t>
      </w:r>
      <w:r>
        <w:rPr>
          <w:lang w:val="fr-FR"/>
        </w:rPr>
        <w:t>s</w:t>
      </w:r>
      <w:r w:rsidRPr="00E76779">
        <w:rPr>
          <w:lang w:val="fr-FR"/>
        </w:rPr>
        <w:t xml:space="preserve"> par l</w:t>
      </w:r>
      <w:r w:rsidR="004C5E26">
        <w:rPr>
          <w:lang w:val="fr-FR"/>
        </w:rPr>
        <w:t>’</w:t>
      </w:r>
      <w:r w:rsidRPr="00E76779">
        <w:rPr>
          <w:lang w:val="fr-FR"/>
        </w:rPr>
        <w:t>élévation du niveau de la mer ; une prise en compte des différents outils qui peuvent être utilisés pour assurer la protection des personnes ; et l</w:t>
      </w:r>
      <w:r w:rsidR="004C5E26">
        <w:rPr>
          <w:lang w:val="fr-FR"/>
        </w:rPr>
        <w:t>’</w:t>
      </w:r>
      <w:r w:rsidRPr="00E76779">
        <w:rPr>
          <w:lang w:val="fr-FR"/>
        </w:rPr>
        <w:t>importance de l</w:t>
      </w:r>
      <w:r w:rsidR="004C5E26">
        <w:rPr>
          <w:lang w:val="fr-FR"/>
        </w:rPr>
        <w:t>’</w:t>
      </w:r>
      <w:r w:rsidRPr="00E76779">
        <w:rPr>
          <w:lang w:val="fr-FR"/>
        </w:rPr>
        <w:t>obligation de coopérer aux fins de la protection des personnes dans le contexte de l</w:t>
      </w:r>
      <w:r w:rsidR="004C5E26">
        <w:rPr>
          <w:lang w:val="fr-FR"/>
        </w:rPr>
        <w:t>’</w:t>
      </w:r>
      <w:r w:rsidRPr="00E76779">
        <w:rPr>
          <w:lang w:val="fr-FR"/>
        </w:rPr>
        <w:t>élévation du niveau de la mer</w:t>
      </w:r>
      <w:r w:rsidRPr="001B61C8">
        <w:rPr>
          <w:lang w:val="fr-FR"/>
        </w:rPr>
        <w:t>.</w:t>
      </w:r>
      <w:r w:rsidRPr="00E76779">
        <w:rPr>
          <w:lang w:val="fr-FR"/>
        </w:rPr>
        <w:t xml:space="preserve"> Un débat général a eu lieu au sein du Groupe d</w:t>
      </w:r>
      <w:r w:rsidR="004C5E26">
        <w:rPr>
          <w:lang w:val="fr-FR"/>
        </w:rPr>
        <w:t>’</w:t>
      </w:r>
      <w:r w:rsidRPr="00E76779">
        <w:rPr>
          <w:lang w:val="fr-FR"/>
        </w:rPr>
        <w:t>étude sur les 12</w:t>
      </w:r>
      <w:r w:rsidR="00A3772E">
        <w:rPr>
          <w:lang w:val="fr-FR"/>
        </w:rPr>
        <w:t> </w:t>
      </w:r>
      <w:r w:rsidRPr="00E76779">
        <w:rPr>
          <w:lang w:val="fr-FR"/>
        </w:rPr>
        <w:t>éléments recensés dans la note complémentaire, qui pouvaient servir à interpréter et appliquer les instruments juridiques, y compris de droit souple, applicables à la protection des personnes touchées par l</w:t>
      </w:r>
      <w:r w:rsidR="004C5E26">
        <w:rPr>
          <w:lang w:val="fr-FR"/>
        </w:rPr>
        <w:t>’</w:t>
      </w:r>
      <w:r w:rsidRPr="00E76779">
        <w:rPr>
          <w:lang w:val="fr-FR"/>
        </w:rPr>
        <w:t>élévation du niveau de la mer, et/ou être incorporés dans de nouveaux instruments de cette nature conclus aux niveaux régional et international</w:t>
      </w:r>
      <w:r w:rsidRPr="001B61C8">
        <w:rPr>
          <w:lang w:val="fr-FR"/>
        </w:rPr>
        <w:t>.</w:t>
      </w:r>
      <w:r w:rsidRPr="00E76779">
        <w:rPr>
          <w:lang w:val="fr-FR"/>
        </w:rPr>
        <w:t xml:space="preserve"> On a aussi fait valoir que ces éléments pourraient être développés et précisés, et qu</w:t>
      </w:r>
      <w:r w:rsidR="004C5E26">
        <w:rPr>
          <w:lang w:val="fr-FR"/>
        </w:rPr>
        <w:t>’</w:t>
      </w:r>
      <w:r w:rsidRPr="00E76779">
        <w:rPr>
          <w:lang w:val="fr-FR"/>
        </w:rPr>
        <w:t xml:space="preserve">ils pourraient être restructurés en fonction de la pertinence juridique </w:t>
      </w:r>
      <w:r>
        <w:rPr>
          <w:lang w:val="fr-FR"/>
        </w:rPr>
        <w:t xml:space="preserve">variable </w:t>
      </w:r>
      <w:r w:rsidRPr="00E76779">
        <w:rPr>
          <w:lang w:val="fr-FR"/>
        </w:rPr>
        <w:t>de chacun</w:t>
      </w:r>
      <w:r w:rsidRPr="001B61C8">
        <w:rPr>
          <w:lang w:val="fr-FR"/>
        </w:rPr>
        <w:t>.</w:t>
      </w:r>
    </w:p>
    <w:p w14:paraId="7621A5B2" w14:textId="12505BF0" w:rsidR="00C324CF" w:rsidRPr="00E76779" w:rsidRDefault="00C324CF" w:rsidP="00C324CF">
      <w:pPr>
        <w:pStyle w:val="SingleTxtG"/>
        <w:rPr>
          <w:lang w:val="fr-FR"/>
        </w:rPr>
      </w:pPr>
      <w:r>
        <w:rPr>
          <w:lang w:val="fr-FR"/>
        </w:rPr>
        <w:t>45</w:t>
      </w:r>
      <w:r w:rsidRPr="001B61C8">
        <w:rPr>
          <w:lang w:val="fr-FR"/>
        </w:rPr>
        <w:t>.</w:t>
      </w:r>
      <w:r w:rsidRPr="00E76779">
        <w:rPr>
          <w:lang w:val="fr-FR"/>
        </w:rPr>
        <w:tab/>
        <w:t>Le Groupe d</w:t>
      </w:r>
      <w:r w:rsidR="004C5E26">
        <w:rPr>
          <w:lang w:val="fr-FR"/>
        </w:rPr>
        <w:t>’</w:t>
      </w:r>
      <w:r w:rsidRPr="00E76779">
        <w:rPr>
          <w:lang w:val="fr-FR"/>
        </w:rPr>
        <w:t xml:space="preserve">étude a également débattu du programme de travail futur sur le sujet et a confirmé la proposition selon laquelle, pendant la session de la Commission en 2025, il examinerait un rapport final conjoint sur le sujet dans son ensemble, que les Coprésidents auraient établi en synthétisant les travaux menés sur les trois sous-sujets et qui contiendrait une série </w:t>
      </w:r>
      <w:r w:rsidRPr="00757BD9">
        <w:rPr>
          <w:lang w:val="fr-FR"/>
        </w:rPr>
        <w:t>de conclusion</w:t>
      </w:r>
      <w:r>
        <w:rPr>
          <w:lang w:val="fr-FR"/>
        </w:rPr>
        <w:t>s</w:t>
      </w:r>
      <w:r w:rsidRPr="001B61C8">
        <w:rPr>
          <w:lang w:val="fr-FR"/>
        </w:rPr>
        <w:t>.</w:t>
      </w:r>
      <w:r w:rsidRPr="00E76779">
        <w:rPr>
          <w:lang w:val="fr-FR"/>
        </w:rPr>
        <w:t xml:space="preserve"> On a réaffirmé qu</w:t>
      </w:r>
      <w:r w:rsidR="004C5E26">
        <w:rPr>
          <w:lang w:val="fr-FR"/>
        </w:rPr>
        <w:t>’</w:t>
      </w:r>
      <w:r w:rsidRPr="00E76779">
        <w:rPr>
          <w:lang w:val="fr-FR"/>
        </w:rPr>
        <w:t>il importait de prendre en compte les points de vue des États et tous faits nouveaux survenant au niveau international</w:t>
      </w:r>
      <w:r w:rsidRPr="001B61C8">
        <w:rPr>
          <w:lang w:val="fr-FR"/>
        </w:rPr>
        <w:t>.</w:t>
      </w:r>
      <w:r w:rsidRPr="00E76779">
        <w:rPr>
          <w:lang w:val="fr-FR"/>
        </w:rPr>
        <w:t xml:space="preserve"> L</w:t>
      </w:r>
      <w:r>
        <w:rPr>
          <w:lang w:val="fr-FR"/>
        </w:rPr>
        <w:t>a Commission</w:t>
      </w:r>
      <w:r w:rsidRPr="00E76779">
        <w:rPr>
          <w:lang w:val="fr-FR"/>
        </w:rPr>
        <w:t xml:space="preserve"> a adopté le rapport du Groupe d</w:t>
      </w:r>
      <w:r w:rsidR="004C5E26">
        <w:rPr>
          <w:lang w:val="fr-FR"/>
        </w:rPr>
        <w:t>’</w:t>
      </w:r>
      <w:r w:rsidRPr="00E76779">
        <w:rPr>
          <w:lang w:val="fr-FR"/>
        </w:rPr>
        <w:t>étude sur ses travaux à la présente session (chap</w:t>
      </w:r>
      <w:r w:rsidRPr="001B61C8">
        <w:rPr>
          <w:lang w:val="fr-FR"/>
        </w:rPr>
        <w:t>.</w:t>
      </w:r>
      <w:r>
        <w:rPr>
          <w:lang w:val="fr-FR"/>
        </w:rPr>
        <w:t> </w:t>
      </w:r>
      <w:r w:rsidRPr="00E76779">
        <w:rPr>
          <w:lang w:val="fr-FR"/>
        </w:rPr>
        <w:t>X)</w:t>
      </w:r>
      <w:r w:rsidRPr="001B61C8">
        <w:rPr>
          <w:lang w:val="fr-FR"/>
        </w:rPr>
        <w:t>.</w:t>
      </w:r>
    </w:p>
    <w:p w14:paraId="03DE8AEA" w14:textId="594AF677" w:rsidR="00C324CF" w:rsidRPr="00E76779" w:rsidRDefault="00C324CF" w:rsidP="00C324CF">
      <w:pPr>
        <w:pStyle w:val="SingleTxtG"/>
        <w:rPr>
          <w:lang w:val="fr-FR"/>
        </w:rPr>
      </w:pPr>
      <w:r>
        <w:rPr>
          <w:lang w:val="fr-FR"/>
        </w:rPr>
        <w:t>46</w:t>
      </w:r>
      <w:r w:rsidRPr="001B61C8">
        <w:rPr>
          <w:lang w:val="fr-FR"/>
        </w:rPr>
        <w:t>.</w:t>
      </w:r>
      <w:r w:rsidRPr="00E76779">
        <w:rPr>
          <w:lang w:val="fr-FR"/>
        </w:rPr>
        <w:tab/>
        <w:t>En ce qui concerne le chapitre «</w:t>
      </w:r>
      <w:r>
        <w:rPr>
          <w:lang w:val="fr-FR"/>
        </w:rPr>
        <w:t> </w:t>
      </w:r>
      <w:r w:rsidRPr="00E76779">
        <w:rPr>
          <w:b/>
          <w:bCs/>
          <w:lang w:val="fr-FR"/>
        </w:rPr>
        <w:t>Autres décisions et conclusions de la Commission</w:t>
      </w:r>
      <w:r>
        <w:rPr>
          <w:lang w:val="fr-FR"/>
        </w:rPr>
        <w:t> </w:t>
      </w:r>
      <w:r w:rsidRPr="00E76779">
        <w:rPr>
          <w:lang w:val="fr-FR"/>
        </w:rPr>
        <w:t>», la Commission a de nouveau constitué un Groupe de planification chargé d</w:t>
      </w:r>
      <w:r w:rsidR="004C5E26">
        <w:rPr>
          <w:lang w:val="fr-FR"/>
        </w:rPr>
        <w:t>’</w:t>
      </w:r>
      <w:r w:rsidRPr="00E76779">
        <w:rPr>
          <w:lang w:val="fr-FR"/>
        </w:rPr>
        <w:t>examiner son programme, ses procédures et ses méthodes de travail, lequel a décidé à son tour de reconstituer le Groupe de travail sur le programme de travail à long terme présidé par M</w:t>
      </w:r>
      <w:r w:rsidRPr="001B61C8">
        <w:rPr>
          <w:lang w:val="fr-FR"/>
        </w:rPr>
        <w:t>.</w:t>
      </w:r>
      <w:r>
        <w:rPr>
          <w:lang w:val="fr-FR"/>
        </w:rPr>
        <w:t> </w:t>
      </w:r>
      <w:r w:rsidRPr="00E76779">
        <w:rPr>
          <w:lang w:val="fr-FR"/>
        </w:rPr>
        <w:t>Marcelo</w:t>
      </w:r>
      <w:r>
        <w:rPr>
          <w:lang w:val="fr-FR"/>
        </w:rPr>
        <w:t> </w:t>
      </w:r>
      <w:proofErr w:type="spellStart"/>
      <w:r w:rsidRPr="00E76779">
        <w:rPr>
          <w:lang w:val="fr-FR"/>
        </w:rPr>
        <w:t>Vázquez-Bermúdez</w:t>
      </w:r>
      <w:proofErr w:type="spellEnd"/>
      <w:r w:rsidRPr="00E76779">
        <w:rPr>
          <w:lang w:val="fr-FR"/>
        </w:rPr>
        <w:t xml:space="preserve"> et </w:t>
      </w:r>
      <w:r>
        <w:rPr>
          <w:lang w:val="fr-FR"/>
        </w:rPr>
        <w:t>le</w:t>
      </w:r>
      <w:r w:rsidRPr="00E76779">
        <w:rPr>
          <w:lang w:val="fr-FR"/>
        </w:rPr>
        <w:t xml:space="preserve"> Groupe de travail sur les méthodes de travail </w:t>
      </w:r>
      <w:r>
        <w:rPr>
          <w:lang w:val="fr-FR"/>
        </w:rPr>
        <w:t xml:space="preserve">et les procédures de la Commission, </w:t>
      </w:r>
      <w:r w:rsidRPr="00E76779">
        <w:rPr>
          <w:lang w:val="fr-FR"/>
        </w:rPr>
        <w:t>présidé par M</w:t>
      </w:r>
      <w:r w:rsidRPr="001B61C8">
        <w:rPr>
          <w:lang w:val="fr-FR"/>
        </w:rPr>
        <w:t>.</w:t>
      </w:r>
      <w:r>
        <w:rPr>
          <w:lang w:val="fr-FR"/>
        </w:rPr>
        <w:t> </w:t>
      </w:r>
      <w:r w:rsidRPr="00E76779">
        <w:rPr>
          <w:lang w:val="fr-FR"/>
        </w:rPr>
        <w:t>Charles</w:t>
      </w:r>
      <w:r>
        <w:rPr>
          <w:lang w:val="fr-FR"/>
        </w:rPr>
        <w:t> </w:t>
      </w:r>
      <w:proofErr w:type="spellStart"/>
      <w:r w:rsidRPr="00E76779">
        <w:rPr>
          <w:lang w:val="fr-FR"/>
        </w:rPr>
        <w:t>Chernor</w:t>
      </w:r>
      <w:proofErr w:type="spellEnd"/>
      <w:r w:rsidRPr="00E76779">
        <w:rPr>
          <w:lang w:val="fr-FR"/>
        </w:rPr>
        <w:t xml:space="preserve"> </w:t>
      </w:r>
      <w:proofErr w:type="spellStart"/>
      <w:r w:rsidRPr="00E76779">
        <w:rPr>
          <w:lang w:val="fr-FR"/>
        </w:rPr>
        <w:t>Jalloh</w:t>
      </w:r>
      <w:proofErr w:type="spellEnd"/>
      <w:r w:rsidRPr="00E76779">
        <w:rPr>
          <w:lang w:val="fr-FR"/>
        </w:rPr>
        <w:t xml:space="preserve"> (chap</w:t>
      </w:r>
      <w:r w:rsidRPr="001B61C8">
        <w:rPr>
          <w:lang w:val="fr-FR"/>
        </w:rPr>
        <w:t>.</w:t>
      </w:r>
      <w:r>
        <w:rPr>
          <w:lang w:val="fr-FR"/>
        </w:rPr>
        <w:t> </w:t>
      </w:r>
      <w:r w:rsidRPr="00E76779">
        <w:rPr>
          <w:lang w:val="fr-FR"/>
        </w:rPr>
        <w:t>XI, sect</w:t>
      </w:r>
      <w:r w:rsidRPr="001B61C8">
        <w:rPr>
          <w:lang w:val="fr-FR"/>
        </w:rPr>
        <w:t>.</w:t>
      </w:r>
      <w:r w:rsidRPr="00E76779">
        <w:rPr>
          <w:lang w:val="fr-FR"/>
        </w:rPr>
        <w:t> </w:t>
      </w:r>
      <w:r>
        <w:rPr>
          <w:lang w:val="fr-FR"/>
        </w:rPr>
        <w:t>C</w:t>
      </w:r>
      <w:r w:rsidRPr="00E76779">
        <w:rPr>
          <w:lang w:val="fr-FR"/>
        </w:rPr>
        <w:t>)</w:t>
      </w:r>
      <w:r w:rsidRPr="001B61C8">
        <w:rPr>
          <w:lang w:val="fr-FR"/>
        </w:rPr>
        <w:t>.</w:t>
      </w:r>
      <w:r w:rsidRPr="00E76779">
        <w:rPr>
          <w:lang w:val="fr-FR"/>
        </w:rPr>
        <w:t xml:space="preserve"> La Commission a décidé d</w:t>
      </w:r>
      <w:r w:rsidR="004C5E26">
        <w:rPr>
          <w:lang w:val="fr-FR"/>
        </w:rPr>
        <w:t>’</w:t>
      </w:r>
      <w:r w:rsidRPr="00E76779">
        <w:rPr>
          <w:lang w:val="fr-FR"/>
        </w:rPr>
        <w:t>inscrire les sujets «</w:t>
      </w:r>
      <w:r>
        <w:rPr>
          <w:lang w:val="fr-FR"/>
        </w:rPr>
        <w:t> </w:t>
      </w:r>
      <w:r w:rsidRPr="00E76779">
        <w:rPr>
          <w:lang w:val="fr-FR"/>
        </w:rPr>
        <w:t>Indemnisation des dommages causés par un fait internationalement illicite</w:t>
      </w:r>
      <w:r>
        <w:rPr>
          <w:lang w:val="fr-FR"/>
        </w:rPr>
        <w:t> </w:t>
      </w:r>
      <w:r w:rsidRPr="00E76779">
        <w:rPr>
          <w:lang w:val="fr-FR"/>
        </w:rPr>
        <w:t xml:space="preserve">» et </w:t>
      </w:r>
      <w:r w:rsidRPr="00353AD0">
        <w:rPr>
          <w:lang w:val="fr-FR"/>
        </w:rPr>
        <w:t xml:space="preserve">« La diligence </w:t>
      </w:r>
      <w:r>
        <w:rPr>
          <w:lang w:val="fr-FR"/>
        </w:rPr>
        <w:t xml:space="preserve">due </w:t>
      </w:r>
      <w:r w:rsidRPr="00353AD0">
        <w:rPr>
          <w:lang w:val="fr-FR"/>
        </w:rPr>
        <w:t>en droit international » à son</w:t>
      </w:r>
      <w:r w:rsidRPr="00BF0340">
        <w:rPr>
          <w:lang w:val="fr-FR"/>
        </w:rPr>
        <w:t xml:space="preserve"> programme de travail à long terme (chap</w:t>
      </w:r>
      <w:r w:rsidRPr="001B61C8">
        <w:rPr>
          <w:lang w:val="fr-FR"/>
        </w:rPr>
        <w:t>.</w:t>
      </w:r>
      <w:r>
        <w:rPr>
          <w:lang w:val="fr-FR"/>
        </w:rPr>
        <w:t> </w:t>
      </w:r>
      <w:r w:rsidRPr="00E76779">
        <w:rPr>
          <w:lang w:val="fr-FR"/>
        </w:rPr>
        <w:t>XI, sect</w:t>
      </w:r>
      <w:r w:rsidRPr="001B61C8">
        <w:rPr>
          <w:lang w:val="fr-FR"/>
        </w:rPr>
        <w:t>.</w:t>
      </w:r>
      <w:r w:rsidRPr="00E76779">
        <w:rPr>
          <w:lang w:val="fr-FR"/>
        </w:rPr>
        <w:t> </w:t>
      </w:r>
      <w:r>
        <w:rPr>
          <w:lang w:val="fr-FR"/>
        </w:rPr>
        <w:t>C</w:t>
      </w:r>
      <w:r w:rsidRPr="00E76779">
        <w:rPr>
          <w:lang w:val="fr-FR"/>
        </w:rPr>
        <w:t xml:space="preserve"> et annexes)</w:t>
      </w:r>
      <w:r w:rsidRPr="001B61C8">
        <w:rPr>
          <w:lang w:val="fr-FR"/>
        </w:rPr>
        <w:t>.</w:t>
      </w:r>
    </w:p>
    <w:p w14:paraId="0B83E031" w14:textId="35D6A464" w:rsidR="00C324CF" w:rsidRPr="00E76779" w:rsidRDefault="00C324CF" w:rsidP="00C324CF">
      <w:pPr>
        <w:pStyle w:val="SingleTxtG"/>
        <w:rPr>
          <w:lang w:val="fr-FR"/>
        </w:rPr>
      </w:pPr>
      <w:r>
        <w:rPr>
          <w:lang w:val="fr-FR"/>
        </w:rPr>
        <w:t>47</w:t>
      </w:r>
      <w:r w:rsidRPr="001B61C8">
        <w:rPr>
          <w:lang w:val="fr-FR"/>
        </w:rPr>
        <w:t>.</w:t>
      </w:r>
      <w:r w:rsidRPr="00E76779">
        <w:rPr>
          <w:lang w:val="fr-FR"/>
        </w:rPr>
        <w:tab/>
        <w:t xml:space="preserve">Le 17 juillet 2024, le Juge </w:t>
      </w:r>
      <w:proofErr w:type="spellStart"/>
      <w:r w:rsidRPr="00E76779">
        <w:rPr>
          <w:lang w:val="fr-FR"/>
        </w:rPr>
        <w:t>Nawaf</w:t>
      </w:r>
      <w:proofErr w:type="spellEnd"/>
      <w:r w:rsidRPr="00E76779">
        <w:rPr>
          <w:lang w:val="fr-FR"/>
        </w:rPr>
        <w:t xml:space="preserve"> Salam, Président de la Cour internationale de Justice, s</w:t>
      </w:r>
      <w:r w:rsidR="004C5E26">
        <w:rPr>
          <w:lang w:val="fr-FR"/>
        </w:rPr>
        <w:t>’</w:t>
      </w:r>
      <w:r w:rsidRPr="00E76779">
        <w:rPr>
          <w:lang w:val="fr-FR"/>
        </w:rPr>
        <w:t>est adressé à la Commission</w:t>
      </w:r>
      <w:r w:rsidRPr="001B61C8">
        <w:rPr>
          <w:lang w:val="fr-FR"/>
        </w:rPr>
        <w:t>.</w:t>
      </w:r>
      <w:r w:rsidRPr="00E76779">
        <w:rPr>
          <w:lang w:val="fr-FR"/>
        </w:rPr>
        <w:t xml:space="preserve"> En raison de la crise des liquidités que traverse l</w:t>
      </w:r>
      <w:r w:rsidR="004C5E26">
        <w:rPr>
          <w:lang w:val="fr-FR"/>
        </w:rPr>
        <w:t>’</w:t>
      </w:r>
      <w:r w:rsidRPr="00E76779">
        <w:rPr>
          <w:lang w:val="fr-FR"/>
        </w:rPr>
        <w:t xml:space="preserve">Organisation des Nations </w:t>
      </w:r>
      <w:r>
        <w:rPr>
          <w:lang w:val="fr-FR"/>
        </w:rPr>
        <w:t>U</w:t>
      </w:r>
      <w:r w:rsidRPr="00E76779">
        <w:rPr>
          <w:lang w:val="fr-FR"/>
        </w:rPr>
        <w:t>nies, la session de la Commission, telle qu</w:t>
      </w:r>
      <w:r w:rsidR="004C5E26">
        <w:rPr>
          <w:lang w:val="fr-FR"/>
        </w:rPr>
        <w:t>’</w:t>
      </w:r>
      <w:r w:rsidRPr="00E76779">
        <w:rPr>
          <w:lang w:val="fr-FR"/>
        </w:rPr>
        <w:t xml:space="preserve">approuvée par la résolution </w:t>
      </w:r>
      <w:hyperlink r:id="rId47" w:history="1">
        <w:r w:rsidRPr="00003004">
          <w:rPr>
            <w:rStyle w:val="Lienhypertexte"/>
            <w:lang w:val="fr-FR"/>
          </w:rPr>
          <w:t>78/108</w:t>
        </w:r>
      </w:hyperlink>
      <w:r w:rsidRPr="00E76779">
        <w:rPr>
          <w:lang w:val="fr-FR"/>
        </w:rPr>
        <w:t xml:space="preserve"> de l</w:t>
      </w:r>
      <w:r w:rsidR="004C5E26">
        <w:rPr>
          <w:lang w:val="fr-FR"/>
        </w:rPr>
        <w:t>’</w:t>
      </w:r>
      <w:r w:rsidRPr="00E76779">
        <w:rPr>
          <w:lang w:val="fr-FR"/>
        </w:rPr>
        <w:t xml:space="preserve">Assemblée générale en date du 7 décembre 2023, a été ramenée de </w:t>
      </w:r>
      <w:r w:rsidRPr="00E76779">
        <w:rPr>
          <w:lang w:val="fr-FR"/>
        </w:rPr>
        <w:lastRenderedPageBreak/>
        <w:t>douze à dix semaines</w:t>
      </w:r>
      <w:r w:rsidRPr="001B61C8">
        <w:rPr>
          <w:lang w:val="fr-FR"/>
        </w:rPr>
        <w:t>.</w:t>
      </w:r>
      <w:r w:rsidRPr="00E76779">
        <w:rPr>
          <w:lang w:val="fr-FR"/>
        </w:rPr>
        <w:t xml:space="preserve"> De ce fait, la Commission n</w:t>
      </w:r>
      <w:r w:rsidR="004C5E26">
        <w:rPr>
          <w:lang w:val="fr-FR"/>
        </w:rPr>
        <w:t>’</w:t>
      </w:r>
      <w:r w:rsidRPr="00E76779">
        <w:rPr>
          <w:lang w:val="fr-FR"/>
        </w:rPr>
        <w:t>a pas pu avoir ses traditionnels échanges de vues avec des organes juridiques internationaux et régionaux</w:t>
      </w:r>
      <w:r w:rsidRPr="001B61C8">
        <w:rPr>
          <w:lang w:val="fr-FR"/>
        </w:rPr>
        <w:t>.</w:t>
      </w:r>
      <w:r w:rsidRPr="00E76779">
        <w:rPr>
          <w:lang w:val="fr-FR"/>
        </w:rPr>
        <w:t xml:space="preserve"> Néanmoins, le 11 juillet 2024, les membres de la Commission ont eu un échange de vues informel avec le Comité international de la Croix-Rouge (chap</w:t>
      </w:r>
      <w:r w:rsidRPr="001B61C8">
        <w:rPr>
          <w:lang w:val="fr-FR"/>
        </w:rPr>
        <w:t>.</w:t>
      </w:r>
      <w:r>
        <w:rPr>
          <w:lang w:val="fr-FR"/>
        </w:rPr>
        <w:t> </w:t>
      </w:r>
      <w:r w:rsidRPr="00E76779">
        <w:rPr>
          <w:lang w:val="fr-FR"/>
        </w:rPr>
        <w:t>XI, sect</w:t>
      </w:r>
      <w:r w:rsidRPr="001B61C8">
        <w:rPr>
          <w:lang w:val="fr-FR"/>
        </w:rPr>
        <w:t>.</w:t>
      </w:r>
      <w:r w:rsidRPr="00E76779">
        <w:rPr>
          <w:lang w:val="fr-FR"/>
        </w:rPr>
        <w:t> </w:t>
      </w:r>
      <w:r>
        <w:rPr>
          <w:lang w:val="fr-FR"/>
        </w:rPr>
        <w:t>D</w:t>
      </w:r>
      <w:r w:rsidRPr="00E76779">
        <w:rPr>
          <w:lang w:val="fr-FR"/>
        </w:rPr>
        <w:t>)</w:t>
      </w:r>
      <w:r w:rsidRPr="001B61C8">
        <w:rPr>
          <w:lang w:val="fr-FR"/>
        </w:rPr>
        <w:t>.</w:t>
      </w:r>
    </w:p>
    <w:p w14:paraId="5D3C7F95" w14:textId="77777777" w:rsidR="00C324CF" w:rsidRDefault="00C324CF" w:rsidP="00C324CF">
      <w:pPr>
        <w:pStyle w:val="SingleTxtG"/>
        <w:rPr>
          <w:lang w:val="fr-FR"/>
        </w:rPr>
      </w:pPr>
      <w:r>
        <w:rPr>
          <w:lang w:val="fr-FR"/>
        </w:rPr>
        <w:t>48</w:t>
      </w:r>
      <w:r w:rsidRPr="001B61C8">
        <w:rPr>
          <w:lang w:val="fr-FR"/>
        </w:rPr>
        <w:t>.</w:t>
      </w:r>
      <w:r w:rsidRPr="00E76779">
        <w:rPr>
          <w:lang w:val="fr-FR"/>
        </w:rPr>
        <w:tab/>
        <w:t>La Commission a décidé que sa soixante-seizième session se tiendrait à Genève du 14</w:t>
      </w:r>
      <w:r>
        <w:rPr>
          <w:lang w:val="fr-FR"/>
        </w:rPr>
        <w:t> </w:t>
      </w:r>
      <w:r w:rsidRPr="00E76779">
        <w:rPr>
          <w:lang w:val="fr-FR"/>
        </w:rPr>
        <w:t>avril au 30</w:t>
      </w:r>
      <w:r>
        <w:rPr>
          <w:lang w:val="fr-FR"/>
        </w:rPr>
        <w:t> </w:t>
      </w:r>
      <w:r w:rsidRPr="00E76779">
        <w:rPr>
          <w:lang w:val="fr-FR"/>
        </w:rPr>
        <w:t>mai et du 30</w:t>
      </w:r>
      <w:r>
        <w:rPr>
          <w:lang w:val="fr-FR"/>
        </w:rPr>
        <w:t> </w:t>
      </w:r>
      <w:r w:rsidRPr="00E76779">
        <w:rPr>
          <w:lang w:val="fr-FR"/>
        </w:rPr>
        <w:t>juin au 31</w:t>
      </w:r>
      <w:r>
        <w:rPr>
          <w:lang w:val="fr-FR"/>
        </w:rPr>
        <w:t> </w:t>
      </w:r>
      <w:r w:rsidRPr="00E76779">
        <w:rPr>
          <w:lang w:val="fr-FR"/>
        </w:rPr>
        <w:t>juillet 2025 (chap</w:t>
      </w:r>
      <w:r w:rsidRPr="001B61C8">
        <w:rPr>
          <w:lang w:val="fr-FR"/>
        </w:rPr>
        <w:t>.</w:t>
      </w:r>
      <w:r>
        <w:rPr>
          <w:lang w:val="fr-FR"/>
        </w:rPr>
        <w:t> </w:t>
      </w:r>
      <w:r w:rsidRPr="00E76779">
        <w:rPr>
          <w:lang w:val="fr-FR"/>
        </w:rPr>
        <w:t>XI, sect</w:t>
      </w:r>
      <w:r w:rsidRPr="001B61C8">
        <w:rPr>
          <w:lang w:val="fr-FR"/>
        </w:rPr>
        <w:t>.</w:t>
      </w:r>
      <w:r w:rsidRPr="00E76779">
        <w:rPr>
          <w:lang w:val="fr-FR"/>
        </w:rPr>
        <w:t> </w:t>
      </w:r>
      <w:r>
        <w:rPr>
          <w:lang w:val="fr-FR"/>
        </w:rPr>
        <w:t>C</w:t>
      </w:r>
      <w:r w:rsidRPr="00E76779">
        <w:rPr>
          <w:lang w:val="fr-FR"/>
        </w:rPr>
        <w:t>)</w:t>
      </w:r>
      <w:r w:rsidRPr="001B61C8">
        <w:rPr>
          <w:lang w:val="fr-FR"/>
        </w:rPr>
        <w:t>.</w:t>
      </w:r>
    </w:p>
    <w:p w14:paraId="74F7516A" w14:textId="77777777" w:rsidR="00C324CF" w:rsidRDefault="00C324CF" w:rsidP="00C324CF">
      <w:pPr>
        <w:pStyle w:val="SingleTxtG"/>
        <w:rPr>
          <w:lang w:val="fr-FR"/>
        </w:rPr>
      </w:pPr>
      <w:r>
        <w:rPr>
          <w:lang w:val="fr-FR"/>
        </w:rPr>
        <w:t>49.</w:t>
      </w:r>
      <w:r>
        <w:rPr>
          <w:lang w:val="fr-FR"/>
        </w:rPr>
        <w:tab/>
        <w:t xml:space="preserve">La Commission a pourvu deux sièges vacants pendant la session. </w:t>
      </w:r>
      <w:r w:rsidRPr="00FF6BB3">
        <w:t>M</w:t>
      </w:r>
      <w:r w:rsidRPr="00BB3A8F">
        <w:rPr>
          <w:vertAlign w:val="superscript"/>
        </w:rPr>
        <w:t>me</w:t>
      </w:r>
      <w:r>
        <w:t> </w:t>
      </w:r>
      <w:r w:rsidRPr="00FF6BB3">
        <w:t>Alina</w:t>
      </w:r>
      <w:r>
        <w:t> </w:t>
      </w:r>
      <w:proofErr w:type="spellStart"/>
      <w:r w:rsidRPr="00FF6BB3">
        <w:t>Orosan</w:t>
      </w:r>
      <w:proofErr w:type="spellEnd"/>
      <w:r w:rsidRPr="00FF6BB3">
        <w:t xml:space="preserve"> a été élue le 1</w:t>
      </w:r>
      <w:r w:rsidRPr="00BB3A8F">
        <w:rPr>
          <w:vertAlign w:val="superscript"/>
        </w:rPr>
        <w:t>er</w:t>
      </w:r>
      <w:r>
        <w:t> </w:t>
      </w:r>
      <w:r w:rsidRPr="00FF6BB3">
        <w:t xml:space="preserve">mai 2024 pour </w:t>
      </w:r>
      <w:r>
        <w:t>occuper</w:t>
      </w:r>
      <w:r w:rsidRPr="00FF6BB3">
        <w:t xml:space="preserve"> le siège rendu vacant par la démission de M.</w:t>
      </w:r>
      <w:r>
        <w:t> </w:t>
      </w:r>
      <w:r w:rsidRPr="00FF6BB3">
        <w:t>Bogdan</w:t>
      </w:r>
      <w:r>
        <w:t> </w:t>
      </w:r>
      <w:proofErr w:type="spellStart"/>
      <w:r w:rsidRPr="00FF6BB3">
        <w:t>Aurescu</w:t>
      </w:r>
      <w:proofErr w:type="spellEnd"/>
      <w:r w:rsidRPr="00FF6BB3">
        <w:t>, élu à la Cour internationale de Justice.</w:t>
      </w:r>
      <w:r>
        <w:t xml:space="preserve"> </w:t>
      </w:r>
      <w:r w:rsidRPr="00744C89">
        <w:t>M.</w:t>
      </w:r>
      <w:r>
        <w:t> </w:t>
      </w:r>
      <w:proofErr w:type="spellStart"/>
      <w:r w:rsidRPr="00744C89">
        <w:t>Xinmin</w:t>
      </w:r>
      <w:proofErr w:type="spellEnd"/>
      <w:r>
        <w:t> </w:t>
      </w:r>
      <w:r w:rsidRPr="00744C89">
        <w:t>Ma a été élu le 31</w:t>
      </w:r>
      <w:r>
        <w:t> </w:t>
      </w:r>
      <w:r w:rsidRPr="00744C89">
        <w:t xml:space="preserve">juillet 2024 pour </w:t>
      </w:r>
      <w:r>
        <w:t>occuper</w:t>
      </w:r>
      <w:r w:rsidRPr="00744C89">
        <w:t xml:space="preserve"> le siège rendu vacant par la démission de M.</w:t>
      </w:r>
      <w:r>
        <w:t> </w:t>
      </w:r>
      <w:proofErr w:type="spellStart"/>
      <w:r w:rsidRPr="00744C89">
        <w:t>Huikang</w:t>
      </w:r>
      <w:proofErr w:type="spellEnd"/>
      <w:r>
        <w:t> </w:t>
      </w:r>
      <w:r w:rsidRPr="00744C89">
        <w:t>Huang (chap.</w:t>
      </w:r>
      <w:r>
        <w:t> </w:t>
      </w:r>
      <w:r w:rsidRPr="00744C89">
        <w:t>I, sect.</w:t>
      </w:r>
      <w:r>
        <w:t> </w:t>
      </w:r>
      <w:r w:rsidRPr="00744C89">
        <w:t>B).</w:t>
      </w:r>
    </w:p>
    <w:p w14:paraId="4EFB4AFD" w14:textId="77777777" w:rsidR="00C324CF" w:rsidRDefault="00C324CF" w:rsidP="00C324CF">
      <w:pPr>
        <w:rPr>
          <w:lang w:val="fr-FR"/>
        </w:rPr>
      </w:pPr>
      <w:r>
        <w:rPr>
          <w:lang w:val="fr-FR"/>
        </w:rPr>
        <w:br w:type="page"/>
      </w:r>
    </w:p>
    <w:p w14:paraId="1978B2F0" w14:textId="77777777" w:rsidR="00C324CF" w:rsidRPr="00DD0E03" w:rsidRDefault="00C324CF" w:rsidP="00C324CF">
      <w:pPr>
        <w:pStyle w:val="HChG"/>
        <w:rPr>
          <w:lang w:val="fr-CA"/>
        </w:rPr>
      </w:pPr>
      <w:r>
        <w:rPr>
          <w:lang w:val="fr-FR"/>
        </w:rPr>
        <w:lastRenderedPageBreak/>
        <w:tab/>
      </w:r>
      <w:r>
        <w:rPr>
          <w:lang w:val="fr-FR"/>
        </w:rPr>
        <w:tab/>
        <w:t xml:space="preserve">Chapitre III </w:t>
      </w:r>
      <w:r>
        <w:rPr>
          <w:lang w:val="fr-FR"/>
        </w:rPr>
        <w:br/>
      </w:r>
      <w:bookmarkStart w:id="16" w:name="_Hlk175322918"/>
      <w:r>
        <w:rPr>
          <w:lang w:val="fr-FR"/>
        </w:rPr>
        <w:t>Points sur lesquels des observations seraient particulièrement intéressantes pour la Commission</w:t>
      </w:r>
      <w:bookmarkEnd w:id="16"/>
    </w:p>
    <w:p w14:paraId="467571A9" w14:textId="2D49F3E9" w:rsidR="00C324CF" w:rsidRPr="00DD0E03" w:rsidRDefault="00C324CF" w:rsidP="00C324CF">
      <w:pPr>
        <w:pStyle w:val="H1G"/>
        <w:rPr>
          <w:lang w:val="fr-CA"/>
        </w:rPr>
      </w:pPr>
      <w:r>
        <w:rPr>
          <w:lang w:val="fr-FR"/>
        </w:rPr>
        <w:tab/>
        <w:t>A.</w:t>
      </w:r>
      <w:r>
        <w:rPr>
          <w:lang w:val="fr-FR"/>
        </w:rPr>
        <w:tab/>
      </w:r>
      <w:bookmarkStart w:id="17" w:name="_Hlk175323200"/>
      <w:r>
        <w:rPr>
          <w:lang w:val="fr-FR"/>
        </w:rPr>
        <w:t>Immunité de juridiction pénale étrangère des représentants de l</w:t>
      </w:r>
      <w:r w:rsidR="004C5E26">
        <w:rPr>
          <w:lang w:val="fr-FR"/>
        </w:rPr>
        <w:t>’</w:t>
      </w:r>
      <w:r>
        <w:rPr>
          <w:lang w:val="fr-FR"/>
        </w:rPr>
        <w:t>État</w:t>
      </w:r>
      <w:bookmarkEnd w:id="17"/>
    </w:p>
    <w:p w14:paraId="22963D62" w14:textId="7C83CB75" w:rsidR="00C324CF" w:rsidRPr="00DD0E03" w:rsidRDefault="00C324CF" w:rsidP="00C324CF">
      <w:pPr>
        <w:pStyle w:val="SingleTxtG"/>
        <w:rPr>
          <w:rFonts w:ascii="Calibri" w:eastAsia="Times New Roman" w:hAnsi="Calibri" w:cs="Calibri"/>
          <w:color w:val="212121"/>
          <w:lang w:val="fr-CA"/>
        </w:rPr>
      </w:pPr>
      <w:r>
        <w:rPr>
          <w:lang w:val="fr-FR"/>
        </w:rPr>
        <w:t>50.</w:t>
      </w:r>
      <w:r>
        <w:rPr>
          <w:lang w:val="fr-FR"/>
        </w:rPr>
        <w:tab/>
        <w:t>Afin de permettre à davantage d</w:t>
      </w:r>
      <w:r w:rsidR="004C5E26">
        <w:rPr>
          <w:lang w:val="fr-FR"/>
        </w:rPr>
        <w:t>’</w:t>
      </w:r>
      <w:r>
        <w:rPr>
          <w:lang w:val="fr-FR"/>
        </w:rPr>
        <w:t>États de formuler des observations, la Commission souhaiterait recevoir des États, le 15 novembre 2024 au plus tard, tous commentaires et observations complémentaires concernant les projets d</w:t>
      </w:r>
      <w:r w:rsidR="004C5E26">
        <w:rPr>
          <w:lang w:val="fr-FR"/>
        </w:rPr>
        <w:t>’</w:t>
      </w:r>
      <w:r>
        <w:rPr>
          <w:lang w:val="fr-FR"/>
        </w:rPr>
        <w:t>articles 7 à 18 et le projet d</w:t>
      </w:r>
      <w:r w:rsidR="004C5E26">
        <w:rPr>
          <w:lang w:val="fr-FR"/>
        </w:rPr>
        <w:t>’</w:t>
      </w:r>
      <w:r>
        <w:rPr>
          <w:lang w:val="fr-FR"/>
        </w:rPr>
        <w:t>annexe du projet d</w:t>
      </w:r>
      <w:r w:rsidR="004C5E26">
        <w:rPr>
          <w:lang w:val="fr-FR"/>
        </w:rPr>
        <w:t>’</w:t>
      </w:r>
      <w:r>
        <w:rPr>
          <w:lang w:val="fr-FR"/>
        </w:rPr>
        <w:t>articles sur l</w:t>
      </w:r>
      <w:r w:rsidR="004C5E26">
        <w:rPr>
          <w:lang w:val="fr-FR"/>
        </w:rPr>
        <w:t>’</w:t>
      </w:r>
      <w:r>
        <w:rPr>
          <w:lang w:val="fr-FR"/>
        </w:rPr>
        <w:t>immunité de juridiction pénale étrangère des représentants de l</w:t>
      </w:r>
      <w:r w:rsidR="004C5E26">
        <w:rPr>
          <w:lang w:val="fr-FR"/>
        </w:rPr>
        <w:t>’</w:t>
      </w:r>
      <w:r>
        <w:rPr>
          <w:lang w:val="fr-FR"/>
        </w:rPr>
        <w:t>État</w:t>
      </w:r>
      <w:r w:rsidRPr="00E9227E">
        <w:rPr>
          <w:rStyle w:val="Appelnotedebasdep"/>
        </w:rPr>
        <w:footnoteReference w:id="10"/>
      </w:r>
      <w:r>
        <w:rPr>
          <w:lang w:val="fr-FR"/>
        </w:rPr>
        <w:t xml:space="preserve"> tels qu</w:t>
      </w:r>
      <w:r w:rsidR="004C5E26">
        <w:rPr>
          <w:lang w:val="fr-FR"/>
        </w:rPr>
        <w:t>’</w:t>
      </w:r>
      <w:r>
        <w:rPr>
          <w:lang w:val="fr-FR"/>
        </w:rPr>
        <w:t>adoptés en première lecture à sa soixante-treizième session (2022) ainsi que les commentaires s</w:t>
      </w:r>
      <w:r w:rsidR="004C5E26">
        <w:rPr>
          <w:lang w:val="fr-FR"/>
        </w:rPr>
        <w:t>’</w:t>
      </w:r>
      <w:r>
        <w:rPr>
          <w:lang w:val="fr-FR"/>
        </w:rPr>
        <w:t>y rapportant</w:t>
      </w:r>
      <w:r w:rsidRPr="00E9227E">
        <w:rPr>
          <w:rStyle w:val="Appelnotedebasdep"/>
        </w:rPr>
        <w:footnoteReference w:id="11"/>
      </w:r>
      <w:r>
        <w:rPr>
          <w:lang w:val="fr-FR"/>
        </w:rPr>
        <w:t>.</w:t>
      </w:r>
    </w:p>
    <w:p w14:paraId="78BD9C09" w14:textId="77777777" w:rsidR="00C324CF" w:rsidRPr="001D14E7" w:rsidRDefault="00C324CF" w:rsidP="00C324CF">
      <w:pPr>
        <w:pStyle w:val="H1G"/>
      </w:pPr>
      <w:r>
        <w:rPr>
          <w:lang w:val="fr-FR"/>
        </w:rPr>
        <w:tab/>
        <w:t>B.</w:t>
      </w:r>
      <w:r>
        <w:rPr>
          <w:lang w:val="fr-FR"/>
        </w:rPr>
        <w:tab/>
      </w:r>
      <w:bookmarkStart w:id="18" w:name="_Hlk175323207"/>
      <w:r>
        <w:rPr>
          <w:lang w:val="fr-FR"/>
        </w:rPr>
        <w:t>Principes généraux du droit</w:t>
      </w:r>
      <w:bookmarkEnd w:id="18"/>
    </w:p>
    <w:p w14:paraId="1D17F165" w14:textId="59905369" w:rsidR="00C324CF" w:rsidRPr="00DD0E03" w:rsidRDefault="00C324CF" w:rsidP="00C324CF">
      <w:pPr>
        <w:pStyle w:val="SingleTxtG"/>
        <w:rPr>
          <w:lang w:val="fr-CA"/>
        </w:rPr>
      </w:pPr>
      <w:r>
        <w:rPr>
          <w:lang w:val="fr-FR"/>
        </w:rPr>
        <w:t>51.</w:t>
      </w:r>
      <w:r>
        <w:rPr>
          <w:lang w:val="fr-FR"/>
        </w:rPr>
        <w:tab/>
        <w:t>La Commission rappelle qu</w:t>
      </w:r>
      <w:r w:rsidR="004C5E26">
        <w:rPr>
          <w:lang w:val="fr-FR"/>
        </w:rPr>
        <w:t>’</w:t>
      </w:r>
      <w:r>
        <w:rPr>
          <w:lang w:val="fr-FR"/>
        </w:rPr>
        <w:t>elle a achevé la première lecture du projet de conclusions sur le sujet « Principes généraux du droit » à sa soixante-quatorzième session (2023) et a décidé, conformément aux articles 16 à 21 de son statut, de transmettre le projet de conclusions aux États, par l</w:t>
      </w:r>
      <w:r w:rsidR="004C5E26">
        <w:rPr>
          <w:lang w:val="fr-FR"/>
        </w:rPr>
        <w:t>’</w:t>
      </w:r>
      <w:r>
        <w:rPr>
          <w:lang w:val="fr-FR"/>
        </w:rPr>
        <w:t>entremise du Secrétaire général, en les priant de communiquer à celui-ci leurs commentaires et observations le 1</w:t>
      </w:r>
      <w:r w:rsidRPr="00D519F3">
        <w:rPr>
          <w:vertAlign w:val="superscript"/>
          <w:lang w:val="fr-FR"/>
        </w:rPr>
        <w:t>er</w:t>
      </w:r>
      <w:r>
        <w:rPr>
          <w:lang w:val="fr-FR"/>
        </w:rPr>
        <w:t> décembre 2024 au plus tard</w:t>
      </w:r>
      <w:r w:rsidRPr="00E9227E">
        <w:rPr>
          <w:rStyle w:val="Appelnotedebasdep"/>
        </w:rPr>
        <w:footnoteReference w:id="12"/>
      </w:r>
      <w:r>
        <w:rPr>
          <w:lang w:val="fr-FR"/>
        </w:rPr>
        <w:t>. La Commission réaffirme à quel point il est important pour elle de recevoir des commentaires et observations du plus grand nombre possible d</w:t>
      </w:r>
      <w:r w:rsidR="004C5E26">
        <w:rPr>
          <w:lang w:val="fr-FR"/>
        </w:rPr>
        <w:t>’</w:t>
      </w:r>
      <w:r>
        <w:rPr>
          <w:lang w:val="fr-FR"/>
        </w:rPr>
        <w:t>États.</w:t>
      </w:r>
    </w:p>
    <w:p w14:paraId="3A94675D" w14:textId="01DA43BD" w:rsidR="00C324CF" w:rsidRPr="00DD0E03" w:rsidRDefault="00C324CF" w:rsidP="00C324CF">
      <w:pPr>
        <w:pStyle w:val="H1G"/>
        <w:rPr>
          <w:lang w:val="fr-CA"/>
        </w:rPr>
      </w:pPr>
      <w:r>
        <w:rPr>
          <w:bCs/>
          <w:lang w:val="fr-FR"/>
        </w:rPr>
        <w:tab/>
        <w:t>C.</w:t>
      </w:r>
      <w:r>
        <w:rPr>
          <w:bCs/>
          <w:lang w:val="fr-FR"/>
        </w:rPr>
        <w:tab/>
      </w:r>
      <w:bookmarkStart w:id="19" w:name="_Hlk175323212"/>
      <w:r>
        <w:rPr>
          <w:bCs/>
          <w:lang w:val="fr-FR"/>
        </w:rPr>
        <w:t>L</w:t>
      </w:r>
      <w:r w:rsidR="004C5E26">
        <w:rPr>
          <w:bCs/>
          <w:lang w:val="fr-FR"/>
        </w:rPr>
        <w:t>’</w:t>
      </w:r>
      <w:r>
        <w:rPr>
          <w:bCs/>
          <w:lang w:val="fr-FR"/>
        </w:rPr>
        <w:t xml:space="preserve">élévation du niveau de la mer au </w:t>
      </w:r>
      <w:r w:rsidRPr="00344648">
        <w:rPr>
          <w:lang w:val="fr-FR"/>
        </w:rPr>
        <w:t>regard</w:t>
      </w:r>
      <w:r>
        <w:rPr>
          <w:bCs/>
          <w:lang w:val="fr-FR"/>
        </w:rPr>
        <w:t xml:space="preserve"> du droit international</w:t>
      </w:r>
      <w:bookmarkEnd w:id="19"/>
    </w:p>
    <w:p w14:paraId="6A4E330C" w14:textId="024E0945" w:rsidR="00C324CF" w:rsidRPr="00DD0E03" w:rsidRDefault="00C324CF" w:rsidP="00C324CF">
      <w:pPr>
        <w:pStyle w:val="SingleTxtG"/>
        <w:rPr>
          <w:lang w:val="fr-CA"/>
        </w:rPr>
      </w:pPr>
      <w:bookmarkStart w:id="20" w:name="_Hlk141152195"/>
      <w:r>
        <w:rPr>
          <w:lang w:val="fr-FR"/>
        </w:rPr>
        <w:t>52.</w:t>
      </w:r>
      <w:r>
        <w:rPr>
          <w:lang w:val="fr-FR"/>
        </w:rPr>
        <w:tab/>
        <w:t>La Commission souhaiterait recevoir toutes informations que les États, les organisations internationales et les autres entités compétentes pourraient lui communiquer sur leur pratique relative à l</w:t>
      </w:r>
      <w:r w:rsidR="004C5E26">
        <w:rPr>
          <w:lang w:val="fr-FR"/>
        </w:rPr>
        <w:t>’</w:t>
      </w:r>
      <w:r>
        <w:rPr>
          <w:lang w:val="fr-FR"/>
        </w:rPr>
        <w:t>élévation du niveau de la mer au regard du droit international, ainsi que tout autre renseignement pertinent à cet égard, et réitère les demandes qu</w:t>
      </w:r>
      <w:r w:rsidR="004C5E26">
        <w:rPr>
          <w:lang w:val="fr-FR"/>
        </w:rPr>
        <w:t>’</w:t>
      </w:r>
      <w:r>
        <w:rPr>
          <w:lang w:val="fr-FR"/>
        </w:rPr>
        <w:t>elle a formulées au chapitre III de ses rapports sur les travaux de ses soixante et onzième (2019)</w:t>
      </w:r>
      <w:r w:rsidRPr="00E9227E">
        <w:rPr>
          <w:rStyle w:val="Appelnotedebasdep"/>
        </w:rPr>
        <w:footnoteReference w:id="13"/>
      </w:r>
      <w:r>
        <w:rPr>
          <w:lang w:val="fr-FR"/>
        </w:rPr>
        <w:t>, soixante-douzième (2021)</w:t>
      </w:r>
      <w:r w:rsidRPr="00E9227E">
        <w:rPr>
          <w:rStyle w:val="Appelnotedebasdep"/>
        </w:rPr>
        <w:footnoteReference w:id="14"/>
      </w:r>
      <w:r>
        <w:rPr>
          <w:lang w:val="fr-FR"/>
        </w:rPr>
        <w:t>, soixante-treizième (2022)</w:t>
      </w:r>
      <w:r w:rsidRPr="00E9227E">
        <w:rPr>
          <w:rStyle w:val="Appelnotedebasdep"/>
        </w:rPr>
        <w:footnoteReference w:id="15"/>
      </w:r>
      <w:r>
        <w:rPr>
          <w:lang w:val="fr-FR"/>
        </w:rPr>
        <w:t xml:space="preserve"> et soixante-quatorzième (2023)</w:t>
      </w:r>
      <w:r w:rsidRPr="00E9227E">
        <w:rPr>
          <w:rStyle w:val="Appelnotedebasdep"/>
        </w:rPr>
        <w:footnoteReference w:id="16"/>
      </w:r>
      <w:bookmarkEnd w:id="20"/>
      <w:r w:rsidRPr="00F10989">
        <w:rPr>
          <w:lang w:val="fr-FR"/>
        </w:rPr>
        <w:t xml:space="preserve"> </w:t>
      </w:r>
      <w:r>
        <w:rPr>
          <w:lang w:val="fr-FR"/>
        </w:rPr>
        <w:t>sessions.</w:t>
      </w:r>
    </w:p>
    <w:p w14:paraId="55095283" w14:textId="1CE4A832" w:rsidR="00C324CF" w:rsidRPr="00DD0E03" w:rsidRDefault="00C324CF" w:rsidP="00C324CF">
      <w:pPr>
        <w:pStyle w:val="SingleTxtG"/>
        <w:rPr>
          <w:lang w:val="fr-CA"/>
        </w:rPr>
      </w:pPr>
      <w:r>
        <w:rPr>
          <w:lang w:val="fr-FR"/>
        </w:rPr>
        <w:t>53.</w:t>
      </w:r>
      <w:r>
        <w:rPr>
          <w:lang w:val="fr-FR"/>
        </w:rPr>
        <w:tab/>
        <w:t>À la soixante-seizième session (2025), le Groupe d</w:t>
      </w:r>
      <w:r w:rsidR="004C5E26">
        <w:rPr>
          <w:lang w:val="fr-FR"/>
        </w:rPr>
        <w:t>’</w:t>
      </w:r>
      <w:r>
        <w:rPr>
          <w:lang w:val="fr-FR"/>
        </w:rPr>
        <w:t>étude devrait présenter son rapport final sur le sujet de l</w:t>
      </w:r>
      <w:r w:rsidR="004C5E26">
        <w:rPr>
          <w:lang w:val="fr-FR"/>
        </w:rPr>
        <w:t>’</w:t>
      </w:r>
      <w:r>
        <w:rPr>
          <w:lang w:val="fr-FR"/>
        </w:rPr>
        <w:t>élévation du niveau de la mer au regard du droit international. À cet égard, la Commission rappelle qu</w:t>
      </w:r>
      <w:r w:rsidR="004C5E26">
        <w:rPr>
          <w:lang w:val="fr-FR"/>
        </w:rPr>
        <w:t>’</w:t>
      </w:r>
      <w:r>
        <w:rPr>
          <w:lang w:val="fr-FR"/>
        </w:rPr>
        <w:t>elle souhaiterait recevoir des États qui n</w:t>
      </w:r>
      <w:r w:rsidR="004C5E26">
        <w:rPr>
          <w:lang w:val="fr-FR"/>
        </w:rPr>
        <w:t>’</w:t>
      </w:r>
      <w:r>
        <w:rPr>
          <w:lang w:val="fr-FR"/>
        </w:rPr>
        <w:t>ont pas fourni d</w:t>
      </w:r>
      <w:r w:rsidR="004C5E26">
        <w:rPr>
          <w:lang w:val="fr-FR"/>
        </w:rPr>
        <w:t>’</w:t>
      </w:r>
      <w:r>
        <w:rPr>
          <w:lang w:val="fr-FR"/>
        </w:rPr>
        <w:t>informations par le passé toutes nouvelles informations, y compris tous commentaires sur les rapports des Coprésidents et du Groupe d</w:t>
      </w:r>
      <w:r w:rsidR="004C5E26">
        <w:rPr>
          <w:lang w:val="fr-FR"/>
        </w:rPr>
        <w:t>’</w:t>
      </w:r>
      <w:r>
        <w:rPr>
          <w:lang w:val="fr-FR"/>
        </w:rPr>
        <w:t>étude concernant le droit de la mer, la condition étatique et la protection des personnes touchées par l</w:t>
      </w:r>
      <w:r w:rsidR="004C5E26">
        <w:rPr>
          <w:lang w:val="fr-FR"/>
        </w:rPr>
        <w:t>’</w:t>
      </w:r>
      <w:r>
        <w:rPr>
          <w:lang w:val="fr-FR"/>
        </w:rPr>
        <w:t>élévation du niveau de la mer, le 1</w:t>
      </w:r>
      <w:r w:rsidRPr="00DD13BA">
        <w:rPr>
          <w:vertAlign w:val="superscript"/>
          <w:lang w:val="fr-FR"/>
        </w:rPr>
        <w:t>er</w:t>
      </w:r>
      <w:r>
        <w:rPr>
          <w:lang w:val="fr-FR"/>
        </w:rPr>
        <w:t> décembre 2024 au plus tard.</w:t>
      </w:r>
    </w:p>
    <w:p w14:paraId="61AF4ECB" w14:textId="77777777" w:rsidR="00C324CF" w:rsidRPr="00DD0E03" w:rsidRDefault="00C324CF" w:rsidP="00C324CF">
      <w:pPr>
        <w:pStyle w:val="H1G"/>
        <w:rPr>
          <w:lang w:val="fr-CA"/>
        </w:rPr>
      </w:pPr>
      <w:r>
        <w:rPr>
          <w:bCs/>
          <w:lang w:val="fr-FR"/>
        </w:rPr>
        <w:tab/>
        <w:t>D.</w:t>
      </w:r>
      <w:r>
        <w:rPr>
          <w:bCs/>
          <w:lang w:val="fr-FR"/>
        </w:rPr>
        <w:tab/>
      </w:r>
      <w:bookmarkStart w:id="21" w:name="_Hlk175323218"/>
      <w:r>
        <w:rPr>
          <w:bCs/>
          <w:lang w:val="fr-FR"/>
        </w:rPr>
        <w:t>Les accords internationaux juridiquement non contraignants</w:t>
      </w:r>
      <w:bookmarkEnd w:id="21"/>
    </w:p>
    <w:p w14:paraId="1D6EAE78" w14:textId="4B4DB7D9" w:rsidR="00C324CF" w:rsidRPr="00DD0E03" w:rsidRDefault="00C324CF" w:rsidP="00C324CF">
      <w:pPr>
        <w:pStyle w:val="SingleTxtG"/>
        <w:keepNext/>
        <w:rPr>
          <w:lang w:val="fr-CA"/>
        </w:rPr>
      </w:pPr>
      <w:r>
        <w:rPr>
          <w:lang w:val="fr-FR"/>
        </w:rPr>
        <w:t>54.</w:t>
      </w:r>
      <w:r>
        <w:rPr>
          <w:lang w:val="fr-FR"/>
        </w:rPr>
        <w:tab/>
        <w:t>La Commission souhaiterait recevoir des États, le 31 décembre 2024 au plus tard, toutes informations relatives à leur pratique en matière d</w:t>
      </w:r>
      <w:r w:rsidR="004C5E26">
        <w:rPr>
          <w:lang w:val="fr-FR"/>
        </w:rPr>
        <w:t>’</w:t>
      </w:r>
      <w:r>
        <w:rPr>
          <w:lang w:val="fr-FR"/>
        </w:rPr>
        <w:t xml:space="preserve">accords internationaux </w:t>
      </w:r>
      <w:r>
        <w:rPr>
          <w:lang w:val="fr-FR"/>
        </w:rPr>
        <w:lastRenderedPageBreak/>
        <w:t>juridiquement non contraignants et susceptibles de présenter un intérêt pour la suite de ses travaux sur le sujet. Elle aimerait en particulier recevoir des exemples :</w:t>
      </w:r>
    </w:p>
    <w:p w14:paraId="3A27FA93" w14:textId="4216D1BD" w:rsidR="00C324CF" w:rsidRPr="00DD0E03" w:rsidRDefault="00C324CF" w:rsidP="00C324CF">
      <w:pPr>
        <w:pStyle w:val="SingleTxtG"/>
        <w:ind w:firstLine="567"/>
        <w:rPr>
          <w:rFonts w:eastAsia="Times New Roman"/>
          <w:color w:val="212121"/>
          <w:lang w:val="fr-CA"/>
        </w:rPr>
      </w:pPr>
      <w:r>
        <w:rPr>
          <w:lang w:val="fr-FR"/>
        </w:rPr>
        <w:t>a)</w:t>
      </w:r>
      <w:r>
        <w:rPr>
          <w:lang w:val="fr-FR"/>
        </w:rPr>
        <w:tab/>
        <w:t>De la pratique des ministères compétents et de décisions des juridictions nationales, selon qu</w:t>
      </w:r>
      <w:r w:rsidR="004C5E26">
        <w:rPr>
          <w:lang w:val="fr-FR"/>
        </w:rPr>
        <w:t>’</w:t>
      </w:r>
      <w:r>
        <w:rPr>
          <w:lang w:val="fr-FR"/>
        </w:rPr>
        <w:t>il convient, concernant des accords internationaux juridiquement non contraignants ;</w:t>
      </w:r>
    </w:p>
    <w:p w14:paraId="2AC4B019" w14:textId="77777777" w:rsidR="00C324CF" w:rsidRDefault="00C324CF" w:rsidP="00C324CF">
      <w:pPr>
        <w:pStyle w:val="SingleTxtG"/>
        <w:ind w:firstLine="567"/>
        <w:rPr>
          <w:rFonts w:eastAsia="Times New Roman"/>
          <w:color w:val="212121"/>
          <w:lang w:val="fr-CA"/>
        </w:rPr>
      </w:pPr>
      <w:r>
        <w:rPr>
          <w:lang w:val="fr-FR"/>
        </w:rPr>
        <w:t>b)</w:t>
      </w:r>
      <w:r>
        <w:rPr>
          <w:lang w:val="fr-FR"/>
        </w:rPr>
        <w:tab/>
        <w:t>De toutes lignes directrices relatives aux accords internationaux juridiquement non contraignants adoptées au niveau national que les États pourraient communiquer au Rapporteur spécial et à la Commission.</w:t>
      </w:r>
    </w:p>
    <w:p w14:paraId="20C4565A" w14:textId="64E895EB" w:rsidR="00C324CF" w:rsidRDefault="00C324CF">
      <w:pPr>
        <w:suppressAutoHyphens w:val="0"/>
        <w:kinsoku/>
        <w:overflowPunct/>
        <w:autoSpaceDE/>
        <w:autoSpaceDN/>
        <w:adjustRightInd/>
        <w:snapToGrid/>
        <w:spacing w:line="240" w:lineRule="auto"/>
        <w:rPr>
          <w:lang w:val="fr-CA"/>
        </w:rPr>
      </w:pPr>
      <w:r>
        <w:rPr>
          <w:lang w:val="fr-CA"/>
        </w:rPr>
        <w:br w:type="page"/>
      </w:r>
    </w:p>
    <w:p w14:paraId="6E011688" w14:textId="77777777" w:rsidR="00C324CF" w:rsidRPr="00D13C0A" w:rsidRDefault="00C324CF" w:rsidP="00C324CF">
      <w:pPr>
        <w:pStyle w:val="HChG"/>
        <w:rPr>
          <w:shd w:val="clear" w:color="000000" w:fill="FFFFFF"/>
        </w:rPr>
      </w:pPr>
      <w:r>
        <w:rPr>
          <w:lang w:val="fr-FR"/>
        </w:rPr>
        <w:lastRenderedPageBreak/>
        <w:tab/>
      </w:r>
      <w:r>
        <w:rPr>
          <w:lang w:val="fr-FR"/>
        </w:rPr>
        <w:tab/>
      </w:r>
      <w:r>
        <w:rPr>
          <w:lang w:val="fr-FR"/>
        </w:rPr>
        <w:tab/>
        <w:t>Chapitre IV</w:t>
      </w:r>
      <w:bookmarkStart w:id="22" w:name="_Toc80171893"/>
      <w:bookmarkStart w:id="23" w:name="_Toc80171961"/>
      <w:r>
        <w:rPr>
          <w:lang w:val="fr-FR"/>
        </w:rPr>
        <w:br/>
      </w:r>
      <w:bookmarkStart w:id="24" w:name="_Hlk175323226"/>
      <w:r>
        <w:rPr>
          <w:lang w:val="fr-FR"/>
        </w:rPr>
        <w:tab/>
      </w:r>
      <w:bookmarkStart w:id="25" w:name="_Hlk175322932"/>
      <w:r>
        <w:rPr>
          <w:bCs/>
          <w:lang w:val="fr-FR"/>
        </w:rPr>
        <w:t>Règlement des différends auxquels des organisations internationales sont parties</w:t>
      </w:r>
      <w:bookmarkEnd w:id="22"/>
      <w:bookmarkEnd w:id="23"/>
      <w:bookmarkEnd w:id="25"/>
      <w:bookmarkEnd w:id="24"/>
    </w:p>
    <w:p w14:paraId="3ACA5498" w14:textId="77777777" w:rsidR="00C324CF" w:rsidRPr="00D13C0A" w:rsidRDefault="00C324CF" w:rsidP="00C324CF">
      <w:pPr>
        <w:pStyle w:val="H1G"/>
        <w:rPr>
          <w:shd w:val="clear" w:color="000000" w:fill="FFFFFF"/>
        </w:rPr>
      </w:pPr>
      <w:r>
        <w:rPr>
          <w:lang w:val="fr-FR"/>
        </w:rPr>
        <w:tab/>
        <w:t>A.</w:t>
      </w:r>
      <w:r>
        <w:rPr>
          <w:lang w:val="fr-FR"/>
        </w:rPr>
        <w:tab/>
        <w:t>Introduction</w:t>
      </w:r>
      <w:bookmarkStart w:id="26" w:name="_Toc80171894"/>
      <w:bookmarkEnd w:id="26"/>
    </w:p>
    <w:p w14:paraId="7F1C285A" w14:textId="4874150E" w:rsidR="00C324CF" w:rsidRPr="00D13C0A" w:rsidRDefault="00C324CF" w:rsidP="00C324CF">
      <w:pPr>
        <w:pStyle w:val="SingleTxtG"/>
        <w:rPr>
          <w:shd w:val="clear" w:color="000000" w:fill="FFFFFF"/>
        </w:rPr>
      </w:pPr>
      <w:r>
        <w:rPr>
          <w:lang w:val="fr-FR"/>
        </w:rPr>
        <w:t>55.</w:t>
      </w:r>
      <w:r>
        <w:rPr>
          <w:lang w:val="fr-FR"/>
        </w:rPr>
        <w:tab/>
        <w:t>À sa soixante-treizième session (2022), la Commission a décidé d</w:t>
      </w:r>
      <w:r w:rsidR="004C5E26">
        <w:rPr>
          <w:lang w:val="fr-FR"/>
        </w:rPr>
        <w:t>’</w:t>
      </w:r>
      <w:r>
        <w:rPr>
          <w:lang w:val="fr-FR"/>
        </w:rPr>
        <w:t>inscrire le sujet « Règlement des différends internationaux auxquels des organisations internationales sont parties » à son programme de travail</w:t>
      </w:r>
      <w:r w:rsidRPr="00E9227E">
        <w:rPr>
          <w:rStyle w:val="Appelnotedebasdep"/>
        </w:rPr>
        <w:footnoteReference w:id="17"/>
      </w:r>
      <w:r>
        <w:rPr>
          <w:lang w:val="fr-FR"/>
        </w:rPr>
        <w:t xml:space="preserve"> et a désigné M. August </w:t>
      </w:r>
      <w:proofErr w:type="spellStart"/>
      <w:r>
        <w:rPr>
          <w:lang w:val="fr-FR"/>
        </w:rPr>
        <w:t>Reinisch</w:t>
      </w:r>
      <w:proofErr w:type="spellEnd"/>
      <w:r>
        <w:rPr>
          <w:lang w:val="fr-FR"/>
        </w:rPr>
        <w:t xml:space="preserve"> Rapporteur spécial sur le sujet. À cette même session</w:t>
      </w:r>
      <w:r w:rsidRPr="00E9227E">
        <w:rPr>
          <w:rStyle w:val="Appelnotedebasdep"/>
        </w:rPr>
        <w:footnoteReference w:id="18"/>
      </w:r>
      <w:r>
        <w:rPr>
          <w:lang w:val="fr-FR"/>
        </w:rPr>
        <w:t>, elle a demandé au Secrétariat d</w:t>
      </w:r>
      <w:r w:rsidR="004C5E26">
        <w:rPr>
          <w:lang w:val="fr-FR"/>
        </w:rPr>
        <w:t>’</w:t>
      </w:r>
      <w:r>
        <w:rPr>
          <w:lang w:val="fr-FR"/>
        </w:rPr>
        <w:t xml:space="preserve">élaborer une étude contenant des informations sur la pratique des États et des organisations internationales qui pourraient présenter un intérêt pour la suite de ses travaux sur le sujet, y compris les différends internationaux et les différends de droit privé. Elle a également approuvé la recommandation du Rapporteur spécial tendant à ce que le </w:t>
      </w:r>
      <w:r w:rsidRPr="00D61E84">
        <w:rPr>
          <w:lang w:val="fr-FR"/>
        </w:rPr>
        <w:t xml:space="preserve">Secrétariat </w:t>
      </w:r>
      <w:r>
        <w:rPr>
          <w:lang w:val="fr-FR"/>
        </w:rPr>
        <w:t>prenne contact avec les États et les organisations internationales compétentes, afin d</w:t>
      </w:r>
      <w:r w:rsidR="004C5E26">
        <w:rPr>
          <w:lang w:val="fr-FR"/>
        </w:rPr>
        <w:t>’</w:t>
      </w:r>
      <w:r>
        <w:rPr>
          <w:lang w:val="fr-FR"/>
        </w:rPr>
        <w:t>obtenir des éléments d</w:t>
      </w:r>
      <w:r w:rsidR="004C5E26">
        <w:rPr>
          <w:lang w:val="fr-FR"/>
        </w:rPr>
        <w:t>’</w:t>
      </w:r>
      <w:r>
        <w:rPr>
          <w:lang w:val="fr-FR"/>
        </w:rPr>
        <w:t>information et leurs vues aux fins de l</w:t>
      </w:r>
      <w:r w:rsidR="004C5E26">
        <w:rPr>
          <w:lang w:val="fr-FR"/>
        </w:rPr>
        <w:t>’</w:t>
      </w:r>
      <w:r>
        <w:rPr>
          <w:lang w:val="fr-FR"/>
        </w:rPr>
        <w:t>étude.</w:t>
      </w:r>
    </w:p>
    <w:p w14:paraId="7644FC6E" w14:textId="325BDD13" w:rsidR="00C324CF" w:rsidRPr="00D13C0A" w:rsidRDefault="00C324CF" w:rsidP="00C324CF">
      <w:pPr>
        <w:pStyle w:val="SingleTxtG"/>
        <w:rPr>
          <w:shd w:val="clear" w:color="000000" w:fill="FFFFFF"/>
        </w:rPr>
      </w:pPr>
      <w:r>
        <w:rPr>
          <w:lang w:val="fr-FR"/>
        </w:rPr>
        <w:t>56.</w:t>
      </w:r>
      <w:r>
        <w:rPr>
          <w:lang w:val="fr-FR"/>
        </w:rPr>
        <w:tab/>
        <w:t>Ultérieurement, au paragraphe 7</w:t>
      </w:r>
      <w:r w:rsidRPr="003D1DB7">
        <w:rPr>
          <w:lang w:val="fr-FR"/>
        </w:rPr>
        <w:t xml:space="preserve"> de sa résolution </w:t>
      </w:r>
      <w:hyperlink r:id="rId48" w:history="1">
        <w:r w:rsidRPr="00CF6612">
          <w:rPr>
            <w:rStyle w:val="Lienhypertexte"/>
            <w:lang w:val="fr-FR"/>
          </w:rPr>
          <w:t>77/103</w:t>
        </w:r>
      </w:hyperlink>
      <w:r w:rsidRPr="003D1DB7">
        <w:rPr>
          <w:lang w:val="fr-FR"/>
        </w:rPr>
        <w:t xml:space="preserve"> du </w:t>
      </w:r>
      <w:r>
        <w:rPr>
          <w:lang w:val="fr-FR"/>
        </w:rPr>
        <w:t>7 décembre 2022, l</w:t>
      </w:r>
      <w:r w:rsidR="004C5E26">
        <w:rPr>
          <w:lang w:val="fr-FR"/>
        </w:rPr>
        <w:t>’</w:t>
      </w:r>
      <w:r>
        <w:rPr>
          <w:lang w:val="fr-FR"/>
        </w:rPr>
        <w:t>Assemblée générale a pris note de la décision de la Commission d</w:t>
      </w:r>
      <w:r w:rsidR="004C5E26">
        <w:rPr>
          <w:lang w:val="fr-FR"/>
        </w:rPr>
        <w:t>’</w:t>
      </w:r>
      <w:r>
        <w:rPr>
          <w:lang w:val="fr-FR"/>
        </w:rPr>
        <w:t>inscrire le sujet à son programme de travail.</w:t>
      </w:r>
    </w:p>
    <w:p w14:paraId="4F94EBFD" w14:textId="6DD97655" w:rsidR="00C324CF" w:rsidRPr="00D13C0A" w:rsidRDefault="00C324CF" w:rsidP="00C324CF">
      <w:pPr>
        <w:pStyle w:val="SingleTxtG"/>
        <w:rPr>
          <w:shd w:val="clear" w:color="000000" w:fill="FFFFFF"/>
        </w:rPr>
      </w:pPr>
      <w:r>
        <w:rPr>
          <w:lang w:val="fr-FR"/>
        </w:rPr>
        <w:t>57.</w:t>
      </w:r>
      <w:r>
        <w:rPr>
          <w:lang w:val="fr-FR"/>
        </w:rPr>
        <w:tab/>
        <w:t>À sa soixante-quatorzième session (2023), la Commission a examiné le premier rapport du Rapporteur spécial</w:t>
      </w:r>
      <w:r w:rsidRPr="00E9227E">
        <w:rPr>
          <w:rStyle w:val="Appelnotedebasdep"/>
        </w:rPr>
        <w:footnoteReference w:id="19"/>
      </w:r>
      <w:r>
        <w:rPr>
          <w:lang w:val="fr-FR"/>
        </w:rPr>
        <w:t>, qui a défini le champ d</w:t>
      </w:r>
      <w:r w:rsidR="004C5E26">
        <w:rPr>
          <w:lang w:val="fr-FR"/>
        </w:rPr>
        <w:t>’</w:t>
      </w:r>
      <w:r>
        <w:rPr>
          <w:lang w:val="fr-FR"/>
        </w:rPr>
        <w:t>application du sujet et analysé le sujet en tenant compte des travaux antérieurs de la Commission qui s</w:t>
      </w:r>
      <w:r w:rsidR="004C5E26">
        <w:rPr>
          <w:lang w:val="fr-FR"/>
        </w:rPr>
        <w:t>’</w:t>
      </w:r>
      <w:r>
        <w:rPr>
          <w:lang w:val="fr-FR"/>
        </w:rPr>
        <w:t>y rapportent et de ceux d</w:t>
      </w:r>
      <w:r w:rsidR="004C5E26">
        <w:rPr>
          <w:lang w:val="fr-FR"/>
        </w:rPr>
        <w:t>’</w:t>
      </w:r>
      <w:r>
        <w:rPr>
          <w:lang w:val="fr-FR"/>
        </w:rPr>
        <w:t>autres organismes internationaux. Certaines questions de définition y étaient également abordées. À l</w:t>
      </w:r>
      <w:r w:rsidR="004C5E26">
        <w:rPr>
          <w:lang w:val="fr-FR"/>
        </w:rPr>
        <w:t>’</w:t>
      </w:r>
      <w:r>
        <w:rPr>
          <w:lang w:val="fr-FR"/>
        </w:rPr>
        <w:t>issue d</w:t>
      </w:r>
      <w:r w:rsidR="004C5E26">
        <w:rPr>
          <w:lang w:val="fr-FR"/>
        </w:rPr>
        <w:t>’</w:t>
      </w:r>
      <w:r>
        <w:rPr>
          <w:lang w:val="fr-FR"/>
        </w:rPr>
        <w:t>un débat en plénière, la Commission a décidé de renvoyer au Comité de rédaction les projets de directives 1 et 2, tels qu</w:t>
      </w:r>
      <w:r w:rsidR="004C5E26">
        <w:rPr>
          <w:lang w:val="fr-FR"/>
        </w:rPr>
        <w:t>’</w:t>
      </w:r>
      <w:r>
        <w:rPr>
          <w:lang w:val="fr-FR"/>
        </w:rPr>
        <w:t>énoncés dans le premier rapport du Rapporteur spécial. La Commission a provisoirement adopté les projets de directives 1 et 2, ainsi que les commentaires y relatifs, et décidé de modifier l</w:t>
      </w:r>
      <w:r w:rsidR="004C5E26">
        <w:rPr>
          <w:lang w:val="fr-FR"/>
        </w:rPr>
        <w:t>’</w:t>
      </w:r>
      <w:r>
        <w:rPr>
          <w:lang w:val="fr-FR"/>
        </w:rPr>
        <w:t xml:space="preserve">intitulé du sujet qui était « Règlement des différends internationaux auxquels des organisations internationales sont </w:t>
      </w:r>
      <w:r w:rsidRPr="00631BE6">
        <w:rPr>
          <w:lang w:val="fr-FR"/>
        </w:rPr>
        <w:t>parties » et qui est désormais « Règlement</w:t>
      </w:r>
      <w:r>
        <w:rPr>
          <w:lang w:val="fr-FR"/>
        </w:rPr>
        <w:t xml:space="preserve"> des différends auxquels des organisations internationales sont parties »</w:t>
      </w:r>
      <w:r w:rsidRPr="00E9227E">
        <w:rPr>
          <w:rStyle w:val="Appelnotedebasdep"/>
        </w:rPr>
        <w:footnoteReference w:id="20"/>
      </w:r>
      <w:r>
        <w:rPr>
          <w:lang w:val="fr-FR"/>
        </w:rPr>
        <w:t>.</w:t>
      </w:r>
    </w:p>
    <w:p w14:paraId="1F2E35A2" w14:textId="77777777" w:rsidR="00C324CF" w:rsidRPr="00D13C0A" w:rsidRDefault="00C324CF" w:rsidP="00C324CF">
      <w:pPr>
        <w:pStyle w:val="H1G"/>
        <w:rPr>
          <w:shd w:val="clear" w:color="000000" w:fill="FFFFFF"/>
        </w:rPr>
      </w:pPr>
      <w:r>
        <w:rPr>
          <w:lang w:val="fr-FR"/>
        </w:rPr>
        <w:tab/>
        <w:t>B.</w:t>
      </w:r>
      <w:r>
        <w:rPr>
          <w:lang w:val="fr-FR"/>
        </w:rPr>
        <w:tab/>
      </w:r>
      <w:bookmarkStart w:id="27" w:name="_Hlk175323235"/>
      <w:r>
        <w:rPr>
          <w:lang w:val="fr-FR"/>
        </w:rPr>
        <w:t>Examen du sujet à la présente session</w:t>
      </w:r>
      <w:bookmarkStart w:id="28" w:name="_Toc80171895"/>
      <w:bookmarkEnd w:id="28"/>
      <w:bookmarkEnd w:id="27"/>
    </w:p>
    <w:p w14:paraId="4ACC50D5" w14:textId="5C5CCD1E" w:rsidR="00C324CF" w:rsidRPr="00D13C0A" w:rsidRDefault="00C324CF" w:rsidP="00C324CF">
      <w:pPr>
        <w:pStyle w:val="SingleTxtG"/>
        <w:rPr>
          <w:shd w:val="clear" w:color="000000" w:fill="FFFFFF"/>
        </w:rPr>
      </w:pPr>
      <w:r>
        <w:rPr>
          <w:lang w:val="fr-FR"/>
        </w:rPr>
        <w:t>58.</w:t>
      </w:r>
      <w:r>
        <w:rPr>
          <w:lang w:val="fr-FR"/>
        </w:rPr>
        <w:tab/>
        <w:t>À la présente session, la Commission était saisie du deuxième rapport du Rapporteur spécial (</w:t>
      </w:r>
      <w:hyperlink r:id="rId49" w:history="1">
        <w:r w:rsidRPr="00CF6612">
          <w:rPr>
            <w:rStyle w:val="Lienhypertexte"/>
            <w:lang w:val="fr-FR"/>
          </w:rPr>
          <w:t>A/CN.4/766</w:t>
        </w:r>
      </w:hyperlink>
      <w:r>
        <w:rPr>
          <w:lang w:val="fr-FR"/>
        </w:rPr>
        <w:t>), ainsi que d</w:t>
      </w:r>
      <w:r w:rsidR="004C5E26">
        <w:rPr>
          <w:lang w:val="fr-FR"/>
        </w:rPr>
        <w:t>’</w:t>
      </w:r>
      <w:r>
        <w:rPr>
          <w:lang w:val="fr-FR"/>
        </w:rPr>
        <w:t>une étude du Secrétariat contenant des informations sur la pratique des États et des organisations internationales qui pourraient présenter un intérêt pour la suite de ses travaux sur le sujet, y compris les différends internationaux et les différends de droit privé (</w:t>
      </w:r>
      <w:hyperlink r:id="rId50" w:history="1">
        <w:r w:rsidRPr="00CF6612">
          <w:rPr>
            <w:rStyle w:val="Lienhypertexte"/>
            <w:lang w:val="fr-FR"/>
          </w:rPr>
          <w:t>A/CN.4/764</w:t>
        </w:r>
      </w:hyperlink>
      <w:r>
        <w:rPr>
          <w:lang w:val="fr-FR"/>
        </w:rPr>
        <w:t>). Dans son deuxième rapport, le Rapporteur spécial a surtout examiné ce que sont les « différends internationaux ». Il a également fourni une analyse de la pratique en matière de règlement des différends internationaux auxquels des organisations internationales sont parties, posé des questions de principe pertinentes pour les travaux de la Commission sur le sujet, et exposé ses projets pour les travaux futurs sur le sujet. Il a proposé quatre projets de directive : un sur la définition des différends internationaux aux fins du projet de directives, un sur la pratique en matière de règlement des différends, un sur l</w:t>
      </w:r>
      <w:r w:rsidR="004C5E26">
        <w:rPr>
          <w:lang w:val="fr-FR"/>
        </w:rPr>
        <w:t>’</w:t>
      </w:r>
      <w:r>
        <w:rPr>
          <w:lang w:val="fr-FR"/>
        </w:rPr>
        <w:t>accès à l</w:t>
      </w:r>
      <w:r w:rsidR="004C5E26">
        <w:rPr>
          <w:lang w:val="fr-FR"/>
        </w:rPr>
        <w:t>’</w:t>
      </w:r>
      <w:r>
        <w:rPr>
          <w:lang w:val="fr-FR"/>
        </w:rPr>
        <w:t>arbitrage et au règlement judiciaire, et un sur le règlement des différends et les exigences de l</w:t>
      </w:r>
      <w:r w:rsidR="004C5E26">
        <w:rPr>
          <w:lang w:val="fr-FR"/>
        </w:rPr>
        <w:t>’</w:t>
      </w:r>
      <w:r>
        <w:rPr>
          <w:lang w:val="fr-FR"/>
        </w:rPr>
        <w:t>état de droit.</w:t>
      </w:r>
    </w:p>
    <w:p w14:paraId="1B45D213" w14:textId="7640CE6E" w:rsidR="00C324CF" w:rsidRPr="00D13C0A" w:rsidRDefault="00C324CF" w:rsidP="00C324CF">
      <w:pPr>
        <w:pStyle w:val="SingleTxtG"/>
        <w:keepLines/>
        <w:rPr>
          <w:shd w:val="clear" w:color="000000" w:fill="FFFFFF"/>
        </w:rPr>
      </w:pPr>
      <w:r w:rsidRPr="00175CD3">
        <w:rPr>
          <w:lang w:val="fr-FR"/>
        </w:rPr>
        <w:lastRenderedPageBreak/>
        <w:t>59.</w:t>
      </w:r>
      <w:r w:rsidRPr="00175CD3">
        <w:rPr>
          <w:lang w:val="fr-FR"/>
        </w:rPr>
        <w:tab/>
        <w:t>La Commission a examiné le deuxième rapport du Rapporteur spécial, ainsi que l</w:t>
      </w:r>
      <w:r w:rsidR="004C5E26">
        <w:rPr>
          <w:lang w:val="fr-FR"/>
        </w:rPr>
        <w:t>’</w:t>
      </w:r>
      <w:r w:rsidRPr="00175CD3">
        <w:rPr>
          <w:lang w:val="fr-FR"/>
        </w:rPr>
        <w:t>étude du Secrétariat, à ses 3658</w:t>
      </w:r>
      <w:r w:rsidRPr="00175CD3">
        <w:rPr>
          <w:vertAlign w:val="superscript"/>
          <w:lang w:val="fr-FR"/>
        </w:rPr>
        <w:t>e</w:t>
      </w:r>
      <w:r w:rsidRPr="00175CD3">
        <w:rPr>
          <w:lang w:val="fr-FR"/>
        </w:rPr>
        <w:t xml:space="preserve"> à 3662</w:t>
      </w:r>
      <w:r w:rsidRPr="00175CD3">
        <w:rPr>
          <w:vertAlign w:val="superscript"/>
          <w:lang w:val="fr-FR"/>
        </w:rPr>
        <w:t>e</w:t>
      </w:r>
      <w:r w:rsidRPr="00175CD3">
        <w:rPr>
          <w:lang w:val="fr-FR"/>
        </w:rPr>
        <w:t> séances, du 29 avril au 3 mai 2024. À sa 3662</w:t>
      </w:r>
      <w:r w:rsidRPr="00175CD3">
        <w:rPr>
          <w:vertAlign w:val="superscript"/>
          <w:lang w:val="fr-FR"/>
        </w:rPr>
        <w:t>e</w:t>
      </w:r>
      <w:r w:rsidRPr="00175CD3">
        <w:rPr>
          <w:lang w:val="fr-FR"/>
        </w:rPr>
        <w:t> séance, le 3 mai 2024, elle a décidé de renvoyer au Comité de rédaction les projets de directives 3, 4, 5 et 6, tels qu</w:t>
      </w:r>
      <w:r w:rsidR="004C5E26">
        <w:rPr>
          <w:lang w:val="fr-FR"/>
        </w:rPr>
        <w:t>’</w:t>
      </w:r>
      <w:r w:rsidRPr="00175CD3">
        <w:rPr>
          <w:lang w:val="fr-FR"/>
        </w:rPr>
        <w:t>ils figuraient dans le deuxième rapport, en tenant compte des vues exprimées pendant le débat en plénière.</w:t>
      </w:r>
    </w:p>
    <w:p w14:paraId="6098DC72" w14:textId="207B797D" w:rsidR="00C324CF" w:rsidRPr="00D13C0A" w:rsidRDefault="00C324CF" w:rsidP="00C324CF">
      <w:pPr>
        <w:pStyle w:val="SingleTxtG"/>
        <w:rPr>
          <w:shd w:val="clear" w:color="000000" w:fill="FFFFFF"/>
        </w:rPr>
      </w:pPr>
      <w:r>
        <w:rPr>
          <w:lang w:val="fr-FR"/>
        </w:rPr>
        <w:t>60.</w:t>
      </w:r>
      <w:r>
        <w:rPr>
          <w:lang w:val="fr-FR"/>
        </w:rPr>
        <w:tab/>
        <w:t>À sa 3673</w:t>
      </w:r>
      <w:r w:rsidRPr="00AE505A">
        <w:rPr>
          <w:vertAlign w:val="superscript"/>
          <w:lang w:val="fr-FR"/>
        </w:rPr>
        <w:t>e</w:t>
      </w:r>
      <w:r>
        <w:rPr>
          <w:lang w:val="fr-FR"/>
        </w:rPr>
        <w:t> séance, le 31 mai 2024, la Commission a examiné le rapport du Comité de rédaction sur le sujet (</w:t>
      </w:r>
      <w:hyperlink r:id="rId51" w:history="1">
        <w:r w:rsidRPr="00175CD3">
          <w:rPr>
            <w:rStyle w:val="Lienhypertexte"/>
            <w:lang w:val="fr-FR"/>
          </w:rPr>
          <w:t>A/CN.4/L.998</w:t>
        </w:r>
      </w:hyperlink>
      <w:r>
        <w:rPr>
          <w:rStyle w:val="Lienhypertexte"/>
          <w:lang w:val="fr-FR"/>
        </w:rPr>
        <w:t xml:space="preserve"> </w:t>
      </w:r>
      <w:r w:rsidRPr="00175CD3">
        <w:rPr>
          <w:rStyle w:val="Lienhypertexte"/>
          <w:color w:val="auto"/>
          <w:lang w:val="fr-FR"/>
        </w:rPr>
        <w:t xml:space="preserve">et </w:t>
      </w:r>
      <w:hyperlink r:id="rId52" w:history="1">
        <w:r w:rsidRPr="00175CD3">
          <w:rPr>
            <w:rStyle w:val="Lienhypertexte"/>
            <w:lang w:val="fr-FR"/>
          </w:rPr>
          <w:t>Add.1</w:t>
        </w:r>
      </w:hyperlink>
      <w:r>
        <w:rPr>
          <w:lang w:val="fr-FR"/>
        </w:rPr>
        <w:t>) et a provisoirement adopté les projets de directives</w:t>
      </w:r>
      <w:r w:rsidR="00175CD3">
        <w:rPr>
          <w:lang w:val="fr-FR"/>
        </w:rPr>
        <w:t> </w:t>
      </w:r>
      <w:r>
        <w:rPr>
          <w:lang w:val="fr-FR"/>
        </w:rPr>
        <w:t>3 à 6 (voir sect. C.1 ci-après).</w:t>
      </w:r>
    </w:p>
    <w:p w14:paraId="634DEE6F" w14:textId="77777777" w:rsidR="00C324CF" w:rsidRDefault="00C324CF" w:rsidP="00C324CF">
      <w:pPr>
        <w:pStyle w:val="SingleTxtG"/>
      </w:pPr>
      <w:r>
        <w:rPr>
          <w:lang w:val="fr-FR"/>
        </w:rPr>
        <w:t>61.</w:t>
      </w:r>
      <w:r>
        <w:rPr>
          <w:lang w:val="fr-FR"/>
        </w:rPr>
        <w:tab/>
        <w:t>À ses 3688</w:t>
      </w:r>
      <w:r w:rsidRPr="002910A7">
        <w:rPr>
          <w:vertAlign w:val="superscript"/>
          <w:lang w:val="fr-FR"/>
        </w:rPr>
        <w:t>e</w:t>
      </w:r>
      <w:r>
        <w:rPr>
          <w:lang w:val="fr-FR"/>
        </w:rPr>
        <w:t xml:space="preserve"> à 3692</w:t>
      </w:r>
      <w:r w:rsidRPr="002910A7">
        <w:rPr>
          <w:vertAlign w:val="superscript"/>
          <w:lang w:val="fr-FR"/>
        </w:rPr>
        <w:t>e</w:t>
      </w:r>
      <w:r>
        <w:rPr>
          <w:lang w:val="fr-FR"/>
        </w:rPr>
        <w:t> séances, du 23 au 25 juillet 2024, la Commission a adopté les commentaires relatifs aux projets de directive provisoirement adoptés à la présente session (voir sect. C.2 ci-après).</w:t>
      </w:r>
    </w:p>
    <w:p w14:paraId="7DFB79E1" w14:textId="14F4B66F" w:rsidR="00C324CF" w:rsidRPr="005771D8" w:rsidRDefault="00C324CF" w:rsidP="00C324CF">
      <w:pPr>
        <w:pStyle w:val="H1G"/>
        <w:rPr>
          <w:shd w:val="clear" w:color="000000" w:fill="FFFFFF"/>
          <w:lang w:val="fr-FR"/>
        </w:rPr>
      </w:pPr>
      <w:r w:rsidRPr="005771D8">
        <w:rPr>
          <w:lang w:val="fr-FR"/>
        </w:rPr>
        <w:tab/>
        <w:t>C.</w:t>
      </w:r>
      <w:r w:rsidRPr="005771D8">
        <w:rPr>
          <w:lang w:val="fr-FR"/>
        </w:rPr>
        <w:tab/>
      </w:r>
      <w:bookmarkStart w:id="29" w:name="_Hlk175323244"/>
      <w:r>
        <w:rPr>
          <w:lang w:val="fr-FR"/>
        </w:rPr>
        <w:t>Texte</w:t>
      </w:r>
      <w:r w:rsidRPr="005771D8">
        <w:rPr>
          <w:lang w:val="fr-FR"/>
        </w:rPr>
        <w:t xml:space="preserve"> des projets de directive sur le règlement des différends </w:t>
      </w:r>
      <w:r w:rsidR="00175CD3">
        <w:rPr>
          <w:lang w:val="fr-FR"/>
        </w:rPr>
        <w:br/>
      </w:r>
      <w:r w:rsidRPr="005771D8">
        <w:rPr>
          <w:lang w:val="fr-FR"/>
        </w:rPr>
        <w:t xml:space="preserve">auxquels des organisations internationales sont parties </w:t>
      </w:r>
      <w:r w:rsidR="00175CD3">
        <w:rPr>
          <w:lang w:val="fr-FR"/>
        </w:rPr>
        <w:br/>
      </w:r>
      <w:r w:rsidRPr="005771D8">
        <w:rPr>
          <w:lang w:val="fr-FR"/>
        </w:rPr>
        <w:t xml:space="preserve">provisoirement adoptés </w:t>
      </w:r>
      <w:r>
        <w:rPr>
          <w:lang w:val="fr-FR"/>
        </w:rPr>
        <w:t xml:space="preserve">à ce jour </w:t>
      </w:r>
      <w:r w:rsidRPr="005771D8">
        <w:rPr>
          <w:lang w:val="fr-FR"/>
        </w:rPr>
        <w:t>par la Commission</w:t>
      </w:r>
      <w:bookmarkStart w:id="30" w:name="_Toc142669317"/>
      <w:bookmarkStart w:id="31" w:name="_Toc143610339"/>
      <w:bookmarkStart w:id="32" w:name="_Toc143610776"/>
      <w:bookmarkStart w:id="33" w:name="_Hlk169079164"/>
      <w:bookmarkEnd w:id="30"/>
      <w:bookmarkEnd w:id="31"/>
      <w:bookmarkEnd w:id="32"/>
      <w:bookmarkEnd w:id="33"/>
      <w:bookmarkEnd w:id="29"/>
    </w:p>
    <w:p w14:paraId="337FB9FB" w14:textId="77777777" w:rsidR="00C324CF" w:rsidRPr="005771D8" w:rsidRDefault="00C324CF" w:rsidP="00C324CF">
      <w:pPr>
        <w:pStyle w:val="H23G"/>
        <w:rPr>
          <w:shd w:val="clear" w:color="000000" w:fill="FFFFFF"/>
          <w:lang w:val="fr-FR"/>
        </w:rPr>
      </w:pPr>
      <w:r w:rsidRPr="005771D8">
        <w:rPr>
          <w:lang w:val="fr-FR"/>
        </w:rPr>
        <w:tab/>
        <w:t>1.</w:t>
      </w:r>
      <w:r w:rsidRPr="005771D8">
        <w:rPr>
          <w:lang w:val="fr-FR"/>
        </w:rPr>
        <w:tab/>
      </w:r>
      <w:bookmarkStart w:id="34" w:name="_Hlk175323262"/>
      <w:r w:rsidRPr="005771D8">
        <w:rPr>
          <w:bCs/>
          <w:lang w:val="fr-FR"/>
        </w:rPr>
        <w:t>Texte des projets de directive</w:t>
      </w:r>
      <w:bookmarkStart w:id="35" w:name="_Toc142669318"/>
      <w:bookmarkStart w:id="36" w:name="_Toc143610777"/>
      <w:bookmarkEnd w:id="35"/>
      <w:bookmarkEnd w:id="36"/>
      <w:bookmarkEnd w:id="34"/>
    </w:p>
    <w:p w14:paraId="460E94CB" w14:textId="1CEB5A49" w:rsidR="00C324CF" w:rsidRPr="005771D8" w:rsidRDefault="00C324CF" w:rsidP="00C324CF">
      <w:pPr>
        <w:pStyle w:val="SingleTxtG"/>
        <w:rPr>
          <w:shd w:val="clear" w:color="000000" w:fill="FFFFFF"/>
          <w:lang w:val="fr-FR"/>
        </w:rPr>
      </w:pPr>
      <w:r>
        <w:rPr>
          <w:lang w:val="fr-FR"/>
        </w:rPr>
        <w:t>62</w:t>
      </w:r>
      <w:r w:rsidRPr="005771D8">
        <w:rPr>
          <w:lang w:val="fr-FR"/>
        </w:rPr>
        <w:t>.</w:t>
      </w:r>
      <w:r w:rsidRPr="005771D8">
        <w:rPr>
          <w:lang w:val="fr-FR"/>
        </w:rPr>
        <w:tab/>
        <w:t>Le</w:t>
      </w:r>
      <w:r>
        <w:rPr>
          <w:lang w:val="fr-FR"/>
        </w:rPr>
        <w:t xml:space="preserve"> </w:t>
      </w:r>
      <w:r w:rsidRPr="005771D8">
        <w:rPr>
          <w:lang w:val="fr-FR"/>
        </w:rPr>
        <w:t>texte des projets de directive provisoirement adoptés par la Commission à s</w:t>
      </w:r>
      <w:r>
        <w:rPr>
          <w:lang w:val="fr-FR"/>
        </w:rPr>
        <w:t>es</w:t>
      </w:r>
      <w:r w:rsidRPr="005771D8">
        <w:rPr>
          <w:lang w:val="fr-FR"/>
        </w:rPr>
        <w:t xml:space="preserve"> </w:t>
      </w:r>
      <w:r>
        <w:rPr>
          <w:lang w:val="fr-FR"/>
        </w:rPr>
        <w:t xml:space="preserve">soixante-quatorzième et </w:t>
      </w:r>
      <w:r w:rsidRPr="005771D8">
        <w:rPr>
          <w:lang w:val="fr-FR"/>
        </w:rPr>
        <w:t>soixante-quinzième session</w:t>
      </w:r>
      <w:r>
        <w:rPr>
          <w:lang w:val="fr-FR"/>
        </w:rPr>
        <w:t>s</w:t>
      </w:r>
      <w:r w:rsidRPr="005771D8">
        <w:rPr>
          <w:lang w:val="fr-FR"/>
        </w:rPr>
        <w:t xml:space="preserve"> </w:t>
      </w:r>
      <w:r w:rsidR="00175CD3">
        <w:rPr>
          <w:lang w:val="fr-FR"/>
        </w:rPr>
        <w:t>est</w:t>
      </w:r>
      <w:r w:rsidRPr="005771D8">
        <w:rPr>
          <w:lang w:val="fr-FR"/>
        </w:rPr>
        <w:t xml:space="preserve"> reproduit ci-après.</w:t>
      </w:r>
    </w:p>
    <w:p w14:paraId="386F1BF1" w14:textId="60EC09F8" w:rsidR="00C324CF" w:rsidRPr="005771D8" w:rsidRDefault="00C324CF" w:rsidP="00175CD3">
      <w:pPr>
        <w:pStyle w:val="H1G"/>
        <w:ind w:left="1701" w:firstLine="0"/>
        <w:rPr>
          <w:lang w:val="fr-FR"/>
        </w:rPr>
      </w:pPr>
      <w:bookmarkStart w:id="37" w:name="_Hlk134698614"/>
      <w:r w:rsidRPr="005771D8">
        <w:rPr>
          <w:lang w:val="fr-FR"/>
        </w:rPr>
        <w:tab/>
        <w:t>Première partie</w:t>
      </w:r>
      <w:r w:rsidRPr="005771D8">
        <w:rPr>
          <w:lang w:val="fr-FR"/>
        </w:rPr>
        <w:br/>
        <w:t>Introduction</w:t>
      </w:r>
    </w:p>
    <w:p w14:paraId="198FD17B" w14:textId="77777777" w:rsidR="00C324CF" w:rsidRPr="00AF122A" w:rsidRDefault="00C324CF" w:rsidP="00A271C5">
      <w:pPr>
        <w:pStyle w:val="H23G"/>
        <w:ind w:left="1701" w:firstLine="0"/>
        <w:rPr>
          <w:rFonts w:eastAsia="Calibri"/>
          <w:b w:val="0"/>
          <w:lang w:val="fr-FR"/>
        </w:rPr>
      </w:pPr>
      <w:r w:rsidRPr="00AF122A">
        <w:rPr>
          <w:rFonts w:eastAsia="Calibri"/>
          <w:lang w:val="fr-FR"/>
        </w:rPr>
        <w:t xml:space="preserve">Directive 1 </w:t>
      </w:r>
      <w:r w:rsidRPr="00AF122A">
        <w:rPr>
          <w:rFonts w:eastAsia="Calibri"/>
          <w:lang w:val="fr-FR"/>
        </w:rPr>
        <w:br/>
        <w:t>Objet</w:t>
      </w:r>
    </w:p>
    <w:p w14:paraId="3D6428DC" w14:textId="77777777" w:rsidR="00C324CF" w:rsidRPr="00AF122A" w:rsidRDefault="00C324CF" w:rsidP="00A271C5">
      <w:pPr>
        <w:pStyle w:val="SingleTxtG"/>
        <w:ind w:left="1701" w:firstLine="567"/>
        <w:rPr>
          <w:rFonts w:eastAsia="Calibri"/>
          <w:lang w:val="fr-FR"/>
        </w:rPr>
      </w:pPr>
      <w:r w:rsidRPr="00AF122A">
        <w:rPr>
          <w:rFonts w:eastAsia="Calibri"/>
          <w:lang w:val="fr-FR"/>
        </w:rPr>
        <w:t>Les présents projets de directive portent sur le règlement des différends auxquels des organisations internationales sont parties.</w:t>
      </w:r>
    </w:p>
    <w:p w14:paraId="46805D35" w14:textId="77777777" w:rsidR="00C324CF" w:rsidRPr="00AF122A" w:rsidRDefault="00C324CF" w:rsidP="00A271C5">
      <w:pPr>
        <w:pStyle w:val="H23G"/>
        <w:ind w:left="1701" w:firstLine="0"/>
        <w:rPr>
          <w:rFonts w:eastAsia="Calibri"/>
          <w:bCs/>
          <w:lang w:val="fr-FR"/>
        </w:rPr>
      </w:pPr>
      <w:r w:rsidRPr="00AF122A">
        <w:rPr>
          <w:rFonts w:eastAsia="Calibri"/>
          <w:bCs/>
          <w:lang w:val="fr-FR"/>
        </w:rPr>
        <w:t xml:space="preserve">Directive 2 </w:t>
      </w:r>
      <w:r w:rsidRPr="00AF122A">
        <w:rPr>
          <w:rFonts w:eastAsia="Calibri"/>
          <w:bCs/>
          <w:lang w:val="fr-FR"/>
        </w:rPr>
        <w:br/>
        <w:t>Emploi des termes</w:t>
      </w:r>
    </w:p>
    <w:p w14:paraId="45849990" w14:textId="77777777" w:rsidR="00C324CF" w:rsidRPr="00AF122A" w:rsidRDefault="00C324CF" w:rsidP="00A271C5">
      <w:pPr>
        <w:pStyle w:val="SingleTxtG"/>
        <w:ind w:left="1701" w:firstLine="567"/>
        <w:rPr>
          <w:rFonts w:eastAsia="Calibri"/>
          <w:lang w:val="fr-FR"/>
        </w:rPr>
      </w:pPr>
      <w:r w:rsidRPr="00AF122A">
        <w:rPr>
          <w:rFonts w:eastAsia="Calibri"/>
          <w:lang w:val="fr-FR"/>
        </w:rPr>
        <w:t>Aux fins des présents projets de directive :</w:t>
      </w:r>
    </w:p>
    <w:p w14:paraId="0B0404F4" w14:textId="263E8270" w:rsidR="00C324CF" w:rsidRPr="00AF122A" w:rsidRDefault="00C324CF" w:rsidP="00A271C5">
      <w:pPr>
        <w:pStyle w:val="SingleTxtG"/>
        <w:ind w:left="1701" w:firstLine="567"/>
        <w:rPr>
          <w:rFonts w:eastAsia="Calibri"/>
          <w:lang w:val="fr-FR"/>
        </w:rPr>
      </w:pPr>
      <w:r w:rsidRPr="00AF122A">
        <w:rPr>
          <w:rFonts w:eastAsia="Calibri"/>
          <w:lang w:val="fr-FR"/>
        </w:rPr>
        <w:t>a)</w:t>
      </w:r>
      <w:r w:rsidRPr="00AF122A">
        <w:rPr>
          <w:rFonts w:eastAsia="Calibri"/>
          <w:lang w:val="fr-FR"/>
        </w:rPr>
        <w:tab/>
        <w:t>L</w:t>
      </w:r>
      <w:r w:rsidR="004C5E26">
        <w:rPr>
          <w:rFonts w:eastAsia="Calibri"/>
          <w:lang w:val="fr-FR"/>
        </w:rPr>
        <w:t>’</w:t>
      </w:r>
      <w:r w:rsidRPr="00AF122A">
        <w:rPr>
          <w:rFonts w:eastAsia="Calibri"/>
          <w:lang w:val="fr-FR"/>
        </w:rPr>
        <w:t>expression « organisation internationale » s</w:t>
      </w:r>
      <w:r w:rsidR="004C5E26">
        <w:rPr>
          <w:rFonts w:eastAsia="Calibri"/>
          <w:lang w:val="fr-FR"/>
        </w:rPr>
        <w:t>’</w:t>
      </w:r>
      <w:r w:rsidRPr="00AF122A">
        <w:rPr>
          <w:rFonts w:eastAsia="Calibri"/>
          <w:lang w:val="fr-FR"/>
        </w:rPr>
        <w:t>entend d</w:t>
      </w:r>
      <w:r w:rsidR="004C5E26">
        <w:rPr>
          <w:rFonts w:eastAsia="Calibri"/>
          <w:lang w:val="fr-FR"/>
        </w:rPr>
        <w:t>’</w:t>
      </w:r>
      <w:r w:rsidRPr="00AF122A">
        <w:rPr>
          <w:rFonts w:eastAsia="Calibri"/>
          <w:lang w:val="fr-FR"/>
        </w:rPr>
        <w:t>une entité possédant sa propre personnalité juridique internationale, instituée par un traité ou un autre instrument régi par le droit international, qui peut comprendre parmi ses membres, outre des États, d</w:t>
      </w:r>
      <w:r w:rsidR="004C5E26">
        <w:rPr>
          <w:rFonts w:eastAsia="Calibri"/>
          <w:lang w:val="fr-FR"/>
        </w:rPr>
        <w:t>’</w:t>
      </w:r>
      <w:r w:rsidRPr="00AF122A">
        <w:rPr>
          <w:rFonts w:eastAsia="Calibri"/>
          <w:lang w:val="fr-FR"/>
        </w:rPr>
        <w:t>autres entités et qui est dotée au moins d</w:t>
      </w:r>
      <w:r w:rsidR="004C5E26">
        <w:rPr>
          <w:rFonts w:eastAsia="Calibri"/>
          <w:lang w:val="fr-FR"/>
        </w:rPr>
        <w:t>’</w:t>
      </w:r>
      <w:r w:rsidRPr="00AF122A">
        <w:rPr>
          <w:rFonts w:eastAsia="Calibri"/>
          <w:lang w:val="fr-FR"/>
        </w:rPr>
        <w:t>un organe capable d</w:t>
      </w:r>
      <w:r w:rsidR="004C5E26">
        <w:rPr>
          <w:rFonts w:eastAsia="Calibri"/>
          <w:lang w:val="fr-FR"/>
        </w:rPr>
        <w:t>’</w:t>
      </w:r>
      <w:r w:rsidRPr="00AF122A">
        <w:rPr>
          <w:rFonts w:eastAsia="Calibri"/>
          <w:lang w:val="fr-FR"/>
        </w:rPr>
        <w:t>exprimer une volonté distincte de celle de ses membres</w:t>
      </w:r>
      <w:r w:rsidR="00175CD3">
        <w:rPr>
          <w:rFonts w:eastAsia="Calibri"/>
          <w:lang w:val="fr-FR"/>
        </w:rPr>
        <w:t> ;</w:t>
      </w:r>
    </w:p>
    <w:p w14:paraId="343EBDBD" w14:textId="3904FCC1" w:rsidR="00C324CF" w:rsidRPr="00AF122A" w:rsidRDefault="00C324CF" w:rsidP="00A271C5">
      <w:pPr>
        <w:pStyle w:val="SingleTxtG"/>
        <w:ind w:left="1701" w:firstLine="567"/>
        <w:rPr>
          <w:rFonts w:eastAsia="Calibri"/>
          <w:lang w:val="fr-FR"/>
        </w:rPr>
      </w:pPr>
      <w:r w:rsidRPr="00AF122A">
        <w:rPr>
          <w:rFonts w:eastAsia="Calibri"/>
          <w:lang w:val="fr-FR"/>
        </w:rPr>
        <w:t>b)</w:t>
      </w:r>
      <w:r w:rsidRPr="00AF122A">
        <w:rPr>
          <w:rFonts w:eastAsia="Calibri"/>
          <w:lang w:val="fr-FR"/>
        </w:rPr>
        <w:tab/>
        <w:t>Le terme « différend » s</w:t>
      </w:r>
      <w:r w:rsidR="004C5E26">
        <w:rPr>
          <w:rFonts w:eastAsia="Calibri"/>
          <w:lang w:val="fr-FR"/>
        </w:rPr>
        <w:t>’</w:t>
      </w:r>
      <w:r w:rsidRPr="00AF122A">
        <w:rPr>
          <w:rFonts w:eastAsia="Calibri"/>
          <w:lang w:val="fr-FR"/>
        </w:rPr>
        <w:t>entend d</w:t>
      </w:r>
      <w:r w:rsidR="004C5E26">
        <w:rPr>
          <w:rFonts w:eastAsia="Calibri"/>
          <w:lang w:val="fr-FR"/>
        </w:rPr>
        <w:t>’</w:t>
      </w:r>
      <w:r w:rsidRPr="00AF122A">
        <w:rPr>
          <w:rFonts w:eastAsia="Calibri"/>
          <w:lang w:val="fr-FR"/>
        </w:rPr>
        <w:t>un désaccord sur un point de droit ou de fait dans le cadre duquel une réclamation ou une assertion fait l</w:t>
      </w:r>
      <w:r w:rsidR="004C5E26">
        <w:rPr>
          <w:rFonts w:eastAsia="Calibri"/>
          <w:lang w:val="fr-FR"/>
        </w:rPr>
        <w:t>’</w:t>
      </w:r>
      <w:r w:rsidRPr="00AF122A">
        <w:rPr>
          <w:rFonts w:eastAsia="Calibri"/>
          <w:lang w:val="fr-FR"/>
        </w:rPr>
        <w:t>objet d</w:t>
      </w:r>
      <w:r w:rsidR="004C5E26">
        <w:rPr>
          <w:rFonts w:eastAsia="Calibri"/>
          <w:lang w:val="fr-FR"/>
        </w:rPr>
        <w:t>’</w:t>
      </w:r>
      <w:r w:rsidRPr="00AF122A">
        <w:rPr>
          <w:rFonts w:eastAsia="Calibri"/>
          <w:lang w:val="fr-FR"/>
        </w:rPr>
        <w:t>un refus ou d</w:t>
      </w:r>
      <w:r w:rsidR="004C5E26">
        <w:rPr>
          <w:rFonts w:eastAsia="Calibri"/>
          <w:lang w:val="fr-FR"/>
        </w:rPr>
        <w:t>’</w:t>
      </w:r>
      <w:r w:rsidRPr="00AF122A">
        <w:rPr>
          <w:rFonts w:eastAsia="Calibri"/>
          <w:lang w:val="fr-FR"/>
        </w:rPr>
        <w:t>une contestation</w:t>
      </w:r>
      <w:r w:rsidR="00175CD3">
        <w:rPr>
          <w:rFonts w:eastAsia="Calibri"/>
          <w:lang w:val="fr-FR"/>
        </w:rPr>
        <w:t> ;</w:t>
      </w:r>
    </w:p>
    <w:p w14:paraId="6601BEDE" w14:textId="7814090D" w:rsidR="00C324CF" w:rsidRPr="005771D8" w:rsidRDefault="00C324CF" w:rsidP="00A271C5">
      <w:pPr>
        <w:pStyle w:val="SingleTxtG"/>
        <w:ind w:left="1701" w:firstLine="567"/>
        <w:rPr>
          <w:b/>
          <w:bCs/>
          <w:lang w:val="fr-FR"/>
        </w:rPr>
      </w:pPr>
      <w:r w:rsidRPr="00AF122A">
        <w:rPr>
          <w:rFonts w:eastAsia="Calibri"/>
          <w:lang w:val="fr-FR"/>
        </w:rPr>
        <w:t>c)</w:t>
      </w:r>
      <w:r w:rsidRPr="00AF122A">
        <w:rPr>
          <w:rFonts w:eastAsia="Calibri"/>
          <w:lang w:val="fr-FR"/>
        </w:rPr>
        <w:tab/>
        <w:t>L</w:t>
      </w:r>
      <w:r w:rsidR="004C5E26">
        <w:rPr>
          <w:rFonts w:eastAsia="Calibri"/>
          <w:lang w:val="fr-FR"/>
        </w:rPr>
        <w:t>’</w:t>
      </w:r>
      <w:r w:rsidRPr="00AF122A">
        <w:rPr>
          <w:rFonts w:eastAsia="Calibri"/>
          <w:lang w:val="fr-FR"/>
        </w:rPr>
        <w:t>expression « moyens de règlement des différends » désigne la négociation, l</w:t>
      </w:r>
      <w:r w:rsidR="004C5E26">
        <w:rPr>
          <w:rFonts w:eastAsia="Calibri"/>
          <w:lang w:val="fr-FR"/>
        </w:rPr>
        <w:t>’</w:t>
      </w:r>
      <w:r w:rsidRPr="00AF122A">
        <w:rPr>
          <w:rFonts w:eastAsia="Calibri"/>
          <w:lang w:val="fr-FR"/>
        </w:rPr>
        <w:t>enquête, la médiation, la conciliation, l</w:t>
      </w:r>
      <w:r w:rsidR="004C5E26">
        <w:rPr>
          <w:rFonts w:eastAsia="Calibri"/>
          <w:lang w:val="fr-FR"/>
        </w:rPr>
        <w:t>’</w:t>
      </w:r>
      <w:r w:rsidRPr="00AF122A">
        <w:rPr>
          <w:rFonts w:eastAsia="Calibri"/>
          <w:lang w:val="fr-FR"/>
        </w:rPr>
        <w:t>arbitrage, le règlement judiciaire, le recours aux organismes ou accords régionaux ou d</w:t>
      </w:r>
      <w:r w:rsidR="004C5E26">
        <w:rPr>
          <w:rFonts w:eastAsia="Calibri"/>
          <w:lang w:val="fr-FR"/>
        </w:rPr>
        <w:t>’</w:t>
      </w:r>
      <w:r w:rsidRPr="00AF122A">
        <w:rPr>
          <w:rFonts w:eastAsia="Calibri"/>
          <w:lang w:val="fr-FR"/>
        </w:rPr>
        <w:t>autres moyens pacifiques de résolution des différends.</w:t>
      </w:r>
    </w:p>
    <w:p w14:paraId="6C04483A" w14:textId="7B778294" w:rsidR="00C324CF" w:rsidRPr="005771D8" w:rsidRDefault="00C324CF" w:rsidP="00175CD3">
      <w:pPr>
        <w:pStyle w:val="H1G"/>
        <w:ind w:left="1701" w:firstLine="0"/>
        <w:rPr>
          <w:lang w:val="fr-FR"/>
        </w:rPr>
      </w:pPr>
      <w:r w:rsidRPr="005771D8">
        <w:rPr>
          <w:lang w:val="fr-FR"/>
        </w:rPr>
        <w:tab/>
        <w:t>Deuxième partie</w:t>
      </w:r>
      <w:r w:rsidRPr="005771D8">
        <w:rPr>
          <w:lang w:val="fr-FR"/>
        </w:rPr>
        <w:br/>
        <w:t xml:space="preserve">Différends entre organisations internationales et différends </w:t>
      </w:r>
      <w:r w:rsidRPr="005771D8">
        <w:rPr>
          <w:lang w:val="fr-FR"/>
        </w:rPr>
        <w:br/>
        <w:t>entre organisations internationales et États</w:t>
      </w:r>
    </w:p>
    <w:p w14:paraId="7B53C364" w14:textId="3E8F7217" w:rsidR="00C324CF" w:rsidRPr="005771D8" w:rsidRDefault="00C324CF" w:rsidP="00A77064">
      <w:pPr>
        <w:pStyle w:val="H23G"/>
        <w:ind w:left="1701" w:firstLine="0"/>
        <w:rPr>
          <w:lang w:val="fr-FR"/>
        </w:rPr>
      </w:pPr>
      <w:r w:rsidRPr="005771D8">
        <w:rPr>
          <w:lang w:val="fr-FR"/>
        </w:rPr>
        <w:tab/>
        <w:t>Directive 3</w:t>
      </w:r>
      <w:r w:rsidRPr="005771D8">
        <w:rPr>
          <w:lang w:val="fr-FR"/>
        </w:rPr>
        <w:br/>
        <w:t>Objet de la présente partie</w:t>
      </w:r>
      <w:bookmarkStart w:id="38" w:name="_Hlk134439261"/>
    </w:p>
    <w:p w14:paraId="577BC9F0" w14:textId="77777777" w:rsidR="00C324CF" w:rsidRPr="005771D8" w:rsidRDefault="00C324CF" w:rsidP="00A77064">
      <w:pPr>
        <w:pStyle w:val="SingleTxtG"/>
        <w:ind w:left="1701" w:firstLine="567"/>
        <w:rPr>
          <w:lang w:val="fr-FR"/>
        </w:rPr>
      </w:pPr>
      <w:r w:rsidRPr="005771D8">
        <w:rPr>
          <w:lang w:val="fr-FR"/>
        </w:rPr>
        <w:t>La présente partie porte sur les différends entre organisations internationales ainsi que sur les différends entre organisations internationales et États.</w:t>
      </w:r>
    </w:p>
    <w:bookmarkEnd w:id="38"/>
    <w:p w14:paraId="42FEEAB5" w14:textId="7C19B341" w:rsidR="00C324CF" w:rsidRPr="005771D8" w:rsidRDefault="00C324CF" w:rsidP="00A77064">
      <w:pPr>
        <w:pStyle w:val="H23G"/>
        <w:ind w:left="1701" w:firstLine="0"/>
        <w:rPr>
          <w:lang w:val="fr-FR"/>
        </w:rPr>
      </w:pPr>
      <w:r w:rsidRPr="005771D8">
        <w:rPr>
          <w:lang w:val="fr-FR"/>
        </w:rPr>
        <w:lastRenderedPageBreak/>
        <w:tab/>
        <w:t>Directive 4</w:t>
      </w:r>
      <w:r w:rsidRPr="005771D8">
        <w:rPr>
          <w:lang w:val="fr-FR"/>
        </w:rPr>
        <w:br/>
        <w:t>Recours aux moyens de règlement des différends</w:t>
      </w:r>
    </w:p>
    <w:p w14:paraId="487EF885" w14:textId="71BF0746" w:rsidR="00C324CF" w:rsidRPr="005771D8" w:rsidRDefault="00C324CF" w:rsidP="00A77064">
      <w:pPr>
        <w:pStyle w:val="SingleTxtG"/>
        <w:ind w:left="1701" w:firstLine="567"/>
        <w:rPr>
          <w:lang w:val="fr-FR"/>
        </w:rPr>
      </w:pPr>
      <w:r w:rsidRPr="005771D8">
        <w:rPr>
          <w:lang w:val="fr-FR"/>
        </w:rPr>
        <w:t>Les différends entre organisations internationales ou entre organisations internationales et États devraient être réglés de bonne foi et dans un esprit de coopération par les moyens de règlement des différends énoncés à l</w:t>
      </w:r>
      <w:r w:rsidR="004C5E26">
        <w:rPr>
          <w:lang w:val="fr-FR"/>
        </w:rPr>
        <w:t>’</w:t>
      </w:r>
      <w:r w:rsidRPr="005771D8">
        <w:rPr>
          <w:lang w:val="fr-FR"/>
        </w:rPr>
        <w:t>alinéa c) du projet de directive 2 qui peuvent être appropriés aux circonstances et à la nature du différend.</w:t>
      </w:r>
    </w:p>
    <w:p w14:paraId="4A10ED31" w14:textId="23AEB0A3" w:rsidR="00C324CF" w:rsidRPr="005771D8" w:rsidRDefault="00C324CF" w:rsidP="00A77064">
      <w:pPr>
        <w:pStyle w:val="H23G"/>
        <w:ind w:left="1701" w:firstLine="0"/>
        <w:rPr>
          <w:lang w:val="fr-FR"/>
        </w:rPr>
      </w:pPr>
      <w:r w:rsidRPr="005771D8">
        <w:rPr>
          <w:lang w:val="fr-FR"/>
        </w:rPr>
        <w:tab/>
        <w:t>Directive 5</w:t>
      </w:r>
      <w:r w:rsidRPr="005771D8">
        <w:rPr>
          <w:lang w:val="fr-FR"/>
        </w:rPr>
        <w:br/>
        <w:t>Caractère accessible des moyens de règlement des différends</w:t>
      </w:r>
    </w:p>
    <w:p w14:paraId="066859B4" w14:textId="5123F602" w:rsidR="00C324CF" w:rsidRPr="005771D8" w:rsidRDefault="00C324CF" w:rsidP="00A77064">
      <w:pPr>
        <w:pStyle w:val="SingleTxtG"/>
        <w:ind w:left="1701" w:firstLine="567"/>
        <w:rPr>
          <w:lang w:val="fr-FR"/>
        </w:rPr>
      </w:pPr>
      <w:r w:rsidRPr="005771D8">
        <w:rPr>
          <w:lang w:val="fr-FR"/>
        </w:rPr>
        <w:t>Les moyens de règlement des différends, y compris l</w:t>
      </w:r>
      <w:r w:rsidR="004C5E26">
        <w:rPr>
          <w:lang w:val="fr-FR"/>
        </w:rPr>
        <w:t>’</w:t>
      </w:r>
      <w:r w:rsidRPr="005771D8">
        <w:rPr>
          <w:lang w:val="fr-FR"/>
        </w:rPr>
        <w:t>arbitrage et le règlement judiciaire, selon qu</w:t>
      </w:r>
      <w:r w:rsidR="004C5E26">
        <w:rPr>
          <w:lang w:val="fr-FR"/>
        </w:rPr>
        <w:t>’</w:t>
      </w:r>
      <w:r w:rsidRPr="005771D8">
        <w:rPr>
          <w:lang w:val="fr-FR"/>
        </w:rPr>
        <w:t>il convient, devraient être rendus plus largement accessibles pour le règlement des différends entre organisations internationales ou entre organisations internationales et États.</w:t>
      </w:r>
    </w:p>
    <w:p w14:paraId="6C460D41" w14:textId="5ABD2015" w:rsidR="00C324CF" w:rsidRPr="005771D8" w:rsidRDefault="00C324CF" w:rsidP="00A77064">
      <w:pPr>
        <w:pStyle w:val="H23G"/>
        <w:ind w:left="1701" w:firstLine="0"/>
        <w:rPr>
          <w:lang w:val="fr-FR"/>
        </w:rPr>
      </w:pPr>
      <w:r w:rsidRPr="005771D8">
        <w:rPr>
          <w:lang w:val="fr-FR"/>
        </w:rPr>
        <w:tab/>
        <w:t>Directive 6</w:t>
      </w:r>
      <w:r>
        <w:rPr>
          <w:lang w:val="fr-FR"/>
        </w:rPr>
        <w:br/>
      </w:r>
      <w:r w:rsidRPr="005771D8">
        <w:rPr>
          <w:bCs/>
          <w:lang w:val="fr-FR"/>
        </w:rPr>
        <w:t>Exigences relatives au règlement juridictionnel</w:t>
      </w:r>
    </w:p>
    <w:p w14:paraId="56775FA9" w14:textId="588789AD" w:rsidR="00C324CF" w:rsidRPr="005771D8" w:rsidRDefault="00C324CF" w:rsidP="00A77064">
      <w:pPr>
        <w:pStyle w:val="SingleTxtG"/>
        <w:ind w:left="1701" w:firstLine="567"/>
        <w:rPr>
          <w:lang w:val="fr-FR"/>
        </w:rPr>
      </w:pPr>
      <w:r w:rsidRPr="005771D8">
        <w:rPr>
          <w:lang w:val="fr-FR"/>
        </w:rPr>
        <w:t>L</w:t>
      </w:r>
      <w:r w:rsidR="004C5E26">
        <w:rPr>
          <w:lang w:val="fr-FR"/>
        </w:rPr>
        <w:t>’</w:t>
      </w:r>
      <w:r w:rsidRPr="005771D8">
        <w:rPr>
          <w:lang w:val="fr-FR"/>
        </w:rPr>
        <w:t>arbitrage et le règlement judiciaire doivent respecter les exigences d</w:t>
      </w:r>
      <w:r w:rsidR="004C5E26">
        <w:rPr>
          <w:lang w:val="fr-FR"/>
        </w:rPr>
        <w:t>’</w:t>
      </w:r>
      <w:r w:rsidRPr="005771D8">
        <w:rPr>
          <w:lang w:val="fr-FR"/>
        </w:rPr>
        <w:t>indépendance et d</w:t>
      </w:r>
      <w:r w:rsidR="004C5E26">
        <w:rPr>
          <w:lang w:val="fr-FR"/>
        </w:rPr>
        <w:t>’</w:t>
      </w:r>
      <w:r w:rsidRPr="005771D8">
        <w:rPr>
          <w:lang w:val="fr-FR"/>
        </w:rPr>
        <w:t>impartialité des juges et des arbitres ainsi que les garanties d</w:t>
      </w:r>
      <w:r w:rsidR="004C5E26">
        <w:rPr>
          <w:lang w:val="fr-FR"/>
        </w:rPr>
        <w:t>’</w:t>
      </w:r>
      <w:r w:rsidRPr="005771D8">
        <w:rPr>
          <w:lang w:val="fr-FR"/>
        </w:rPr>
        <w:t>une procédure régulière.</w:t>
      </w:r>
    </w:p>
    <w:bookmarkEnd w:id="37"/>
    <w:p w14:paraId="3C9DC9B6" w14:textId="77777777" w:rsidR="00C324CF" w:rsidRDefault="00C324CF" w:rsidP="00A77064">
      <w:pPr>
        <w:pStyle w:val="H23G"/>
        <w:rPr>
          <w:lang w:val="fr-FR"/>
        </w:rPr>
      </w:pPr>
      <w:r w:rsidRPr="005771D8">
        <w:rPr>
          <w:lang w:val="fr-FR"/>
        </w:rPr>
        <w:tab/>
        <w:t>2.</w:t>
      </w:r>
      <w:r w:rsidRPr="005771D8">
        <w:rPr>
          <w:lang w:val="fr-FR"/>
        </w:rPr>
        <w:tab/>
      </w:r>
      <w:bookmarkStart w:id="39" w:name="_Hlk175323312"/>
      <w:r w:rsidRPr="005771D8">
        <w:rPr>
          <w:lang w:val="fr-FR"/>
        </w:rPr>
        <w:t xml:space="preserve">Texte des projets de directive et des commentaires y relatifs provisoirement </w:t>
      </w:r>
      <w:r>
        <w:rPr>
          <w:lang w:val="fr-FR"/>
        </w:rPr>
        <w:br/>
      </w:r>
      <w:r w:rsidRPr="005771D8">
        <w:rPr>
          <w:lang w:val="fr-FR"/>
        </w:rPr>
        <w:t>adoptés par la Commission à sa soixante-quinzième session</w:t>
      </w:r>
      <w:bookmarkStart w:id="40" w:name="_Toc142669319"/>
      <w:bookmarkStart w:id="41" w:name="_Toc143610778"/>
      <w:bookmarkEnd w:id="40"/>
      <w:bookmarkEnd w:id="41"/>
      <w:bookmarkEnd w:id="39"/>
    </w:p>
    <w:p w14:paraId="0C501380" w14:textId="77777777" w:rsidR="00C324CF" w:rsidRPr="00656774" w:rsidRDefault="00C324CF" w:rsidP="00A77064">
      <w:pPr>
        <w:pStyle w:val="SingleTxtG"/>
        <w:rPr>
          <w:lang w:val="fr-FR"/>
        </w:rPr>
      </w:pPr>
      <w:r>
        <w:rPr>
          <w:lang w:val="fr-FR"/>
        </w:rPr>
        <w:t>63.</w:t>
      </w:r>
      <w:r>
        <w:rPr>
          <w:lang w:val="fr-FR"/>
        </w:rPr>
        <w:tab/>
      </w:r>
      <w:r w:rsidRPr="00DD307B">
        <w:rPr>
          <w:lang w:val="fr-FR"/>
        </w:rPr>
        <w:t>Le texte des projets de directive et des commentaires y relatifs provisoirement adoptés par la Commission à sa soixante-qu</w:t>
      </w:r>
      <w:r>
        <w:rPr>
          <w:lang w:val="fr-FR"/>
        </w:rPr>
        <w:t>in</w:t>
      </w:r>
      <w:r w:rsidRPr="00DD307B">
        <w:rPr>
          <w:lang w:val="fr-FR"/>
        </w:rPr>
        <w:t>zième session est reproduit ci-après.</w:t>
      </w:r>
    </w:p>
    <w:p w14:paraId="7708DACE" w14:textId="0D72BF8A" w:rsidR="00C324CF" w:rsidRPr="005771D8" w:rsidRDefault="00C324CF" w:rsidP="00A77064">
      <w:pPr>
        <w:pStyle w:val="H23G"/>
        <w:ind w:left="1701" w:firstLine="0"/>
        <w:rPr>
          <w:lang w:val="fr-FR"/>
        </w:rPr>
      </w:pPr>
      <w:r>
        <w:rPr>
          <w:lang w:val="fr-FR"/>
        </w:rPr>
        <w:tab/>
      </w:r>
      <w:bookmarkStart w:id="42" w:name="_Hlk175666120"/>
      <w:r w:rsidRPr="005771D8">
        <w:rPr>
          <w:lang w:val="fr-FR"/>
        </w:rPr>
        <w:t xml:space="preserve">Directive </w:t>
      </w:r>
      <w:bookmarkEnd w:id="42"/>
      <w:r w:rsidRPr="005771D8">
        <w:rPr>
          <w:lang w:val="fr-FR"/>
        </w:rPr>
        <w:t>3</w:t>
      </w:r>
      <w:r>
        <w:rPr>
          <w:lang w:val="fr-FR"/>
        </w:rPr>
        <w:br/>
      </w:r>
      <w:bookmarkStart w:id="43" w:name="_Hlk175323333"/>
      <w:r w:rsidRPr="005771D8">
        <w:rPr>
          <w:lang w:val="fr-FR"/>
        </w:rPr>
        <w:t>Objet de la présente partie</w:t>
      </w:r>
      <w:bookmarkEnd w:id="43"/>
    </w:p>
    <w:p w14:paraId="29BF11B7" w14:textId="77777777" w:rsidR="00C324CF" w:rsidRPr="005771D8" w:rsidRDefault="00C324CF" w:rsidP="00A77064">
      <w:pPr>
        <w:pStyle w:val="SingleTxtG"/>
        <w:ind w:left="1701" w:firstLine="567"/>
        <w:rPr>
          <w:lang w:val="fr-FR"/>
        </w:rPr>
      </w:pPr>
      <w:r w:rsidRPr="005771D8">
        <w:rPr>
          <w:lang w:val="fr-FR"/>
        </w:rPr>
        <w:t>La présente partie porte sur les différends entre organisations internationales ainsi que sur les différends entre organisations internationales et États.</w:t>
      </w:r>
    </w:p>
    <w:p w14:paraId="22175D25" w14:textId="77777777" w:rsidR="00C324CF" w:rsidRPr="005771D8" w:rsidRDefault="00C324CF" w:rsidP="00C324CF">
      <w:pPr>
        <w:pStyle w:val="H23G"/>
        <w:rPr>
          <w:lang w:val="fr-FR"/>
        </w:rPr>
      </w:pPr>
      <w:r>
        <w:rPr>
          <w:lang w:val="fr-FR"/>
        </w:rPr>
        <w:tab/>
      </w:r>
      <w:r>
        <w:rPr>
          <w:lang w:val="fr-FR"/>
        </w:rPr>
        <w:tab/>
      </w:r>
      <w:r w:rsidRPr="005771D8">
        <w:rPr>
          <w:lang w:val="fr-FR"/>
        </w:rPr>
        <w:t>Commentaire</w:t>
      </w:r>
    </w:p>
    <w:p w14:paraId="755D08BD" w14:textId="5A78FAF7" w:rsidR="00C324CF" w:rsidRPr="005771D8" w:rsidRDefault="00C324CF" w:rsidP="00C324CF">
      <w:pPr>
        <w:pStyle w:val="SingleTxtG"/>
        <w:rPr>
          <w:lang w:val="fr-FR"/>
        </w:rPr>
      </w:pPr>
      <w:r>
        <w:rPr>
          <w:lang w:val="fr-FR"/>
        </w:rPr>
        <w:t>1)</w:t>
      </w:r>
      <w:r>
        <w:rPr>
          <w:lang w:val="fr-FR"/>
        </w:rPr>
        <w:tab/>
      </w:r>
      <w:r w:rsidRPr="005771D8">
        <w:rPr>
          <w:lang w:val="fr-FR"/>
        </w:rPr>
        <w:t>Le projet de directive 3 énonce l</w:t>
      </w:r>
      <w:r w:rsidR="004C5E26">
        <w:rPr>
          <w:lang w:val="fr-FR"/>
        </w:rPr>
        <w:t>’</w:t>
      </w:r>
      <w:r w:rsidRPr="005771D8">
        <w:rPr>
          <w:lang w:val="fr-FR"/>
        </w:rPr>
        <w:t>objet de la Deuxième partie du projet de directives. La Deuxième partie est intitulée « Différends entre organisations internationales et différends entre organisations internationales et États ». Le projet de directive 3 n</w:t>
      </w:r>
      <w:r w:rsidR="004C5E26">
        <w:rPr>
          <w:lang w:val="fr-FR"/>
        </w:rPr>
        <w:t>’</w:t>
      </w:r>
      <w:r w:rsidRPr="005771D8">
        <w:rPr>
          <w:lang w:val="fr-FR"/>
        </w:rPr>
        <w:t>a pas vocation à définir certains types de différends. En revanche, il énonce l</w:t>
      </w:r>
      <w:r w:rsidR="004C5E26">
        <w:rPr>
          <w:lang w:val="fr-FR"/>
        </w:rPr>
        <w:t>’</w:t>
      </w:r>
      <w:r w:rsidRPr="005771D8">
        <w:rPr>
          <w:lang w:val="fr-FR"/>
        </w:rPr>
        <w:t>objet de la Deuxième partie en exposant brièvement les différends dont il y sera question</w:t>
      </w:r>
      <w:r w:rsidRPr="00E9227E">
        <w:rPr>
          <w:rStyle w:val="Appelnotedebasdep"/>
        </w:rPr>
        <w:footnoteReference w:id="21"/>
      </w:r>
      <w:r w:rsidRPr="005771D8">
        <w:rPr>
          <w:lang w:val="fr-FR"/>
        </w:rPr>
        <w:t>.</w:t>
      </w:r>
    </w:p>
    <w:p w14:paraId="0D2532A0" w14:textId="452028BE" w:rsidR="00C324CF" w:rsidRPr="005771D8" w:rsidRDefault="00C324CF" w:rsidP="00C324CF">
      <w:pPr>
        <w:pStyle w:val="SingleTxtG"/>
        <w:rPr>
          <w:lang w:val="fr-FR"/>
        </w:rPr>
      </w:pPr>
      <w:r>
        <w:rPr>
          <w:lang w:val="fr-FR"/>
        </w:rPr>
        <w:t>2)</w:t>
      </w:r>
      <w:r>
        <w:rPr>
          <w:lang w:val="fr-FR"/>
        </w:rPr>
        <w:tab/>
      </w:r>
      <w:r w:rsidRPr="005771D8">
        <w:rPr>
          <w:lang w:val="fr-FR"/>
        </w:rPr>
        <w:t xml:space="preserve">Les différends entre organisations </w:t>
      </w:r>
      <w:r w:rsidRPr="00004E66">
        <w:rPr>
          <w:lang w:val="fr-FR"/>
        </w:rPr>
        <w:t xml:space="preserve">internationales sont rares dans la pratique. Ils concernent des questions découlant de projets communs, des questions relatives aux activités opérationnelles et/ou </w:t>
      </w:r>
      <w:r w:rsidRPr="00656774">
        <w:rPr>
          <w:lang w:val="fr-FR"/>
        </w:rPr>
        <w:t xml:space="preserve">des questions relatives </w:t>
      </w:r>
      <w:r w:rsidRPr="00004E66">
        <w:rPr>
          <w:lang w:val="fr-FR"/>
        </w:rPr>
        <w:t>à leur financement</w:t>
      </w:r>
      <w:r w:rsidRPr="00E9227E">
        <w:rPr>
          <w:rStyle w:val="Appelnotedebasdep"/>
        </w:rPr>
        <w:footnoteReference w:id="22"/>
      </w:r>
      <w:r w:rsidRPr="00004E66">
        <w:rPr>
          <w:lang w:val="fr-FR"/>
        </w:rPr>
        <w:t>.</w:t>
      </w:r>
      <w:r w:rsidRPr="005771D8">
        <w:rPr>
          <w:lang w:val="fr-FR"/>
        </w:rPr>
        <w:t xml:space="preserve"> Très peu d</w:t>
      </w:r>
      <w:r w:rsidR="004C5E26">
        <w:rPr>
          <w:lang w:val="fr-FR"/>
        </w:rPr>
        <w:t>’</w:t>
      </w:r>
      <w:r w:rsidRPr="005771D8">
        <w:rPr>
          <w:lang w:val="fr-FR"/>
        </w:rPr>
        <w:t>entre eux ont donné lieu à une procédure de règlement des différends par des tiers</w:t>
      </w:r>
      <w:r w:rsidRPr="00E9227E">
        <w:rPr>
          <w:rStyle w:val="Appelnotedebasdep"/>
        </w:rPr>
        <w:footnoteReference w:id="23"/>
      </w:r>
      <w:r w:rsidRPr="005771D8">
        <w:rPr>
          <w:lang w:val="fr-FR"/>
        </w:rPr>
        <w:t>.</w:t>
      </w:r>
    </w:p>
    <w:p w14:paraId="6713D041" w14:textId="3782A26F" w:rsidR="00C324CF" w:rsidRPr="005771D8" w:rsidRDefault="00C324CF" w:rsidP="00C324CF">
      <w:pPr>
        <w:pStyle w:val="SingleTxtG"/>
      </w:pPr>
      <w:r>
        <w:rPr>
          <w:lang w:val="fr-FR"/>
        </w:rPr>
        <w:t>3)</w:t>
      </w:r>
      <w:r>
        <w:rPr>
          <w:lang w:val="fr-FR"/>
        </w:rPr>
        <w:tab/>
      </w:r>
      <w:r w:rsidRPr="005771D8">
        <w:rPr>
          <w:lang w:val="fr-FR"/>
        </w:rPr>
        <w:t>Les différends entre organisations internationales et États sont plus fréquents</w:t>
      </w:r>
      <w:r w:rsidRPr="00E9227E">
        <w:rPr>
          <w:rStyle w:val="Appelnotedebasdep"/>
        </w:rPr>
        <w:footnoteReference w:id="24"/>
      </w:r>
      <w:r w:rsidRPr="005771D8">
        <w:rPr>
          <w:lang w:val="fr-FR"/>
        </w:rPr>
        <w:t>. Il s</w:t>
      </w:r>
      <w:r w:rsidR="004C5E26">
        <w:rPr>
          <w:lang w:val="fr-FR"/>
        </w:rPr>
        <w:t>’</w:t>
      </w:r>
      <w:r w:rsidRPr="005771D8">
        <w:rPr>
          <w:lang w:val="fr-FR"/>
        </w:rPr>
        <w:t xml:space="preserve">agit des différends relatifs aux questions de siège entre une organisation et son État hôte, des différends concernant les privilèges et immunités dont jouissent les organisations </w:t>
      </w:r>
      <w:r w:rsidRPr="0085575E">
        <w:rPr>
          <w:lang w:val="fr-FR"/>
        </w:rPr>
        <w:lastRenderedPageBreak/>
        <w:t xml:space="preserve">internationales et les personnes </w:t>
      </w:r>
      <w:r>
        <w:rPr>
          <w:lang w:val="fr-FR"/>
        </w:rPr>
        <w:t>ayant un lien avec elles</w:t>
      </w:r>
      <w:r w:rsidRPr="0085575E">
        <w:rPr>
          <w:lang w:val="fr-FR"/>
        </w:rPr>
        <w:t>, ou encore</w:t>
      </w:r>
      <w:r w:rsidRPr="005771D8">
        <w:rPr>
          <w:lang w:val="fr-FR"/>
        </w:rPr>
        <w:t xml:space="preserve"> des </w:t>
      </w:r>
      <w:r w:rsidRPr="005771D8">
        <w:t>différends concernant le retrait de la qualité de membre. Ils peuvent également avoir trait à l</w:t>
      </w:r>
      <w:r w:rsidR="004C5E26">
        <w:t>’</w:t>
      </w:r>
      <w:r w:rsidRPr="005771D8">
        <w:t xml:space="preserve">étendue des pouvoirs des organisations ou au respect </w:t>
      </w:r>
      <w:r>
        <w:t>par l</w:t>
      </w:r>
      <w:r w:rsidRPr="005771D8">
        <w:t>es États membres</w:t>
      </w:r>
      <w:r>
        <w:t xml:space="preserve"> de leurs obligations</w:t>
      </w:r>
      <w:r w:rsidRPr="005771D8">
        <w:t>.</w:t>
      </w:r>
    </w:p>
    <w:p w14:paraId="7E294D4A" w14:textId="03C7F257" w:rsidR="00C324CF" w:rsidRPr="005771D8" w:rsidRDefault="00C324CF" w:rsidP="00C324CF">
      <w:pPr>
        <w:pStyle w:val="SingleTxtG"/>
        <w:rPr>
          <w:lang w:val="fr-FR"/>
        </w:rPr>
      </w:pPr>
      <w:r>
        <w:t>4)</w:t>
      </w:r>
      <w:r>
        <w:tab/>
      </w:r>
      <w:r w:rsidRPr="005771D8">
        <w:t>Un exemple</w:t>
      </w:r>
      <w:r w:rsidRPr="005771D8">
        <w:rPr>
          <w:lang w:val="fr-FR"/>
        </w:rPr>
        <w:t xml:space="preserve"> de différend entre organisations internationales et États au sujet des droits et obligations découlant d</w:t>
      </w:r>
      <w:r w:rsidR="004C5E26">
        <w:rPr>
          <w:lang w:val="fr-FR"/>
        </w:rPr>
        <w:t>’</w:t>
      </w:r>
      <w:r w:rsidRPr="005771D8">
        <w:rPr>
          <w:lang w:val="fr-FR"/>
        </w:rPr>
        <w:t>accords de siège ou d</w:t>
      </w:r>
      <w:r w:rsidR="004C5E26">
        <w:rPr>
          <w:lang w:val="fr-FR"/>
        </w:rPr>
        <w:t>’</w:t>
      </w:r>
      <w:r w:rsidRPr="005771D8">
        <w:rPr>
          <w:lang w:val="fr-FR"/>
        </w:rPr>
        <w:t>accords d</w:t>
      </w:r>
      <w:r w:rsidR="004C5E26">
        <w:rPr>
          <w:lang w:val="fr-FR"/>
        </w:rPr>
        <w:t>’</w:t>
      </w:r>
      <w:r w:rsidRPr="005771D8">
        <w:rPr>
          <w:lang w:val="fr-FR"/>
        </w:rPr>
        <w:t>implantation est illustré dans l</w:t>
      </w:r>
      <w:r w:rsidR="004C5E26">
        <w:rPr>
          <w:lang w:val="fr-FR"/>
        </w:rPr>
        <w:t>’</w:t>
      </w:r>
      <w:r w:rsidRPr="005771D8">
        <w:rPr>
          <w:lang w:val="fr-FR"/>
        </w:rPr>
        <w:t>avis consultatif rendu par la Cour internationale de Justice dans l</w:t>
      </w:r>
      <w:r w:rsidR="004C5E26">
        <w:rPr>
          <w:lang w:val="fr-FR"/>
        </w:rPr>
        <w:t>’</w:t>
      </w:r>
      <w:r w:rsidRPr="005771D8">
        <w:rPr>
          <w:lang w:val="fr-FR"/>
        </w:rPr>
        <w:t xml:space="preserve">affaire du </w:t>
      </w:r>
      <w:r w:rsidRPr="00345B76">
        <w:rPr>
          <w:i/>
          <w:iCs/>
          <w:lang w:val="fr-FR"/>
        </w:rPr>
        <w:t>bureau régional de l</w:t>
      </w:r>
      <w:r w:rsidR="004C5E26">
        <w:rPr>
          <w:i/>
          <w:iCs/>
          <w:lang w:val="fr-FR"/>
        </w:rPr>
        <w:t>’</w:t>
      </w:r>
      <w:r w:rsidRPr="00345B76">
        <w:rPr>
          <w:i/>
          <w:iCs/>
          <w:lang w:val="fr-FR"/>
        </w:rPr>
        <w:t>Organisation mondiale de la Santé (OMS)</w:t>
      </w:r>
      <w:r w:rsidRPr="00E9227E">
        <w:rPr>
          <w:rStyle w:val="Appelnotedebasdep"/>
        </w:rPr>
        <w:footnoteReference w:id="25"/>
      </w:r>
      <w:r w:rsidRPr="005771D8">
        <w:rPr>
          <w:lang w:val="fr-FR"/>
        </w:rPr>
        <w:t>, un avis qui répondait à la question de savoir selon quelles conditions et selon quelles modalités le bureau régional d</w:t>
      </w:r>
      <w:r w:rsidR="004C5E26">
        <w:rPr>
          <w:lang w:val="fr-FR"/>
        </w:rPr>
        <w:t>’</w:t>
      </w:r>
      <w:r w:rsidRPr="005771D8">
        <w:rPr>
          <w:lang w:val="fr-FR"/>
        </w:rPr>
        <w:t>une institution spécialisée pouvait être transféré. Un autre exemple est l</w:t>
      </w:r>
      <w:r w:rsidR="004C5E26">
        <w:rPr>
          <w:lang w:val="fr-FR"/>
        </w:rPr>
        <w:t>’</w:t>
      </w:r>
      <w:r w:rsidRPr="005771D8">
        <w:rPr>
          <w:lang w:val="fr-FR"/>
        </w:rPr>
        <w:t xml:space="preserve">affaire de la </w:t>
      </w:r>
      <w:r w:rsidRPr="00345B76">
        <w:rPr>
          <w:i/>
          <w:iCs/>
          <w:lang w:val="fr-FR"/>
        </w:rPr>
        <w:t>mission de l</w:t>
      </w:r>
      <w:r w:rsidR="004C5E26">
        <w:rPr>
          <w:i/>
          <w:iCs/>
          <w:lang w:val="fr-FR"/>
        </w:rPr>
        <w:t>’</w:t>
      </w:r>
      <w:r w:rsidRPr="00345B76">
        <w:rPr>
          <w:i/>
          <w:iCs/>
          <w:lang w:val="fr-FR"/>
        </w:rPr>
        <w:t>Organisation de libération de la Palestine (OLP)</w:t>
      </w:r>
      <w:r w:rsidRPr="00E9227E">
        <w:rPr>
          <w:rStyle w:val="Appelnotedebasdep"/>
        </w:rPr>
        <w:footnoteReference w:id="26"/>
      </w:r>
      <w:r w:rsidRPr="005771D8">
        <w:rPr>
          <w:lang w:val="fr-FR"/>
        </w:rPr>
        <w:t>, qui a permis de déterminer s</w:t>
      </w:r>
      <w:r w:rsidR="004C5E26">
        <w:rPr>
          <w:lang w:val="fr-FR"/>
        </w:rPr>
        <w:t>’</w:t>
      </w:r>
      <w:r w:rsidRPr="005771D8">
        <w:rPr>
          <w:lang w:val="fr-FR"/>
        </w:rPr>
        <w:t>il existait un différend entre l</w:t>
      </w:r>
      <w:r w:rsidR="004C5E26">
        <w:rPr>
          <w:lang w:val="fr-FR"/>
        </w:rPr>
        <w:t>’</w:t>
      </w:r>
      <w:r w:rsidRPr="005771D8">
        <w:rPr>
          <w:lang w:val="fr-FR"/>
        </w:rPr>
        <w:t>Organisation des Nations Unies et les États-Unis qui avait déclenché l</w:t>
      </w:r>
      <w:r w:rsidR="004C5E26">
        <w:rPr>
          <w:lang w:val="fr-FR"/>
        </w:rPr>
        <w:t>’</w:t>
      </w:r>
      <w:r w:rsidRPr="005771D8">
        <w:rPr>
          <w:lang w:val="fr-FR"/>
        </w:rPr>
        <w:t>obligation de recourir à l</w:t>
      </w:r>
      <w:r w:rsidR="004C5E26">
        <w:rPr>
          <w:lang w:val="fr-FR"/>
        </w:rPr>
        <w:t>’</w:t>
      </w:r>
      <w:r w:rsidRPr="005771D8">
        <w:rPr>
          <w:lang w:val="fr-FR"/>
        </w:rPr>
        <w:t>arbitrage en vertu de l</w:t>
      </w:r>
      <w:r w:rsidR="004C5E26">
        <w:rPr>
          <w:lang w:val="fr-FR"/>
        </w:rPr>
        <w:t>’</w:t>
      </w:r>
      <w:r w:rsidRPr="005771D8">
        <w:rPr>
          <w:lang w:val="fr-FR"/>
        </w:rPr>
        <w:t xml:space="preserve">accord de siège. Les privilèges et immunités des organisations internationales, de leurs fonctionnaires et des représentants des États </w:t>
      </w:r>
      <w:r>
        <w:rPr>
          <w:lang w:val="fr-FR"/>
        </w:rPr>
        <w:t>peuvent donner</w:t>
      </w:r>
      <w:r w:rsidRPr="005771D8">
        <w:rPr>
          <w:lang w:val="fr-FR"/>
        </w:rPr>
        <w:t xml:space="preserve"> lieu à des différends entre organisations internationales et États</w:t>
      </w:r>
      <w:r>
        <w:rPr>
          <w:lang w:val="fr-FR"/>
        </w:rPr>
        <w:t xml:space="preserve">. Ces différends </w:t>
      </w:r>
      <w:r w:rsidRPr="005771D8">
        <w:rPr>
          <w:lang w:val="fr-FR"/>
        </w:rPr>
        <w:t>sont habituellement traités dans le cadre de consultations directes</w:t>
      </w:r>
      <w:r>
        <w:rPr>
          <w:lang w:val="fr-FR"/>
        </w:rPr>
        <w:t>, notamment</w:t>
      </w:r>
      <w:r w:rsidRPr="005771D8">
        <w:rPr>
          <w:lang w:val="fr-FR"/>
        </w:rPr>
        <w:t xml:space="preserve"> au sein des comités du pays hôte</w:t>
      </w:r>
      <w:r w:rsidRPr="00E9227E">
        <w:rPr>
          <w:rStyle w:val="Appelnotedebasdep"/>
        </w:rPr>
        <w:footnoteReference w:id="27"/>
      </w:r>
      <w:r w:rsidRPr="005771D8">
        <w:rPr>
          <w:lang w:val="fr-FR"/>
        </w:rPr>
        <w:t>. Il arrive, cependant, qu</w:t>
      </w:r>
      <w:r w:rsidR="004C5E26">
        <w:rPr>
          <w:lang w:val="fr-FR"/>
        </w:rPr>
        <w:t>’</w:t>
      </w:r>
      <w:r w:rsidRPr="005771D8">
        <w:rPr>
          <w:lang w:val="fr-FR"/>
        </w:rPr>
        <w:t>ils donnent lieu à un arbitrage. On peut citer à titre d</w:t>
      </w:r>
      <w:r w:rsidR="004C5E26">
        <w:rPr>
          <w:lang w:val="fr-FR"/>
        </w:rPr>
        <w:t>’</w:t>
      </w:r>
      <w:r w:rsidRPr="005771D8">
        <w:rPr>
          <w:lang w:val="fr-FR"/>
        </w:rPr>
        <w:t>exemple l</w:t>
      </w:r>
      <w:r w:rsidR="004C5E26">
        <w:rPr>
          <w:lang w:val="fr-FR"/>
        </w:rPr>
        <w:t>’</w:t>
      </w:r>
      <w:r w:rsidRPr="005771D8">
        <w:rPr>
          <w:lang w:val="fr-FR"/>
        </w:rPr>
        <w:t xml:space="preserve">affaire du </w:t>
      </w:r>
      <w:r w:rsidRPr="00345B76">
        <w:rPr>
          <w:i/>
          <w:iCs/>
          <w:lang w:val="fr-FR"/>
        </w:rPr>
        <w:t>Laboratoire européen de biologie moléculaire</w:t>
      </w:r>
      <w:r w:rsidRPr="00E9227E">
        <w:rPr>
          <w:rStyle w:val="Appelnotedebasdep"/>
        </w:rPr>
        <w:footnoteReference w:id="28"/>
      </w:r>
      <w:r w:rsidRPr="005771D8">
        <w:rPr>
          <w:lang w:val="fr-FR"/>
        </w:rPr>
        <w:t>, qui porte sur l</w:t>
      </w:r>
      <w:r w:rsidR="004C5E26">
        <w:rPr>
          <w:lang w:val="fr-FR"/>
        </w:rPr>
        <w:t>’</w:t>
      </w:r>
      <w:r w:rsidRPr="005771D8">
        <w:rPr>
          <w:lang w:val="fr-FR"/>
        </w:rPr>
        <w:t>étendue des privilèges fiscaux d</w:t>
      </w:r>
      <w:r w:rsidR="004C5E26">
        <w:rPr>
          <w:lang w:val="fr-FR"/>
        </w:rPr>
        <w:t>’</w:t>
      </w:r>
      <w:r w:rsidRPr="005771D8">
        <w:rPr>
          <w:lang w:val="fr-FR"/>
        </w:rPr>
        <w:t>une organisation internationale, et l</w:t>
      </w:r>
      <w:r w:rsidR="004C5E26">
        <w:rPr>
          <w:lang w:val="fr-FR"/>
        </w:rPr>
        <w:t>’</w:t>
      </w:r>
      <w:r w:rsidRPr="005771D8">
        <w:rPr>
          <w:lang w:val="fr-FR"/>
        </w:rPr>
        <w:t xml:space="preserve">affaire concernant </w:t>
      </w:r>
      <w:r w:rsidRPr="00345B76">
        <w:rPr>
          <w:i/>
          <w:iCs/>
          <w:lang w:val="fr-FR"/>
        </w:rPr>
        <w:t>l</w:t>
      </w:r>
      <w:r w:rsidR="004C5E26">
        <w:rPr>
          <w:i/>
          <w:iCs/>
          <w:lang w:val="fr-FR"/>
        </w:rPr>
        <w:t>’</w:t>
      </w:r>
      <w:r w:rsidRPr="00345B76">
        <w:rPr>
          <w:i/>
          <w:iCs/>
          <w:lang w:val="fr-FR"/>
        </w:rPr>
        <w:t>UNESCO</w:t>
      </w:r>
      <w:r w:rsidRPr="00E9227E">
        <w:rPr>
          <w:rStyle w:val="Appelnotedebasdep"/>
        </w:rPr>
        <w:footnoteReference w:id="29"/>
      </w:r>
      <w:r w:rsidRPr="005771D8">
        <w:rPr>
          <w:lang w:val="fr-FR"/>
        </w:rPr>
        <w:t>, qui concerne les privilèges fiscaux des fonctionnaires retraités d</w:t>
      </w:r>
      <w:r w:rsidR="004C5E26">
        <w:rPr>
          <w:lang w:val="fr-FR"/>
        </w:rPr>
        <w:t>’</w:t>
      </w:r>
      <w:r w:rsidRPr="005771D8">
        <w:rPr>
          <w:lang w:val="fr-FR"/>
        </w:rPr>
        <w:t xml:space="preserve">une organisation internationale. Ces différends peuvent également donner lieu à des </w:t>
      </w:r>
      <w:r>
        <w:rPr>
          <w:lang w:val="fr-FR"/>
        </w:rPr>
        <w:t>prononcés</w:t>
      </w:r>
      <w:r w:rsidRPr="005771D8">
        <w:rPr>
          <w:lang w:val="fr-FR"/>
        </w:rPr>
        <w:t xml:space="preserve"> judiciaires, comme l</w:t>
      </w:r>
      <w:r w:rsidR="004C5E26">
        <w:rPr>
          <w:lang w:val="fr-FR"/>
        </w:rPr>
        <w:t>’</w:t>
      </w:r>
      <w:r w:rsidRPr="005771D8">
        <w:rPr>
          <w:lang w:val="fr-FR"/>
        </w:rPr>
        <w:t xml:space="preserve">avis consultatif </w:t>
      </w:r>
      <w:r>
        <w:rPr>
          <w:lang w:val="fr-FR"/>
        </w:rPr>
        <w:t>doté d</w:t>
      </w:r>
      <w:r w:rsidR="004C5E26">
        <w:rPr>
          <w:lang w:val="fr-FR"/>
        </w:rPr>
        <w:t>’</w:t>
      </w:r>
      <w:r>
        <w:rPr>
          <w:lang w:val="fr-FR"/>
        </w:rPr>
        <w:t>effet obligatoire</w:t>
      </w:r>
      <w:r w:rsidRPr="00E9227E">
        <w:rPr>
          <w:rStyle w:val="Appelnotedebasdep"/>
        </w:rPr>
        <w:footnoteReference w:id="30"/>
      </w:r>
      <w:r w:rsidRPr="005771D8">
        <w:rPr>
          <w:lang w:val="fr-FR"/>
        </w:rPr>
        <w:t xml:space="preserve"> rendu par la Cour internationale de Justice dans l</w:t>
      </w:r>
      <w:r w:rsidR="004C5E26">
        <w:rPr>
          <w:lang w:val="fr-FR"/>
        </w:rPr>
        <w:t>’</w:t>
      </w:r>
      <w:r w:rsidRPr="005771D8">
        <w:rPr>
          <w:lang w:val="fr-FR"/>
        </w:rPr>
        <w:t xml:space="preserve">affaire </w:t>
      </w:r>
      <w:proofErr w:type="spellStart"/>
      <w:r w:rsidRPr="005771D8">
        <w:rPr>
          <w:i/>
          <w:iCs/>
          <w:lang w:val="fr-FR"/>
        </w:rPr>
        <w:t>Cumaraswamy</w:t>
      </w:r>
      <w:proofErr w:type="spellEnd"/>
      <w:r w:rsidRPr="00E9227E">
        <w:rPr>
          <w:rStyle w:val="Appelnotedebasdep"/>
        </w:rPr>
        <w:footnoteReference w:id="31"/>
      </w:r>
      <w:r w:rsidRPr="005771D8">
        <w:rPr>
          <w:lang w:val="fr-FR"/>
        </w:rPr>
        <w:t>, dans lequel la Cour a jugé que la Malaisie devait respecter l</w:t>
      </w:r>
      <w:r w:rsidR="004C5E26">
        <w:rPr>
          <w:lang w:val="fr-FR"/>
        </w:rPr>
        <w:t>’</w:t>
      </w:r>
      <w:r w:rsidRPr="005771D8">
        <w:rPr>
          <w:lang w:val="fr-FR"/>
        </w:rPr>
        <w:t>immunité de juridiction du Rapporteur spécial sur l</w:t>
      </w:r>
      <w:r w:rsidR="004C5E26">
        <w:rPr>
          <w:lang w:val="fr-FR"/>
        </w:rPr>
        <w:t>’</w:t>
      </w:r>
      <w:r w:rsidRPr="005771D8">
        <w:rPr>
          <w:lang w:val="fr-FR"/>
        </w:rPr>
        <w:t>indépendance des juges et des avocats quand il agit dans l</w:t>
      </w:r>
      <w:r w:rsidR="004C5E26">
        <w:rPr>
          <w:lang w:val="fr-FR"/>
        </w:rPr>
        <w:t>’</w:t>
      </w:r>
      <w:r w:rsidRPr="005771D8">
        <w:rPr>
          <w:lang w:val="fr-FR"/>
        </w:rPr>
        <w:t>exercice de ses fonctions.</w:t>
      </w:r>
    </w:p>
    <w:p w14:paraId="1186FD82" w14:textId="6E3F4ABD" w:rsidR="00C324CF" w:rsidRPr="00D169D5" w:rsidRDefault="00C324CF" w:rsidP="00C324CF">
      <w:pPr>
        <w:pStyle w:val="SingleTxtG"/>
      </w:pPr>
      <w:r>
        <w:rPr>
          <w:lang w:val="fr-FR"/>
        </w:rPr>
        <w:t>5)</w:t>
      </w:r>
      <w:r>
        <w:rPr>
          <w:lang w:val="fr-FR"/>
        </w:rPr>
        <w:tab/>
      </w:r>
      <w:r w:rsidRPr="005771D8">
        <w:rPr>
          <w:lang w:val="fr-FR"/>
        </w:rPr>
        <w:t xml:space="preserve">Dans </w:t>
      </w:r>
      <w:r>
        <w:rPr>
          <w:lang w:val="fr-FR"/>
        </w:rPr>
        <w:t>certaines</w:t>
      </w:r>
      <w:r w:rsidRPr="005771D8">
        <w:rPr>
          <w:lang w:val="fr-FR"/>
        </w:rPr>
        <w:t xml:space="preserve"> organisations d</w:t>
      </w:r>
      <w:r w:rsidR="004C5E26">
        <w:rPr>
          <w:lang w:val="fr-FR"/>
        </w:rPr>
        <w:t>’</w:t>
      </w:r>
      <w:r w:rsidRPr="005771D8">
        <w:rPr>
          <w:lang w:val="fr-FR"/>
        </w:rPr>
        <w:t>intégration économique régionale</w:t>
      </w:r>
      <w:r w:rsidRPr="00D169D5">
        <w:rPr>
          <w:lang w:val="fr-FR"/>
        </w:rPr>
        <w:t>, les différends entre l</w:t>
      </w:r>
      <w:r w:rsidR="004C5E26">
        <w:rPr>
          <w:lang w:val="fr-FR"/>
        </w:rPr>
        <w:t>’</w:t>
      </w:r>
      <w:r w:rsidRPr="00D169D5">
        <w:rPr>
          <w:lang w:val="fr-FR"/>
        </w:rPr>
        <w:t xml:space="preserve">organisation internationale et </w:t>
      </w:r>
      <w:r>
        <w:rPr>
          <w:lang w:val="fr-FR"/>
        </w:rPr>
        <w:t>ses</w:t>
      </w:r>
      <w:r w:rsidRPr="00D169D5">
        <w:rPr>
          <w:lang w:val="fr-FR"/>
        </w:rPr>
        <w:t xml:space="preserve"> États membres sont plus fréquents que dans </w:t>
      </w:r>
      <w:r>
        <w:rPr>
          <w:lang w:val="fr-FR"/>
        </w:rPr>
        <w:t>d</w:t>
      </w:r>
      <w:r w:rsidRPr="00D169D5">
        <w:rPr>
          <w:lang w:val="fr-FR"/>
        </w:rPr>
        <w:t>es organisations dans lesquelles le niveau d</w:t>
      </w:r>
      <w:r w:rsidR="004C5E26">
        <w:rPr>
          <w:lang w:val="fr-FR"/>
        </w:rPr>
        <w:t>’</w:t>
      </w:r>
      <w:r w:rsidRPr="00D169D5">
        <w:rPr>
          <w:lang w:val="fr-FR"/>
        </w:rPr>
        <w:t>intégration est moindre. Les</w:t>
      </w:r>
      <w:r w:rsidRPr="005771D8">
        <w:rPr>
          <w:lang w:val="fr-FR"/>
        </w:rPr>
        <w:t xml:space="preserve"> traités constitutifs des premières prévoient </w:t>
      </w:r>
      <w:r>
        <w:rPr>
          <w:lang w:val="fr-FR"/>
        </w:rPr>
        <w:t>parfois</w:t>
      </w:r>
      <w:r w:rsidRPr="005771D8">
        <w:rPr>
          <w:lang w:val="fr-FR"/>
        </w:rPr>
        <w:t xml:space="preserve"> le recours à des tribunaux devant lesquels les membres peuvent contester la légalité des actes des organes de l</w:t>
      </w:r>
      <w:r w:rsidR="004C5E26">
        <w:rPr>
          <w:lang w:val="fr-FR"/>
        </w:rPr>
        <w:t>’</w:t>
      </w:r>
      <w:r w:rsidRPr="005771D8">
        <w:rPr>
          <w:lang w:val="fr-FR"/>
        </w:rPr>
        <w:t xml:space="preserve">organisation dans le cadre de procédures </w:t>
      </w:r>
      <w:r w:rsidRPr="005771D8">
        <w:rPr>
          <w:lang w:val="fr-FR"/>
        </w:rPr>
        <w:lastRenderedPageBreak/>
        <w:t xml:space="preserve">souvent appelées </w:t>
      </w:r>
      <w:r>
        <w:rPr>
          <w:lang w:val="fr-FR"/>
        </w:rPr>
        <w:t>« </w:t>
      </w:r>
      <w:r w:rsidRPr="005771D8">
        <w:rPr>
          <w:lang w:val="fr-FR"/>
        </w:rPr>
        <w:t>recours en annulation</w:t>
      </w:r>
      <w:r>
        <w:rPr>
          <w:lang w:val="fr-FR"/>
        </w:rPr>
        <w:t> »</w:t>
      </w:r>
      <w:r w:rsidRPr="00E9227E">
        <w:rPr>
          <w:rStyle w:val="Appelnotedebasdep"/>
        </w:rPr>
        <w:footnoteReference w:id="32"/>
      </w:r>
      <w:r w:rsidRPr="005771D8">
        <w:rPr>
          <w:lang w:val="fr-FR"/>
        </w:rPr>
        <w:t xml:space="preserve"> et les organes peuvent </w:t>
      </w:r>
      <w:r>
        <w:rPr>
          <w:lang w:val="fr-FR"/>
        </w:rPr>
        <w:t>réclamer</w:t>
      </w:r>
      <w:r w:rsidRPr="005771D8">
        <w:rPr>
          <w:lang w:val="fr-FR"/>
        </w:rPr>
        <w:t xml:space="preserve"> le respect des règles de l</w:t>
      </w:r>
      <w:r w:rsidR="004C5E26">
        <w:rPr>
          <w:lang w:val="fr-FR"/>
        </w:rPr>
        <w:t>’</w:t>
      </w:r>
      <w:r w:rsidRPr="005771D8">
        <w:rPr>
          <w:lang w:val="fr-FR"/>
        </w:rPr>
        <w:t xml:space="preserve">organisation par les </w:t>
      </w:r>
      <w:r w:rsidRPr="00D169D5">
        <w:t>États membres, dans le cadre de « </w:t>
      </w:r>
      <w:r>
        <w:t>recours en manquement</w:t>
      </w:r>
      <w:r w:rsidRPr="00D169D5">
        <w:t> »</w:t>
      </w:r>
      <w:r w:rsidRPr="00E9227E">
        <w:rPr>
          <w:rStyle w:val="Appelnotedebasdep"/>
        </w:rPr>
        <w:footnoteReference w:id="33"/>
      </w:r>
      <w:r w:rsidRPr="00345B76">
        <w:rPr>
          <w:rStyle w:val="Appelnotedebasdep"/>
          <w:vertAlign w:val="baseline"/>
        </w:rPr>
        <w:t>.</w:t>
      </w:r>
    </w:p>
    <w:p w14:paraId="02B80DD1" w14:textId="02CE31E5" w:rsidR="00C324CF" w:rsidRPr="005771D8" w:rsidRDefault="00C324CF" w:rsidP="00C324CF">
      <w:pPr>
        <w:pStyle w:val="SingleTxtG"/>
        <w:rPr>
          <w:lang w:val="fr-FR"/>
        </w:rPr>
      </w:pPr>
      <w:r>
        <w:t>6)</w:t>
      </w:r>
      <w:r>
        <w:tab/>
      </w:r>
      <w:r w:rsidRPr="00D169D5">
        <w:t>Dans</w:t>
      </w:r>
      <w:r w:rsidRPr="005771D8">
        <w:rPr>
          <w:lang w:val="fr-FR"/>
        </w:rPr>
        <w:t xml:space="preserve"> la mesure où les organisations régionales d</w:t>
      </w:r>
      <w:r w:rsidR="004C5E26">
        <w:rPr>
          <w:lang w:val="fr-FR"/>
        </w:rPr>
        <w:t>’</w:t>
      </w:r>
      <w:r w:rsidRPr="005771D8">
        <w:rPr>
          <w:lang w:val="fr-FR"/>
        </w:rPr>
        <w:t>intégration économique exercent des pouvoirs conférés par leurs États membres, elles peuvent aussi souvent se substituer à ces derniers dans les différends avec des États tiers. C</w:t>
      </w:r>
      <w:r w:rsidR="004C5E26">
        <w:rPr>
          <w:lang w:val="fr-FR"/>
        </w:rPr>
        <w:t>’</w:t>
      </w:r>
      <w:r w:rsidRPr="005771D8">
        <w:rPr>
          <w:lang w:val="fr-FR"/>
        </w:rPr>
        <w:t>est le cas à l</w:t>
      </w:r>
      <w:r w:rsidR="004C5E26">
        <w:rPr>
          <w:lang w:val="fr-FR"/>
        </w:rPr>
        <w:t>’</w:t>
      </w:r>
      <w:r w:rsidRPr="005771D8">
        <w:rPr>
          <w:lang w:val="fr-FR"/>
        </w:rPr>
        <w:t>Organisation mondiale du commerce, où l</w:t>
      </w:r>
      <w:r w:rsidR="004C5E26">
        <w:rPr>
          <w:lang w:val="fr-FR"/>
        </w:rPr>
        <w:t>’</w:t>
      </w:r>
      <w:r w:rsidRPr="005771D8">
        <w:rPr>
          <w:lang w:val="fr-FR"/>
        </w:rPr>
        <w:t>Union européenne, membre fondateur de l</w:t>
      </w:r>
      <w:r w:rsidR="004C5E26">
        <w:rPr>
          <w:lang w:val="fr-FR"/>
        </w:rPr>
        <w:t>’</w:t>
      </w:r>
      <w:r w:rsidRPr="005771D8">
        <w:rPr>
          <w:lang w:val="fr-FR"/>
        </w:rPr>
        <w:t>organisation</w:t>
      </w:r>
      <w:r w:rsidRPr="00E9227E">
        <w:rPr>
          <w:rStyle w:val="Appelnotedebasdep"/>
        </w:rPr>
        <w:footnoteReference w:id="34"/>
      </w:r>
      <w:r w:rsidRPr="005771D8">
        <w:rPr>
          <w:lang w:val="fr-FR"/>
        </w:rPr>
        <w:t>, participe régulièrement au système quasi</w:t>
      </w:r>
      <w:r>
        <w:rPr>
          <w:lang w:val="fr-FR"/>
        </w:rPr>
        <w:t xml:space="preserve"> juridictionnel</w:t>
      </w:r>
      <w:r w:rsidRPr="005771D8">
        <w:rPr>
          <w:lang w:val="fr-FR"/>
        </w:rPr>
        <w:t xml:space="preserve"> de règlement des différends offert par l</w:t>
      </w:r>
      <w:r w:rsidR="004C5E26">
        <w:rPr>
          <w:lang w:val="fr-FR"/>
        </w:rPr>
        <w:t>’</w:t>
      </w:r>
      <w:r>
        <w:rPr>
          <w:lang w:val="fr-FR"/>
        </w:rPr>
        <w:t>o</w:t>
      </w:r>
      <w:r w:rsidRPr="005771D8">
        <w:rPr>
          <w:lang w:val="fr-FR"/>
        </w:rPr>
        <w:t>rganisation pour régler ses différends commerciaux avec des pays tiers</w:t>
      </w:r>
      <w:r w:rsidRPr="00E9227E">
        <w:rPr>
          <w:rStyle w:val="Appelnotedebasdep"/>
        </w:rPr>
        <w:footnoteReference w:id="35"/>
      </w:r>
      <w:r w:rsidRPr="005771D8">
        <w:rPr>
          <w:lang w:val="fr-FR"/>
        </w:rPr>
        <w:t>. L</w:t>
      </w:r>
      <w:r w:rsidR="004C5E26">
        <w:rPr>
          <w:lang w:val="fr-FR"/>
        </w:rPr>
        <w:t>’</w:t>
      </w:r>
      <w:r w:rsidRPr="005771D8">
        <w:rPr>
          <w:lang w:val="fr-FR"/>
        </w:rPr>
        <w:t xml:space="preserve">Organisation mondiale du commerce étant ouverte à tout </w:t>
      </w:r>
      <w:r>
        <w:rPr>
          <w:lang w:val="fr-FR"/>
        </w:rPr>
        <w:t>« </w:t>
      </w:r>
      <w:r w:rsidRPr="005771D8">
        <w:rPr>
          <w:lang w:val="fr-FR"/>
        </w:rPr>
        <w:t>territoire douanier distinct</w:t>
      </w:r>
      <w:r>
        <w:rPr>
          <w:lang w:val="fr-FR"/>
        </w:rPr>
        <w:t> »</w:t>
      </w:r>
      <w:r w:rsidRPr="00E9227E">
        <w:rPr>
          <w:rStyle w:val="Appelnotedebasdep"/>
        </w:rPr>
        <w:footnoteReference w:id="36"/>
      </w:r>
      <w:r w:rsidRPr="005771D8">
        <w:rPr>
          <w:lang w:val="fr-FR"/>
        </w:rPr>
        <w:t>, d</w:t>
      </w:r>
      <w:r w:rsidR="004C5E26">
        <w:rPr>
          <w:lang w:val="fr-FR"/>
        </w:rPr>
        <w:t>’</w:t>
      </w:r>
      <w:r w:rsidRPr="005771D8">
        <w:rPr>
          <w:lang w:val="fr-FR"/>
        </w:rPr>
        <w:t>autres organisations régionales d</w:t>
      </w:r>
      <w:r w:rsidR="004C5E26">
        <w:rPr>
          <w:lang w:val="fr-FR"/>
        </w:rPr>
        <w:t>’</w:t>
      </w:r>
      <w:r w:rsidRPr="005771D8">
        <w:rPr>
          <w:lang w:val="fr-FR"/>
        </w:rPr>
        <w:t>intégration économique peuvent également devenir membres de cette organisation et donc participer à ce mode de règlement des différends. Des organisations internationales peuvent également devenir parties à la Convention des Nations Unies sur le droit de la mer</w:t>
      </w:r>
      <w:r w:rsidRPr="00E9227E">
        <w:rPr>
          <w:rStyle w:val="Appelnotedebasdep"/>
        </w:rPr>
        <w:footnoteReference w:id="37"/>
      </w:r>
      <w:r w:rsidRPr="005771D8">
        <w:rPr>
          <w:lang w:val="fr-FR"/>
        </w:rPr>
        <w:t xml:space="preserve"> et participer aux procédures de règlement des différends qui y sont prévues</w:t>
      </w:r>
      <w:r w:rsidRPr="00E9227E">
        <w:rPr>
          <w:rStyle w:val="Appelnotedebasdep"/>
        </w:rPr>
        <w:footnoteReference w:id="38"/>
      </w:r>
      <w:r w:rsidRPr="005771D8">
        <w:rPr>
          <w:lang w:val="fr-FR"/>
        </w:rPr>
        <w:t xml:space="preserve">. </w:t>
      </w:r>
      <w:r>
        <w:rPr>
          <w:lang w:val="fr-FR"/>
        </w:rPr>
        <w:t>À</w:t>
      </w:r>
      <w:r w:rsidRPr="005771D8">
        <w:rPr>
          <w:lang w:val="fr-FR"/>
        </w:rPr>
        <w:t xml:space="preserve"> ce jour, peu de différends auxquels des organisations internationales sont parties ont été portés devant le Tribunal international du droit de la mer</w:t>
      </w:r>
      <w:r w:rsidRPr="00E9227E">
        <w:rPr>
          <w:rStyle w:val="Appelnotedebasdep"/>
        </w:rPr>
        <w:footnoteReference w:id="39"/>
      </w:r>
      <w:r w:rsidRPr="005771D8">
        <w:rPr>
          <w:lang w:val="fr-FR"/>
        </w:rPr>
        <w:t>.</w:t>
      </w:r>
    </w:p>
    <w:p w14:paraId="69F6B722" w14:textId="6FFFD70A" w:rsidR="00C324CF" w:rsidRPr="005771D8" w:rsidRDefault="00C324CF" w:rsidP="00C324CF">
      <w:pPr>
        <w:pStyle w:val="SingleTxtG"/>
        <w:rPr>
          <w:lang w:val="fr-FR"/>
        </w:rPr>
      </w:pPr>
      <w:r>
        <w:rPr>
          <w:lang w:val="fr-FR"/>
        </w:rPr>
        <w:t>7)</w:t>
      </w:r>
      <w:r>
        <w:rPr>
          <w:lang w:val="fr-FR"/>
        </w:rPr>
        <w:tab/>
      </w:r>
      <w:r w:rsidRPr="005771D8">
        <w:rPr>
          <w:lang w:val="fr-FR"/>
        </w:rPr>
        <w:t xml:space="preserve">La plupart des différends entre organisations internationales ou entre organisations internationales et États </w:t>
      </w:r>
      <w:r>
        <w:rPr>
          <w:lang w:val="fr-FR"/>
        </w:rPr>
        <w:t>relèvent du droit international</w:t>
      </w:r>
      <w:r w:rsidRPr="00E9227E">
        <w:rPr>
          <w:rStyle w:val="Appelnotedebasdep"/>
        </w:rPr>
        <w:footnoteReference w:id="40"/>
      </w:r>
      <w:r>
        <w:rPr>
          <w:lang w:val="fr-FR"/>
        </w:rPr>
        <w:t xml:space="preserve">. Ils peuvent </w:t>
      </w:r>
      <w:r w:rsidRPr="005771D8">
        <w:rPr>
          <w:lang w:val="fr-FR"/>
        </w:rPr>
        <w:t>concerne</w:t>
      </w:r>
      <w:r>
        <w:rPr>
          <w:lang w:val="fr-FR"/>
        </w:rPr>
        <w:t>r</w:t>
      </w:r>
      <w:r w:rsidRPr="005771D8">
        <w:rPr>
          <w:lang w:val="fr-FR"/>
        </w:rPr>
        <w:t xml:space="preserve"> des questions d</w:t>
      </w:r>
      <w:r w:rsidR="004C5E26">
        <w:rPr>
          <w:lang w:val="fr-FR"/>
        </w:rPr>
        <w:t>’</w:t>
      </w:r>
      <w:r w:rsidRPr="005771D8">
        <w:rPr>
          <w:lang w:val="fr-FR"/>
        </w:rPr>
        <w:t>interprétation et d</w:t>
      </w:r>
      <w:r w:rsidR="004C5E26">
        <w:rPr>
          <w:lang w:val="fr-FR"/>
        </w:rPr>
        <w:t>’</w:t>
      </w:r>
      <w:r w:rsidRPr="005771D8">
        <w:rPr>
          <w:lang w:val="fr-FR"/>
        </w:rPr>
        <w:t xml:space="preserve">application des traités. Des différends entre organisations internationales et États peuvent également concerner </w:t>
      </w:r>
      <w:r>
        <w:rPr>
          <w:lang w:val="fr-FR"/>
        </w:rPr>
        <w:t>le</w:t>
      </w:r>
      <w:r w:rsidRPr="005771D8">
        <w:rPr>
          <w:lang w:val="fr-FR"/>
        </w:rPr>
        <w:t xml:space="preserve"> droit international coutumier, comme le différend qui a donné lieu à l</w:t>
      </w:r>
      <w:r w:rsidR="004C5E26">
        <w:rPr>
          <w:lang w:val="fr-FR"/>
        </w:rPr>
        <w:t>’</w:t>
      </w:r>
      <w:r w:rsidRPr="005771D8">
        <w:rPr>
          <w:lang w:val="fr-FR"/>
        </w:rPr>
        <w:t>avis consultatif de la Cour internationale de Justice dans l</w:t>
      </w:r>
      <w:r w:rsidR="004C5E26">
        <w:rPr>
          <w:lang w:val="fr-FR"/>
        </w:rPr>
        <w:t>’</w:t>
      </w:r>
      <w:r w:rsidRPr="005771D8">
        <w:rPr>
          <w:lang w:val="fr-FR"/>
        </w:rPr>
        <w:t xml:space="preserve">affaire de la </w:t>
      </w:r>
      <w:r w:rsidRPr="005771D8">
        <w:rPr>
          <w:i/>
          <w:iCs/>
          <w:lang w:val="fr-FR"/>
        </w:rPr>
        <w:t>Réparation des dommages</w:t>
      </w:r>
      <w:r w:rsidRPr="00E9227E">
        <w:rPr>
          <w:rStyle w:val="Appelnotedebasdep"/>
        </w:rPr>
        <w:footnoteReference w:id="41"/>
      </w:r>
      <w:r w:rsidRPr="005771D8">
        <w:rPr>
          <w:lang w:val="fr-FR"/>
        </w:rPr>
        <w:t xml:space="preserve"> ou le différend entre la Belgique et l</w:t>
      </w:r>
      <w:r w:rsidR="004C5E26">
        <w:rPr>
          <w:lang w:val="fr-FR"/>
        </w:rPr>
        <w:t>’</w:t>
      </w:r>
      <w:r>
        <w:rPr>
          <w:lang w:val="fr-FR"/>
        </w:rPr>
        <w:t>Organisation d</w:t>
      </w:r>
      <w:r w:rsidRPr="005771D8">
        <w:rPr>
          <w:lang w:val="fr-FR"/>
        </w:rPr>
        <w:t xml:space="preserve">es </w:t>
      </w:r>
      <w:r w:rsidRPr="005771D8">
        <w:rPr>
          <w:lang w:val="fr-FR"/>
        </w:rPr>
        <w:lastRenderedPageBreak/>
        <w:t>Nations</w:t>
      </w:r>
      <w:r w:rsidR="00345B76">
        <w:rPr>
          <w:lang w:val="fr-FR"/>
        </w:rPr>
        <w:t> </w:t>
      </w:r>
      <w:r w:rsidRPr="005771D8">
        <w:rPr>
          <w:lang w:val="fr-FR"/>
        </w:rPr>
        <w:t>Unies concernant les dommages subis par des ressortissants belges au cours d</w:t>
      </w:r>
      <w:r w:rsidR="004C5E26">
        <w:rPr>
          <w:lang w:val="fr-FR"/>
        </w:rPr>
        <w:t>’</w:t>
      </w:r>
      <w:r w:rsidRPr="005771D8">
        <w:rPr>
          <w:lang w:val="fr-FR"/>
        </w:rPr>
        <w:t>opérations militaires de l</w:t>
      </w:r>
      <w:r w:rsidR="004C5E26">
        <w:rPr>
          <w:lang w:val="fr-FR"/>
        </w:rPr>
        <w:t>’</w:t>
      </w:r>
      <w:r w:rsidRPr="005771D8">
        <w:rPr>
          <w:lang w:val="fr-FR"/>
        </w:rPr>
        <w:t>Organisation des Nations</w:t>
      </w:r>
      <w:r>
        <w:rPr>
          <w:lang w:val="fr-FR"/>
        </w:rPr>
        <w:t> </w:t>
      </w:r>
      <w:r w:rsidRPr="005771D8">
        <w:rPr>
          <w:lang w:val="fr-FR"/>
        </w:rPr>
        <w:t>Unies</w:t>
      </w:r>
      <w:r w:rsidRPr="00E9227E">
        <w:rPr>
          <w:rStyle w:val="Appelnotedebasdep"/>
        </w:rPr>
        <w:footnoteReference w:id="42"/>
      </w:r>
      <w:r w:rsidRPr="005771D8">
        <w:rPr>
          <w:lang w:val="fr-FR"/>
        </w:rPr>
        <w:t>.</w:t>
      </w:r>
    </w:p>
    <w:p w14:paraId="38DC73A3" w14:textId="6A00A8A5" w:rsidR="00C324CF" w:rsidRPr="005771D8" w:rsidRDefault="00C324CF" w:rsidP="00C324CF">
      <w:pPr>
        <w:pStyle w:val="SingleTxtG"/>
        <w:rPr>
          <w:lang w:val="fr-FR"/>
        </w:rPr>
      </w:pPr>
      <w:r>
        <w:rPr>
          <w:lang w:val="fr-FR"/>
        </w:rPr>
        <w:t>8)</w:t>
      </w:r>
      <w:r>
        <w:rPr>
          <w:lang w:val="fr-FR"/>
        </w:rPr>
        <w:tab/>
      </w:r>
      <w:r w:rsidRPr="005771D8">
        <w:rPr>
          <w:lang w:val="fr-FR"/>
        </w:rPr>
        <w:t xml:space="preserve">Les différends dont il est question dans la Deuxième partie relèvent </w:t>
      </w:r>
      <w:r>
        <w:rPr>
          <w:lang w:val="fr-FR"/>
        </w:rPr>
        <w:t>généralement</w:t>
      </w:r>
      <w:r w:rsidRPr="005771D8">
        <w:rPr>
          <w:lang w:val="fr-FR"/>
        </w:rPr>
        <w:t xml:space="preserve"> du droit international, mais cela n</w:t>
      </w:r>
      <w:r w:rsidR="004C5E26">
        <w:rPr>
          <w:lang w:val="fr-FR"/>
        </w:rPr>
        <w:t>’</w:t>
      </w:r>
      <w:r w:rsidRPr="005771D8">
        <w:rPr>
          <w:lang w:val="fr-FR"/>
        </w:rPr>
        <w:t xml:space="preserve">exclut pas </w:t>
      </w:r>
      <w:r>
        <w:rPr>
          <w:lang w:val="fr-FR"/>
        </w:rPr>
        <w:t>que des différends</w:t>
      </w:r>
      <w:r w:rsidRPr="005771D8">
        <w:rPr>
          <w:lang w:val="fr-FR"/>
        </w:rPr>
        <w:t xml:space="preserve"> puissent également </w:t>
      </w:r>
      <w:r>
        <w:rPr>
          <w:lang w:val="fr-FR"/>
        </w:rPr>
        <w:t>relever du droit national</w:t>
      </w:r>
      <w:r w:rsidRPr="005771D8">
        <w:rPr>
          <w:lang w:val="fr-FR"/>
        </w:rPr>
        <w:t xml:space="preserve">. Les organisations internationales et les États </w:t>
      </w:r>
      <w:r>
        <w:rPr>
          <w:lang w:val="fr-FR"/>
        </w:rPr>
        <w:t>peuvent</w:t>
      </w:r>
      <w:r w:rsidRPr="005771D8">
        <w:rPr>
          <w:lang w:val="fr-FR"/>
        </w:rPr>
        <w:t xml:space="preserve"> soumettre les accords qu</w:t>
      </w:r>
      <w:r w:rsidR="004C5E26">
        <w:rPr>
          <w:lang w:val="fr-FR"/>
        </w:rPr>
        <w:t>’</w:t>
      </w:r>
      <w:r w:rsidRPr="005771D8">
        <w:rPr>
          <w:lang w:val="fr-FR"/>
        </w:rPr>
        <w:t>ils ont conclus au droit national</w:t>
      </w:r>
      <w:r w:rsidRPr="00E9227E">
        <w:rPr>
          <w:rStyle w:val="Appelnotedebasdep"/>
        </w:rPr>
        <w:footnoteReference w:id="43"/>
      </w:r>
      <w:r w:rsidRPr="005771D8">
        <w:rPr>
          <w:lang w:val="fr-FR"/>
        </w:rPr>
        <w:t>. La pratique ne semble pas très fréquente sur ce point, mais les exemples d</w:t>
      </w:r>
      <w:r w:rsidR="004C5E26">
        <w:rPr>
          <w:lang w:val="fr-FR"/>
        </w:rPr>
        <w:t>’</w:t>
      </w:r>
      <w:r w:rsidRPr="005771D8">
        <w:rPr>
          <w:lang w:val="fr-FR"/>
        </w:rPr>
        <w:t>un contrat de service</w:t>
      </w:r>
      <w:r w:rsidRPr="00E9227E">
        <w:rPr>
          <w:rStyle w:val="Appelnotedebasdep"/>
        </w:rPr>
        <w:footnoteReference w:id="44"/>
      </w:r>
      <w:r w:rsidRPr="005771D8">
        <w:rPr>
          <w:lang w:val="fr-FR"/>
        </w:rPr>
        <w:t xml:space="preserve"> et d</w:t>
      </w:r>
      <w:r w:rsidR="004C5E26">
        <w:rPr>
          <w:lang w:val="fr-FR"/>
        </w:rPr>
        <w:t>’</w:t>
      </w:r>
      <w:r w:rsidRPr="005771D8">
        <w:rPr>
          <w:lang w:val="fr-FR"/>
        </w:rPr>
        <w:t>un contrat de prêt</w:t>
      </w:r>
      <w:r w:rsidRPr="00E9227E">
        <w:rPr>
          <w:rStyle w:val="Appelnotedebasdep"/>
        </w:rPr>
        <w:footnoteReference w:id="45"/>
      </w:r>
      <w:r w:rsidRPr="005771D8">
        <w:rPr>
          <w:lang w:val="fr-FR"/>
        </w:rPr>
        <w:t xml:space="preserve"> </w:t>
      </w:r>
      <w:r>
        <w:rPr>
          <w:lang w:val="fr-FR"/>
        </w:rPr>
        <w:t xml:space="preserve">entre des organisations internationales et des entités infra-étatiques </w:t>
      </w:r>
      <w:r w:rsidRPr="005771D8">
        <w:rPr>
          <w:lang w:val="fr-FR"/>
        </w:rPr>
        <w:t>qui ont donné lieu à un arbitrage et à un règlement judiciaire illustrent cette possibilité</w:t>
      </w:r>
      <w:r w:rsidRPr="00E9227E">
        <w:rPr>
          <w:rStyle w:val="Appelnotedebasdep"/>
        </w:rPr>
        <w:footnoteReference w:id="46"/>
      </w:r>
      <w:r w:rsidRPr="005771D8">
        <w:rPr>
          <w:lang w:val="fr-FR"/>
        </w:rPr>
        <w:t>.</w:t>
      </w:r>
    </w:p>
    <w:p w14:paraId="7C4D0E5A" w14:textId="2C367EE4" w:rsidR="00C324CF" w:rsidRDefault="00C324CF" w:rsidP="00C324CF">
      <w:pPr>
        <w:pStyle w:val="SingleTxtG"/>
        <w:rPr>
          <w:lang w:val="fr-FR"/>
        </w:rPr>
      </w:pPr>
      <w:r>
        <w:rPr>
          <w:lang w:val="fr-FR"/>
        </w:rPr>
        <w:t>9)</w:t>
      </w:r>
      <w:r>
        <w:rPr>
          <w:lang w:val="fr-FR"/>
        </w:rPr>
        <w:tab/>
      </w:r>
      <w:r w:rsidRPr="005771D8">
        <w:rPr>
          <w:lang w:val="fr-FR"/>
        </w:rPr>
        <w:t xml:space="preserve">Tel que formulé, le projet de directive 3 − qui précise que la Deuxième partie porte sur les </w:t>
      </w:r>
      <w:r w:rsidRPr="00737B75">
        <w:t>différends</w:t>
      </w:r>
      <w:r w:rsidRPr="005771D8">
        <w:rPr>
          <w:lang w:val="fr-FR"/>
        </w:rPr>
        <w:t xml:space="preserve"> entre organisations internationales ainsi que les différends entre organisations internationales et États − n</w:t>
      </w:r>
      <w:r w:rsidR="004C5E26">
        <w:rPr>
          <w:lang w:val="fr-FR"/>
        </w:rPr>
        <w:t>’</w:t>
      </w:r>
      <w:r w:rsidRPr="005771D8">
        <w:rPr>
          <w:lang w:val="fr-FR"/>
        </w:rPr>
        <w:t xml:space="preserve">exclut pas que des différends </w:t>
      </w:r>
      <w:r>
        <w:rPr>
          <w:lang w:val="fr-FR"/>
        </w:rPr>
        <w:t>puissent</w:t>
      </w:r>
      <w:r w:rsidRPr="005771D8">
        <w:rPr>
          <w:lang w:val="fr-FR"/>
        </w:rPr>
        <w:t xml:space="preserve"> survenir entre des organisations internationales et </w:t>
      </w:r>
      <w:r>
        <w:rPr>
          <w:lang w:val="fr-FR"/>
        </w:rPr>
        <w:t>des</w:t>
      </w:r>
      <w:r w:rsidRPr="005771D8">
        <w:rPr>
          <w:lang w:val="fr-FR"/>
        </w:rPr>
        <w:t xml:space="preserve"> sujets </w:t>
      </w:r>
      <w:r w:rsidRPr="005771D8">
        <w:rPr>
          <w:i/>
          <w:iCs/>
          <w:lang w:val="fr-FR"/>
        </w:rPr>
        <w:t>sui generis</w:t>
      </w:r>
      <w:r w:rsidRPr="005771D8">
        <w:rPr>
          <w:lang w:val="fr-FR"/>
        </w:rPr>
        <w:t xml:space="preserve"> d</w:t>
      </w:r>
      <w:r>
        <w:rPr>
          <w:lang w:val="fr-FR"/>
        </w:rPr>
        <w:t>u</w:t>
      </w:r>
      <w:r w:rsidRPr="005771D8">
        <w:rPr>
          <w:lang w:val="fr-FR"/>
        </w:rPr>
        <w:t xml:space="preserve"> droit international</w:t>
      </w:r>
      <w:r w:rsidRPr="00E9227E">
        <w:rPr>
          <w:rStyle w:val="Appelnotedebasdep"/>
        </w:rPr>
        <w:footnoteReference w:id="47"/>
      </w:r>
      <w:r w:rsidRPr="005771D8">
        <w:rPr>
          <w:lang w:val="fr-FR"/>
        </w:rPr>
        <w:t xml:space="preserve">. </w:t>
      </w:r>
      <w:r>
        <w:rPr>
          <w:lang w:val="fr-FR"/>
        </w:rPr>
        <w:t>Dans la mesure où il semble n</w:t>
      </w:r>
      <w:r w:rsidR="004C5E26">
        <w:rPr>
          <w:lang w:val="fr-FR"/>
        </w:rPr>
        <w:t>’</w:t>
      </w:r>
      <w:r>
        <w:rPr>
          <w:lang w:val="fr-FR"/>
        </w:rPr>
        <w:t>y avoir guère de pratique concernant des différends entre des organisations internationales et de tels sujets du droit international, il ne semble pas nécessaire d</w:t>
      </w:r>
      <w:r w:rsidR="004C5E26">
        <w:rPr>
          <w:lang w:val="fr-FR"/>
        </w:rPr>
        <w:t>’</w:t>
      </w:r>
      <w:r>
        <w:rPr>
          <w:lang w:val="fr-FR"/>
        </w:rPr>
        <w:t xml:space="preserve">en faire expressément mention dans le texte du projet de directive 3. </w:t>
      </w:r>
      <w:r w:rsidRPr="005771D8">
        <w:rPr>
          <w:lang w:val="fr-FR"/>
        </w:rPr>
        <w:t xml:space="preserve">Il est toutefois entendu que si de tels différends devaient survenir, ils relèveraient également de la Deuxième </w:t>
      </w:r>
      <w:r w:rsidRPr="00B65AB8">
        <w:t>partie.</w:t>
      </w:r>
    </w:p>
    <w:p w14:paraId="332C803E" w14:textId="2A67B2A2" w:rsidR="00C324CF" w:rsidRPr="005771D8" w:rsidRDefault="00C324CF" w:rsidP="00C324CF">
      <w:pPr>
        <w:pStyle w:val="SingleTxtG"/>
        <w:rPr>
          <w:lang w:val="fr-FR"/>
        </w:rPr>
      </w:pPr>
      <w:r>
        <w:rPr>
          <w:lang w:val="fr-FR"/>
        </w:rPr>
        <w:t>10)</w:t>
      </w:r>
      <w:r>
        <w:rPr>
          <w:lang w:val="fr-FR"/>
        </w:rPr>
        <w:tab/>
        <w:t>D</w:t>
      </w:r>
      <w:r w:rsidRPr="005771D8">
        <w:rPr>
          <w:lang w:val="fr-FR"/>
        </w:rPr>
        <w:t>es parties privées, y compris des personnes physiques ou des personnes morales relevant du droit national telles que les sociétés ou les associations, peuvent également être considérées comme des sujets de droit international dans la mesure où elles sont directement titulaires de droits ou débitrices d</w:t>
      </w:r>
      <w:r w:rsidR="004C5E26">
        <w:rPr>
          <w:lang w:val="fr-FR"/>
        </w:rPr>
        <w:t>’</w:t>
      </w:r>
      <w:r w:rsidRPr="005771D8">
        <w:rPr>
          <w:lang w:val="fr-FR"/>
        </w:rPr>
        <w:t xml:space="preserve">obligations en vertu du droit international, comme dans les domaines </w:t>
      </w:r>
      <w:r>
        <w:rPr>
          <w:lang w:val="fr-FR"/>
        </w:rPr>
        <w:t xml:space="preserve">du droit international </w:t>
      </w:r>
      <w:r w:rsidRPr="005771D8">
        <w:rPr>
          <w:lang w:val="fr-FR"/>
        </w:rPr>
        <w:t>des droits de l</w:t>
      </w:r>
      <w:r w:rsidR="004C5E26">
        <w:rPr>
          <w:lang w:val="fr-FR"/>
        </w:rPr>
        <w:t>’</w:t>
      </w:r>
      <w:r w:rsidRPr="005771D8">
        <w:rPr>
          <w:lang w:val="fr-FR"/>
        </w:rPr>
        <w:t>homme ou du droit international</w:t>
      </w:r>
      <w:r w:rsidRPr="005B3449">
        <w:rPr>
          <w:lang w:val="fr-FR"/>
        </w:rPr>
        <w:t xml:space="preserve"> </w:t>
      </w:r>
      <w:r w:rsidRPr="005771D8">
        <w:rPr>
          <w:lang w:val="fr-FR"/>
        </w:rPr>
        <w:t>pénal</w:t>
      </w:r>
      <w:r w:rsidRPr="00E9227E">
        <w:rPr>
          <w:rStyle w:val="Appelnotedebasdep"/>
        </w:rPr>
        <w:footnoteReference w:id="48"/>
      </w:r>
      <w:r w:rsidRPr="005771D8">
        <w:rPr>
          <w:lang w:val="fr-FR"/>
        </w:rPr>
        <w:t>.</w:t>
      </w:r>
      <w:r>
        <w:rPr>
          <w:lang w:val="fr-FR"/>
        </w:rPr>
        <w:t xml:space="preserve"> Les</w:t>
      </w:r>
      <w:r w:rsidRPr="005771D8">
        <w:rPr>
          <w:lang w:val="fr-FR"/>
        </w:rPr>
        <w:t xml:space="preserve"> parties privées jouissent souvent de certains droits découlant du droit </w:t>
      </w:r>
      <w:r>
        <w:rPr>
          <w:lang w:val="fr-FR"/>
        </w:rPr>
        <w:t xml:space="preserve">international </w:t>
      </w:r>
      <w:r w:rsidRPr="005771D8">
        <w:rPr>
          <w:lang w:val="fr-FR"/>
        </w:rPr>
        <w:lastRenderedPageBreak/>
        <w:t>conventionnel</w:t>
      </w:r>
      <w:r>
        <w:rPr>
          <w:lang w:val="fr-FR"/>
        </w:rPr>
        <w:t xml:space="preserve"> ou coutumier</w:t>
      </w:r>
      <w:r w:rsidRPr="005771D8">
        <w:rPr>
          <w:lang w:val="fr-FR"/>
        </w:rPr>
        <w:t xml:space="preserve"> garantissant l</w:t>
      </w:r>
      <w:r w:rsidR="004C5E26">
        <w:rPr>
          <w:lang w:val="fr-FR"/>
        </w:rPr>
        <w:t>’</w:t>
      </w:r>
      <w:r w:rsidRPr="005771D8">
        <w:rPr>
          <w:lang w:val="fr-FR"/>
        </w:rPr>
        <w:t>accès à la justice et une procédure régulière</w:t>
      </w:r>
      <w:r w:rsidRPr="00E9227E">
        <w:rPr>
          <w:rStyle w:val="Appelnotedebasdep"/>
        </w:rPr>
        <w:footnoteReference w:id="49"/>
      </w:r>
      <w:r>
        <w:rPr>
          <w:lang w:val="fr-FR"/>
        </w:rPr>
        <w:t>. Les différends qui opposeraient de telles parties à</w:t>
      </w:r>
      <w:r w:rsidRPr="005771D8">
        <w:rPr>
          <w:lang w:val="fr-FR"/>
        </w:rPr>
        <w:t xml:space="preserve"> des organisations internationales seront traités dans la Troisième partie du présent projet de directives.</w:t>
      </w:r>
    </w:p>
    <w:p w14:paraId="4D409394" w14:textId="4A94271E" w:rsidR="00C324CF" w:rsidRPr="005771D8" w:rsidRDefault="00C324CF" w:rsidP="00A77064">
      <w:pPr>
        <w:pStyle w:val="H23G"/>
        <w:ind w:left="1701" w:firstLine="0"/>
        <w:rPr>
          <w:b w:val="0"/>
          <w:bCs/>
          <w:lang w:val="fr-FR"/>
        </w:rPr>
      </w:pPr>
      <w:r>
        <w:rPr>
          <w:lang w:val="fr-FR"/>
        </w:rPr>
        <w:tab/>
      </w:r>
      <w:r w:rsidRPr="005771D8">
        <w:rPr>
          <w:lang w:val="fr-FR"/>
        </w:rPr>
        <w:t>Directive 4</w:t>
      </w:r>
      <w:r>
        <w:rPr>
          <w:lang w:val="fr-FR"/>
        </w:rPr>
        <w:br/>
      </w:r>
      <w:bookmarkStart w:id="45" w:name="_Hlk175323346"/>
      <w:r w:rsidRPr="005771D8">
        <w:rPr>
          <w:bCs/>
          <w:lang w:val="fr-FR"/>
        </w:rPr>
        <w:t>Recours aux moyens de règlement des différends</w:t>
      </w:r>
      <w:bookmarkEnd w:id="45"/>
    </w:p>
    <w:p w14:paraId="416A726D" w14:textId="1F7599CA" w:rsidR="00C324CF" w:rsidRPr="00A4387D" w:rsidRDefault="00C324CF" w:rsidP="00A77064">
      <w:pPr>
        <w:pStyle w:val="SingleTxtG"/>
        <w:ind w:left="1701" w:firstLine="567"/>
        <w:rPr>
          <w:lang w:val="fr-FR"/>
        </w:rPr>
      </w:pPr>
      <w:r w:rsidRPr="005771D8">
        <w:rPr>
          <w:lang w:val="fr-FR"/>
        </w:rPr>
        <w:t xml:space="preserve">Les différends entre organisations internationales ou entre organisations internationales et États devraient être réglés de bonne foi et dans un esprit de coopération par les moyens de règlement des </w:t>
      </w:r>
      <w:r w:rsidRPr="00A4387D">
        <w:rPr>
          <w:lang w:val="fr-FR"/>
        </w:rPr>
        <w:t>différends énoncés à l</w:t>
      </w:r>
      <w:r w:rsidR="004C5E26">
        <w:rPr>
          <w:lang w:val="fr-FR"/>
        </w:rPr>
        <w:t>’</w:t>
      </w:r>
      <w:r w:rsidRPr="00A4387D">
        <w:rPr>
          <w:lang w:val="fr-FR"/>
        </w:rPr>
        <w:t>alinéa c) du projet de directive 2 qui peuvent être appropriés aux circonstances et à la nature du différend.</w:t>
      </w:r>
    </w:p>
    <w:p w14:paraId="2BB49B63" w14:textId="77777777" w:rsidR="00C324CF" w:rsidRPr="00A4387D" w:rsidRDefault="00C324CF" w:rsidP="00A77064">
      <w:pPr>
        <w:pStyle w:val="H23G"/>
        <w:rPr>
          <w:lang w:val="fr-FR"/>
        </w:rPr>
      </w:pPr>
      <w:r w:rsidRPr="00A4387D">
        <w:rPr>
          <w:lang w:val="fr-FR"/>
        </w:rPr>
        <w:tab/>
      </w:r>
      <w:r w:rsidRPr="00A4387D">
        <w:rPr>
          <w:lang w:val="fr-FR"/>
        </w:rPr>
        <w:tab/>
        <w:t>Commentaire</w:t>
      </w:r>
    </w:p>
    <w:p w14:paraId="4AB9EBFF" w14:textId="77777777" w:rsidR="00C324CF" w:rsidRPr="00A4387D" w:rsidRDefault="00C324CF" w:rsidP="00C324CF">
      <w:pPr>
        <w:pStyle w:val="SingleTxtG"/>
      </w:pPr>
      <w:r w:rsidRPr="00A4387D">
        <w:rPr>
          <w:lang w:val="fr-FR"/>
        </w:rPr>
        <w:t>1)</w:t>
      </w:r>
      <w:r w:rsidRPr="00A4387D">
        <w:rPr>
          <w:lang w:val="fr-FR"/>
        </w:rPr>
        <w:tab/>
        <w:t xml:space="preserve">Le projet de directive 4 recommande de manière générale que les différends couverts par la </w:t>
      </w:r>
      <w:r w:rsidRPr="00A4387D">
        <w:t>Deuxième partie soient réglés par le recours à des moyens appropriés de règlement des différends.</w:t>
      </w:r>
    </w:p>
    <w:p w14:paraId="599F76F8" w14:textId="0B67A325" w:rsidR="00C324CF" w:rsidRPr="005771D8" w:rsidRDefault="00C324CF" w:rsidP="00C324CF">
      <w:pPr>
        <w:pStyle w:val="SingleTxtG"/>
        <w:rPr>
          <w:lang w:val="fr-FR"/>
        </w:rPr>
      </w:pPr>
      <w:r w:rsidRPr="00A4387D">
        <w:t>2)</w:t>
      </w:r>
      <w:r w:rsidRPr="00A4387D">
        <w:tab/>
        <w:t>En pratique</w:t>
      </w:r>
      <w:r w:rsidRPr="00A4387D">
        <w:rPr>
          <w:lang w:val="fr-FR"/>
        </w:rPr>
        <w:t>, les organisations internationales règlent leurs différends avec d</w:t>
      </w:r>
      <w:r w:rsidR="004C5E26">
        <w:rPr>
          <w:lang w:val="fr-FR"/>
        </w:rPr>
        <w:t>’</w:t>
      </w:r>
      <w:r w:rsidRPr="00A4387D">
        <w:rPr>
          <w:lang w:val="fr-FR"/>
        </w:rPr>
        <w:t>autres organisations internationales et avec des États en recourant à tous les moyens de règlement des différends énoncés à l</w:t>
      </w:r>
      <w:r w:rsidR="004C5E26">
        <w:rPr>
          <w:lang w:val="fr-FR"/>
        </w:rPr>
        <w:t>’</w:t>
      </w:r>
      <w:r w:rsidRPr="00A4387D">
        <w:rPr>
          <w:lang w:val="fr-FR"/>
        </w:rPr>
        <w:t>alinéa c) du projet de</w:t>
      </w:r>
      <w:r w:rsidRPr="005771D8">
        <w:rPr>
          <w:lang w:val="fr-FR"/>
        </w:rPr>
        <w:t xml:space="preserve"> directive</w:t>
      </w:r>
      <w:r>
        <w:rPr>
          <w:lang w:val="fr-FR"/>
        </w:rPr>
        <w:t> </w:t>
      </w:r>
      <w:r w:rsidRPr="005771D8">
        <w:rPr>
          <w:lang w:val="fr-FR"/>
        </w:rPr>
        <w:t>2</w:t>
      </w:r>
      <w:r w:rsidRPr="00E9227E">
        <w:rPr>
          <w:rStyle w:val="Appelnotedebasdep"/>
        </w:rPr>
        <w:footnoteReference w:id="50"/>
      </w:r>
      <w:r w:rsidRPr="005771D8">
        <w:rPr>
          <w:lang w:val="fr-FR"/>
        </w:rPr>
        <w:t>. Étant donné que les différends sont souvent réglés de manière confidentielle, il est difficile de déterminer avec précision quels moyens de règlement des différends sont utilisés</w:t>
      </w:r>
      <w:r>
        <w:rPr>
          <w:lang w:val="fr-FR"/>
        </w:rPr>
        <w:t xml:space="preserve"> en pratique</w:t>
      </w:r>
      <w:r w:rsidRPr="005771D8">
        <w:rPr>
          <w:lang w:val="fr-FR"/>
        </w:rPr>
        <w:t xml:space="preserve"> et à quelle fréquence. Cependant, tant les organisations internationales que les États expriment souvent une préférence </w:t>
      </w:r>
      <w:r w:rsidRPr="00AB0C37">
        <w:rPr>
          <w:lang w:val="fr-FR"/>
        </w:rPr>
        <w:t>pour les m</w:t>
      </w:r>
      <w:r w:rsidRPr="00656774">
        <w:rPr>
          <w:lang w:val="fr-FR"/>
        </w:rPr>
        <w:t>oyen</w:t>
      </w:r>
      <w:r w:rsidRPr="00AB0C37">
        <w:rPr>
          <w:lang w:val="fr-FR"/>
        </w:rPr>
        <w:t>s « amiables » de</w:t>
      </w:r>
      <w:r w:rsidRPr="005771D8">
        <w:rPr>
          <w:lang w:val="fr-FR"/>
        </w:rPr>
        <w:t xml:space="preserve"> règlement des différends, comme les négociations directes et/ou la voie diplomatique</w:t>
      </w:r>
      <w:r w:rsidRPr="00E9227E">
        <w:rPr>
          <w:rStyle w:val="Appelnotedebasdep"/>
        </w:rPr>
        <w:footnoteReference w:id="51"/>
      </w:r>
      <w:r w:rsidRPr="005771D8">
        <w:rPr>
          <w:lang w:val="fr-FR"/>
        </w:rPr>
        <w:t>. Cela donne à penser qu</w:t>
      </w:r>
      <w:r w:rsidR="004C5E26">
        <w:rPr>
          <w:lang w:val="fr-FR"/>
        </w:rPr>
        <w:t>’</w:t>
      </w:r>
      <w:r w:rsidRPr="005771D8">
        <w:rPr>
          <w:lang w:val="fr-FR"/>
        </w:rPr>
        <w:t>ils cherchent à régler les différends sans recourir à la décision d</w:t>
      </w:r>
      <w:r w:rsidR="004C5E26">
        <w:rPr>
          <w:lang w:val="fr-FR"/>
        </w:rPr>
        <w:t>’</w:t>
      </w:r>
      <w:r w:rsidRPr="005771D8">
        <w:rPr>
          <w:lang w:val="fr-FR"/>
        </w:rPr>
        <w:t>un tiers indépendant dans le cadre d</w:t>
      </w:r>
      <w:r w:rsidR="004C5E26">
        <w:rPr>
          <w:lang w:val="fr-FR"/>
        </w:rPr>
        <w:t>’</w:t>
      </w:r>
      <w:r w:rsidRPr="005771D8">
        <w:rPr>
          <w:lang w:val="fr-FR"/>
        </w:rPr>
        <w:t>un arbitrage ou d</w:t>
      </w:r>
      <w:r w:rsidR="004C5E26">
        <w:rPr>
          <w:lang w:val="fr-FR"/>
        </w:rPr>
        <w:t>’</w:t>
      </w:r>
      <w:r w:rsidRPr="005771D8">
        <w:rPr>
          <w:lang w:val="fr-FR"/>
        </w:rPr>
        <w:t>un règlement judiciaire. Il est difficile de déterminer empiriquement dans quelle mesure la possibilité d</w:t>
      </w:r>
      <w:r w:rsidR="004C5E26">
        <w:rPr>
          <w:lang w:val="fr-FR"/>
        </w:rPr>
        <w:t>’</w:t>
      </w:r>
      <w:r w:rsidRPr="005771D8">
        <w:rPr>
          <w:lang w:val="fr-FR"/>
        </w:rPr>
        <w:t>un recours à ces derniers modes de règlement des différends facilite un règlement amiable des différends, bien qu</w:t>
      </w:r>
      <w:r w:rsidR="004C5E26">
        <w:rPr>
          <w:lang w:val="fr-FR"/>
        </w:rPr>
        <w:t>’</w:t>
      </w:r>
      <w:r w:rsidRPr="005771D8">
        <w:rPr>
          <w:lang w:val="fr-FR"/>
        </w:rPr>
        <w:t>il semble que l</w:t>
      </w:r>
      <w:r w:rsidR="004C5E26">
        <w:rPr>
          <w:lang w:val="fr-FR"/>
        </w:rPr>
        <w:t>’</w:t>
      </w:r>
      <w:r w:rsidRPr="005771D8">
        <w:rPr>
          <w:lang w:val="fr-FR"/>
        </w:rPr>
        <w:t>existence de cette possibilité augmente peut-être la volonté de trouver un règlement négocié</w:t>
      </w:r>
      <w:r w:rsidRPr="00E9227E">
        <w:rPr>
          <w:rStyle w:val="Appelnotedebasdep"/>
        </w:rPr>
        <w:footnoteReference w:id="52"/>
      </w:r>
      <w:r w:rsidRPr="005771D8">
        <w:rPr>
          <w:lang w:val="fr-FR"/>
        </w:rPr>
        <w:t>.</w:t>
      </w:r>
    </w:p>
    <w:p w14:paraId="55A3E00F" w14:textId="366976D2" w:rsidR="00C324CF" w:rsidRPr="005771D8" w:rsidRDefault="00C324CF" w:rsidP="00C324CF">
      <w:pPr>
        <w:pStyle w:val="SingleTxtG"/>
        <w:rPr>
          <w:lang w:val="fr-FR"/>
        </w:rPr>
      </w:pPr>
      <w:r>
        <w:rPr>
          <w:lang w:val="fr-FR"/>
        </w:rPr>
        <w:t>3)</w:t>
      </w:r>
      <w:r>
        <w:rPr>
          <w:lang w:val="fr-FR"/>
        </w:rPr>
        <w:tab/>
      </w:r>
      <w:r w:rsidRPr="005771D8">
        <w:rPr>
          <w:lang w:val="fr-FR"/>
        </w:rPr>
        <w:t xml:space="preserve">Le projet de directive 4 recommande le règlement des différends entre organisations internationales ou entre organisations </w:t>
      </w:r>
      <w:r w:rsidRPr="0042102D">
        <w:rPr>
          <w:lang w:val="fr-FR"/>
        </w:rPr>
        <w:t>internationales et États par tout moyen de règlement pacifique des différends énoncé à l</w:t>
      </w:r>
      <w:r w:rsidR="004C5E26">
        <w:rPr>
          <w:lang w:val="fr-FR"/>
        </w:rPr>
        <w:t>’</w:t>
      </w:r>
      <w:r w:rsidRPr="0042102D">
        <w:rPr>
          <w:lang w:val="fr-FR"/>
        </w:rPr>
        <w:t>ali</w:t>
      </w:r>
      <w:r w:rsidRPr="00A4387D">
        <w:rPr>
          <w:lang w:val="fr-FR"/>
        </w:rPr>
        <w:t>néa c) du projet de directive 2. L</w:t>
      </w:r>
      <w:r w:rsidR="004C5E26">
        <w:rPr>
          <w:lang w:val="fr-FR"/>
        </w:rPr>
        <w:t>’</w:t>
      </w:r>
      <w:r w:rsidRPr="00A4387D">
        <w:rPr>
          <w:lang w:val="fr-FR"/>
        </w:rPr>
        <w:t>alinéa c) du projet de directive</w:t>
      </w:r>
      <w:r w:rsidR="0042102D">
        <w:rPr>
          <w:lang w:val="fr-FR"/>
        </w:rPr>
        <w:t> </w:t>
      </w:r>
      <w:r w:rsidRPr="00A4387D">
        <w:rPr>
          <w:lang w:val="fr-FR"/>
        </w:rPr>
        <w:t>2 englobe quant à lui tous les moyens pacifiques de règlement des différends énumérés à l</w:t>
      </w:r>
      <w:r w:rsidR="004C5E26">
        <w:rPr>
          <w:lang w:val="fr-FR"/>
        </w:rPr>
        <w:t>’</w:t>
      </w:r>
      <w:r w:rsidRPr="00A4387D">
        <w:rPr>
          <w:lang w:val="fr-FR"/>
        </w:rPr>
        <w:t>Article 33 de la Charte des Nations Unies, et réaffirmés par la Déclaration de Manille sur le règlement pacifique des différends internationaux</w:t>
      </w:r>
      <w:r w:rsidRPr="00E9227E">
        <w:rPr>
          <w:rStyle w:val="Appelnotedebasdep"/>
        </w:rPr>
        <w:footnoteReference w:id="53"/>
      </w:r>
      <w:r w:rsidRPr="005771D8">
        <w:rPr>
          <w:lang w:val="fr-FR"/>
        </w:rPr>
        <w:t xml:space="preserve">. En renvoyant largement aux moyens de règlement pacifique des différends, le projet de directive 4 indique clairement </w:t>
      </w:r>
      <w:r w:rsidRPr="005771D8">
        <w:rPr>
          <w:lang w:val="fr-FR"/>
        </w:rPr>
        <w:lastRenderedPageBreak/>
        <w:t>que la recommandation ne donne la priorité à aucun moyen précis de règlement des différends.</w:t>
      </w:r>
    </w:p>
    <w:p w14:paraId="0AD782BC" w14:textId="1CBF7450" w:rsidR="00C324CF" w:rsidRPr="005771D8" w:rsidRDefault="00C324CF" w:rsidP="00C324CF">
      <w:pPr>
        <w:pStyle w:val="SingleTxtG"/>
        <w:rPr>
          <w:lang w:val="fr-FR"/>
        </w:rPr>
      </w:pPr>
      <w:r>
        <w:rPr>
          <w:lang w:val="fr-FR"/>
        </w:rPr>
        <w:t>4)</w:t>
      </w:r>
      <w:r>
        <w:rPr>
          <w:lang w:val="fr-FR"/>
        </w:rPr>
        <w:tab/>
      </w:r>
      <w:r w:rsidRPr="005771D8">
        <w:rPr>
          <w:lang w:val="fr-FR"/>
        </w:rPr>
        <w:t xml:space="preserve">La liberté de choix des moyens de règlement des différends est renforcée par </w:t>
      </w:r>
      <w:r>
        <w:rPr>
          <w:lang w:val="fr-FR"/>
        </w:rPr>
        <w:t>l</w:t>
      </w:r>
      <w:r w:rsidR="004C5E26">
        <w:rPr>
          <w:lang w:val="fr-FR"/>
        </w:rPr>
        <w:t>’</w:t>
      </w:r>
      <w:r>
        <w:rPr>
          <w:lang w:val="fr-FR"/>
        </w:rPr>
        <w:t>indication</w:t>
      </w:r>
      <w:r w:rsidRPr="005771D8">
        <w:rPr>
          <w:lang w:val="fr-FR"/>
        </w:rPr>
        <w:t xml:space="preserve"> complémentaire </w:t>
      </w:r>
      <w:r>
        <w:rPr>
          <w:lang w:val="fr-FR"/>
        </w:rPr>
        <w:t xml:space="preserve">dans le texte </w:t>
      </w:r>
      <w:r w:rsidRPr="005771D8">
        <w:rPr>
          <w:lang w:val="fr-FR"/>
        </w:rPr>
        <w:t>du projet de directive 4 qui fait référence aux moyens « qui peuvent être appropriés aux circonstances et à la nature du différend ». Cette formulation s</w:t>
      </w:r>
      <w:r w:rsidR="004C5E26">
        <w:rPr>
          <w:lang w:val="fr-FR"/>
        </w:rPr>
        <w:t>’</w:t>
      </w:r>
      <w:r w:rsidRPr="005771D8">
        <w:rPr>
          <w:lang w:val="fr-FR"/>
        </w:rPr>
        <w:t>inspire du paragraphe</w:t>
      </w:r>
      <w:r>
        <w:rPr>
          <w:lang w:val="fr-FR"/>
        </w:rPr>
        <w:t> </w:t>
      </w:r>
      <w:r w:rsidRPr="005771D8">
        <w:rPr>
          <w:lang w:val="fr-FR"/>
        </w:rPr>
        <w:t>5 de la Déclaration de Manille, qui fait référence aux « moyens pacifiques qui seront appropriés aux circonstances et à la nature du différend ». Selon la nature du différend et les circonstances, certains modes de règlement des différends peuvent être plus appropriés que d</w:t>
      </w:r>
      <w:r w:rsidR="004C5E26">
        <w:rPr>
          <w:lang w:val="fr-FR"/>
        </w:rPr>
        <w:t>’</w:t>
      </w:r>
      <w:r w:rsidRPr="005771D8">
        <w:rPr>
          <w:lang w:val="fr-FR"/>
        </w:rPr>
        <w:t>autres. Lorsqu</w:t>
      </w:r>
      <w:r w:rsidR="004C5E26">
        <w:rPr>
          <w:lang w:val="fr-FR"/>
        </w:rPr>
        <w:t>’</w:t>
      </w:r>
      <w:r w:rsidRPr="005771D8">
        <w:rPr>
          <w:lang w:val="fr-FR"/>
        </w:rPr>
        <w:t>un différend vient principalement d</w:t>
      </w:r>
      <w:r w:rsidR="004C5E26">
        <w:rPr>
          <w:lang w:val="fr-FR"/>
        </w:rPr>
        <w:t>’</w:t>
      </w:r>
      <w:r w:rsidRPr="005771D8">
        <w:rPr>
          <w:lang w:val="fr-FR"/>
        </w:rPr>
        <w:t>un désaccord sur des faits, l</w:t>
      </w:r>
      <w:r w:rsidR="004C5E26">
        <w:rPr>
          <w:lang w:val="fr-FR"/>
        </w:rPr>
        <w:t>’</w:t>
      </w:r>
      <w:r w:rsidRPr="005771D8">
        <w:rPr>
          <w:lang w:val="fr-FR"/>
        </w:rPr>
        <w:t>enquête ou l</w:t>
      </w:r>
      <w:r w:rsidR="004C5E26">
        <w:rPr>
          <w:lang w:val="fr-FR"/>
        </w:rPr>
        <w:t>’</w:t>
      </w:r>
      <w:r w:rsidRPr="005771D8">
        <w:rPr>
          <w:lang w:val="fr-FR"/>
        </w:rPr>
        <w:t xml:space="preserve">établissement des faits peut être </w:t>
      </w:r>
      <w:r>
        <w:rPr>
          <w:lang w:val="fr-FR"/>
        </w:rPr>
        <w:t>une</w:t>
      </w:r>
      <w:r w:rsidRPr="005771D8">
        <w:rPr>
          <w:lang w:val="fr-FR"/>
        </w:rPr>
        <w:t xml:space="preserve"> méthode </w:t>
      </w:r>
      <w:r>
        <w:rPr>
          <w:lang w:val="fr-FR"/>
        </w:rPr>
        <w:t xml:space="preserve">plus appropriée </w:t>
      </w:r>
      <w:r w:rsidRPr="005771D8">
        <w:rPr>
          <w:lang w:val="fr-FR"/>
        </w:rPr>
        <w:t>de règlement des différends, tandis que pour un différend concernant l</w:t>
      </w:r>
      <w:r w:rsidR="004C5E26">
        <w:rPr>
          <w:lang w:val="fr-FR"/>
        </w:rPr>
        <w:t>’</w:t>
      </w:r>
      <w:r w:rsidRPr="005771D8">
        <w:rPr>
          <w:lang w:val="fr-FR"/>
        </w:rPr>
        <w:t>existence d</w:t>
      </w:r>
      <w:r w:rsidR="004C5E26">
        <w:rPr>
          <w:lang w:val="fr-FR"/>
        </w:rPr>
        <w:t>’</w:t>
      </w:r>
      <w:r w:rsidRPr="005771D8">
        <w:rPr>
          <w:lang w:val="fr-FR"/>
        </w:rPr>
        <w:t>une obligation juridique, un règlement par voie arbitrale ou judiciaire peut être plus adapté.</w:t>
      </w:r>
    </w:p>
    <w:p w14:paraId="08BF0D43" w14:textId="33F6B001" w:rsidR="00C324CF" w:rsidRPr="005771D8" w:rsidRDefault="00C324CF" w:rsidP="00C324CF">
      <w:pPr>
        <w:pStyle w:val="SingleTxtG"/>
        <w:rPr>
          <w:lang w:val="fr-FR"/>
        </w:rPr>
      </w:pPr>
      <w:r>
        <w:rPr>
          <w:lang w:val="fr-FR"/>
        </w:rPr>
        <w:t>5)</w:t>
      </w:r>
      <w:r>
        <w:rPr>
          <w:lang w:val="fr-FR"/>
        </w:rPr>
        <w:tab/>
      </w:r>
      <w:r w:rsidRPr="005771D8">
        <w:rPr>
          <w:lang w:val="fr-FR"/>
        </w:rPr>
        <w:t xml:space="preserve">Le projet de directive 4 recommande le recours au règlement des différends mais </w:t>
      </w:r>
      <w:r>
        <w:rPr>
          <w:lang w:val="fr-FR"/>
        </w:rPr>
        <w:t xml:space="preserve">évite </w:t>
      </w:r>
      <w:r w:rsidRPr="005771D8">
        <w:rPr>
          <w:lang w:val="fr-FR"/>
        </w:rPr>
        <w:t>l</w:t>
      </w:r>
      <w:r w:rsidR="004C5E26">
        <w:rPr>
          <w:lang w:val="fr-FR"/>
        </w:rPr>
        <w:t>’</w:t>
      </w:r>
      <w:r w:rsidRPr="005771D8">
        <w:rPr>
          <w:lang w:val="fr-FR"/>
        </w:rPr>
        <w:t xml:space="preserve">emploi de termes qui pourraient être compris comme créant une obligation juridiquement </w:t>
      </w:r>
      <w:r w:rsidRPr="00E8253B">
        <w:rPr>
          <w:lang w:val="fr-FR"/>
        </w:rPr>
        <w:t>contraignante. C</w:t>
      </w:r>
      <w:r w:rsidR="004C5E26">
        <w:rPr>
          <w:lang w:val="fr-FR"/>
        </w:rPr>
        <w:t>’</w:t>
      </w:r>
      <w:r w:rsidRPr="00E8253B">
        <w:rPr>
          <w:lang w:val="fr-FR"/>
        </w:rPr>
        <w:t>est pourquoi l</w:t>
      </w:r>
      <w:r>
        <w:rPr>
          <w:lang w:val="fr-FR"/>
        </w:rPr>
        <w:t xml:space="preserve">e conditionnel </w:t>
      </w:r>
      <w:r w:rsidRPr="00E8253B">
        <w:rPr>
          <w:lang w:val="fr-FR"/>
        </w:rPr>
        <w:t xml:space="preserve">« devraient » est plus approprié que </w:t>
      </w:r>
      <w:r>
        <w:rPr>
          <w:lang w:val="fr-FR"/>
        </w:rPr>
        <w:t>l</w:t>
      </w:r>
      <w:r w:rsidR="004C5E26">
        <w:rPr>
          <w:lang w:val="fr-FR"/>
        </w:rPr>
        <w:t>’</w:t>
      </w:r>
      <w:r>
        <w:rPr>
          <w:lang w:val="fr-FR"/>
        </w:rPr>
        <w:t>indicatif</w:t>
      </w:r>
      <w:r w:rsidRPr="00E8253B">
        <w:rPr>
          <w:lang w:val="fr-FR"/>
        </w:rPr>
        <w:t xml:space="preserve"> « doivent » dans ce contexte.</w:t>
      </w:r>
    </w:p>
    <w:p w14:paraId="246C8833" w14:textId="66F5D715" w:rsidR="00C324CF" w:rsidRPr="005771D8" w:rsidRDefault="00C324CF" w:rsidP="00C324CF">
      <w:pPr>
        <w:pStyle w:val="SingleTxtG"/>
        <w:rPr>
          <w:lang w:val="fr-FR"/>
        </w:rPr>
      </w:pPr>
      <w:r>
        <w:rPr>
          <w:lang w:val="fr-FR"/>
        </w:rPr>
        <w:t>6)</w:t>
      </w:r>
      <w:r>
        <w:rPr>
          <w:lang w:val="fr-FR"/>
        </w:rPr>
        <w:tab/>
      </w:r>
      <w:r w:rsidRPr="005771D8">
        <w:rPr>
          <w:lang w:val="fr-FR"/>
        </w:rPr>
        <w:t xml:space="preserve">Le libellé sous forme de recommandation est également une prise en compte du fait que, dans certaines situations, des moyens précis de règlement des différends peuvent être </w:t>
      </w:r>
      <w:r>
        <w:rPr>
          <w:lang w:val="fr-FR"/>
        </w:rPr>
        <w:t>juridiquement</w:t>
      </w:r>
      <w:r w:rsidRPr="005771D8">
        <w:rPr>
          <w:lang w:val="fr-FR"/>
        </w:rPr>
        <w:t xml:space="preserve"> prévus dans des traités. </w:t>
      </w:r>
      <w:r>
        <w:rPr>
          <w:lang w:val="fr-FR"/>
        </w:rPr>
        <w:t>Un certain nombre de</w:t>
      </w:r>
      <w:r w:rsidRPr="005771D8">
        <w:rPr>
          <w:lang w:val="fr-FR"/>
        </w:rPr>
        <w:t xml:space="preserve"> documents constitutifs d</w:t>
      </w:r>
      <w:r w:rsidR="004C5E26">
        <w:rPr>
          <w:lang w:val="fr-FR"/>
        </w:rPr>
        <w:t>’</w:t>
      </w:r>
      <w:r w:rsidRPr="005771D8">
        <w:rPr>
          <w:lang w:val="fr-FR"/>
        </w:rPr>
        <w:t>organisations internationales</w:t>
      </w:r>
      <w:r w:rsidRPr="00E9227E">
        <w:rPr>
          <w:rStyle w:val="Appelnotedebasdep"/>
        </w:rPr>
        <w:footnoteReference w:id="54"/>
      </w:r>
      <w:r w:rsidRPr="005771D8">
        <w:rPr>
          <w:lang w:val="fr-FR"/>
        </w:rPr>
        <w:t>, certain</w:t>
      </w:r>
      <w:r>
        <w:rPr>
          <w:lang w:val="fr-FR"/>
        </w:rPr>
        <w:t>s</w:t>
      </w:r>
      <w:r w:rsidRPr="005771D8">
        <w:rPr>
          <w:lang w:val="fr-FR"/>
        </w:rPr>
        <w:t xml:space="preserve"> traités multilatéraux sur les privilèges et immunités</w:t>
      </w:r>
      <w:r w:rsidRPr="00E9227E">
        <w:rPr>
          <w:rStyle w:val="Appelnotedebasdep"/>
        </w:rPr>
        <w:footnoteReference w:id="55"/>
      </w:r>
      <w:r w:rsidRPr="005771D8">
        <w:rPr>
          <w:lang w:val="fr-FR"/>
        </w:rPr>
        <w:t xml:space="preserve"> et de nombreux accords de siège bilatéraux</w:t>
      </w:r>
      <w:r w:rsidRPr="00E9227E">
        <w:rPr>
          <w:rStyle w:val="Appelnotedebasdep"/>
        </w:rPr>
        <w:footnoteReference w:id="56"/>
      </w:r>
      <w:r w:rsidRPr="005771D8">
        <w:rPr>
          <w:lang w:val="fr-FR"/>
        </w:rPr>
        <w:t xml:space="preserve"> contiennent des obligations expresses concernant le règlement de types précis de différends auxquels des organisations internationales sont parties. Le projet de directives n</w:t>
      </w:r>
      <w:r w:rsidR="004C5E26">
        <w:rPr>
          <w:lang w:val="fr-FR"/>
        </w:rPr>
        <w:t>’</w:t>
      </w:r>
      <w:r w:rsidRPr="005771D8">
        <w:rPr>
          <w:lang w:val="fr-FR"/>
        </w:rPr>
        <w:t>a pas vocation à modifier ces obligations. En recommandant le recours aux moyens appropriés, il tient compte du fait que, dans certaines situations, des moyens précis peuvent être obligatoires.</w:t>
      </w:r>
    </w:p>
    <w:p w14:paraId="72B1E397" w14:textId="77777777" w:rsidR="00C324CF" w:rsidRPr="005771D8" w:rsidRDefault="00C324CF" w:rsidP="00C324CF">
      <w:pPr>
        <w:pStyle w:val="SingleTxtG"/>
        <w:rPr>
          <w:lang w:val="fr-FR"/>
        </w:rPr>
      </w:pPr>
      <w:r>
        <w:rPr>
          <w:lang w:val="fr-FR"/>
        </w:rPr>
        <w:t>7)</w:t>
      </w:r>
      <w:r>
        <w:rPr>
          <w:lang w:val="fr-FR"/>
        </w:rPr>
        <w:tab/>
      </w:r>
      <w:r w:rsidRPr="005771D8">
        <w:rPr>
          <w:lang w:val="fr-FR"/>
        </w:rPr>
        <w:t>Le projet de directive 4 recommande que les différends entre organisations internationales ou entre organisations internationales et États soient réglés de bonne foi et dans un esprit de coopération, également une formulation inspirée du paragraphe</w:t>
      </w:r>
      <w:r>
        <w:rPr>
          <w:lang w:val="fr-FR"/>
        </w:rPr>
        <w:t> </w:t>
      </w:r>
      <w:r w:rsidRPr="005771D8">
        <w:rPr>
          <w:lang w:val="fr-FR"/>
        </w:rPr>
        <w:t>5 de la Déclaration de Manille. Il est ainsi précisé que la bonne foi et la coopération sont des obligations sous-jacentes qui devraient guider les efforts de règlement des différends couverts par la Deuxième partie.</w:t>
      </w:r>
    </w:p>
    <w:p w14:paraId="2D751A9B" w14:textId="7947026B" w:rsidR="00C324CF" w:rsidRPr="005771D8" w:rsidRDefault="00C324CF" w:rsidP="00A77064">
      <w:pPr>
        <w:pStyle w:val="H23G"/>
        <w:ind w:left="1701" w:firstLine="0"/>
        <w:rPr>
          <w:lang w:val="fr-FR"/>
        </w:rPr>
      </w:pPr>
      <w:r>
        <w:rPr>
          <w:lang w:val="fr-FR"/>
        </w:rPr>
        <w:tab/>
      </w:r>
      <w:r w:rsidRPr="005771D8">
        <w:rPr>
          <w:lang w:val="fr-FR"/>
        </w:rPr>
        <w:t>Directive 5</w:t>
      </w:r>
      <w:r>
        <w:rPr>
          <w:lang w:val="fr-FR"/>
        </w:rPr>
        <w:br/>
      </w:r>
      <w:bookmarkStart w:id="46" w:name="_Hlk175323355"/>
      <w:r w:rsidRPr="005771D8">
        <w:rPr>
          <w:lang w:val="fr-FR"/>
        </w:rPr>
        <w:t xml:space="preserve">Caractère accessible des moyens de règlement des différends </w:t>
      </w:r>
      <w:bookmarkEnd w:id="46"/>
    </w:p>
    <w:p w14:paraId="008A84CE" w14:textId="1D8BA858" w:rsidR="00C324CF" w:rsidRPr="005771D8" w:rsidRDefault="00C324CF" w:rsidP="00A77064">
      <w:pPr>
        <w:pStyle w:val="SingleTxtG"/>
        <w:ind w:left="1701" w:firstLine="567"/>
        <w:rPr>
          <w:rFonts w:asciiTheme="majorBidi" w:hAnsiTheme="majorBidi" w:cstheme="majorBidi"/>
          <w:lang w:val="fr-FR"/>
        </w:rPr>
      </w:pPr>
      <w:r w:rsidRPr="005771D8">
        <w:rPr>
          <w:lang w:val="fr-FR"/>
        </w:rPr>
        <w:t>Les moyens de règlement des différends, y compris l</w:t>
      </w:r>
      <w:r w:rsidR="004C5E26">
        <w:rPr>
          <w:lang w:val="fr-FR"/>
        </w:rPr>
        <w:t>’</w:t>
      </w:r>
      <w:r w:rsidRPr="005771D8">
        <w:rPr>
          <w:lang w:val="fr-FR"/>
        </w:rPr>
        <w:t>arbitrage et le règlement judiciaire, selon qu</w:t>
      </w:r>
      <w:r w:rsidR="004C5E26">
        <w:rPr>
          <w:lang w:val="fr-FR"/>
        </w:rPr>
        <w:t>’</w:t>
      </w:r>
      <w:r w:rsidRPr="005771D8">
        <w:rPr>
          <w:lang w:val="fr-FR"/>
        </w:rPr>
        <w:t>il convient, devraient être rendus plus largement accessibles pour le règlement des différends entre organisations internationales ou entre organisations internationales et États.</w:t>
      </w:r>
    </w:p>
    <w:p w14:paraId="5D1573CE" w14:textId="77777777" w:rsidR="00C324CF" w:rsidRPr="005771D8" w:rsidRDefault="00C324CF" w:rsidP="00C324CF">
      <w:pPr>
        <w:pStyle w:val="H23G"/>
        <w:rPr>
          <w:lang w:val="fr-FR"/>
        </w:rPr>
      </w:pPr>
      <w:r>
        <w:rPr>
          <w:lang w:val="fr-FR"/>
        </w:rPr>
        <w:lastRenderedPageBreak/>
        <w:tab/>
      </w:r>
      <w:r>
        <w:rPr>
          <w:lang w:val="fr-FR"/>
        </w:rPr>
        <w:tab/>
      </w:r>
      <w:r w:rsidRPr="005771D8">
        <w:rPr>
          <w:lang w:val="fr-FR"/>
        </w:rPr>
        <w:t>Commentaire</w:t>
      </w:r>
    </w:p>
    <w:p w14:paraId="1B087CAE" w14:textId="7F577679" w:rsidR="00C324CF" w:rsidRPr="005771D8" w:rsidRDefault="00C324CF" w:rsidP="00C324CF">
      <w:pPr>
        <w:pStyle w:val="SingleTxtG"/>
        <w:rPr>
          <w:lang w:val="fr-FR"/>
        </w:rPr>
      </w:pPr>
      <w:r>
        <w:rPr>
          <w:lang w:val="fr-FR"/>
        </w:rPr>
        <w:t>1)</w:t>
      </w:r>
      <w:r>
        <w:rPr>
          <w:lang w:val="fr-FR"/>
        </w:rPr>
        <w:tab/>
      </w:r>
      <w:r w:rsidRPr="005771D8">
        <w:rPr>
          <w:lang w:val="fr-FR"/>
        </w:rPr>
        <w:t>Le projet de directive 5 traite de l</w:t>
      </w:r>
      <w:r w:rsidR="004C5E26">
        <w:rPr>
          <w:lang w:val="fr-FR"/>
        </w:rPr>
        <w:t>’</w:t>
      </w:r>
      <w:r w:rsidRPr="005771D8">
        <w:rPr>
          <w:lang w:val="fr-FR"/>
        </w:rPr>
        <w:t>accessibilité des moyens de règlement des différends. Alors que le projet de directive 4 recommande le recours aux moyens appropriés pour le règlement pacifique des différends auxquels des organisations internationales sont parties, le projet de directive 5 porte sur la question distincte de l</w:t>
      </w:r>
      <w:r w:rsidR="004C5E26">
        <w:rPr>
          <w:lang w:val="fr-FR"/>
        </w:rPr>
        <w:t>’</w:t>
      </w:r>
      <w:r w:rsidRPr="005771D8">
        <w:rPr>
          <w:lang w:val="fr-FR"/>
        </w:rPr>
        <w:t>existence et de l</w:t>
      </w:r>
      <w:r w:rsidR="004C5E26">
        <w:rPr>
          <w:lang w:val="fr-FR"/>
        </w:rPr>
        <w:t>’</w:t>
      </w:r>
      <w:r w:rsidRPr="005771D8">
        <w:rPr>
          <w:lang w:val="fr-FR"/>
        </w:rPr>
        <w:t>accessibilité effectives des moyens de règlement des différends.</w:t>
      </w:r>
    </w:p>
    <w:p w14:paraId="2FA3F228" w14:textId="1A3652DD" w:rsidR="00C324CF" w:rsidRPr="005771D8" w:rsidRDefault="00C324CF" w:rsidP="00C324CF">
      <w:pPr>
        <w:pStyle w:val="SingleTxtG"/>
        <w:rPr>
          <w:lang w:val="fr-FR"/>
        </w:rPr>
      </w:pPr>
      <w:r>
        <w:rPr>
          <w:lang w:val="fr-FR"/>
        </w:rPr>
        <w:t>2)</w:t>
      </w:r>
      <w:r>
        <w:rPr>
          <w:lang w:val="fr-FR"/>
        </w:rPr>
        <w:tab/>
      </w:r>
      <w:r w:rsidRPr="005771D8">
        <w:rPr>
          <w:lang w:val="fr-FR"/>
        </w:rPr>
        <w:t xml:space="preserve">Le projet de </w:t>
      </w:r>
      <w:r w:rsidRPr="00A4387D">
        <w:rPr>
          <w:lang w:val="fr-FR"/>
        </w:rPr>
        <w:t>directive 5 recommande que les moyens de règlement des différends visés à l</w:t>
      </w:r>
      <w:r w:rsidR="004C5E26">
        <w:rPr>
          <w:lang w:val="fr-FR"/>
        </w:rPr>
        <w:t>’</w:t>
      </w:r>
      <w:r w:rsidRPr="00A4387D">
        <w:rPr>
          <w:lang w:val="fr-FR"/>
        </w:rPr>
        <w:t>alinéa c) du projet de directive 2 soient rendus plus accessibles. La notion d</w:t>
      </w:r>
      <w:r w:rsidR="004C5E26">
        <w:rPr>
          <w:lang w:val="fr-FR"/>
        </w:rPr>
        <w:t>’</w:t>
      </w:r>
      <w:r w:rsidRPr="00A4387D">
        <w:rPr>
          <w:lang w:val="fr-FR"/>
        </w:rPr>
        <w:t>« accessibilité » a été choisie pour mettre l</w:t>
      </w:r>
      <w:r w:rsidR="004C5E26">
        <w:rPr>
          <w:lang w:val="fr-FR"/>
        </w:rPr>
        <w:t>’</w:t>
      </w:r>
      <w:r w:rsidRPr="00A4387D">
        <w:rPr>
          <w:lang w:val="fr-FR"/>
        </w:rPr>
        <w:t>accent sur des questions pratiques, telles que les coûts et les recours juridiques</w:t>
      </w:r>
      <w:r w:rsidRPr="005771D8">
        <w:rPr>
          <w:lang w:val="fr-FR"/>
        </w:rPr>
        <w:t xml:space="preserve"> disponibles, et pas uniquement sur l</w:t>
      </w:r>
      <w:r w:rsidR="004C5E26">
        <w:rPr>
          <w:lang w:val="fr-FR"/>
        </w:rPr>
        <w:t>’</w:t>
      </w:r>
      <w:r w:rsidRPr="005771D8">
        <w:rPr>
          <w:lang w:val="fr-FR"/>
        </w:rPr>
        <w:t>existence en droit de moyens de règlement des différends. La recommandation selon laquelle les moyens de règlement des différends, y compris l</w:t>
      </w:r>
      <w:r w:rsidR="004C5E26">
        <w:rPr>
          <w:lang w:val="fr-FR"/>
        </w:rPr>
        <w:t>’</w:t>
      </w:r>
      <w:r w:rsidRPr="005771D8">
        <w:rPr>
          <w:lang w:val="fr-FR"/>
        </w:rPr>
        <w:t>arbitrage et le règlement judiciaire, selon qu</w:t>
      </w:r>
      <w:r w:rsidR="004C5E26">
        <w:rPr>
          <w:lang w:val="fr-FR"/>
        </w:rPr>
        <w:t>’</w:t>
      </w:r>
      <w:r w:rsidRPr="005771D8">
        <w:rPr>
          <w:lang w:val="fr-FR"/>
        </w:rPr>
        <w:t xml:space="preserve">il convient, devraient être rendus plus largement accessibles vise à mettre </w:t>
      </w:r>
      <w:r>
        <w:rPr>
          <w:lang w:val="fr-FR"/>
        </w:rPr>
        <w:t>l</w:t>
      </w:r>
      <w:r w:rsidR="004C5E26">
        <w:rPr>
          <w:lang w:val="fr-FR"/>
        </w:rPr>
        <w:t>’</w:t>
      </w:r>
      <w:r>
        <w:rPr>
          <w:lang w:val="fr-FR"/>
        </w:rPr>
        <w:t>accent sur</w:t>
      </w:r>
      <w:r w:rsidRPr="005771D8">
        <w:rPr>
          <w:lang w:val="fr-FR"/>
        </w:rPr>
        <w:t xml:space="preserve"> les aspects pratiques du recours aux différents modes de règlement des différends auxquels des organisations internationales sont parties</w:t>
      </w:r>
    </w:p>
    <w:p w14:paraId="3F8DC54B" w14:textId="7D454C74" w:rsidR="00C324CF" w:rsidRPr="005771D8" w:rsidRDefault="00C324CF" w:rsidP="00C324CF">
      <w:pPr>
        <w:pStyle w:val="SingleTxtG"/>
        <w:rPr>
          <w:lang w:val="fr-FR"/>
        </w:rPr>
      </w:pPr>
      <w:r>
        <w:rPr>
          <w:lang w:val="fr-FR"/>
        </w:rPr>
        <w:t>3)</w:t>
      </w:r>
      <w:r>
        <w:rPr>
          <w:lang w:val="fr-FR"/>
        </w:rPr>
        <w:tab/>
      </w:r>
      <w:r w:rsidRPr="005771D8">
        <w:rPr>
          <w:lang w:val="fr-FR"/>
        </w:rPr>
        <w:t>Si les modes de règlement amiable des différends, tels que la négociation ou l</w:t>
      </w:r>
      <w:r>
        <w:rPr>
          <w:lang w:val="fr-FR"/>
        </w:rPr>
        <w:t>es</w:t>
      </w:r>
      <w:r w:rsidRPr="005771D8">
        <w:rPr>
          <w:lang w:val="fr-FR"/>
        </w:rPr>
        <w:t xml:space="preserve"> consultation</w:t>
      </w:r>
      <w:r>
        <w:rPr>
          <w:lang w:val="fr-FR"/>
        </w:rPr>
        <w:t>s</w:t>
      </w:r>
      <w:r w:rsidRPr="005771D8">
        <w:rPr>
          <w:lang w:val="fr-FR"/>
        </w:rPr>
        <w:t>, sont pratiquement toujours disponibles, d</w:t>
      </w:r>
      <w:r w:rsidR="004C5E26">
        <w:rPr>
          <w:lang w:val="fr-FR"/>
        </w:rPr>
        <w:t>’</w:t>
      </w:r>
      <w:r w:rsidRPr="005771D8">
        <w:rPr>
          <w:lang w:val="fr-FR"/>
        </w:rPr>
        <w:t>autres moyens de règlement des différends, en particulier ceux qui font intervenir des tiers neutres, peuvent l</w:t>
      </w:r>
      <w:r w:rsidR="004C5E26">
        <w:rPr>
          <w:lang w:val="fr-FR"/>
        </w:rPr>
        <w:t>’</w:t>
      </w:r>
      <w:r w:rsidRPr="005771D8">
        <w:rPr>
          <w:lang w:val="fr-FR"/>
        </w:rPr>
        <w:t>être beaucoup moins. Par exemple, dans la pratique, les organisations internationales ou les États ont souvent uniquement accès à l</w:t>
      </w:r>
      <w:r w:rsidR="004C5E26">
        <w:rPr>
          <w:lang w:val="fr-FR"/>
        </w:rPr>
        <w:t>’</w:t>
      </w:r>
      <w:r w:rsidRPr="005771D8">
        <w:rPr>
          <w:lang w:val="fr-FR"/>
        </w:rPr>
        <w:t>arbitrage ou au règlement judiciaire si ces moyens de règlement des différends ont été expressément prévus</w:t>
      </w:r>
      <w:r w:rsidRPr="00E9227E">
        <w:rPr>
          <w:rStyle w:val="Appelnotedebasdep"/>
        </w:rPr>
        <w:footnoteReference w:id="57"/>
      </w:r>
      <w:r w:rsidRPr="005771D8">
        <w:rPr>
          <w:lang w:val="fr-FR"/>
        </w:rPr>
        <w:t>. Les organisations internationales et les États sont toujours libres de convenir de manière ad hoc d</w:t>
      </w:r>
      <w:r w:rsidR="004C5E26">
        <w:rPr>
          <w:lang w:val="fr-FR"/>
        </w:rPr>
        <w:t>’</w:t>
      </w:r>
      <w:r w:rsidRPr="005771D8">
        <w:rPr>
          <w:lang w:val="fr-FR"/>
        </w:rPr>
        <w:t>un mode particulier de règlement des différends, lorsqu</w:t>
      </w:r>
      <w:r w:rsidR="004C5E26">
        <w:rPr>
          <w:lang w:val="fr-FR"/>
        </w:rPr>
        <w:t>’</w:t>
      </w:r>
      <w:r w:rsidRPr="005771D8">
        <w:rPr>
          <w:lang w:val="fr-FR"/>
        </w:rPr>
        <w:t xml:space="preserve">un différend a déjà surgi. La pratique montre, toutefois, que de tels accords </w:t>
      </w:r>
      <w:r w:rsidRPr="005771D8">
        <w:rPr>
          <w:i/>
          <w:iCs/>
          <w:lang w:val="fr-FR"/>
        </w:rPr>
        <w:t>ex post</w:t>
      </w:r>
      <w:r w:rsidRPr="005771D8">
        <w:rPr>
          <w:lang w:val="fr-FR"/>
        </w:rPr>
        <w:t xml:space="preserve"> visant à régler des différends par voie d</w:t>
      </w:r>
      <w:r w:rsidR="004C5E26">
        <w:rPr>
          <w:lang w:val="fr-FR"/>
        </w:rPr>
        <w:t>’</w:t>
      </w:r>
      <w:r w:rsidRPr="005771D8">
        <w:rPr>
          <w:lang w:val="fr-FR"/>
        </w:rPr>
        <w:t>arbitrage ou de règlement judiciaire sont rares</w:t>
      </w:r>
      <w:r w:rsidRPr="00E9227E">
        <w:rPr>
          <w:rStyle w:val="Appelnotedebasdep"/>
        </w:rPr>
        <w:footnoteReference w:id="58"/>
      </w:r>
      <w:r w:rsidRPr="005771D8">
        <w:rPr>
          <w:lang w:val="fr-FR"/>
        </w:rPr>
        <w:t>. Par conséquent, il paraît utile de recommander que ces modes de règlement des différends soient rendus plus largement accessibles afin qu</w:t>
      </w:r>
      <w:r w:rsidR="004C5E26">
        <w:rPr>
          <w:lang w:val="fr-FR"/>
        </w:rPr>
        <w:t>’</w:t>
      </w:r>
      <w:r w:rsidRPr="005771D8">
        <w:rPr>
          <w:lang w:val="fr-FR"/>
        </w:rPr>
        <w:t>ils soient disponibles dans la pratique.</w:t>
      </w:r>
    </w:p>
    <w:p w14:paraId="3CD6A324" w14:textId="2AA93276" w:rsidR="00C324CF" w:rsidRPr="005771D8" w:rsidRDefault="00C324CF" w:rsidP="00C324CF">
      <w:pPr>
        <w:pStyle w:val="SingleTxtG"/>
        <w:rPr>
          <w:lang w:val="fr-FR"/>
        </w:rPr>
      </w:pPr>
      <w:r>
        <w:rPr>
          <w:lang w:val="fr-FR"/>
        </w:rPr>
        <w:t>4)</w:t>
      </w:r>
      <w:r>
        <w:rPr>
          <w:lang w:val="fr-FR"/>
        </w:rPr>
        <w:tab/>
      </w:r>
      <w:r w:rsidRPr="005771D8">
        <w:rPr>
          <w:lang w:val="fr-FR"/>
        </w:rPr>
        <w:t>Pas plus que le projet de directive 4, le projet de directive 5 n</w:t>
      </w:r>
      <w:r w:rsidR="004C5E26">
        <w:rPr>
          <w:lang w:val="fr-FR"/>
        </w:rPr>
        <w:t>’</w:t>
      </w:r>
      <w:r w:rsidRPr="005771D8">
        <w:rPr>
          <w:lang w:val="fr-FR"/>
        </w:rPr>
        <w:t>établit de hiérarchie entre les différents moyens de règlement des différends. C</w:t>
      </w:r>
      <w:r w:rsidR="004C5E26">
        <w:rPr>
          <w:lang w:val="fr-FR"/>
        </w:rPr>
        <w:t>’</w:t>
      </w:r>
      <w:r w:rsidRPr="005771D8">
        <w:rPr>
          <w:lang w:val="fr-FR"/>
        </w:rPr>
        <w:t>est ce que souligne la formule «</w:t>
      </w:r>
      <w:r w:rsidR="00F93FB1">
        <w:rPr>
          <w:lang w:val="fr-FR"/>
        </w:rPr>
        <w:t> </w:t>
      </w:r>
      <w:r w:rsidRPr="005771D8">
        <w:rPr>
          <w:lang w:val="fr-FR"/>
        </w:rPr>
        <w:t>selon qu</w:t>
      </w:r>
      <w:r w:rsidR="004C5E26">
        <w:rPr>
          <w:lang w:val="fr-FR"/>
        </w:rPr>
        <w:t>’</w:t>
      </w:r>
      <w:r w:rsidRPr="005771D8">
        <w:rPr>
          <w:lang w:val="fr-FR"/>
        </w:rPr>
        <w:t>il convient</w:t>
      </w:r>
      <w:r w:rsidR="00F93FB1">
        <w:rPr>
          <w:lang w:val="fr-FR"/>
        </w:rPr>
        <w:t> </w:t>
      </w:r>
      <w:r w:rsidRPr="005771D8">
        <w:rPr>
          <w:lang w:val="fr-FR"/>
        </w:rPr>
        <w:t>», qui suit le membre de phrase «</w:t>
      </w:r>
      <w:r w:rsidR="00F93FB1">
        <w:rPr>
          <w:lang w:val="fr-FR"/>
        </w:rPr>
        <w:t> </w:t>
      </w:r>
      <w:r w:rsidRPr="005771D8">
        <w:rPr>
          <w:lang w:val="fr-FR"/>
        </w:rPr>
        <w:t>les moyens de règlement de différends, y compris l</w:t>
      </w:r>
      <w:r w:rsidR="004C5E26">
        <w:rPr>
          <w:lang w:val="fr-FR"/>
        </w:rPr>
        <w:t>’</w:t>
      </w:r>
      <w:r w:rsidRPr="005771D8">
        <w:rPr>
          <w:lang w:val="fr-FR"/>
        </w:rPr>
        <w:t>arbitrage et le règlement judiciaire</w:t>
      </w:r>
      <w:r w:rsidR="00F93FB1">
        <w:rPr>
          <w:lang w:val="fr-FR"/>
        </w:rPr>
        <w:t> </w:t>
      </w:r>
      <w:r w:rsidRPr="005771D8">
        <w:rPr>
          <w:lang w:val="fr-FR"/>
        </w:rPr>
        <w:t>». Cette formule concorde aussi avec l</w:t>
      </w:r>
      <w:r w:rsidR="004C5E26">
        <w:rPr>
          <w:lang w:val="fr-FR"/>
        </w:rPr>
        <w:t>’</w:t>
      </w:r>
      <w:r w:rsidRPr="005771D8">
        <w:rPr>
          <w:lang w:val="fr-FR"/>
        </w:rPr>
        <w:t xml:space="preserve">idée exprimée dans le projet de directive 4 selon laquelle différents moyens de règlement des différends peuvent être appropriés au règlement de différents types de différends. </w:t>
      </w:r>
    </w:p>
    <w:p w14:paraId="113D6E34" w14:textId="41856006" w:rsidR="00C324CF" w:rsidRPr="005771D8" w:rsidRDefault="00C324CF" w:rsidP="00C324CF">
      <w:pPr>
        <w:pStyle w:val="SingleTxtG"/>
        <w:rPr>
          <w:lang w:val="fr-FR"/>
        </w:rPr>
      </w:pPr>
      <w:r>
        <w:rPr>
          <w:lang w:val="fr-FR"/>
        </w:rPr>
        <w:t>5)</w:t>
      </w:r>
      <w:r>
        <w:rPr>
          <w:lang w:val="fr-FR"/>
        </w:rPr>
        <w:tab/>
      </w:r>
      <w:r w:rsidRPr="005771D8">
        <w:rPr>
          <w:lang w:val="fr-FR"/>
        </w:rPr>
        <w:t>Le projet de directive 5 recommande que tous les moyens de règlement des différends soient rendus plus largement accessibles et ne donne la priorité à aucun moyen en particulier. Le membre de phrase «</w:t>
      </w:r>
      <w:r w:rsidR="00F93FB1">
        <w:rPr>
          <w:lang w:val="fr-FR"/>
        </w:rPr>
        <w:t> </w:t>
      </w:r>
      <w:r w:rsidRPr="005771D8">
        <w:rPr>
          <w:lang w:val="fr-FR"/>
        </w:rPr>
        <w:t>y compris l</w:t>
      </w:r>
      <w:r w:rsidR="004C5E26">
        <w:rPr>
          <w:lang w:val="fr-FR"/>
        </w:rPr>
        <w:t>’</w:t>
      </w:r>
      <w:r w:rsidRPr="005771D8">
        <w:rPr>
          <w:lang w:val="fr-FR"/>
        </w:rPr>
        <w:t>arbitrage et le règlement judiciaire</w:t>
      </w:r>
      <w:r w:rsidR="00F93FB1">
        <w:rPr>
          <w:lang w:val="fr-FR"/>
        </w:rPr>
        <w:t> </w:t>
      </w:r>
      <w:r w:rsidRPr="005771D8">
        <w:rPr>
          <w:lang w:val="fr-FR"/>
        </w:rPr>
        <w:t>» a été ajouté, parce que ces méthodes de règlement des différends sont particulièrement inaccessibles si elles n</w:t>
      </w:r>
      <w:r w:rsidR="004C5E26">
        <w:rPr>
          <w:lang w:val="fr-FR"/>
        </w:rPr>
        <w:t>’</w:t>
      </w:r>
      <w:r w:rsidRPr="005771D8">
        <w:rPr>
          <w:lang w:val="fr-FR"/>
        </w:rPr>
        <w:t>ont pas été expressément prévues. La Commission a relevé à plusieurs reprises le problème que pose l</w:t>
      </w:r>
      <w:r w:rsidR="004C5E26">
        <w:rPr>
          <w:lang w:val="fr-FR"/>
        </w:rPr>
        <w:t>’</w:t>
      </w:r>
      <w:r w:rsidRPr="005771D8">
        <w:rPr>
          <w:lang w:val="fr-FR"/>
        </w:rPr>
        <w:t>accès limité qu</w:t>
      </w:r>
      <w:r w:rsidR="004C5E26">
        <w:rPr>
          <w:lang w:val="fr-FR"/>
        </w:rPr>
        <w:t>’</w:t>
      </w:r>
      <w:r w:rsidRPr="005771D8">
        <w:rPr>
          <w:lang w:val="fr-FR"/>
        </w:rPr>
        <w:t>ont les organisations internationales à la justice</w:t>
      </w:r>
      <w:r w:rsidRPr="00E9227E">
        <w:rPr>
          <w:rStyle w:val="Appelnotedebasdep"/>
        </w:rPr>
        <w:footnoteReference w:id="59"/>
      </w:r>
      <w:r w:rsidRPr="005771D8">
        <w:rPr>
          <w:lang w:val="fr-FR"/>
        </w:rPr>
        <w:t>.</w:t>
      </w:r>
    </w:p>
    <w:p w14:paraId="7CB9775C" w14:textId="2669E6DA" w:rsidR="00C324CF" w:rsidRPr="005771D8" w:rsidRDefault="00C324CF" w:rsidP="00C324CF">
      <w:pPr>
        <w:pStyle w:val="SingleTxtG"/>
        <w:rPr>
          <w:lang w:val="fr-FR"/>
        </w:rPr>
      </w:pPr>
      <w:r>
        <w:rPr>
          <w:lang w:val="fr-FR"/>
        </w:rPr>
        <w:lastRenderedPageBreak/>
        <w:t>6)</w:t>
      </w:r>
      <w:r>
        <w:rPr>
          <w:lang w:val="fr-FR"/>
        </w:rPr>
        <w:tab/>
      </w:r>
      <w:r w:rsidRPr="005771D8">
        <w:rPr>
          <w:lang w:val="fr-FR"/>
        </w:rPr>
        <w:t>L</w:t>
      </w:r>
      <w:r w:rsidR="004C5E26">
        <w:rPr>
          <w:lang w:val="fr-FR"/>
        </w:rPr>
        <w:t>’</w:t>
      </w:r>
      <w:r w:rsidRPr="005771D8">
        <w:rPr>
          <w:lang w:val="fr-FR"/>
        </w:rPr>
        <w:t>accès limité qu</w:t>
      </w:r>
      <w:r w:rsidR="004C5E26">
        <w:rPr>
          <w:lang w:val="fr-FR"/>
        </w:rPr>
        <w:t>’</w:t>
      </w:r>
      <w:r w:rsidRPr="005771D8">
        <w:rPr>
          <w:lang w:val="fr-FR"/>
        </w:rPr>
        <w:t>ont les organisations internationales aux mécanismes de règlement des différends en général, et à la Cour internationale de Justice en particulier, a donné lieu à des appels répétés en faveur d</w:t>
      </w:r>
      <w:r w:rsidR="004C5E26">
        <w:rPr>
          <w:lang w:val="fr-FR"/>
        </w:rPr>
        <w:t>’</w:t>
      </w:r>
      <w:r w:rsidRPr="005771D8">
        <w:rPr>
          <w:lang w:val="fr-FR"/>
        </w:rPr>
        <w:t>un accès plus large de l</w:t>
      </w:r>
      <w:r w:rsidR="004C5E26">
        <w:rPr>
          <w:lang w:val="fr-FR"/>
        </w:rPr>
        <w:t>’</w:t>
      </w:r>
      <w:r w:rsidRPr="005771D8">
        <w:rPr>
          <w:lang w:val="fr-FR"/>
        </w:rPr>
        <w:t>ONU et de ses institutions spécialisées, ainsi que des organisations internationales en général, à la Cour, notamment à sa procédure contentieuse</w:t>
      </w:r>
      <w:r w:rsidRPr="00E9227E">
        <w:rPr>
          <w:rStyle w:val="Appelnotedebasdep"/>
        </w:rPr>
        <w:footnoteReference w:id="60"/>
      </w:r>
      <w:r w:rsidRPr="005771D8">
        <w:rPr>
          <w:lang w:val="fr-FR"/>
        </w:rPr>
        <w:t>.</w:t>
      </w:r>
    </w:p>
    <w:p w14:paraId="722506A5" w14:textId="56C065F0" w:rsidR="00C324CF" w:rsidRPr="005771D8" w:rsidRDefault="00C324CF" w:rsidP="00C324CF">
      <w:pPr>
        <w:pStyle w:val="SingleTxtG"/>
        <w:rPr>
          <w:lang w:val="fr-FR"/>
        </w:rPr>
      </w:pPr>
      <w:r>
        <w:rPr>
          <w:lang w:val="fr-FR"/>
        </w:rPr>
        <w:t>7)</w:t>
      </w:r>
      <w:r>
        <w:rPr>
          <w:lang w:val="fr-FR"/>
        </w:rPr>
        <w:tab/>
      </w:r>
      <w:r w:rsidRPr="005771D8">
        <w:rPr>
          <w:lang w:val="fr-FR"/>
        </w:rPr>
        <w:t>La recommandation selon laquelle les moyens de règlement des différends, y compris l</w:t>
      </w:r>
      <w:r w:rsidR="004C5E26">
        <w:rPr>
          <w:lang w:val="fr-FR"/>
        </w:rPr>
        <w:t>’</w:t>
      </w:r>
      <w:r w:rsidRPr="005771D8">
        <w:rPr>
          <w:lang w:val="fr-FR"/>
        </w:rPr>
        <w:t xml:space="preserve">arbitrage et le règlement judiciaire, devraient être rendus plus largement accessibles pour le règlement des différends visés dans la Deuxième partie </w:t>
      </w:r>
      <w:r>
        <w:rPr>
          <w:lang w:val="fr-FR"/>
        </w:rPr>
        <w:t>du projet de</w:t>
      </w:r>
      <w:r w:rsidRPr="005771D8">
        <w:rPr>
          <w:lang w:val="fr-FR"/>
        </w:rPr>
        <w:t xml:space="preserve"> directives n</w:t>
      </w:r>
      <w:r w:rsidR="004C5E26">
        <w:rPr>
          <w:lang w:val="fr-FR"/>
        </w:rPr>
        <w:t>’</w:t>
      </w:r>
      <w:r w:rsidRPr="005771D8">
        <w:rPr>
          <w:lang w:val="fr-FR"/>
        </w:rPr>
        <w:t>a pas pour but d</w:t>
      </w:r>
      <w:r w:rsidR="004C5E26">
        <w:rPr>
          <w:lang w:val="fr-FR"/>
        </w:rPr>
        <w:t>’</w:t>
      </w:r>
      <w:r w:rsidRPr="005771D8">
        <w:rPr>
          <w:lang w:val="fr-FR"/>
        </w:rPr>
        <w:t>encourager le recours à certains modes de règlement des différends, notamment l</w:t>
      </w:r>
      <w:r w:rsidR="004C5E26">
        <w:rPr>
          <w:lang w:val="fr-FR"/>
        </w:rPr>
        <w:t>’</w:t>
      </w:r>
      <w:r w:rsidRPr="005771D8">
        <w:rPr>
          <w:lang w:val="fr-FR"/>
        </w:rPr>
        <w:t>action en justice ou l</w:t>
      </w:r>
      <w:r w:rsidR="004C5E26">
        <w:rPr>
          <w:lang w:val="fr-FR"/>
        </w:rPr>
        <w:t>’</w:t>
      </w:r>
      <w:r w:rsidRPr="005771D8">
        <w:rPr>
          <w:lang w:val="fr-FR"/>
        </w:rPr>
        <w:t>arbitrage. Elle repose plutôt sur l</w:t>
      </w:r>
      <w:r w:rsidR="004C5E26">
        <w:rPr>
          <w:lang w:val="fr-FR"/>
        </w:rPr>
        <w:t>’</w:t>
      </w:r>
      <w:r w:rsidRPr="005771D8">
        <w:rPr>
          <w:lang w:val="fr-FR"/>
        </w:rPr>
        <w:t>idée que la disponibilité et l</w:t>
      </w:r>
      <w:r w:rsidR="004C5E26">
        <w:rPr>
          <w:lang w:val="fr-FR"/>
        </w:rPr>
        <w:t>’</w:t>
      </w:r>
      <w:r w:rsidRPr="005771D8">
        <w:rPr>
          <w:lang w:val="fr-FR"/>
        </w:rPr>
        <w:t xml:space="preserve">accessibilité de ces moyens contribueront à ce </w:t>
      </w:r>
      <w:r w:rsidRPr="003F3851">
        <w:rPr>
          <w:lang w:val="fr-FR"/>
        </w:rPr>
        <w:t xml:space="preserve">que les différends soient réglés par </w:t>
      </w:r>
      <w:r>
        <w:rPr>
          <w:lang w:val="fr-FR"/>
        </w:rPr>
        <w:t>des</w:t>
      </w:r>
      <w:r w:rsidRPr="003F3851">
        <w:rPr>
          <w:lang w:val="fr-FR"/>
        </w:rPr>
        <w:t xml:space="preserve"> moyens</w:t>
      </w:r>
      <w:r>
        <w:rPr>
          <w:lang w:val="fr-FR"/>
        </w:rPr>
        <w:t xml:space="preserve"> alternatifs</w:t>
      </w:r>
      <w:r w:rsidRPr="00E9227E">
        <w:rPr>
          <w:rStyle w:val="Appelnotedebasdep"/>
        </w:rPr>
        <w:footnoteReference w:id="61"/>
      </w:r>
      <w:r w:rsidRPr="003F3851">
        <w:rPr>
          <w:lang w:val="fr-FR"/>
        </w:rPr>
        <w:t>.</w:t>
      </w:r>
    </w:p>
    <w:p w14:paraId="117CDC75" w14:textId="19D3BA42" w:rsidR="00C324CF" w:rsidRPr="005771D8" w:rsidRDefault="00C324CF" w:rsidP="00A77064">
      <w:pPr>
        <w:pStyle w:val="H23G"/>
        <w:ind w:left="1701" w:firstLine="0"/>
        <w:rPr>
          <w:lang w:val="fr-FR"/>
        </w:rPr>
      </w:pPr>
      <w:r>
        <w:rPr>
          <w:lang w:val="fr-FR"/>
        </w:rPr>
        <w:tab/>
      </w:r>
      <w:r w:rsidRPr="005771D8">
        <w:rPr>
          <w:lang w:val="fr-FR"/>
        </w:rPr>
        <w:t>Directive 6</w:t>
      </w:r>
      <w:r>
        <w:rPr>
          <w:lang w:val="fr-FR"/>
        </w:rPr>
        <w:br/>
      </w:r>
      <w:bookmarkStart w:id="47" w:name="_Hlk175323365"/>
      <w:r w:rsidRPr="005771D8">
        <w:rPr>
          <w:lang w:val="fr-FR"/>
        </w:rPr>
        <w:t xml:space="preserve">Exigences relatives au règlement juridictionnel </w:t>
      </w:r>
      <w:bookmarkEnd w:id="47"/>
    </w:p>
    <w:p w14:paraId="7E22395C" w14:textId="090B254C" w:rsidR="00C324CF" w:rsidRPr="005771D8" w:rsidRDefault="00C324CF" w:rsidP="00A77064">
      <w:pPr>
        <w:pStyle w:val="SingleTxtG"/>
        <w:ind w:left="1701" w:firstLine="567"/>
        <w:rPr>
          <w:rFonts w:asciiTheme="majorBidi" w:hAnsiTheme="majorBidi" w:cstheme="majorBidi"/>
          <w:lang w:val="fr-FR"/>
        </w:rPr>
      </w:pPr>
      <w:r w:rsidRPr="005771D8">
        <w:rPr>
          <w:lang w:val="fr-FR"/>
        </w:rPr>
        <w:t>L</w:t>
      </w:r>
      <w:r w:rsidR="004C5E26">
        <w:rPr>
          <w:lang w:val="fr-FR"/>
        </w:rPr>
        <w:t>’</w:t>
      </w:r>
      <w:r w:rsidRPr="005771D8">
        <w:rPr>
          <w:lang w:val="fr-FR"/>
        </w:rPr>
        <w:t>arbitrage et le règlement judiciaire doivent respecter les exigences d</w:t>
      </w:r>
      <w:r w:rsidR="004C5E26">
        <w:rPr>
          <w:lang w:val="fr-FR"/>
        </w:rPr>
        <w:t>’</w:t>
      </w:r>
      <w:r w:rsidRPr="005771D8">
        <w:rPr>
          <w:lang w:val="fr-FR"/>
        </w:rPr>
        <w:t>indépendance et d</w:t>
      </w:r>
      <w:r w:rsidR="004C5E26">
        <w:rPr>
          <w:lang w:val="fr-FR"/>
        </w:rPr>
        <w:t>’</w:t>
      </w:r>
      <w:r w:rsidRPr="005771D8">
        <w:rPr>
          <w:lang w:val="fr-FR"/>
        </w:rPr>
        <w:t>impartialité des juges et des arbitres ainsi que les garanties d</w:t>
      </w:r>
      <w:r w:rsidR="004C5E26">
        <w:rPr>
          <w:lang w:val="fr-FR"/>
        </w:rPr>
        <w:t>’</w:t>
      </w:r>
      <w:r w:rsidRPr="005771D8">
        <w:rPr>
          <w:lang w:val="fr-FR"/>
        </w:rPr>
        <w:t>une procédure régulière.</w:t>
      </w:r>
    </w:p>
    <w:p w14:paraId="01FF7BDB" w14:textId="77777777" w:rsidR="00C324CF" w:rsidRPr="005771D8" w:rsidRDefault="00C324CF" w:rsidP="00C324CF">
      <w:pPr>
        <w:pStyle w:val="H23G"/>
        <w:rPr>
          <w:lang w:val="fr-FR"/>
        </w:rPr>
      </w:pPr>
      <w:r>
        <w:rPr>
          <w:lang w:val="fr-FR"/>
        </w:rPr>
        <w:tab/>
      </w:r>
      <w:r>
        <w:rPr>
          <w:lang w:val="fr-FR"/>
        </w:rPr>
        <w:tab/>
      </w:r>
      <w:r w:rsidRPr="005771D8">
        <w:rPr>
          <w:lang w:val="fr-FR"/>
        </w:rPr>
        <w:t>Commentaire</w:t>
      </w:r>
    </w:p>
    <w:p w14:paraId="413F36BB" w14:textId="770BF17C" w:rsidR="00C324CF" w:rsidRPr="005771D8" w:rsidRDefault="00C324CF" w:rsidP="00C324CF">
      <w:pPr>
        <w:pStyle w:val="SingleTxtG"/>
        <w:rPr>
          <w:lang w:val="fr-FR"/>
        </w:rPr>
      </w:pPr>
      <w:r>
        <w:rPr>
          <w:lang w:val="fr-FR"/>
        </w:rPr>
        <w:t>1)</w:t>
      </w:r>
      <w:r>
        <w:rPr>
          <w:lang w:val="fr-FR"/>
        </w:rPr>
        <w:tab/>
      </w:r>
      <w:r w:rsidRPr="005771D8">
        <w:rPr>
          <w:lang w:val="fr-FR"/>
        </w:rPr>
        <w:t xml:space="preserve">Le projet de directive 6 traite des exigences fondamentales </w:t>
      </w:r>
      <w:r>
        <w:rPr>
          <w:lang w:val="fr-FR"/>
        </w:rPr>
        <w:t>d</w:t>
      </w:r>
      <w:r w:rsidRPr="005771D8">
        <w:rPr>
          <w:lang w:val="fr-FR"/>
        </w:rPr>
        <w:t>e l</w:t>
      </w:r>
      <w:r w:rsidR="004C5E26">
        <w:rPr>
          <w:lang w:val="fr-FR"/>
        </w:rPr>
        <w:t>’</w:t>
      </w:r>
      <w:r w:rsidRPr="005771D8">
        <w:rPr>
          <w:lang w:val="fr-FR"/>
        </w:rPr>
        <w:t xml:space="preserve">état de droit </w:t>
      </w:r>
      <w:r>
        <w:rPr>
          <w:lang w:val="fr-FR"/>
        </w:rPr>
        <w:t xml:space="preserve">en matière de </w:t>
      </w:r>
      <w:r w:rsidRPr="005771D8">
        <w:rPr>
          <w:lang w:val="fr-FR"/>
        </w:rPr>
        <w:t xml:space="preserve">règlement des différends par voie arbitrale ou judiciaire. </w:t>
      </w:r>
    </w:p>
    <w:p w14:paraId="31238A4A" w14:textId="0861912A" w:rsidR="00C324CF" w:rsidRPr="005771D8" w:rsidRDefault="00C324CF" w:rsidP="00C324CF">
      <w:pPr>
        <w:pStyle w:val="SingleTxtG"/>
        <w:rPr>
          <w:lang w:val="fr-FR"/>
        </w:rPr>
      </w:pPr>
      <w:r>
        <w:rPr>
          <w:lang w:val="fr-FR"/>
        </w:rPr>
        <w:t>2)</w:t>
      </w:r>
      <w:r>
        <w:rPr>
          <w:lang w:val="fr-FR"/>
        </w:rPr>
        <w:tab/>
      </w:r>
      <w:r w:rsidRPr="005771D8">
        <w:rPr>
          <w:lang w:val="fr-FR"/>
        </w:rPr>
        <w:t>La notion d</w:t>
      </w:r>
      <w:r w:rsidR="004C5E26">
        <w:rPr>
          <w:lang w:val="fr-FR"/>
        </w:rPr>
        <w:t>’</w:t>
      </w:r>
      <w:r w:rsidRPr="005771D8">
        <w:rPr>
          <w:lang w:val="fr-FR"/>
        </w:rPr>
        <w:t>état de droit s</w:t>
      </w:r>
      <w:r w:rsidR="004C5E26">
        <w:rPr>
          <w:lang w:val="fr-FR"/>
        </w:rPr>
        <w:t>’</w:t>
      </w:r>
      <w:r w:rsidRPr="005771D8">
        <w:rPr>
          <w:lang w:val="fr-FR"/>
        </w:rPr>
        <w:t>est développée au niveau national. Son applicabilité au niveau international, c</w:t>
      </w:r>
      <w:r w:rsidR="004C5E26">
        <w:rPr>
          <w:lang w:val="fr-FR"/>
        </w:rPr>
        <w:t>’</w:t>
      </w:r>
      <w:r w:rsidRPr="005771D8">
        <w:rPr>
          <w:lang w:val="fr-FR"/>
        </w:rPr>
        <w:t>est-à-dire aux États et aux organisations internationales, est fortement étayée par la déclaration de la réunion de haut niveau de l</w:t>
      </w:r>
      <w:r w:rsidR="004C5E26">
        <w:rPr>
          <w:lang w:val="fr-FR"/>
        </w:rPr>
        <w:t>’</w:t>
      </w:r>
      <w:r w:rsidRPr="005771D8">
        <w:rPr>
          <w:lang w:val="fr-FR"/>
        </w:rPr>
        <w:t>Assemblée générale sur l</w:t>
      </w:r>
      <w:r w:rsidR="004C5E26">
        <w:rPr>
          <w:lang w:val="fr-FR"/>
        </w:rPr>
        <w:t>’</w:t>
      </w:r>
      <w:r w:rsidRPr="005771D8">
        <w:rPr>
          <w:lang w:val="fr-FR"/>
        </w:rPr>
        <w:t>état de droit aux niveaux national et international, adoptée en 2012</w:t>
      </w:r>
      <w:r w:rsidRPr="00E9227E">
        <w:rPr>
          <w:rStyle w:val="Appelnotedebasdep"/>
        </w:rPr>
        <w:footnoteReference w:id="62"/>
      </w:r>
      <w:r w:rsidRPr="005771D8">
        <w:rPr>
          <w:lang w:val="fr-FR"/>
        </w:rPr>
        <w:t>, ainsi que par les résolutions sur le même sujet que l</w:t>
      </w:r>
      <w:r w:rsidR="004C5E26">
        <w:rPr>
          <w:lang w:val="fr-FR"/>
        </w:rPr>
        <w:t>’</w:t>
      </w:r>
      <w:r w:rsidRPr="005771D8">
        <w:rPr>
          <w:lang w:val="fr-FR"/>
        </w:rPr>
        <w:t>Assemblée a adoptées chaque année depuis que la question de l</w:t>
      </w:r>
      <w:r w:rsidR="004C5E26">
        <w:rPr>
          <w:lang w:val="fr-FR"/>
        </w:rPr>
        <w:t>’</w:t>
      </w:r>
      <w:r w:rsidRPr="005771D8">
        <w:rPr>
          <w:lang w:val="fr-FR"/>
        </w:rPr>
        <w:t>état de droit a été inscrite à son ordre du jour en 2006</w:t>
      </w:r>
      <w:r w:rsidRPr="00E9227E">
        <w:rPr>
          <w:rStyle w:val="Appelnotedebasdep"/>
        </w:rPr>
        <w:footnoteReference w:id="63"/>
      </w:r>
      <w:r w:rsidRPr="005771D8">
        <w:rPr>
          <w:lang w:val="fr-FR"/>
        </w:rPr>
        <w:t>. En 2012, l</w:t>
      </w:r>
      <w:r w:rsidR="004C5E26">
        <w:rPr>
          <w:lang w:val="fr-FR"/>
        </w:rPr>
        <w:t>’</w:t>
      </w:r>
      <w:r w:rsidRPr="005771D8">
        <w:rPr>
          <w:lang w:val="fr-FR"/>
        </w:rPr>
        <w:t>Assemblée générale a confirmé dans sa déclaration que «</w:t>
      </w:r>
      <w:r w:rsidR="00F93FB1">
        <w:rPr>
          <w:lang w:val="fr-FR"/>
        </w:rPr>
        <w:t> </w:t>
      </w:r>
      <w:r w:rsidRPr="005771D8">
        <w:rPr>
          <w:lang w:val="fr-FR"/>
        </w:rPr>
        <w:t>l</w:t>
      </w:r>
      <w:r w:rsidR="004C5E26">
        <w:rPr>
          <w:lang w:val="fr-FR"/>
        </w:rPr>
        <w:t>’</w:t>
      </w:r>
      <w:r w:rsidRPr="005771D8">
        <w:rPr>
          <w:lang w:val="fr-FR"/>
        </w:rPr>
        <w:t>état de droit vaut aussi bien pour tous les États que pour les organisations internationales, y compris l</w:t>
      </w:r>
      <w:r w:rsidR="004C5E26">
        <w:rPr>
          <w:lang w:val="fr-FR"/>
        </w:rPr>
        <w:t>’</w:t>
      </w:r>
      <w:r w:rsidRPr="005771D8">
        <w:rPr>
          <w:lang w:val="fr-FR"/>
        </w:rPr>
        <w:t>Organisation des Nations Unies et ses organes principaux, et que le respect et la promotion de l</w:t>
      </w:r>
      <w:r w:rsidR="004C5E26">
        <w:rPr>
          <w:lang w:val="fr-FR"/>
        </w:rPr>
        <w:t>’</w:t>
      </w:r>
      <w:r w:rsidRPr="005771D8">
        <w:rPr>
          <w:lang w:val="fr-FR"/>
        </w:rPr>
        <w:t>état de droit et de la justice devraient guider toutes leurs activités</w:t>
      </w:r>
      <w:r w:rsidR="00F93FB1">
        <w:rPr>
          <w:lang w:val="fr-FR"/>
        </w:rPr>
        <w:t> </w:t>
      </w:r>
      <w:r w:rsidRPr="005771D8">
        <w:rPr>
          <w:lang w:val="fr-FR"/>
        </w:rPr>
        <w:t>»</w:t>
      </w:r>
      <w:r w:rsidRPr="00E9227E">
        <w:rPr>
          <w:rStyle w:val="Appelnotedebasdep"/>
        </w:rPr>
        <w:footnoteReference w:id="64"/>
      </w:r>
      <w:r w:rsidRPr="005771D8">
        <w:rPr>
          <w:lang w:val="fr-FR"/>
        </w:rPr>
        <w:t>.</w:t>
      </w:r>
    </w:p>
    <w:p w14:paraId="3B7D0802" w14:textId="0E993DEA" w:rsidR="00C324CF" w:rsidRPr="005771D8" w:rsidRDefault="00C324CF" w:rsidP="00C324CF">
      <w:pPr>
        <w:pStyle w:val="SingleTxtG"/>
        <w:rPr>
          <w:lang w:val="fr-FR"/>
        </w:rPr>
      </w:pPr>
      <w:r>
        <w:rPr>
          <w:lang w:val="fr-FR"/>
        </w:rPr>
        <w:lastRenderedPageBreak/>
        <w:t>3)</w:t>
      </w:r>
      <w:r>
        <w:rPr>
          <w:lang w:val="fr-FR"/>
        </w:rPr>
        <w:tab/>
      </w:r>
      <w:r w:rsidRPr="005771D8">
        <w:rPr>
          <w:lang w:val="fr-FR"/>
        </w:rPr>
        <w:t>Le projet de directive 6 met l</w:t>
      </w:r>
      <w:r w:rsidR="004C5E26">
        <w:rPr>
          <w:lang w:val="fr-FR"/>
        </w:rPr>
        <w:t>’</w:t>
      </w:r>
      <w:r w:rsidRPr="005771D8">
        <w:rPr>
          <w:lang w:val="fr-FR"/>
        </w:rPr>
        <w:t>accent sur l</w:t>
      </w:r>
      <w:r w:rsidR="004C5E26">
        <w:rPr>
          <w:lang w:val="fr-FR"/>
        </w:rPr>
        <w:t>’</w:t>
      </w:r>
      <w:r w:rsidRPr="005771D8">
        <w:rPr>
          <w:lang w:val="fr-FR"/>
        </w:rPr>
        <w:t>arbitrage et le règlement judiciaire, car c</w:t>
      </w:r>
      <w:r w:rsidR="004C5E26">
        <w:rPr>
          <w:lang w:val="fr-FR"/>
        </w:rPr>
        <w:t>’</w:t>
      </w:r>
      <w:r w:rsidRPr="005771D8">
        <w:rPr>
          <w:lang w:val="fr-FR"/>
        </w:rPr>
        <w:t>est dans ces modes de règlement des différends par tierce partie que l</w:t>
      </w:r>
      <w:r w:rsidR="004C5E26">
        <w:rPr>
          <w:lang w:val="fr-FR"/>
        </w:rPr>
        <w:t>’</w:t>
      </w:r>
      <w:r w:rsidRPr="005771D8">
        <w:rPr>
          <w:lang w:val="fr-FR"/>
        </w:rPr>
        <w:t>indépendance et l</w:t>
      </w:r>
      <w:r w:rsidR="004C5E26">
        <w:rPr>
          <w:lang w:val="fr-FR"/>
        </w:rPr>
        <w:t>’</w:t>
      </w:r>
      <w:r w:rsidRPr="005771D8">
        <w:rPr>
          <w:lang w:val="fr-FR"/>
        </w:rPr>
        <w:t>impartialité ainsi que le respect des garanties d</w:t>
      </w:r>
      <w:r w:rsidR="004C5E26">
        <w:rPr>
          <w:lang w:val="fr-FR"/>
        </w:rPr>
        <w:t>’</w:t>
      </w:r>
      <w:r w:rsidRPr="005771D8">
        <w:rPr>
          <w:lang w:val="fr-FR"/>
        </w:rPr>
        <w:t>une procédure régulière sont les plus cruciaux et bien établis. Cela ne signifie pas que les exigences d</w:t>
      </w:r>
      <w:r w:rsidR="004C5E26">
        <w:rPr>
          <w:lang w:val="fr-FR"/>
        </w:rPr>
        <w:t>’</w:t>
      </w:r>
      <w:r w:rsidRPr="005771D8">
        <w:rPr>
          <w:lang w:val="fr-FR"/>
        </w:rPr>
        <w:t>indépendance et d</w:t>
      </w:r>
      <w:r w:rsidR="004C5E26">
        <w:rPr>
          <w:lang w:val="fr-FR"/>
        </w:rPr>
        <w:t>’</w:t>
      </w:r>
      <w:r w:rsidRPr="005771D8">
        <w:rPr>
          <w:lang w:val="fr-FR"/>
        </w:rPr>
        <w:t>impartialité ne s</w:t>
      </w:r>
      <w:r w:rsidR="004C5E26">
        <w:rPr>
          <w:lang w:val="fr-FR"/>
        </w:rPr>
        <w:t>’</w:t>
      </w:r>
      <w:r w:rsidRPr="005771D8">
        <w:rPr>
          <w:lang w:val="fr-FR"/>
        </w:rPr>
        <w:t xml:space="preserve">appliquent pas à </w:t>
      </w:r>
      <w:r>
        <w:rPr>
          <w:lang w:val="fr-FR"/>
        </w:rPr>
        <w:t xml:space="preserve">certains </w:t>
      </w:r>
      <w:r w:rsidRPr="005771D8">
        <w:rPr>
          <w:lang w:val="fr-FR"/>
        </w:rPr>
        <w:t>autres modes de règlement des différends, comme la conciliation ou la médiation</w:t>
      </w:r>
      <w:r w:rsidRPr="00E9227E">
        <w:rPr>
          <w:rStyle w:val="Appelnotedebasdep"/>
        </w:rPr>
        <w:footnoteReference w:id="65"/>
      </w:r>
      <w:r w:rsidRPr="005771D8">
        <w:rPr>
          <w:lang w:val="fr-FR"/>
        </w:rPr>
        <w:t xml:space="preserve">. </w:t>
      </w:r>
    </w:p>
    <w:p w14:paraId="46A9075F" w14:textId="1448BA25" w:rsidR="00C324CF" w:rsidRPr="005771D8" w:rsidRDefault="00C324CF" w:rsidP="00C324CF">
      <w:pPr>
        <w:pStyle w:val="SingleTxtG"/>
        <w:keepLines/>
        <w:rPr>
          <w:lang w:val="fr-FR"/>
        </w:rPr>
      </w:pPr>
      <w:r>
        <w:rPr>
          <w:lang w:val="fr-FR"/>
        </w:rPr>
        <w:t>4)</w:t>
      </w:r>
      <w:r>
        <w:rPr>
          <w:lang w:val="fr-FR"/>
        </w:rPr>
        <w:tab/>
      </w:r>
      <w:r w:rsidRPr="005771D8">
        <w:rPr>
          <w:lang w:val="fr-FR"/>
        </w:rPr>
        <w:t>En exigeant «</w:t>
      </w:r>
      <w:r w:rsidR="00F93FB1">
        <w:rPr>
          <w:lang w:val="fr-FR"/>
        </w:rPr>
        <w:t> </w:t>
      </w:r>
      <w:r w:rsidRPr="005771D8">
        <w:rPr>
          <w:lang w:val="fr-FR"/>
        </w:rPr>
        <w:t>[l]</w:t>
      </w:r>
      <w:r w:rsidR="004C5E26">
        <w:rPr>
          <w:lang w:val="fr-FR"/>
        </w:rPr>
        <w:t>’</w:t>
      </w:r>
      <w:r w:rsidRPr="005771D8">
        <w:rPr>
          <w:lang w:val="fr-FR"/>
        </w:rPr>
        <w:t>indépendance et [l]</w:t>
      </w:r>
      <w:r w:rsidR="004C5E26">
        <w:rPr>
          <w:lang w:val="fr-FR"/>
        </w:rPr>
        <w:t>’</w:t>
      </w:r>
      <w:r w:rsidRPr="005771D8">
        <w:rPr>
          <w:lang w:val="fr-FR"/>
        </w:rPr>
        <w:t>impartialité des juges et des arbitres</w:t>
      </w:r>
      <w:r w:rsidR="00F93FB1">
        <w:rPr>
          <w:lang w:val="fr-FR"/>
        </w:rPr>
        <w:t> </w:t>
      </w:r>
      <w:r w:rsidRPr="005771D8">
        <w:rPr>
          <w:lang w:val="fr-FR"/>
        </w:rPr>
        <w:t>», le projet de directive 6 rappelle l</w:t>
      </w:r>
      <w:r w:rsidR="004C5E26">
        <w:rPr>
          <w:lang w:val="fr-FR"/>
        </w:rPr>
        <w:t>’</w:t>
      </w:r>
      <w:r w:rsidRPr="005771D8">
        <w:rPr>
          <w:lang w:val="fr-FR"/>
        </w:rPr>
        <w:t>exigence fondamentale que l</w:t>
      </w:r>
      <w:r w:rsidR="004C5E26">
        <w:rPr>
          <w:lang w:val="fr-FR"/>
        </w:rPr>
        <w:t>’</w:t>
      </w:r>
      <w:r w:rsidRPr="005771D8">
        <w:rPr>
          <w:lang w:val="fr-FR"/>
        </w:rPr>
        <w:t xml:space="preserve">état de droit impose à ceux qui ont été habilités à régler </w:t>
      </w:r>
      <w:r w:rsidRPr="00EE1F76">
        <w:rPr>
          <w:lang w:val="fr-FR"/>
        </w:rPr>
        <w:t>un différend</w:t>
      </w:r>
      <w:bookmarkStart w:id="48" w:name="_Ref171668710"/>
      <w:r w:rsidRPr="00EE1F76">
        <w:rPr>
          <w:lang w:val="fr-FR"/>
        </w:rPr>
        <w:t xml:space="preserve"> par voie juridictionnelle</w:t>
      </w:r>
      <w:bookmarkStart w:id="49" w:name="_Ref175124112"/>
      <w:r w:rsidRPr="00E9227E">
        <w:rPr>
          <w:rStyle w:val="Appelnotedebasdep"/>
        </w:rPr>
        <w:footnoteReference w:id="66"/>
      </w:r>
      <w:bookmarkEnd w:id="48"/>
      <w:bookmarkEnd w:id="49"/>
      <w:r w:rsidRPr="00EE1F76">
        <w:rPr>
          <w:lang w:val="fr-FR"/>
        </w:rPr>
        <w:t>. La</w:t>
      </w:r>
      <w:r w:rsidRPr="005771D8">
        <w:rPr>
          <w:lang w:val="fr-FR"/>
        </w:rPr>
        <w:t xml:space="preserve"> notion d</w:t>
      </w:r>
      <w:r w:rsidR="004C5E26">
        <w:rPr>
          <w:lang w:val="fr-FR"/>
        </w:rPr>
        <w:t>’</w:t>
      </w:r>
      <w:r w:rsidRPr="005771D8">
        <w:rPr>
          <w:lang w:val="fr-FR"/>
        </w:rPr>
        <w:t xml:space="preserve">indépendance renvoie principalement à la relation entre la personne appelée à statuer et les parties ou leurs conseils, qui doit être dénuée de </w:t>
      </w:r>
      <w:r w:rsidRPr="00EE1F76">
        <w:rPr>
          <w:lang w:val="fr-FR"/>
        </w:rPr>
        <w:t>liens de caractère organisationnel, personnel</w:t>
      </w:r>
      <w:r w:rsidRPr="005771D8">
        <w:rPr>
          <w:lang w:val="fr-FR"/>
        </w:rPr>
        <w:t xml:space="preserve"> et financier ou d</w:t>
      </w:r>
      <w:r w:rsidR="004C5E26">
        <w:rPr>
          <w:lang w:val="fr-FR"/>
        </w:rPr>
        <w:t>’</w:t>
      </w:r>
      <w:r w:rsidRPr="005771D8">
        <w:rPr>
          <w:lang w:val="fr-FR"/>
        </w:rPr>
        <w:t>autres liens privilégiés, tandis que celle d</w:t>
      </w:r>
      <w:r w:rsidR="004C5E26">
        <w:rPr>
          <w:lang w:val="fr-FR"/>
        </w:rPr>
        <w:t>’</w:t>
      </w:r>
      <w:r w:rsidRPr="005771D8">
        <w:rPr>
          <w:lang w:val="fr-FR"/>
        </w:rPr>
        <w:t>impartialité se rapporte davantage aux avis et aux opinions de la personne appelée à statuer, lesquels doivent être exempts de parti pris</w:t>
      </w:r>
      <w:r w:rsidRPr="00E9227E">
        <w:rPr>
          <w:rStyle w:val="Appelnotedebasdep"/>
        </w:rPr>
        <w:footnoteReference w:id="67"/>
      </w:r>
      <w:r w:rsidRPr="005771D8">
        <w:rPr>
          <w:lang w:val="fr-FR"/>
        </w:rPr>
        <w:t>.</w:t>
      </w:r>
      <w:bookmarkStart w:id="50" w:name="_Ref168908617"/>
      <w:bookmarkEnd w:id="50"/>
    </w:p>
    <w:p w14:paraId="5D8CAEC3" w14:textId="39000947" w:rsidR="00C324CF" w:rsidRPr="005771D8" w:rsidRDefault="00C324CF" w:rsidP="00C324CF">
      <w:pPr>
        <w:pStyle w:val="SingleTxtG"/>
        <w:rPr>
          <w:lang w:val="fr-FR"/>
        </w:rPr>
      </w:pPr>
      <w:r>
        <w:rPr>
          <w:lang w:val="fr-FR"/>
        </w:rPr>
        <w:t>5)</w:t>
      </w:r>
      <w:r>
        <w:rPr>
          <w:lang w:val="fr-FR"/>
        </w:rPr>
        <w:tab/>
      </w:r>
      <w:r w:rsidRPr="005771D8">
        <w:rPr>
          <w:lang w:val="fr-FR"/>
        </w:rPr>
        <w:t>L</w:t>
      </w:r>
      <w:r w:rsidR="004C5E26">
        <w:rPr>
          <w:lang w:val="fr-FR"/>
        </w:rPr>
        <w:t>’</w:t>
      </w:r>
      <w:r w:rsidRPr="005771D8">
        <w:rPr>
          <w:lang w:val="fr-FR"/>
        </w:rPr>
        <w:t>exigence d</w:t>
      </w:r>
      <w:r w:rsidR="004C5E26">
        <w:rPr>
          <w:lang w:val="fr-FR"/>
        </w:rPr>
        <w:t>’</w:t>
      </w:r>
      <w:r w:rsidRPr="005771D8">
        <w:rPr>
          <w:lang w:val="fr-FR"/>
        </w:rPr>
        <w:t>indépendance et d</w:t>
      </w:r>
      <w:r w:rsidR="004C5E26">
        <w:rPr>
          <w:lang w:val="fr-FR"/>
        </w:rPr>
        <w:t>’</w:t>
      </w:r>
      <w:r w:rsidRPr="005771D8">
        <w:rPr>
          <w:lang w:val="fr-FR"/>
        </w:rPr>
        <w:t xml:space="preserve">impartialité </w:t>
      </w:r>
      <w:r>
        <w:rPr>
          <w:lang w:val="fr-FR"/>
        </w:rPr>
        <w:t xml:space="preserve">des juges et des arbitres </w:t>
      </w:r>
      <w:r w:rsidRPr="005771D8">
        <w:rPr>
          <w:lang w:val="fr-FR"/>
        </w:rPr>
        <w:t xml:space="preserve">figure dans les règlements </w:t>
      </w:r>
      <w:r>
        <w:rPr>
          <w:lang w:val="fr-FR"/>
        </w:rPr>
        <w:t>applicables</w:t>
      </w:r>
      <w:r w:rsidRPr="00E9227E">
        <w:rPr>
          <w:rStyle w:val="Appelnotedebasdep"/>
        </w:rPr>
        <w:footnoteReference w:id="68"/>
      </w:r>
      <w:r w:rsidRPr="005771D8">
        <w:rPr>
          <w:lang w:val="fr-FR"/>
        </w:rPr>
        <w:t>.</w:t>
      </w:r>
      <w:r>
        <w:rPr>
          <w:lang w:val="fr-FR"/>
        </w:rPr>
        <w:t xml:space="preserve"> </w:t>
      </w:r>
      <w:r w:rsidRPr="005771D8">
        <w:rPr>
          <w:lang w:val="fr-FR"/>
        </w:rPr>
        <w:t>Le sens fondamental et le contenu des exigences d</w:t>
      </w:r>
      <w:r w:rsidR="004C5E26">
        <w:rPr>
          <w:lang w:val="fr-FR"/>
        </w:rPr>
        <w:t>’</w:t>
      </w:r>
      <w:r w:rsidRPr="005771D8">
        <w:rPr>
          <w:lang w:val="fr-FR"/>
        </w:rPr>
        <w:t xml:space="preserve">indépendance et </w:t>
      </w:r>
      <w:r w:rsidRPr="005771D8">
        <w:rPr>
          <w:lang w:val="fr-FR"/>
        </w:rPr>
        <w:lastRenderedPageBreak/>
        <w:t>d</w:t>
      </w:r>
      <w:r w:rsidR="004C5E26">
        <w:rPr>
          <w:lang w:val="fr-FR"/>
        </w:rPr>
        <w:t>’</w:t>
      </w:r>
      <w:r w:rsidRPr="005771D8">
        <w:rPr>
          <w:lang w:val="fr-FR"/>
        </w:rPr>
        <w:t>impartialité sont précisés par divers instruments non contraignants</w:t>
      </w:r>
      <w:r w:rsidRPr="00E9227E">
        <w:rPr>
          <w:rStyle w:val="Appelnotedebasdep"/>
        </w:rPr>
        <w:footnoteReference w:id="69"/>
      </w:r>
      <w:r w:rsidRPr="005771D8">
        <w:rPr>
          <w:lang w:val="fr-FR"/>
        </w:rPr>
        <w:t xml:space="preserve"> et par certaines dispositions figurant dans les statuts de juridictions internationales</w:t>
      </w:r>
      <w:r w:rsidRPr="00E9227E">
        <w:rPr>
          <w:rStyle w:val="Appelnotedebasdep"/>
        </w:rPr>
        <w:footnoteReference w:id="70"/>
      </w:r>
      <w:r w:rsidRPr="005771D8">
        <w:rPr>
          <w:lang w:val="fr-FR"/>
        </w:rPr>
        <w:t>, ainsi que dans leur règlement intérieur</w:t>
      </w:r>
      <w:r w:rsidRPr="00E9227E">
        <w:rPr>
          <w:rStyle w:val="Appelnotedebasdep"/>
        </w:rPr>
        <w:footnoteReference w:id="71"/>
      </w:r>
      <w:r w:rsidRPr="005771D8">
        <w:rPr>
          <w:lang w:val="fr-FR"/>
        </w:rPr>
        <w:t>.</w:t>
      </w:r>
      <w:r>
        <w:rPr>
          <w:lang w:val="fr-FR"/>
        </w:rPr>
        <w:t xml:space="preserve"> </w:t>
      </w:r>
      <w:r w:rsidRPr="005771D8">
        <w:rPr>
          <w:lang w:val="fr-FR"/>
        </w:rPr>
        <w:t>Outre l</w:t>
      </w:r>
      <w:r w:rsidR="004C5E26">
        <w:rPr>
          <w:lang w:val="fr-FR"/>
        </w:rPr>
        <w:t>’</w:t>
      </w:r>
      <w:r w:rsidRPr="005771D8">
        <w:rPr>
          <w:lang w:val="fr-FR"/>
        </w:rPr>
        <w:t>indépendance et l</w:t>
      </w:r>
      <w:r w:rsidR="004C5E26">
        <w:rPr>
          <w:lang w:val="fr-FR"/>
        </w:rPr>
        <w:t>’</w:t>
      </w:r>
      <w:r w:rsidRPr="005771D8">
        <w:rPr>
          <w:lang w:val="fr-FR"/>
        </w:rPr>
        <w:t>impartialité, certains instruments exigent également que les juges et arbitres fassent preuve d</w:t>
      </w:r>
      <w:r w:rsidR="004C5E26">
        <w:rPr>
          <w:lang w:val="fr-FR"/>
        </w:rPr>
        <w:t>’</w:t>
      </w:r>
      <w:r w:rsidRPr="005771D8">
        <w:rPr>
          <w:lang w:val="fr-FR"/>
        </w:rPr>
        <w:t xml:space="preserve">intégrité, de respect des convenances, de compétence et de diligence </w:t>
      </w:r>
      <w:r>
        <w:rPr>
          <w:lang w:val="fr-FR"/>
        </w:rPr>
        <w:t>−</w:t>
      </w:r>
      <w:r w:rsidRPr="005771D8">
        <w:rPr>
          <w:lang w:val="fr-FR"/>
        </w:rPr>
        <w:t xml:space="preserve"> des notions qui recoupent ou complètent souvent celles d</w:t>
      </w:r>
      <w:r w:rsidR="004C5E26">
        <w:rPr>
          <w:lang w:val="fr-FR"/>
        </w:rPr>
        <w:t>’</w:t>
      </w:r>
      <w:r w:rsidRPr="005771D8">
        <w:rPr>
          <w:lang w:val="fr-FR"/>
        </w:rPr>
        <w:t>indépendance et d</w:t>
      </w:r>
      <w:r w:rsidR="004C5E26">
        <w:rPr>
          <w:lang w:val="fr-FR"/>
        </w:rPr>
        <w:t>’</w:t>
      </w:r>
      <w:r w:rsidRPr="005771D8">
        <w:rPr>
          <w:lang w:val="fr-FR"/>
        </w:rPr>
        <w:t>impartialité</w:t>
      </w:r>
      <w:r w:rsidRPr="00E9227E">
        <w:rPr>
          <w:rStyle w:val="Appelnotedebasdep"/>
        </w:rPr>
        <w:footnoteReference w:id="72"/>
      </w:r>
      <w:r w:rsidRPr="005771D8">
        <w:rPr>
          <w:lang w:val="fr-FR"/>
        </w:rPr>
        <w:t>.</w:t>
      </w:r>
    </w:p>
    <w:p w14:paraId="79195437" w14:textId="4837391A" w:rsidR="00C324CF" w:rsidRPr="005771D8" w:rsidRDefault="00C324CF" w:rsidP="00C324CF">
      <w:pPr>
        <w:pStyle w:val="SingleTxtG"/>
        <w:rPr>
          <w:lang w:val="fr-FR"/>
        </w:rPr>
      </w:pPr>
      <w:r>
        <w:rPr>
          <w:lang w:val="fr-FR"/>
        </w:rPr>
        <w:t>6)</w:t>
      </w:r>
      <w:r>
        <w:rPr>
          <w:lang w:val="fr-FR"/>
        </w:rPr>
        <w:tab/>
      </w:r>
      <w:r w:rsidRPr="005771D8">
        <w:rPr>
          <w:lang w:val="fr-FR"/>
        </w:rPr>
        <w:t>En imposant une «</w:t>
      </w:r>
      <w:r w:rsidR="00F93FB1">
        <w:rPr>
          <w:lang w:val="fr-FR"/>
        </w:rPr>
        <w:t> </w:t>
      </w:r>
      <w:r w:rsidRPr="005771D8">
        <w:rPr>
          <w:lang w:val="fr-FR"/>
        </w:rPr>
        <w:t>procédure régulière</w:t>
      </w:r>
      <w:r w:rsidR="00F93FB1">
        <w:rPr>
          <w:lang w:val="fr-FR"/>
        </w:rPr>
        <w:t> </w:t>
      </w:r>
      <w:r w:rsidRPr="005771D8">
        <w:rPr>
          <w:lang w:val="fr-FR"/>
        </w:rPr>
        <w:t xml:space="preserve">», le projet de directive 6 rappelle les exigences procédurales fondamentales en matière de règlement </w:t>
      </w:r>
      <w:r>
        <w:rPr>
          <w:lang w:val="fr-FR"/>
        </w:rPr>
        <w:t xml:space="preserve">juridictionnel </w:t>
      </w:r>
      <w:r w:rsidRPr="005771D8">
        <w:rPr>
          <w:lang w:val="fr-FR"/>
        </w:rPr>
        <w:t>des différends par tierce partie</w:t>
      </w:r>
      <w:r w:rsidRPr="00E9227E">
        <w:rPr>
          <w:rStyle w:val="Appelnotedebasdep"/>
        </w:rPr>
        <w:footnoteReference w:id="73"/>
      </w:r>
      <w:r w:rsidRPr="005771D8">
        <w:rPr>
          <w:lang w:val="fr-FR"/>
        </w:rPr>
        <w:t>. Une procédure régulière ou un procès ou une audience équitable supposent précisément le droit d</w:t>
      </w:r>
      <w:r w:rsidR="004C5E26">
        <w:rPr>
          <w:lang w:val="fr-FR"/>
        </w:rPr>
        <w:t>’</w:t>
      </w:r>
      <w:r w:rsidRPr="005771D8">
        <w:rPr>
          <w:lang w:val="fr-FR"/>
        </w:rPr>
        <w:t>être entendu et le droit d</w:t>
      </w:r>
      <w:r w:rsidR="004C5E26">
        <w:rPr>
          <w:lang w:val="fr-FR"/>
        </w:rPr>
        <w:t>’</w:t>
      </w:r>
      <w:r w:rsidRPr="005771D8">
        <w:rPr>
          <w:lang w:val="fr-FR"/>
        </w:rPr>
        <w:t>être entendu dans des conditions d</w:t>
      </w:r>
      <w:r w:rsidR="004C5E26">
        <w:rPr>
          <w:lang w:val="fr-FR"/>
        </w:rPr>
        <w:t>’</w:t>
      </w:r>
      <w:r w:rsidRPr="005771D8">
        <w:rPr>
          <w:lang w:val="fr-FR"/>
        </w:rPr>
        <w:t>égalité</w:t>
      </w:r>
      <w:r w:rsidRPr="00E9227E">
        <w:rPr>
          <w:rStyle w:val="Appelnotedebasdep"/>
        </w:rPr>
        <w:footnoteReference w:id="74"/>
      </w:r>
      <w:r w:rsidRPr="005771D8">
        <w:rPr>
          <w:lang w:val="fr-FR"/>
        </w:rPr>
        <w:t>.</w:t>
      </w:r>
    </w:p>
    <w:p w14:paraId="5BC0B8F7" w14:textId="5EF9F9AB" w:rsidR="00C324CF" w:rsidRPr="005771D8" w:rsidRDefault="00C324CF" w:rsidP="00C324CF">
      <w:pPr>
        <w:pStyle w:val="SingleTxtG"/>
        <w:rPr>
          <w:lang w:val="fr-FR"/>
        </w:rPr>
      </w:pPr>
      <w:r>
        <w:rPr>
          <w:lang w:val="fr-FR"/>
        </w:rPr>
        <w:t>7)</w:t>
      </w:r>
      <w:r>
        <w:rPr>
          <w:lang w:val="fr-FR"/>
        </w:rPr>
        <w:tab/>
      </w:r>
      <w:r w:rsidRPr="005771D8">
        <w:rPr>
          <w:lang w:val="fr-FR"/>
        </w:rPr>
        <w:t>Tant l</w:t>
      </w:r>
      <w:r w:rsidR="004C5E26">
        <w:rPr>
          <w:lang w:val="fr-FR"/>
        </w:rPr>
        <w:t>’</w:t>
      </w:r>
      <w:r w:rsidRPr="005771D8">
        <w:rPr>
          <w:lang w:val="fr-FR"/>
        </w:rPr>
        <w:t>indépendance et l</w:t>
      </w:r>
      <w:r w:rsidR="004C5E26">
        <w:rPr>
          <w:lang w:val="fr-FR"/>
        </w:rPr>
        <w:t>’</w:t>
      </w:r>
      <w:r w:rsidRPr="005771D8">
        <w:rPr>
          <w:lang w:val="fr-FR"/>
        </w:rPr>
        <w:t>impartialité des juges et des arbitres qu</w:t>
      </w:r>
      <w:r w:rsidR="004C5E26">
        <w:rPr>
          <w:lang w:val="fr-FR"/>
        </w:rPr>
        <w:t>’</w:t>
      </w:r>
      <w:r w:rsidRPr="005771D8">
        <w:rPr>
          <w:lang w:val="fr-FR"/>
        </w:rPr>
        <w:t>une procédure régulière sont des éléments essentiels de l</w:t>
      </w:r>
      <w:r w:rsidR="004C5E26">
        <w:rPr>
          <w:lang w:val="fr-FR"/>
        </w:rPr>
        <w:t>’</w:t>
      </w:r>
      <w:r w:rsidRPr="005771D8">
        <w:rPr>
          <w:lang w:val="fr-FR"/>
        </w:rPr>
        <w:t>état de droit en matière de règlement des différends. Dans la pratique de la Cour internationale de Justice, ces éléments sont également qualifiés d</w:t>
      </w:r>
      <w:r w:rsidR="004C5E26">
        <w:rPr>
          <w:lang w:val="fr-FR"/>
        </w:rPr>
        <w:t>’</w:t>
      </w:r>
      <w:r w:rsidRPr="005771D8">
        <w:rPr>
          <w:lang w:val="fr-FR"/>
        </w:rPr>
        <w:t>exigences «</w:t>
      </w:r>
      <w:r w:rsidR="00D07ED4">
        <w:rPr>
          <w:lang w:val="fr-FR"/>
        </w:rPr>
        <w:t> </w:t>
      </w:r>
      <w:r w:rsidRPr="005771D8">
        <w:rPr>
          <w:lang w:val="fr-FR"/>
        </w:rPr>
        <w:t>d</w:t>
      </w:r>
      <w:r w:rsidR="004C5E26">
        <w:rPr>
          <w:lang w:val="fr-FR"/>
        </w:rPr>
        <w:t>’</w:t>
      </w:r>
      <w:r w:rsidRPr="005771D8">
        <w:rPr>
          <w:lang w:val="fr-FR"/>
        </w:rPr>
        <w:t>une bonne administration de la justice</w:t>
      </w:r>
      <w:r w:rsidR="00D07ED4">
        <w:rPr>
          <w:lang w:val="fr-FR"/>
        </w:rPr>
        <w:t> </w:t>
      </w:r>
      <w:r w:rsidRPr="005771D8">
        <w:rPr>
          <w:lang w:val="fr-FR"/>
        </w:rPr>
        <w:t>»</w:t>
      </w:r>
      <w:bookmarkStart w:id="51" w:name="_Ref171668870"/>
      <w:r w:rsidRPr="00E9227E">
        <w:rPr>
          <w:rStyle w:val="Appelnotedebasdep"/>
        </w:rPr>
        <w:footnoteReference w:id="75"/>
      </w:r>
      <w:bookmarkEnd w:id="51"/>
      <w:r w:rsidRPr="005771D8">
        <w:rPr>
          <w:lang w:val="fr-FR"/>
        </w:rPr>
        <w:t>. La Cour a, par exemple, établi que «</w:t>
      </w:r>
      <w:r w:rsidR="00D07ED4">
        <w:rPr>
          <w:lang w:val="fr-FR"/>
        </w:rPr>
        <w:t> </w:t>
      </w:r>
      <w:r w:rsidRPr="005771D8">
        <w:rPr>
          <w:lang w:val="fr-FR"/>
        </w:rPr>
        <w:t>[l]e principe de l</w:t>
      </w:r>
      <w:r w:rsidR="004C5E26">
        <w:rPr>
          <w:lang w:val="fr-FR"/>
        </w:rPr>
        <w:t>’</w:t>
      </w:r>
      <w:r w:rsidRPr="005771D8">
        <w:rPr>
          <w:lang w:val="fr-FR"/>
        </w:rPr>
        <w:t>égalité entre les parties découle des exigences d</w:t>
      </w:r>
      <w:r w:rsidR="004C5E26">
        <w:rPr>
          <w:lang w:val="fr-FR"/>
        </w:rPr>
        <w:t>’</w:t>
      </w:r>
      <w:r w:rsidRPr="005771D8">
        <w:rPr>
          <w:lang w:val="fr-FR"/>
        </w:rPr>
        <w:t>une bonne administration de la justice »</w:t>
      </w:r>
      <w:r w:rsidRPr="00E9227E">
        <w:rPr>
          <w:rStyle w:val="Appelnotedebasdep"/>
        </w:rPr>
        <w:footnoteReference w:id="76"/>
      </w:r>
      <w:r w:rsidRPr="005771D8">
        <w:rPr>
          <w:lang w:val="fr-FR"/>
        </w:rPr>
        <w:t>. Elle a ensuite considéré que « le droit d</w:t>
      </w:r>
      <w:r w:rsidR="004C5E26">
        <w:rPr>
          <w:lang w:val="fr-FR"/>
        </w:rPr>
        <w:t>’</w:t>
      </w:r>
      <w:r w:rsidRPr="005771D8">
        <w:rPr>
          <w:lang w:val="fr-FR"/>
        </w:rPr>
        <w:t>obtenir une décision de justice dans un délai raisonnable</w:t>
      </w:r>
      <w:r w:rsidR="00D07ED4">
        <w:rPr>
          <w:lang w:val="fr-FR"/>
        </w:rPr>
        <w:t> </w:t>
      </w:r>
      <w:r w:rsidRPr="005771D8">
        <w:rPr>
          <w:lang w:val="fr-FR"/>
        </w:rPr>
        <w:t>; le droit d</w:t>
      </w:r>
      <w:r w:rsidR="004C5E26">
        <w:rPr>
          <w:lang w:val="fr-FR"/>
        </w:rPr>
        <w:t>’</w:t>
      </w:r>
      <w:r w:rsidRPr="005771D8">
        <w:rPr>
          <w:lang w:val="fr-FR"/>
        </w:rPr>
        <w:t>avoir, dans des conditions raisonnables, la faculté de présenter sa cause au tribunal et de commenter les thèses de l</w:t>
      </w:r>
      <w:r w:rsidR="004C5E26">
        <w:rPr>
          <w:lang w:val="fr-FR"/>
        </w:rPr>
        <w:t>’</w:t>
      </w:r>
      <w:r w:rsidRPr="005771D8">
        <w:rPr>
          <w:lang w:val="fr-FR"/>
        </w:rPr>
        <w:t>adversaire</w:t>
      </w:r>
      <w:r w:rsidR="00D07ED4">
        <w:rPr>
          <w:lang w:val="fr-FR"/>
        </w:rPr>
        <w:t> </w:t>
      </w:r>
      <w:r w:rsidRPr="005771D8">
        <w:rPr>
          <w:lang w:val="fr-FR"/>
        </w:rPr>
        <w:t>; le droit à l</w:t>
      </w:r>
      <w:r w:rsidR="004C5E26">
        <w:rPr>
          <w:lang w:val="fr-FR"/>
        </w:rPr>
        <w:t>’</w:t>
      </w:r>
      <w:r w:rsidRPr="005771D8">
        <w:rPr>
          <w:lang w:val="fr-FR"/>
        </w:rPr>
        <w:t>égalité avec celui-ci dans la procédure » étaient des éléments du droit bien établi d</w:t>
      </w:r>
      <w:r w:rsidR="004C5E26">
        <w:rPr>
          <w:lang w:val="fr-FR"/>
        </w:rPr>
        <w:t>’</w:t>
      </w:r>
      <w:r w:rsidRPr="005771D8">
        <w:rPr>
          <w:lang w:val="fr-FR"/>
        </w:rPr>
        <w:t xml:space="preserve">être </w:t>
      </w:r>
      <w:r w:rsidRPr="005771D8">
        <w:rPr>
          <w:lang w:val="fr-FR"/>
        </w:rPr>
        <w:lastRenderedPageBreak/>
        <w:t>impartialement entendu</w:t>
      </w:r>
      <w:r w:rsidRPr="00E9227E">
        <w:rPr>
          <w:rStyle w:val="Appelnotedebasdep"/>
        </w:rPr>
        <w:footnoteReference w:id="77"/>
      </w:r>
      <w:r w:rsidRPr="005771D8">
        <w:rPr>
          <w:lang w:val="fr-FR"/>
        </w:rPr>
        <w:t>. Elle a également considéré que « le droit d</w:t>
      </w:r>
      <w:r w:rsidR="004C5E26">
        <w:rPr>
          <w:lang w:val="fr-FR"/>
        </w:rPr>
        <w:t>’</w:t>
      </w:r>
      <w:r w:rsidRPr="005771D8">
        <w:rPr>
          <w:lang w:val="fr-FR"/>
        </w:rPr>
        <w:t>avoir, dans des conditions raisonnables, la faculté de présenter sa cause au tribunal et de commenter les thèses de l</w:t>
      </w:r>
      <w:r w:rsidR="004C5E26">
        <w:rPr>
          <w:lang w:val="fr-FR"/>
        </w:rPr>
        <w:t>’</w:t>
      </w:r>
      <w:r w:rsidRPr="005771D8">
        <w:rPr>
          <w:lang w:val="fr-FR"/>
        </w:rPr>
        <w:t>adversaire » ainsi que « le droit à l</w:t>
      </w:r>
      <w:r w:rsidR="004C5E26">
        <w:rPr>
          <w:lang w:val="fr-FR"/>
        </w:rPr>
        <w:t>’</w:t>
      </w:r>
      <w:r w:rsidRPr="005771D8">
        <w:rPr>
          <w:lang w:val="fr-FR"/>
        </w:rPr>
        <w:t>égalité avec celui-ci dans la procédure » étaient des « éléments du droit d</w:t>
      </w:r>
      <w:r w:rsidR="004C5E26">
        <w:rPr>
          <w:lang w:val="fr-FR"/>
        </w:rPr>
        <w:t>’</w:t>
      </w:r>
      <w:r w:rsidRPr="005771D8">
        <w:rPr>
          <w:lang w:val="fr-FR"/>
        </w:rPr>
        <w:t>être impartialement entendu »</w:t>
      </w:r>
      <w:r w:rsidRPr="00E9227E">
        <w:rPr>
          <w:rStyle w:val="Appelnotedebasdep"/>
        </w:rPr>
        <w:footnoteReference w:id="78"/>
      </w:r>
      <w:r w:rsidRPr="005771D8">
        <w:rPr>
          <w:lang w:val="fr-FR"/>
        </w:rPr>
        <w:t>.</w:t>
      </w:r>
      <w:bookmarkStart w:id="52" w:name="_Ref168920874"/>
      <w:bookmarkEnd w:id="52"/>
    </w:p>
    <w:p w14:paraId="0B84C6A8" w14:textId="1ED78763" w:rsidR="00C324CF" w:rsidRPr="005771D8" w:rsidRDefault="00C324CF" w:rsidP="00C324CF">
      <w:pPr>
        <w:pStyle w:val="SingleTxtG"/>
        <w:rPr>
          <w:lang w:val="fr-FR"/>
        </w:rPr>
      </w:pPr>
      <w:r>
        <w:rPr>
          <w:lang w:val="fr-FR"/>
        </w:rPr>
        <w:t>8)</w:t>
      </w:r>
      <w:r>
        <w:rPr>
          <w:lang w:val="fr-FR"/>
        </w:rPr>
        <w:tab/>
      </w:r>
      <w:r w:rsidRPr="005771D8">
        <w:rPr>
          <w:lang w:val="fr-FR"/>
        </w:rPr>
        <w:t>Étant donné qu</w:t>
      </w:r>
      <w:r w:rsidR="004C5E26">
        <w:rPr>
          <w:lang w:val="fr-FR"/>
        </w:rPr>
        <w:t>’</w:t>
      </w:r>
      <w:r w:rsidRPr="005771D8">
        <w:rPr>
          <w:lang w:val="fr-FR"/>
        </w:rPr>
        <w:t>il est généralement admis que l</w:t>
      </w:r>
      <w:r w:rsidR="004C5E26">
        <w:rPr>
          <w:lang w:val="fr-FR"/>
        </w:rPr>
        <w:t>’</w:t>
      </w:r>
      <w:r w:rsidRPr="005771D8">
        <w:rPr>
          <w:lang w:val="fr-FR"/>
        </w:rPr>
        <w:t>indépendance et l</w:t>
      </w:r>
      <w:r w:rsidR="004C5E26">
        <w:rPr>
          <w:lang w:val="fr-FR"/>
        </w:rPr>
        <w:t>’</w:t>
      </w:r>
      <w:r w:rsidRPr="005771D8">
        <w:rPr>
          <w:lang w:val="fr-FR"/>
        </w:rPr>
        <w:t xml:space="preserve">impartialité des juges et des arbitres et une procédure régulière ne sont pas simplement des aspirations mais des obligations </w:t>
      </w:r>
      <w:r>
        <w:rPr>
          <w:lang w:val="fr-FR"/>
        </w:rPr>
        <w:t>juridiques au regard des règles applicables du droit international</w:t>
      </w:r>
      <w:r w:rsidRPr="005771D8">
        <w:rPr>
          <w:lang w:val="fr-FR"/>
        </w:rPr>
        <w:t>, le projet de directive 6 est formulé comme une obligation, énonçant que l</w:t>
      </w:r>
      <w:r w:rsidR="004C5E26">
        <w:rPr>
          <w:lang w:val="fr-FR"/>
        </w:rPr>
        <w:t>’</w:t>
      </w:r>
      <w:r w:rsidRPr="005771D8">
        <w:rPr>
          <w:lang w:val="fr-FR"/>
        </w:rPr>
        <w:t>arbitrage et le règlement judiciaire « doivent » respecter ces exigences de l</w:t>
      </w:r>
      <w:r w:rsidR="004C5E26">
        <w:rPr>
          <w:lang w:val="fr-FR"/>
        </w:rPr>
        <w:t>’</w:t>
      </w:r>
      <w:r w:rsidRPr="005771D8">
        <w:rPr>
          <w:lang w:val="fr-FR"/>
        </w:rPr>
        <w:t xml:space="preserve">état de droit. </w:t>
      </w:r>
    </w:p>
    <w:p w14:paraId="7FC5D639" w14:textId="4A0A5613" w:rsidR="00C324CF" w:rsidRPr="005771D8" w:rsidRDefault="00C324CF" w:rsidP="00C324CF">
      <w:pPr>
        <w:pStyle w:val="SingleTxtG"/>
        <w:rPr>
          <w:lang w:val="fr-FR"/>
        </w:rPr>
      </w:pPr>
      <w:r>
        <w:rPr>
          <w:lang w:val="fr-FR"/>
        </w:rPr>
        <w:t>9)</w:t>
      </w:r>
      <w:r>
        <w:rPr>
          <w:lang w:val="fr-FR"/>
        </w:rPr>
        <w:tab/>
        <w:t>L</w:t>
      </w:r>
      <w:r w:rsidRPr="0090584A">
        <w:rPr>
          <w:lang w:val="fr-FR"/>
        </w:rPr>
        <w:t>e projet de directive 6 fait seulement référence aux exigences de l</w:t>
      </w:r>
      <w:r w:rsidR="004C5E26">
        <w:rPr>
          <w:lang w:val="fr-FR"/>
        </w:rPr>
        <w:t>’</w:t>
      </w:r>
      <w:r w:rsidRPr="0090584A">
        <w:rPr>
          <w:lang w:val="fr-FR"/>
        </w:rPr>
        <w:t>état de droit qui sont pertinentes dès lors que les organisations internationales et les États ont accès à l</w:t>
      </w:r>
      <w:r w:rsidR="004C5E26">
        <w:rPr>
          <w:lang w:val="fr-FR"/>
        </w:rPr>
        <w:t>’</w:t>
      </w:r>
      <w:r w:rsidRPr="0090584A">
        <w:rPr>
          <w:lang w:val="fr-FR"/>
        </w:rPr>
        <w:t>arbitrage ou au règlement judiciaire</w:t>
      </w:r>
      <w:r>
        <w:rPr>
          <w:lang w:val="fr-FR"/>
        </w:rPr>
        <w:t xml:space="preserve"> et </w:t>
      </w:r>
      <w:r w:rsidRPr="00822EA6">
        <w:rPr>
          <w:lang w:val="fr-FR"/>
        </w:rPr>
        <w:t>ne prévoit pas</w:t>
      </w:r>
      <w:r>
        <w:rPr>
          <w:lang w:val="fr-FR"/>
        </w:rPr>
        <w:t xml:space="preserve"> </w:t>
      </w:r>
      <w:r w:rsidRPr="005771D8">
        <w:rPr>
          <w:lang w:val="fr-FR"/>
        </w:rPr>
        <w:t>un droit d</w:t>
      </w:r>
      <w:r w:rsidR="004C5E26">
        <w:rPr>
          <w:lang w:val="fr-FR"/>
        </w:rPr>
        <w:t>’</w:t>
      </w:r>
      <w:r w:rsidRPr="005771D8">
        <w:rPr>
          <w:lang w:val="fr-FR"/>
        </w:rPr>
        <w:t>accès à la justice</w:t>
      </w:r>
      <w:r>
        <w:rPr>
          <w:lang w:val="fr-FR"/>
        </w:rPr>
        <w:t xml:space="preserve"> pour ces organisations ou États. Le</w:t>
      </w:r>
      <w:r w:rsidRPr="005771D8">
        <w:rPr>
          <w:lang w:val="fr-FR"/>
        </w:rPr>
        <w:t xml:space="preserve"> droit d</w:t>
      </w:r>
      <w:r w:rsidR="004C5E26">
        <w:rPr>
          <w:lang w:val="fr-FR"/>
        </w:rPr>
        <w:t>’</w:t>
      </w:r>
      <w:r w:rsidRPr="005771D8">
        <w:rPr>
          <w:lang w:val="fr-FR"/>
        </w:rPr>
        <w:t>accès à la justice</w:t>
      </w:r>
      <w:r>
        <w:rPr>
          <w:lang w:val="fr-FR"/>
        </w:rPr>
        <w:t xml:space="preserve"> est souvent considéré comme étant inhérent à l</w:t>
      </w:r>
      <w:r w:rsidR="004C5E26">
        <w:rPr>
          <w:lang w:val="fr-FR"/>
        </w:rPr>
        <w:t>’</w:t>
      </w:r>
      <w:r>
        <w:rPr>
          <w:lang w:val="fr-FR"/>
        </w:rPr>
        <w:t>état de droit en ce qui concerne les parties privées</w:t>
      </w:r>
      <w:r w:rsidRPr="00E9227E">
        <w:rPr>
          <w:rStyle w:val="Appelnotedebasdep"/>
        </w:rPr>
        <w:footnoteReference w:id="79"/>
      </w:r>
      <w:r w:rsidRPr="005771D8">
        <w:rPr>
          <w:lang w:val="fr-FR"/>
        </w:rPr>
        <w:t>.</w:t>
      </w:r>
    </w:p>
    <w:p w14:paraId="63B83593" w14:textId="4B033FC6" w:rsidR="00C324CF" w:rsidRDefault="00C324CF" w:rsidP="00C324CF">
      <w:pPr>
        <w:pStyle w:val="SingleTxtG"/>
        <w:rPr>
          <w:lang w:val="fr-FR"/>
        </w:rPr>
      </w:pPr>
      <w:r>
        <w:rPr>
          <w:lang w:val="fr-FR"/>
        </w:rPr>
        <w:t>10)</w:t>
      </w:r>
      <w:r>
        <w:rPr>
          <w:lang w:val="fr-FR"/>
        </w:rPr>
        <w:tab/>
        <w:t>Le libellé du projet de directive 6 ne change rien au fait</w:t>
      </w:r>
      <w:r w:rsidRPr="005771D8">
        <w:rPr>
          <w:lang w:val="fr-FR"/>
        </w:rPr>
        <w:t xml:space="preserve"> qu</w:t>
      </w:r>
      <w:r w:rsidR="004C5E26">
        <w:rPr>
          <w:lang w:val="fr-FR"/>
        </w:rPr>
        <w:t>’</w:t>
      </w:r>
      <w:r w:rsidRPr="005771D8">
        <w:rPr>
          <w:lang w:val="fr-FR"/>
        </w:rPr>
        <w:t>une meilleure accessibilité de tous les moyens de règlement des différends, y compris l</w:t>
      </w:r>
      <w:r w:rsidR="004C5E26">
        <w:rPr>
          <w:lang w:val="fr-FR"/>
        </w:rPr>
        <w:t>’</w:t>
      </w:r>
      <w:r w:rsidRPr="005771D8">
        <w:rPr>
          <w:lang w:val="fr-FR"/>
        </w:rPr>
        <w:t>arbitrage et le règlement judiciaire, est à recommander, comme le prévoit le projet de directive 5.</w:t>
      </w:r>
    </w:p>
    <w:p w14:paraId="49CC4744" w14:textId="1A19DE23" w:rsidR="00FD1DF8" w:rsidRDefault="00FD1DF8">
      <w:pPr>
        <w:suppressAutoHyphens w:val="0"/>
        <w:kinsoku/>
        <w:overflowPunct/>
        <w:autoSpaceDE/>
        <w:autoSpaceDN/>
        <w:adjustRightInd/>
        <w:snapToGrid/>
        <w:spacing w:line="240" w:lineRule="auto"/>
        <w:rPr>
          <w:lang w:val="fr-FR"/>
        </w:rPr>
      </w:pPr>
      <w:r>
        <w:rPr>
          <w:lang w:val="fr-FR"/>
        </w:rPr>
        <w:br w:type="page"/>
      </w:r>
    </w:p>
    <w:p w14:paraId="7E1A9718" w14:textId="433B1360" w:rsidR="004C5E26" w:rsidRPr="00452CA5" w:rsidRDefault="004C5E26" w:rsidP="004C5E26">
      <w:pPr>
        <w:pStyle w:val="HChG"/>
        <w:rPr>
          <w:shd w:val="clear" w:color="000000" w:fill="FFFFFF"/>
          <w:lang w:val="fr-FR"/>
        </w:rPr>
      </w:pPr>
      <w:bookmarkStart w:id="53" w:name="_Toc142669390"/>
      <w:bookmarkStart w:id="54" w:name="_Toc143610354"/>
      <w:bookmarkStart w:id="55" w:name="_Toc143610849"/>
      <w:r w:rsidRPr="00452CA5">
        <w:rPr>
          <w:shd w:val="clear" w:color="000000" w:fill="FFFFFF"/>
          <w:lang w:val="fr-FR"/>
        </w:rPr>
        <w:lastRenderedPageBreak/>
        <w:tab/>
      </w:r>
      <w:r w:rsidRPr="00452CA5">
        <w:rPr>
          <w:shd w:val="clear" w:color="000000" w:fill="FFFFFF"/>
          <w:lang w:val="fr-FR"/>
        </w:rPr>
        <w:tab/>
        <w:t>Chapitre V</w:t>
      </w:r>
      <w:r>
        <w:rPr>
          <w:shd w:val="clear" w:color="000000" w:fill="FFFFFF"/>
          <w:lang w:val="fr-FR"/>
        </w:rPr>
        <w:br/>
      </w:r>
      <w:r w:rsidRPr="00452CA5">
        <w:rPr>
          <w:shd w:val="clear" w:color="000000" w:fill="FFFFFF"/>
          <w:lang w:val="fr-FR"/>
        </w:rPr>
        <w:tab/>
      </w:r>
      <w:bookmarkStart w:id="56" w:name="_Hlk175322942"/>
      <w:r w:rsidRPr="00452CA5">
        <w:rPr>
          <w:lang w:val="fr-FR"/>
        </w:rPr>
        <w:t>Moyens auxiliaires de détermination des règles de droit international</w:t>
      </w:r>
      <w:bookmarkEnd w:id="56"/>
    </w:p>
    <w:p w14:paraId="5D237EEF" w14:textId="77777777" w:rsidR="004C5E26" w:rsidRPr="00452CA5" w:rsidRDefault="004C5E26" w:rsidP="004C5E26">
      <w:pPr>
        <w:pStyle w:val="H1G"/>
        <w:rPr>
          <w:shd w:val="clear" w:color="000000" w:fill="FFFFFF"/>
          <w:lang w:val="fr-FR"/>
        </w:rPr>
      </w:pPr>
      <w:r w:rsidRPr="00452CA5">
        <w:rPr>
          <w:shd w:val="clear" w:color="000000" w:fill="FFFFFF"/>
          <w:lang w:val="fr-FR"/>
        </w:rPr>
        <w:tab/>
        <w:t>A.</w:t>
      </w:r>
      <w:r w:rsidRPr="00452CA5">
        <w:rPr>
          <w:shd w:val="clear" w:color="000000" w:fill="FFFFFF"/>
          <w:lang w:val="fr-FR"/>
        </w:rPr>
        <w:tab/>
        <w:t>Introduction</w:t>
      </w:r>
    </w:p>
    <w:p w14:paraId="35C9838C" w14:textId="79A6AE26" w:rsidR="004C5E26" w:rsidRPr="00452CA5" w:rsidRDefault="004C5E26" w:rsidP="004C5E26">
      <w:pPr>
        <w:pStyle w:val="SingleTxtG"/>
        <w:rPr>
          <w:shd w:val="clear" w:color="000000" w:fill="FFFFFF"/>
          <w:lang w:val="fr-FR"/>
        </w:rPr>
      </w:pPr>
      <w:r>
        <w:rPr>
          <w:shd w:val="clear" w:color="000000" w:fill="FFFFFF"/>
          <w:lang w:val="fr-FR"/>
        </w:rPr>
        <w:t>64</w:t>
      </w:r>
      <w:r w:rsidRPr="00452CA5">
        <w:rPr>
          <w:shd w:val="clear" w:color="000000" w:fill="FFFFFF"/>
          <w:lang w:val="fr-FR"/>
        </w:rPr>
        <w:t>.</w:t>
      </w:r>
      <w:r w:rsidRPr="00452CA5">
        <w:rPr>
          <w:shd w:val="clear" w:color="000000" w:fill="FFFFFF"/>
          <w:lang w:val="fr-FR"/>
        </w:rPr>
        <w:tab/>
        <w:t>À sa soixante-treizième session (2022), la Commission a décidé d</w:t>
      </w:r>
      <w:r>
        <w:rPr>
          <w:shd w:val="clear" w:color="000000" w:fill="FFFFFF"/>
          <w:lang w:val="fr-FR"/>
        </w:rPr>
        <w:t>’</w:t>
      </w:r>
      <w:r w:rsidRPr="00452CA5">
        <w:rPr>
          <w:shd w:val="clear" w:color="000000" w:fill="FFFFFF"/>
          <w:lang w:val="fr-FR"/>
        </w:rPr>
        <w:t xml:space="preserve">inscrire le sujet </w:t>
      </w:r>
      <w:r w:rsidRPr="00452CA5">
        <w:rPr>
          <w:lang w:val="fr-FR"/>
        </w:rPr>
        <w:t>«</w:t>
      </w:r>
      <w:r w:rsidRPr="00452CA5">
        <w:rPr>
          <w:shd w:val="clear" w:color="000000" w:fill="FFFFFF"/>
          <w:lang w:val="fr-FR"/>
        </w:rPr>
        <w:t> </w:t>
      </w:r>
      <w:r w:rsidRPr="00452CA5">
        <w:rPr>
          <w:lang w:val="fr-FR"/>
        </w:rPr>
        <w:t>Moyens auxiliaires de détermination des règles de droit international »</w:t>
      </w:r>
      <w:r w:rsidRPr="00452CA5">
        <w:rPr>
          <w:shd w:val="clear" w:color="000000" w:fill="FFFFFF"/>
          <w:lang w:val="fr-FR"/>
        </w:rPr>
        <w:t xml:space="preserve"> à son programme de travail et a </w:t>
      </w:r>
      <w:r>
        <w:rPr>
          <w:shd w:val="clear" w:color="000000" w:fill="FFFFFF"/>
          <w:lang w:val="fr-FR"/>
        </w:rPr>
        <w:t>désigné</w:t>
      </w:r>
      <w:r w:rsidRPr="00452CA5">
        <w:rPr>
          <w:shd w:val="clear" w:color="000000" w:fill="FFFFFF"/>
          <w:lang w:val="fr-FR"/>
        </w:rPr>
        <w:t xml:space="preserve"> M. Charles</w:t>
      </w:r>
      <w:r>
        <w:rPr>
          <w:shd w:val="clear" w:color="000000" w:fill="FFFFFF"/>
          <w:lang w:val="fr-FR"/>
        </w:rPr>
        <w:t> </w:t>
      </w:r>
      <w:proofErr w:type="spellStart"/>
      <w:r w:rsidRPr="00452CA5">
        <w:rPr>
          <w:shd w:val="clear" w:color="000000" w:fill="FFFFFF"/>
          <w:lang w:val="fr-FR"/>
        </w:rPr>
        <w:t>Chernor</w:t>
      </w:r>
      <w:proofErr w:type="spellEnd"/>
      <w:r w:rsidRPr="00452CA5">
        <w:rPr>
          <w:shd w:val="clear" w:color="000000" w:fill="FFFFFF"/>
          <w:lang w:val="fr-FR"/>
        </w:rPr>
        <w:t xml:space="preserve"> </w:t>
      </w:r>
      <w:proofErr w:type="spellStart"/>
      <w:r w:rsidRPr="00452CA5">
        <w:rPr>
          <w:shd w:val="clear" w:color="000000" w:fill="FFFFFF"/>
          <w:lang w:val="fr-FR"/>
        </w:rPr>
        <w:t>Jalloh</w:t>
      </w:r>
      <w:proofErr w:type="spellEnd"/>
      <w:r w:rsidRPr="00452CA5">
        <w:rPr>
          <w:shd w:val="clear" w:color="000000" w:fill="FFFFFF"/>
          <w:lang w:val="fr-FR"/>
        </w:rPr>
        <w:t xml:space="preserve"> Rapporteur spécial</w:t>
      </w:r>
      <w:r w:rsidRPr="00452CA5">
        <w:rPr>
          <w:rStyle w:val="Appelnotedebasdep"/>
          <w:lang w:val="fr-FR"/>
        </w:rPr>
        <w:footnoteReference w:id="80"/>
      </w:r>
      <w:r w:rsidRPr="00452CA5">
        <w:rPr>
          <w:shd w:val="clear" w:color="000000" w:fill="FFFFFF"/>
          <w:lang w:val="fr-FR"/>
        </w:rPr>
        <w:t>. À sa soixante</w:t>
      </w:r>
      <w:r>
        <w:rPr>
          <w:shd w:val="clear" w:color="000000" w:fill="FFFFFF"/>
          <w:lang w:val="fr-FR"/>
        </w:rPr>
        <w:noBreakHyphen/>
      </w:r>
      <w:r w:rsidRPr="00452CA5">
        <w:rPr>
          <w:shd w:val="clear" w:color="000000" w:fill="FFFFFF"/>
          <w:lang w:val="fr-FR"/>
        </w:rPr>
        <w:t>treizième session également</w:t>
      </w:r>
      <w:r w:rsidRPr="00452CA5">
        <w:rPr>
          <w:rStyle w:val="Appelnotedebasdep"/>
          <w:lang w:val="fr-FR"/>
        </w:rPr>
        <w:footnoteReference w:id="81"/>
      </w:r>
      <w:r w:rsidRPr="00452CA5">
        <w:rPr>
          <w:shd w:val="clear" w:color="000000" w:fill="FFFFFF"/>
          <w:lang w:val="fr-FR"/>
        </w:rPr>
        <w:t>, la Commission a demandé au Secrétariat d</w:t>
      </w:r>
      <w:r>
        <w:rPr>
          <w:shd w:val="clear" w:color="000000" w:fill="FFFFFF"/>
          <w:lang w:val="fr-FR"/>
        </w:rPr>
        <w:t>’</w:t>
      </w:r>
      <w:r w:rsidRPr="00452CA5">
        <w:rPr>
          <w:shd w:val="clear" w:color="000000" w:fill="FFFFFF"/>
          <w:lang w:val="fr-FR"/>
        </w:rPr>
        <w:t>établir une étude recensant les éléments des travaux antérieurs de la Commission qui pourraient être utiles pour la suite des travaux sur le sujet, à soumettre à sa soixante-quatorzième session (2023), et une étude de la jurisprudence des cours et tribunaux internationaux ainsi que d</w:t>
      </w:r>
      <w:r>
        <w:rPr>
          <w:shd w:val="clear" w:color="000000" w:fill="FFFFFF"/>
          <w:lang w:val="fr-FR"/>
        </w:rPr>
        <w:t>’</w:t>
      </w:r>
      <w:r w:rsidRPr="00452CA5">
        <w:rPr>
          <w:shd w:val="clear" w:color="000000" w:fill="FFFFFF"/>
          <w:lang w:val="fr-FR"/>
        </w:rPr>
        <w:t>autres organes qui présenterait un intérêt particulier pour la suite de ses travaux sur le sujet, à soumettre à sa soixante-quinzième session (2024).</w:t>
      </w:r>
    </w:p>
    <w:p w14:paraId="0EC85AD8" w14:textId="3EE8D9CD" w:rsidR="004C5E26" w:rsidRPr="00452CA5" w:rsidRDefault="004C5E26" w:rsidP="004C5E26">
      <w:pPr>
        <w:pStyle w:val="SingleTxtG"/>
        <w:rPr>
          <w:shd w:val="clear" w:color="000000" w:fill="FFFFFF"/>
          <w:lang w:val="fr-FR"/>
        </w:rPr>
      </w:pPr>
      <w:r>
        <w:rPr>
          <w:shd w:val="clear" w:color="000000" w:fill="FFFFFF"/>
          <w:lang w:val="fr-FR"/>
        </w:rPr>
        <w:t>65</w:t>
      </w:r>
      <w:r w:rsidRPr="00452CA5">
        <w:rPr>
          <w:shd w:val="clear" w:color="000000" w:fill="FFFFFF"/>
          <w:lang w:val="fr-FR"/>
        </w:rPr>
        <w:t>.</w:t>
      </w:r>
      <w:r w:rsidRPr="00452CA5">
        <w:rPr>
          <w:shd w:val="clear" w:color="000000" w:fill="FFFFFF"/>
          <w:lang w:val="fr-FR"/>
        </w:rPr>
        <w:tab/>
        <w:t xml:space="preserve">Au paragraphe 26 de sa résolution </w:t>
      </w:r>
      <w:hyperlink r:id="rId53" w:history="1">
        <w:r w:rsidRPr="00452CA5">
          <w:rPr>
            <w:rStyle w:val="Lienhypertexte"/>
            <w:shd w:val="clear" w:color="000000" w:fill="FFFFFF"/>
            <w:lang w:val="fr-FR"/>
          </w:rPr>
          <w:t>77/103</w:t>
        </w:r>
      </w:hyperlink>
      <w:r w:rsidRPr="00452CA5">
        <w:rPr>
          <w:shd w:val="clear" w:color="000000" w:fill="FFFFFF"/>
          <w:lang w:val="fr-FR"/>
        </w:rPr>
        <w:t xml:space="preserve"> du 7 décembre 2022, l</w:t>
      </w:r>
      <w:r>
        <w:rPr>
          <w:shd w:val="clear" w:color="000000" w:fill="FFFFFF"/>
          <w:lang w:val="fr-FR"/>
        </w:rPr>
        <w:t>’</w:t>
      </w:r>
      <w:r w:rsidRPr="00452CA5">
        <w:rPr>
          <w:shd w:val="clear" w:color="000000" w:fill="FFFFFF"/>
          <w:lang w:val="fr-FR"/>
        </w:rPr>
        <w:t>Assemblée générale, a pris note de la décision de la Commission d</w:t>
      </w:r>
      <w:r>
        <w:rPr>
          <w:shd w:val="clear" w:color="000000" w:fill="FFFFFF"/>
          <w:lang w:val="fr-FR"/>
        </w:rPr>
        <w:t>’</w:t>
      </w:r>
      <w:r w:rsidRPr="00452CA5">
        <w:rPr>
          <w:shd w:val="clear" w:color="000000" w:fill="FFFFFF"/>
          <w:lang w:val="fr-FR"/>
        </w:rPr>
        <w:t>inscrire le sujet à son programme de travail.</w:t>
      </w:r>
    </w:p>
    <w:p w14:paraId="3751C0CC" w14:textId="1155FACB" w:rsidR="004C5E26" w:rsidRPr="00452CA5" w:rsidRDefault="004C5E26" w:rsidP="004C5E26">
      <w:pPr>
        <w:pStyle w:val="SingleTxtG"/>
        <w:rPr>
          <w:rFonts w:ascii="TimesNewRomanPSMT" w:hAnsi="TimesNewRomanPSMT"/>
          <w:lang w:val="fr-FR"/>
        </w:rPr>
      </w:pPr>
      <w:r>
        <w:rPr>
          <w:shd w:val="clear" w:color="000000" w:fill="FFFFFF"/>
          <w:lang w:val="fr-FR"/>
        </w:rPr>
        <w:t>66</w:t>
      </w:r>
      <w:r w:rsidRPr="00452CA5">
        <w:rPr>
          <w:shd w:val="clear" w:color="000000" w:fill="FFFFFF"/>
          <w:lang w:val="fr-FR"/>
        </w:rPr>
        <w:t>.</w:t>
      </w:r>
      <w:r w:rsidRPr="00452CA5">
        <w:rPr>
          <w:shd w:val="clear" w:color="000000" w:fill="FFFFFF"/>
          <w:lang w:val="fr-FR"/>
        </w:rPr>
        <w:tab/>
        <w:t>À sa soixante-quatorzième session (2023), la Commission a examiné le premier rapport du Rapporteur spécial</w:t>
      </w:r>
      <w:r w:rsidRPr="00452CA5">
        <w:rPr>
          <w:rStyle w:val="Appelnotedebasdep"/>
          <w:lang w:val="fr-FR"/>
        </w:rPr>
        <w:footnoteReference w:id="82"/>
      </w:r>
      <w:r w:rsidRPr="00452CA5">
        <w:rPr>
          <w:shd w:val="clear" w:color="000000" w:fill="FFFFFF"/>
          <w:lang w:val="fr-FR"/>
        </w:rPr>
        <w:t>, qui portait sur l</w:t>
      </w:r>
      <w:r>
        <w:rPr>
          <w:shd w:val="clear" w:color="000000" w:fill="FFFFFF"/>
          <w:lang w:val="fr-FR"/>
        </w:rPr>
        <w:t>’</w:t>
      </w:r>
      <w:r w:rsidRPr="00452CA5">
        <w:rPr>
          <w:shd w:val="clear" w:color="000000" w:fill="FFFFFF"/>
          <w:lang w:val="fr-FR"/>
        </w:rPr>
        <w:t xml:space="preserve">objet des travaux sur le sujet et les principales questions que la Commission devrait examiner. </w:t>
      </w:r>
      <w:r>
        <w:rPr>
          <w:shd w:val="clear" w:color="000000" w:fill="FFFFFF"/>
          <w:lang w:val="fr-FR"/>
        </w:rPr>
        <w:t>Le rapport</w:t>
      </w:r>
      <w:r w:rsidRPr="00452CA5">
        <w:rPr>
          <w:shd w:val="clear" w:color="000000" w:fill="FFFFFF"/>
          <w:lang w:val="fr-FR"/>
        </w:rPr>
        <w:t xml:space="preserve"> traitait également des travaux antérieurs de la Commission sur le sujet, de la nature et de la fonction des sources du droit international et de leur relation avec les moyens auxiliaires, et des travaux préparatoires de l</w:t>
      </w:r>
      <w:r>
        <w:rPr>
          <w:shd w:val="clear" w:color="000000" w:fill="FFFFFF"/>
          <w:lang w:val="fr-FR"/>
        </w:rPr>
        <w:t>’</w:t>
      </w:r>
      <w:r w:rsidRPr="00452CA5">
        <w:rPr>
          <w:shd w:val="clear" w:color="000000" w:fill="FFFFFF"/>
          <w:lang w:val="fr-FR"/>
        </w:rPr>
        <w:t>alinéa d) du paragraphe 1 de l</w:t>
      </w:r>
      <w:r>
        <w:rPr>
          <w:rFonts w:ascii="TimesNewRomanPSMT" w:hAnsi="TimesNewRomanPSMT"/>
          <w:lang w:val="fr-FR"/>
        </w:rPr>
        <w:t>’</w:t>
      </w:r>
      <w:r w:rsidRPr="00452CA5">
        <w:rPr>
          <w:rFonts w:ascii="TimesNewRomanPSMT" w:hAnsi="TimesNewRomanPSMT"/>
          <w:lang w:val="fr-FR"/>
        </w:rPr>
        <w:t>Article</w:t>
      </w:r>
      <w:r>
        <w:rPr>
          <w:rFonts w:ascii="TimesNewRomanPSMT" w:hAnsi="TimesNewRomanPSMT" w:hint="eastAsia"/>
          <w:lang w:val="fr-FR"/>
        </w:rPr>
        <w:t> </w:t>
      </w:r>
      <w:r w:rsidRPr="00452CA5">
        <w:rPr>
          <w:rFonts w:ascii="TimesNewRomanPSMT" w:hAnsi="TimesNewRomanPSMT"/>
          <w:lang w:val="fr-FR"/>
        </w:rPr>
        <w:t>38 du Statut de la Cour internationale de Justice ainsi que du statut de cette disposition en droit international coutumier. La Commission était également saisie de l</w:t>
      </w:r>
      <w:r>
        <w:rPr>
          <w:rFonts w:ascii="TimesNewRomanPSMT" w:hAnsi="TimesNewRomanPSMT"/>
          <w:lang w:val="fr-FR"/>
        </w:rPr>
        <w:t>’</w:t>
      </w:r>
      <w:r w:rsidRPr="00452CA5">
        <w:rPr>
          <w:rFonts w:ascii="TimesNewRomanPSMT" w:hAnsi="TimesNewRomanPSMT"/>
          <w:lang w:val="fr-FR"/>
        </w:rPr>
        <w:t>étude recensant les éléments de ses travaux antérieurs pouvant être particulièrement utiles pour l</w:t>
      </w:r>
      <w:r>
        <w:rPr>
          <w:rFonts w:ascii="TimesNewRomanPSMT" w:hAnsi="TimesNewRomanPSMT"/>
          <w:lang w:val="fr-FR"/>
        </w:rPr>
        <w:t>’</w:t>
      </w:r>
      <w:r w:rsidRPr="00452CA5">
        <w:rPr>
          <w:rFonts w:ascii="TimesNewRomanPSMT" w:hAnsi="TimesNewRomanPSMT"/>
          <w:lang w:val="fr-FR"/>
        </w:rPr>
        <w:t>examen du sujet qu</w:t>
      </w:r>
      <w:r>
        <w:rPr>
          <w:rFonts w:ascii="TimesNewRomanPSMT" w:hAnsi="TimesNewRomanPSMT"/>
          <w:lang w:val="fr-FR"/>
        </w:rPr>
        <w:t>’</w:t>
      </w:r>
      <w:r w:rsidRPr="00452CA5">
        <w:rPr>
          <w:rFonts w:ascii="TimesNewRomanPSMT" w:hAnsi="TimesNewRomanPSMT"/>
          <w:lang w:val="fr-FR"/>
        </w:rPr>
        <w:t>elle avait demandé au Secrétariat d</w:t>
      </w:r>
      <w:r>
        <w:rPr>
          <w:rFonts w:ascii="TimesNewRomanPSMT" w:hAnsi="TimesNewRomanPSMT"/>
          <w:lang w:val="fr-FR"/>
        </w:rPr>
        <w:t>’</w:t>
      </w:r>
      <w:r w:rsidRPr="00452CA5">
        <w:rPr>
          <w:rFonts w:ascii="TimesNewRomanPSMT" w:hAnsi="TimesNewRomanPSMT"/>
          <w:lang w:val="fr-FR"/>
        </w:rPr>
        <w:t>élaborer</w:t>
      </w:r>
      <w:r w:rsidRPr="00452CA5">
        <w:rPr>
          <w:rStyle w:val="Appelnotedebasdep"/>
          <w:lang w:val="fr-FR"/>
        </w:rPr>
        <w:footnoteReference w:id="83"/>
      </w:r>
      <w:r w:rsidRPr="00452CA5">
        <w:rPr>
          <w:rFonts w:ascii="TimesNewRomanPSMT" w:hAnsi="TimesNewRomanPSMT"/>
          <w:lang w:val="fr-FR"/>
        </w:rPr>
        <w:t>.</w:t>
      </w:r>
    </w:p>
    <w:p w14:paraId="565E3204" w14:textId="7BB211C8" w:rsidR="004C5E26" w:rsidRPr="00452CA5" w:rsidRDefault="004C5E26" w:rsidP="004C5E26">
      <w:pPr>
        <w:pStyle w:val="SingleTxtG"/>
        <w:rPr>
          <w:lang w:val="fr-FR"/>
        </w:rPr>
      </w:pPr>
      <w:r>
        <w:rPr>
          <w:lang w:val="fr-FR"/>
        </w:rPr>
        <w:t>67</w:t>
      </w:r>
      <w:r w:rsidRPr="00452CA5">
        <w:rPr>
          <w:lang w:val="fr-FR"/>
        </w:rPr>
        <w:t>.</w:t>
      </w:r>
      <w:r w:rsidRPr="00452CA5">
        <w:rPr>
          <w:lang w:val="fr-FR"/>
        </w:rPr>
        <w:tab/>
        <w:t>À l</w:t>
      </w:r>
      <w:r>
        <w:rPr>
          <w:lang w:val="fr-FR"/>
        </w:rPr>
        <w:t>’</w:t>
      </w:r>
      <w:r w:rsidRPr="00452CA5">
        <w:rPr>
          <w:lang w:val="fr-FR"/>
        </w:rPr>
        <w:t xml:space="preserve">issue du débat en plénière, la Commission a décidé de renvoyer au Comité de rédaction les projets de conclusions 1 à 5 proposés par le Rapporteur spécial dans son </w:t>
      </w:r>
      <w:r>
        <w:rPr>
          <w:lang w:val="fr-FR"/>
        </w:rPr>
        <w:t>premier</w:t>
      </w:r>
      <w:r w:rsidRPr="00452CA5">
        <w:rPr>
          <w:lang w:val="fr-FR"/>
        </w:rPr>
        <w:t xml:space="preserve"> rapport. Elle a provisoirement adopté les projets de conclusions</w:t>
      </w:r>
      <w:r>
        <w:rPr>
          <w:lang w:val="fr-FR"/>
        </w:rPr>
        <w:t> </w:t>
      </w:r>
      <w:r w:rsidRPr="00452CA5">
        <w:rPr>
          <w:lang w:val="fr-FR"/>
        </w:rPr>
        <w:t>1, 2 et 3 et les commentaires y relatifs et pris note du rapport du Comité de rédaction sur les projets de conclusions</w:t>
      </w:r>
      <w:r>
        <w:rPr>
          <w:lang w:val="fr-FR"/>
        </w:rPr>
        <w:t> </w:t>
      </w:r>
      <w:r w:rsidRPr="00452CA5">
        <w:rPr>
          <w:lang w:val="fr-FR"/>
        </w:rPr>
        <w:t>4 et 5.</w:t>
      </w:r>
    </w:p>
    <w:p w14:paraId="76B1B079" w14:textId="77777777" w:rsidR="004C5E26" w:rsidRPr="00452CA5" w:rsidRDefault="004C5E26" w:rsidP="004C5E26">
      <w:pPr>
        <w:pStyle w:val="H1G"/>
        <w:rPr>
          <w:shd w:val="clear" w:color="000000" w:fill="FFFFFF"/>
          <w:lang w:val="fr-FR"/>
        </w:rPr>
      </w:pPr>
      <w:r w:rsidRPr="00452CA5">
        <w:rPr>
          <w:shd w:val="clear" w:color="000000" w:fill="FFFFFF"/>
          <w:lang w:val="fr-FR"/>
        </w:rPr>
        <w:tab/>
        <w:t>B.</w:t>
      </w:r>
      <w:r w:rsidRPr="00452CA5">
        <w:rPr>
          <w:shd w:val="clear" w:color="000000" w:fill="FFFFFF"/>
          <w:lang w:val="fr-FR"/>
        </w:rPr>
        <w:tab/>
      </w:r>
      <w:bookmarkStart w:id="57" w:name="_Hlk175323382"/>
      <w:r w:rsidRPr="00452CA5">
        <w:rPr>
          <w:shd w:val="clear" w:color="000000" w:fill="FFFFFF"/>
          <w:lang w:val="fr-FR"/>
        </w:rPr>
        <w:t>Examen du sujet à la présente session</w:t>
      </w:r>
      <w:bookmarkEnd w:id="57"/>
    </w:p>
    <w:p w14:paraId="19CBF6D0" w14:textId="2B3411B8" w:rsidR="004C5E26" w:rsidRPr="00452CA5" w:rsidRDefault="004C5E26" w:rsidP="004C5E26">
      <w:pPr>
        <w:pStyle w:val="SingleTxtG"/>
        <w:rPr>
          <w:lang w:val="fr-FR"/>
        </w:rPr>
      </w:pPr>
      <w:r>
        <w:rPr>
          <w:shd w:val="clear" w:color="000000" w:fill="FFFFFF"/>
          <w:lang w:val="fr-FR"/>
        </w:rPr>
        <w:t>68</w:t>
      </w:r>
      <w:r w:rsidRPr="00452CA5">
        <w:rPr>
          <w:shd w:val="clear" w:color="000000" w:fill="FFFFFF"/>
          <w:lang w:val="fr-FR"/>
        </w:rPr>
        <w:t>.</w:t>
      </w:r>
      <w:r w:rsidRPr="00452CA5">
        <w:rPr>
          <w:shd w:val="clear" w:color="000000" w:fill="FFFFFF"/>
          <w:lang w:val="fr-FR"/>
        </w:rPr>
        <w:tab/>
        <w:t xml:space="preserve">À la présente session, la Commission était saisie du deuxième rapport du Rapporteur spécial </w:t>
      </w:r>
      <w:r w:rsidRPr="00452CA5">
        <w:rPr>
          <w:lang w:val="fr-FR"/>
        </w:rPr>
        <w:t>(</w:t>
      </w:r>
      <w:hyperlink r:id="rId54" w:history="1">
        <w:r w:rsidRPr="004C5E26">
          <w:rPr>
            <w:rStyle w:val="Lienhypertexte"/>
            <w:lang w:val="fr-FR"/>
          </w:rPr>
          <w:t>A/CN.4/769</w:t>
        </w:r>
      </w:hyperlink>
      <w:r w:rsidRPr="00452CA5">
        <w:rPr>
          <w:lang w:val="fr-FR"/>
        </w:rPr>
        <w:t>). Ce rapport portait sur les travaux menés jusqu</w:t>
      </w:r>
      <w:r>
        <w:rPr>
          <w:lang w:val="fr-FR"/>
        </w:rPr>
        <w:t>’</w:t>
      </w:r>
      <w:r w:rsidRPr="00452CA5">
        <w:rPr>
          <w:lang w:val="fr-FR"/>
        </w:rPr>
        <w:t xml:space="preserve">ici par la Commission sur le sujet, les fonctions des moyens auxiliaires de détermination des règles de droit international, les travaux préparatoires de </w:t>
      </w:r>
      <w:r w:rsidRPr="00452CA5">
        <w:rPr>
          <w:shd w:val="clear" w:color="000000" w:fill="FFFFFF"/>
          <w:lang w:val="fr-FR"/>
        </w:rPr>
        <w:t>l</w:t>
      </w:r>
      <w:r>
        <w:rPr>
          <w:shd w:val="clear" w:color="000000" w:fill="FFFFFF"/>
          <w:lang w:val="fr-FR"/>
        </w:rPr>
        <w:t>’</w:t>
      </w:r>
      <w:r w:rsidRPr="00452CA5">
        <w:rPr>
          <w:shd w:val="clear" w:color="000000" w:fill="FFFFFF"/>
          <w:lang w:val="fr-FR"/>
        </w:rPr>
        <w:t>alinéa d) du paragraphe 1 de l</w:t>
      </w:r>
      <w:r>
        <w:rPr>
          <w:rFonts w:ascii="TimesNewRomanPSMT" w:hAnsi="TimesNewRomanPSMT"/>
          <w:lang w:val="fr-FR"/>
        </w:rPr>
        <w:t>’</w:t>
      </w:r>
      <w:r w:rsidRPr="00452CA5">
        <w:rPr>
          <w:rFonts w:ascii="TimesNewRomanPSMT" w:hAnsi="TimesNewRomanPSMT"/>
          <w:lang w:val="fr-FR"/>
        </w:rPr>
        <w:t>Article</w:t>
      </w:r>
      <w:r>
        <w:rPr>
          <w:rFonts w:ascii="TimesNewRomanPSMT" w:hAnsi="TimesNewRomanPSMT" w:hint="eastAsia"/>
          <w:lang w:val="fr-FR"/>
        </w:rPr>
        <w:t> </w:t>
      </w:r>
      <w:r w:rsidRPr="00452CA5">
        <w:rPr>
          <w:rFonts w:ascii="TimesNewRomanPSMT" w:hAnsi="TimesNewRomanPSMT"/>
          <w:lang w:val="fr-FR"/>
        </w:rPr>
        <w:t xml:space="preserve">38 du Statut de la Cour internationale de Justice, la pratique de la Cour internationale de </w:t>
      </w:r>
      <w:r w:rsidRPr="00452CA5">
        <w:rPr>
          <w:lang w:val="fr-FR"/>
        </w:rPr>
        <w:t>Justice et d</w:t>
      </w:r>
      <w:r>
        <w:rPr>
          <w:lang w:val="fr-FR"/>
        </w:rPr>
        <w:t>’</w:t>
      </w:r>
      <w:r w:rsidRPr="00452CA5">
        <w:rPr>
          <w:lang w:val="fr-FR"/>
        </w:rPr>
        <w:t>autres juridictions internationales, la doctrine concernant les fonctions des moyens auxiliaires et la nature générale du précédent dans les décisions des juridictions nationales et internationales, y</w:t>
      </w:r>
      <w:r>
        <w:rPr>
          <w:lang w:val="fr-FR"/>
        </w:rPr>
        <w:t> </w:t>
      </w:r>
      <w:r w:rsidRPr="00452CA5">
        <w:rPr>
          <w:lang w:val="fr-FR"/>
        </w:rPr>
        <w:t xml:space="preserve">compris </w:t>
      </w:r>
      <w:r w:rsidRPr="00452CA5">
        <w:rPr>
          <w:shd w:val="clear" w:color="auto" w:fill="FFFFFF"/>
          <w:lang w:val="fr-FR"/>
        </w:rPr>
        <w:t>l</w:t>
      </w:r>
      <w:r>
        <w:rPr>
          <w:shd w:val="clear" w:color="auto" w:fill="FFFFFF"/>
          <w:lang w:val="fr-FR"/>
        </w:rPr>
        <w:t>’</w:t>
      </w:r>
      <w:r w:rsidRPr="00452CA5">
        <w:rPr>
          <w:shd w:val="clear" w:color="auto" w:fill="FFFFFF"/>
          <w:lang w:val="fr-FR"/>
        </w:rPr>
        <w:t>alinéa d) du paragraphe 1 de l</w:t>
      </w:r>
      <w:r>
        <w:rPr>
          <w:rFonts w:ascii="TimesNewRomanPSMT" w:hAnsi="TimesNewRomanPSMT"/>
          <w:lang w:val="fr-FR"/>
        </w:rPr>
        <w:t>’</w:t>
      </w:r>
      <w:r w:rsidRPr="00452CA5">
        <w:rPr>
          <w:rFonts w:ascii="TimesNewRomanPSMT" w:hAnsi="TimesNewRomanPSMT"/>
          <w:lang w:val="fr-FR"/>
        </w:rPr>
        <w:t>Article 38</w:t>
      </w:r>
      <w:r w:rsidRPr="00452CA5">
        <w:rPr>
          <w:lang w:val="fr-FR"/>
        </w:rPr>
        <w:t xml:space="preserve"> du </w:t>
      </w:r>
      <w:r w:rsidRPr="00452CA5">
        <w:rPr>
          <w:rFonts w:ascii="TimesNewRomanPSMT" w:hAnsi="TimesNewRomanPSMT"/>
          <w:lang w:val="fr-FR"/>
        </w:rPr>
        <w:t>Statut de la Cour internationale de Justice</w:t>
      </w:r>
      <w:r w:rsidRPr="00452CA5">
        <w:rPr>
          <w:lang w:val="fr-FR"/>
        </w:rPr>
        <w:t xml:space="preserve"> et sa relation avec l</w:t>
      </w:r>
      <w:r>
        <w:rPr>
          <w:lang w:val="fr-FR"/>
        </w:rPr>
        <w:t>’</w:t>
      </w:r>
      <w:r w:rsidRPr="00452CA5">
        <w:rPr>
          <w:lang w:val="fr-FR"/>
        </w:rPr>
        <w:t>Article</w:t>
      </w:r>
      <w:r>
        <w:rPr>
          <w:lang w:val="fr-FR"/>
        </w:rPr>
        <w:t> </w:t>
      </w:r>
      <w:r w:rsidRPr="00452CA5">
        <w:rPr>
          <w:lang w:val="fr-FR"/>
        </w:rPr>
        <w:t xml:space="preserve">59 </w:t>
      </w:r>
      <w:r>
        <w:rPr>
          <w:lang w:val="fr-FR"/>
        </w:rPr>
        <w:t>du Statut</w:t>
      </w:r>
      <w:r w:rsidRPr="00452CA5">
        <w:rPr>
          <w:rFonts w:ascii="TimesNewRomanPSMT" w:hAnsi="TimesNewRomanPSMT"/>
          <w:lang w:val="fr-FR"/>
        </w:rPr>
        <w:t xml:space="preserve">, ainsi que </w:t>
      </w:r>
      <w:r>
        <w:rPr>
          <w:rFonts w:ascii="TimesNewRomanPSMT" w:hAnsi="TimesNewRomanPSMT"/>
          <w:lang w:val="fr-FR"/>
        </w:rPr>
        <w:t xml:space="preserve">la relation entre les </w:t>
      </w:r>
      <w:r w:rsidRPr="00452CA5">
        <w:rPr>
          <w:rFonts w:ascii="TimesNewRomanPSMT" w:hAnsi="TimesNewRomanPSMT"/>
          <w:lang w:val="fr-FR"/>
        </w:rPr>
        <w:t>A</w:t>
      </w:r>
      <w:r w:rsidRPr="00452CA5">
        <w:rPr>
          <w:lang w:val="fr-FR"/>
        </w:rPr>
        <w:t>rticle</w:t>
      </w:r>
      <w:r>
        <w:rPr>
          <w:lang w:val="fr-FR"/>
        </w:rPr>
        <w:t>s</w:t>
      </w:r>
      <w:r w:rsidRPr="00452CA5">
        <w:rPr>
          <w:lang w:val="fr-FR"/>
        </w:rPr>
        <w:t xml:space="preserve"> 59 </w:t>
      </w:r>
      <w:r>
        <w:rPr>
          <w:lang w:val="fr-FR"/>
        </w:rPr>
        <w:t xml:space="preserve">et 61 </w:t>
      </w:r>
      <w:r w:rsidRPr="00452CA5">
        <w:rPr>
          <w:lang w:val="fr-FR"/>
        </w:rPr>
        <w:t>du même texte</w:t>
      </w:r>
      <w:r>
        <w:rPr>
          <w:rFonts w:ascii="TimesNewRomanPSMT" w:hAnsi="TimesNewRomanPSMT"/>
          <w:lang w:val="fr-FR"/>
        </w:rPr>
        <w:t xml:space="preserve"> </w:t>
      </w:r>
      <w:r w:rsidRPr="00452CA5">
        <w:rPr>
          <w:rFonts w:ascii="TimesNewRomanPSMT" w:hAnsi="TimesNewRomanPSMT"/>
          <w:lang w:val="fr-FR"/>
        </w:rPr>
        <w:t>et le lien avec les droits des États tiers. Le</w:t>
      </w:r>
      <w:r>
        <w:rPr>
          <w:rFonts w:ascii="TimesNewRomanPSMT" w:hAnsi="TimesNewRomanPSMT"/>
          <w:lang w:val="fr-FR"/>
        </w:rPr>
        <w:t xml:space="preserve"> </w:t>
      </w:r>
      <w:r w:rsidRPr="00452CA5">
        <w:rPr>
          <w:rFonts w:ascii="TimesNewRomanPSMT" w:hAnsi="TimesNewRomanPSMT"/>
          <w:lang w:val="fr-FR"/>
        </w:rPr>
        <w:t xml:space="preserve">Rapporteur spécial proposait trois projets de </w:t>
      </w:r>
      <w:r w:rsidRPr="00452CA5">
        <w:rPr>
          <w:lang w:val="fr-FR"/>
        </w:rPr>
        <w:t>conclusion et formulait également des suggestions pour la suite des travaux sur le sujet.</w:t>
      </w:r>
    </w:p>
    <w:p w14:paraId="40C84FEC" w14:textId="3CAEC0C7" w:rsidR="004C5E26" w:rsidRPr="00452CA5" w:rsidRDefault="004C5E26" w:rsidP="004C5E26">
      <w:pPr>
        <w:pStyle w:val="SingleTxtG"/>
        <w:rPr>
          <w:lang w:val="fr-FR"/>
        </w:rPr>
      </w:pPr>
      <w:r w:rsidRPr="00452CA5">
        <w:rPr>
          <w:shd w:val="clear" w:color="000000" w:fill="FFFFFF"/>
          <w:lang w:val="fr-FR"/>
        </w:rPr>
        <w:lastRenderedPageBreak/>
        <w:t>6</w:t>
      </w:r>
      <w:r>
        <w:rPr>
          <w:shd w:val="clear" w:color="000000" w:fill="FFFFFF"/>
          <w:lang w:val="fr-FR"/>
        </w:rPr>
        <w:t>9</w:t>
      </w:r>
      <w:r w:rsidRPr="00452CA5">
        <w:rPr>
          <w:shd w:val="clear" w:color="000000" w:fill="FFFFFF"/>
          <w:lang w:val="fr-FR"/>
        </w:rPr>
        <w:t>.</w:t>
      </w:r>
      <w:r w:rsidRPr="00452CA5">
        <w:rPr>
          <w:shd w:val="clear" w:color="000000" w:fill="FFFFFF"/>
          <w:lang w:val="fr-FR"/>
        </w:rPr>
        <w:tab/>
        <w:t>La Commission était aussi saisie de l</w:t>
      </w:r>
      <w:r>
        <w:rPr>
          <w:shd w:val="clear" w:color="000000" w:fill="FFFFFF"/>
          <w:lang w:val="fr-FR"/>
        </w:rPr>
        <w:t>’</w:t>
      </w:r>
      <w:r w:rsidRPr="00452CA5">
        <w:rPr>
          <w:shd w:val="clear" w:color="000000" w:fill="FFFFFF"/>
          <w:lang w:val="fr-FR"/>
        </w:rPr>
        <w:t>étude qu</w:t>
      </w:r>
      <w:r>
        <w:rPr>
          <w:shd w:val="clear" w:color="000000" w:fill="FFFFFF"/>
          <w:lang w:val="fr-FR"/>
        </w:rPr>
        <w:t>’</w:t>
      </w:r>
      <w:r w:rsidRPr="00452CA5">
        <w:rPr>
          <w:shd w:val="clear" w:color="000000" w:fill="FFFFFF"/>
          <w:lang w:val="fr-FR"/>
        </w:rPr>
        <w:t>elle avait demandé au Secrétariat d</w:t>
      </w:r>
      <w:r>
        <w:rPr>
          <w:shd w:val="clear" w:color="000000" w:fill="FFFFFF"/>
          <w:lang w:val="fr-FR"/>
        </w:rPr>
        <w:t>’</w:t>
      </w:r>
      <w:r w:rsidRPr="00452CA5">
        <w:rPr>
          <w:shd w:val="clear" w:color="000000" w:fill="FFFFFF"/>
          <w:lang w:val="fr-FR"/>
        </w:rPr>
        <w:t xml:space="preserve">élaborer sur </w:t>
      </w:r>
      <w:r w:rsidRPr="00452CA5">
        <w:rPr>
          <w:lang w:val="fr-FR"/>
        </w:rPr>
        <w:t>«</w:t>
      </w:r>
      <w:r w:rsidRPr="00452CA5">
        <w:rPr>
          <w:shd w:val="clear" w:color="auto" w:fill="FFFFFF"/>
          <w:lang w:val="fr-FR"/>
        </w:rPr>
        <w:t> </w:t>
      </w:r>
      <w:r w:rsidRPr="00452CA5">
        <w:rPr>
          <w:shd w:val="clear" w:color="000000" w:fill="FFFFFF"/>
          <w:lang w:val="fr-FR"/>
        </w:rPr>
        <w:t>la jurisprudence des cours et tribunaux internationaux, ainsi que d</w:t>
      </w:r>
      <w:r>
        <w:rPr>
          <w:shd w:val="clear" w:color="000000" w:fill="FFFFFF"/>
          <w:lang w:val="fr-FR"/>
        </w:rPr>
        <w:t>’</w:t>
      </w:r>
      <w:r w:rsidRPr="00452CA5">
        <w:rPr>
          <w:shd w:val="clear" w:color="000000" w:fill="FFFFFF"/>
          <w:lang w:val="fr-FR"/>
        </w:rPr>
        <w:t>autres organes, qui présenterait un intérêt particulier pour la suite des travaux sur le sujet</w:t>
      </w:r>
      <w:r w:rsidRPr="00452CA5">
        <w:rPr>
          <w:lang w:val="fr-FR"/>
        </w:rPr>
        <w:t> » (</w:t>
      </w:r>
      <w:hyperlink r:id="rId55" w:history="1">
        <w:r w:rsidRPr="004C5E26">
          <w:rPr>
            <w:rStyle w:val="Lienhypertexte"/>
            <w:lang w:val="fr-FR"/>
          </w:rPr>
          <w:t>A/CN.4/765</w:t>
        </w:r>
      </w:hyperlink>
      <w:r w:rsidRPr="00452CA5">
        <w:rPr>
          <w:lang w:val="fr-FR"/>
        </w:rPr>
        <w:t>).</w:t>
      </w:r>
    </w:p>
    <w:p w14:paraId="5FAED9B7" w14:textId="2366647F" w:rsidR="004C5E26" w:rsidRPr="00452CA5" w:rsidRDefault="004C5E26" w:rsidP="004C5E26">
      <w:pPr>
        <w:pStyle w:val="SingleTxtG"/>
        <w:rPr>
          <w:shd w:val="clear" w:color="000000" w:fill="FFFFFF"/>
          <w:lang w:val="fr-FR"/>
        </w:rPr>
      </w:pPr>
      <w:r w:rsidRPr="00452CA5">
        <w:rPr>
          <w:shd w:val="clear" w:color="000000" w:fill="FFFFFF"/>
          <w:lang w:val="fr-FR"/>
        </w:rPr>
        <w:t>7</w:t>
      </w:r>
      <w:r>
        <w:rPr>
          <w:shd w:val="clear" w:color="000000" w:fill="FFFFFF"/>
          <w:lang w:val="fr-FR"/>
        </w:rPr>
        <w:t>0</w:t>
      </w:r>
      <w:r w:rsidRPr="00452CA5">
        <w:rPr>
          <w:shd w:val="clear" w:color="000000" w:fill="FFFFFF"/>
          <w:lang w:val="fr-FR"/>
        </w:rPr>
        <w:t>.</w:t>
      </w:r>
      <w:r w:rsidRPr="00452CA5">
        <w:rPr>
          <w:shd w:val="clear" w:color="000000" w:fill="FFFFFF"/>
          <w:lang w:val="fr-FR"/>
        </w:rPr>
        <w:tab/>
        <w:t xml:space="preserve">La </w:t>
      </w:r>
      <w:r w:rsidRPr="00452CA5">
        <w:rPr>
          <w:lang w:val="fr-FR"/>
        </w:rPr>
        <w:t>Commission a examiné le deuxième rapport du Rapporteur spécial et l</w:t>
      </w:r>
      <w:r>
        <w:rPr>
          <w:lang w:val="fr-FR"/>
        </w:rPr>
        <w:t>’</w:t>
      </w:r>
      <w:r w:rsidRPr="00452CA5">
        <w:rPr>
          <w:lang w:val="fr-FR"/>
        </w:rPr>
        <w:t>étude du Secrétariat à ses 3663</w:t>
      </w:r>
      <w:r w:rsidRPr="00452CA5">
        <w:rPr>
          <w:vertAlign w:val="superscript"/>
          <w:lang w:val="fr-FR"/>
        </w:rPr>
        <w:t>e</w:t>
      </w:r>
      <w:r w:rsidRPr="00452CA5">
        <w:rPr>
          <w:lang w:val="fr-FR"/>
        </w:rPr>
        <w:t xml:space="preserve"> à 3667</w:t>
      </w:r>
      <w:r w:rsidRPr="00452CA5">
        <w:rPr>
          <w:vertAlign w:val="superscript"/>
          <w:lang w:val="fr-FR"/>
        </w:rPr>
        <w:t>e</w:t>
      </w:r>
      <w:r w:rsidRPr="00452CA5">
        <w:rPr>
          <w:lang w:val="fr-FR"/>
        </w:rPr>
        <w:t> séances, du 9 au 15 mai 2024. À sa 3667</w:t>
      </w:r>
      <w:r w:rsidRPr="00452CA5">
        <w:rPr>
          <w:vertAlign w:val="superscript"/>
          <w:lang w:val="fr-FR"/>
        </w:rPr>
        <w:t>e</w:t>
      </w:r>
      <w:r w:rsidRPr="00452CA5">
        <w:rPr>
          <w:lang w:val="fr-FR"/>
        </w:rPr>
        <w:t> séance</w:t>
      </w:r>
      <w:r w:rsidRPr="00452CA5">
        <w:rPr>
          <w:shd w:val="clear" w:color="000000" w:fill="FFFFFF"/>
          <w:lang w:val="fr-FR"/>
        </w:rPr>
        <w:t>, le 15 mai 2024, la Commission a décidé de renvoyer au Comité de rédaction les projets de conclusions 6, 7 et 8 proposés par le Rapporteur spécial dans son deuxième rapport, compte tenu des vues exprimées en plénière.</w:t>
      </w:r>
    </w:p>
    <w:p w14:paraId="51E3182C" w14:textId="77777777" w:rsidR="004C5E26" w:rsidRPr="00452CA5" w:rsidRDefault="004C5E26" w:rsidP="004C5E26">
      <w:pPr>
        <w:pStyle w:val="SingleTxtG"/>
        <w:rPr>
          <w:shd w:val="clear" w:color="000000" w:fill="FFFFFF"/>
          <w:lang w:val="fr-FR"/>
        </w:rPr>
      </w:pPr>
      <w:r>
        <w:rPr>
          <w:shd w:val="clear" w:color="000000" w:fill="FFFFFF"/>
          <w:lang w:val="fr-FR"/>
        </w:rPr>
        <w:t>71</w:t>
      </w:r>
      <w:r w:rsidRPr="00452CA5">
        <w:rPr>
          <w:shd w:val="clear" w:color="000000" w:fill="FFFFFF"/>
          <w:lang w:val="fr-FR"/>
        </w:rPr>
        <w:t>.</w:t>
      </w:r>
      <w:r w:rsidRPr="00452CA5">
        <w:rPr>
          <w:shd w:val="clear" w:color="000000" w:fill="FFFFFF"/>
          <w:lang w:val="fr-FR"/>
        </w:rPr>
        <w:tab/>
        <w:t>À sa 3661</w:t>
      </w:r>
      <w:r w:rsidRPr="00452CA5">
        <w:rPr>
          <w:shd w:val="clear" w:color="000000" w:fill="FFFFFF"/>
          <w:vertAlign w:val="superscript"/>
          <w:lang w:val="fr-FR"/>
        </w:rPr>
        <w:t>e</w:t>
      </w:r>
      <w:r w:rsidRPr="00452CA5">
        <w:rPr>
          <w:shd w:val="clear" w:color="000000" w:fill="FFFFFF"/>
          <w:lang w:val="fr-FR"/>
        </w:rPr>
        <w:t> séance, le 2 mai 2024, la Commission, ayant examiné le rapport présenté par le Comité de rédaction sur le sujet à sa soixante-quatorzième session</w:t>
      </w:r>
      <w:r w:rsidRPr="00452CA5">
        <w:rPr>
          <w:rStyle w:val="Appelnotedebasdep"/>
          <w:lang w:val="fr-FR"/>
        </w:rPr>
        <w:footnoteReference w:id="84"/>
      </w:r>
      <w:r w:rsidRPr="00452CA5">
        <w:rPr>
          <w:shd w:val="clear" w:color="000000" w:fill="FFFFFF"/>
          <w:lang w:val="fr-FR"/>
        </w:rPr>
        <w:t>, a provisoirement adopté les projets de conclusions</w:t>
      </w:r>
      <w:r>
        <w:rPr>
          <w:shd w:val="clear" w:color="000000" w:fill="FFFFFF"/>
          <w:lang w:val="fr-FR"/>
        </w:rPr>
        <w:t> </w:t>
      </w:r>
      <w:r w:rsidRPr="00452CA5">
        <w:rPr>
          <w:shd w:val="clear" w:color="000000" w:fill="FFFFFF"/>
          <w:lang w:val="fr-FR"/>
        </w:rPr>
        <w:t xml:space="preserve">4 et 5 tels que révisés oralement (voir </w:t>
      </w:r>
      <w:r w:rsidRPr="00452CA5">
        <w:rPr>
          <w:i/>
          <w:iCs/>
          <w:shd w:val="clear" w:color="000000" w:fill="FFFFFF"/>
          <w:lang w:val="fr-FR"/>
        </w:rPr>
        <w:t>infra</w:t>
      </w:r>
      <w:r w:rsidRPr="00452CA5">
        <w:rPr>
          <w:shd w:val="clear" w:color="000000" w:fill="FFFFFF"/>
          <w:lang w:val="fr-FR"/>
        </w:rPr>
        <w:t xml:space="preserve"> sect.</w:t>
      </w:r>
      <w:r>
        <w:rPr>
          <w:shd w:val="clear" w:color="000000" w:fill="FFFFFF"/>
          <w:lang w:val="fr-FR"/>
        </w:rPr>
        <w:t> </w:t>
      </w:r>
      <w:r w:rsidRPr="00452CA5">
        <w:rPr>
          <w:shd w:val="clear" w:color="000000" w:fill="FFFFFF"/>
          <w:lang w:val="fr-FR"/>
        </w:rPr>
        <w:t>C.1).</w:t>
      </w:r>
    </w:p>
    <w:p w14:paraId="10232FE5" w14:textId="07F7A360" w:rsidR="004C5E26" w:rsidRPr="00452CA5" w:rsidRDefault="004C5E26" w:rsidP="004C5E26">
      <w:pPr>
        <w:pStyle w:val="SingleTxtG"/>
        <w:rPr>
          <w:shd w:val="clear" w:color="000000" w:fill="FFFFFF"/>
          <w:lang w:val="fr-FR"/>
        </w:rPr>
      </w:pPr>
      <w:r>
        <w:rPr>
          <w:shd w:val="clear" w:color="000000" w:fill="FFFFFF"/>
          <w:lang w:val="fr-FR"/>
        </w:rPr>
        <w:t>72</w:t>
      </w:r>
      <w:r w:rsidRPr="00452CA5">
        <w:rPr>
          <w:shd w:val="clear" w:color="000000" w:fill="FFFFFF"/>
          <w:lang w:val="fr-FR"/>
        </w:rPr>
        <w:t>.</w:t>
      </w:r>
      <w:r w:rsidRPr="00452CA5">
        <w:rPr>
          <w:shd w:val="clear" w:color="000000" w:fill="FFFFFF"/>
          <w:lang w:val="fr-FR"/>
        </w:rPr>
        <w:tab/>
        <w:t>À sa</w:t>
      </w:r>
      <w:r>
        <w:rPr>
          <w:shd w:val="clear" w:color="000000" w:fill="FFFFFF"/>
          <w:lang w:val="fr-FR"/>
        </w:rPr>
        <w:t xml:space="preserve"> 3674</w:t>
      </w:r>
      <w:r w:rsidRPr="004C5E26">
        <w:rPr>
          <w:shd w:val="clear" w:color="000000" w:fill="FFFFFF"/>
          <w:vertAlign w:val="superscript"/>
          <w:lang w:val="fr-FR"/>
        </w:rPr>
        <w:t>e</w:t>
      </w:r>
      <w:r>
        <w:rPr>
          <w:shd w:val="clear" w:color="000000" w:fill="FFFFFF"/>
          <w:lang w:val="fr-FR"/>
        </w:rPr>
        <w:t xml:space="preserve"> </w:t>
      </w:r>
      <w:r w:rsidRPr="00452CA5">
        <w:rPr>
          <w:shd w:val="clear" w:color="000000" w:fill="FFFFFF"/>
          <w:lang w:val="fr-FR"/>
        </w:rPr>
        <w:t xml:space="preserve">séance, le </w:t>
      </w:r>
      <w:r>
        <w:rPr>
          <w:shd w:val="clear" w:color="000000" w:fill="FFFFFF"/>
          <w:lang w:val="fr-FR"/>
        </w:rPr>
        <w:t>1</w:t>
      </w:r>
      <w:r w:rsidRPr="004C5E26">
        <w:rPr>
          <w:shd w:val="clear" w:color="000000" w:fill="FFFFFF"/>
          <w:vertAlign w:val="superscript"/>
          <w:lang w:val="fr-FR"/>
        </w:rPr>
        <w:t>er</w:t>
      </w:r>
      <w:r>
        <w:rPr>
          <w:shd w:val="clear" w:color="000000" w:fill="FFFFFF"/>
          <w:lang w:val="fr-FR"/>
        </w:rPr>
        <w:t xml:space="preserve"> </w:t>
      </w:r>
      <w:r w:rsidRPr="00452CA5">
        <w:rPr>
          <w:shd w:val="clear" w:color="000000" w:fill="FFFFFF"/>
          <w:lang w:val="fr-FR"/>
        </w:rPr>
        <w:t>juillet 2024, la Commission a examiné le rapport du Comité de rédaction sur le sujet (</w:t>
      </w:r>
      <w:hyperlink r:id="rId56" w:history="1">
        <w:r w:rsidRPr="004C5E26">
          <w:rPr>
            <w:rStyle w:val="Lienhypertexte"/>
            <w:shd w:val="clear" w:color="000000" w:fill="FFFFFF"/>
            <w:lang w:val="fr-FR"/>
          </w:rPr>
          <w:t>A/CN.4/L.999</w:t>
        </w:r>
      </w:hyperlink>
      <w:r w:rsidRPr="00452CA5">
        <w:rPr>
          <w:shd w:val="clear" w:color="000000" w:fill="FFFFFF"/>
          <w:lang w:val="fr-FR"/>
        </w:rPr>
        <w:t>) et provisoirement adopté les projets de conclusions</w:t>
      </w:r>
      <w:r>
        <w:rPr>
          <w:shd w:val="clear" w:color="000000" w:fill="FFFFFF"/>
          <w:lang w:val="fr-FR"/>
        </w:rPr>
        <w:t> </w:t>
      </w:r>
      <w:r w:rsidRPr="00452CA5">
        <w:rPr>
          <w:shd w:val="clear" w:color="000000" w:fill="FFFFFF"/>
          <w:lang w:val="fr-FR"/>
        </w:rPr>
        <w:t xml:space="preserve">6, 7 et 8 (voir </w:t>
      </w:r>
      <w:r w:rsidRPr="00452CA5">
        <w:rPr>
          <w:i/>
          <w:iCs/>
          <w:shd w:val="clear" w:color="000000" w:fill="FFFFFF"/>
          <w:lang w:val="fr-FR"/>
        </w:rPr>
        <w:t>infra</w:t>
      </w:r>
      <w:r w:rsidRPr="00452CA5">
        <w:rPr>
          <w:shd w:val="clear" w:color="000000" w:fill="FFFFFF"/>
          <w:lang w:val="fr-FR"/>
        </w:rPr>
        <w:t xml:space="preserve"> sect.</w:t>
      </w:r>
      <w:r>
        <w:rPr>
          <w:shd w:val="clear" w:color="000000" w:fill="FFFFFF"/>
          <w:lang w:val="fr-FR"/>
        </w:rPr>
        <w:t> </w:t>
      </w:r>
      <w:r w:rsidRPr="00452CA5">
        <w:rPr>
          <w:shd w:val="clear" w:color="000000" w:fill="FFFFFF"/>
          <w:lang w:val="fr-FR"/>
        </w:rPr>
        <w:t>C.1).</w:t>
      </w:r>
    </w:p>
    <w:p w14:paraId="30F12ADA" w14:textId="49A7C8A5" w:rsidR="004C5E26" w:rsidRPr="00452CA5" w:rsidRDefault="004C5E26" w:rsidP="004C5E26">
      <w:pPr>
        <w:pStyle w:val="SingleTxtG"/>
        <w:rPr>
          <w:shd w:val="clear" w:color="000000" w:fill="FFFFFF"/>
          <w:lang w:val="fr-FR"/>
        </w:rPr>
      </w:pPr>
      <w:r>
        <w:rPr>
          <w:shd w:val="clear" w:color="000000" w:fill="FFFFFF"/>
          <w:lang w:val="fr-FR"/>
        </w:rPr>
        <w:t>73</w:t>
      </w:r>
      <w:r w:rsidRPr="00452CA5">
        <w:rPr>
          <w:shd w:val="clear" w:color="000000" w:fill="FFFFFF"/>
          <w:lang w:val="fr-FR"/>
        </w:rPr>
        <w:t>.</w:t>
      </w:r>
      <w:r w:rsidRPr="00452CA5">
        <w:rPr>
          <w:shd w:val="clear" w:color="000000" w:fill="FFFFFF"/>
          <w:lang w:val="fr-FR"/>
        </w:rPr>
        <w:tab/>
        <w:t xml:space="preserve">À ses </w:t>
      </w:r>
      <w:r>
        <w:rPr>
          <w:shd w:val="clear" w:color="000000" w:fill="FFFFFF"/>
          <w:lang w:val="fr-FR"/>
        </w:rPr>
        <w:t>3693</w:t>
      </w:r>
      <w:r w:rsidRPr="004C5E26">
        <w:rPr>
          <w:shd w:val="clear" w:color="000000" w:fill="FFFFFF"/>
          <w:vertAlign w:val="superscript"/>
          <w:lang w:val="fr-FR"/>
        </w:rPr>
        <w:t>e</w:t>
      </w:r>
      <w:r>
        <w:rPr>
          <w:shd w:val="clear" w:color="000000" w:fill="FFFFFF"/>
          <w:lang w:val="fr-FR"/>
        </w:rPr>
        <w:t xml:space="preserve"> </w:t>
      </w:r>
      <w:r w:rsidRPr="00452CA5">
        <w:rPr>
          <w:shd w:val="clear" w:color="000000" w:fill="FFFFFF"/>
          <w:lang w:val="fr-FR"/>
        </w:rPr>
        <w:t xml:space="preserve">à </w:t>
      </w:r>
      <w:r>
        <w:rPr>
          <w:shd w:val="clear" w:color="000000" w:fill="FFFFFF"/>
          <w:lang w:val="fr-FR"/>
        </w:rPr>
        <w:t>3699</w:t>
      </w:r>
      <w:r w:rsidRPr="004C5E26">
        <w:rPr>
          <w:shd w:val="clear" w:color="000000" w:fill="FFFFFF"/>
          <w:vertAlign w:val="superscript"/>
          <w:lang w:val="fr-FR"/>
        </w:rPr>
        <w:t>e</w:t>
      </w:r>
      <w:r>
        <w:rPr>
          <w:shd w:val="clear" w:color="000000" w:fill="FFFFFF"/>
          <w:lang w:val="fr-FR"/>
        </w:rPr>
        <w:t xml:space="preserve"> </w:t>
      </w:r>
      <w:r w:rsidRPr="00452CA5">
        <w:rPr>
          <w:shd w:val="clear" w:color="000000" w:fill="FFFFFF"/>
          <w:lang w:val="fr-FR"/>
        </w:rPr>
        <w:t xml:space="preserve">séances, du </w:t>
      </w:r>
      <w:r>
        <w:rPr>
          <w:shd w:val="clear" w:color="000000" w:fill="FFFFFF"/>
          <w:lang w:val="fr-FR"/>
        </w:rPr>
        <w:t>25</w:t>
      </w:r>
      <w:r w:rsidRPr="00452CA5">
        <w:rPr>
          <w:shd w:val="clear" w:color="000000" w:fill="FFFFFF"/>
          <w:lang w:val="fr-FR"/>
        </w:rPr>
        <w:t xml:space="preserve"> au </w:t>
      </w:r>
      <w:r>
        <w:rPr>
          <w:shd w:val="clear" w:color="000000" w:fill="FFFFFF"/>
          <w:lang w:val="fr-FR"/>
        </w:rPr>
        <w:t>31</w:t>
      </w:r>
      <w:r w:rsidRPr="00452CA5">
        <w:rPr>
          <w:shd w:val="clear" w:color="000000" w:fill="FFFFFF"/>
          <w:lang w:val="fr-FR"/>
        </w:rPr>
        <w:t xml:space="preserve"> juillet 2024, la Commission a adopté les commentaires des projets de conclusion provisoirement adoptés à la session en cours (voir </w:t>
      </w:r>
      <w:r w:rsidRPr="00452CA5">
        <w:rPr>
          <w:i/>
          <w:iCs/>
          <w:shd w:val="clear" w:color="000000" w:fill="FFFFFF"/>
          <w:lang w:val="fr-FR"/>
        </w:rPr>
        <w:t>infra</w:t>
      </w:r>
      <w:r w:rsidRPr="00452CA5">
        <w:rPr>
          <w:shd w:val="clear" w:color="000000" w:fill="FFFFFF"/>
          <w:lang w:val="fr-FR"/>
        </w:rPr>
        <w:t xml:space="preserve"> sect.</w:t>
      </w:r>
      <w:r>
        <w:rPr>
          <w:shd w:val="clear" w:color="000000" w:fill="FFFFFF"/>
          <w:lang w:val="fr-FR"/>
        </w:rPr>
        <w:t> </w:t>
      </w:r>
      <w:r w:rsidRPr="00452CA5">
        <w:rPr>
          <w:shd w:val="clear" w:color="000000" w:fill="FFFFFF"/>
          <w:lang w:val="fr-FR"/>
        </w:rPr>
        <w:t>C.2).</w:t>
      </w:r>
    </w:p>
    <w:p w14:paraId="2F05ABB0" w14:textId="77777777" w:rsidR="004C5E26" w:rsidRPr="00452CA5" w:rsidRDefault="004C5E26" w:rsidP="004C5E26">
      <w:pPr>
        <w:pStyle w:val="H1G"/>
        <w:rPr>
          <w:shd w:val="clear" w:color="000000" w:fill="FFFFFF"/>
          <w:lang w:val="fr-FR"/>
        </w:rPr>
      </w:pPr>
      <w:r w:rsidRPr="00452CA5">
        <w:rPr>
          <w:shd w:val="clear" w:color="000000" w:fill="FFFFFF"/>
          <w:lang w:val="fr-FR"/>
        </w:rPr>
        <w:tab/>
        <w:t>C.</w:t>
      </w:r>
      <w:r w:rsidRPr="00452CA5">
        <w:rPr>
          <w:shd w:val="clear" w:color="000000" w:fill="FFFFFF"/>
          <w:lang w:val="fr-FR"/>
        </w:rPr>
        <w:tab/>
      </w:r>
      <w:bookmarkStart w:id="58" w:name="_Hlk167390432"/>
      <w:r w:rsidRPr="00452CA5">
        <w:rPr>
          <w:shd w:val="clear" w:color="000000" w:fill="FFFFFF"/>
          <w:lang w:val="fr-FR"/>
        </w:rPr>
        <w:t xml:space="preserve">Texte des projets de conclusion sur les </w:t>
      </w:r>
      <w:r w:rsidRPr="00452CA5">
        <w:rPr>
          <w:lang w:val="fr-FR"/>
        </w:rPr>
        <w:t xml:space="preserve">moyens auxiliaires </w:t>
      </w:r>
      <w:r w:rsidRPr="00452CA5">
        <w:rPr>
          <w:spacing w:val="4"/>
          <w:lang w:val="fr-FR"/>
        </w:rPr>
        <w:t>de détermination des règles de droit international</w:t>
      </w:r>
      <w:r w:rsidRPr="00452CA5">
        <w:rPr>
          <w:shd w:val="clear" w:color="000000" w:fill="FFFFFF"/>
          <w:lang w:val="fr-FR"/>
        </w:rPr>
        <w:t xml:space="preserve"> </w:t>
      </w:r>
      <w:r w:rsidRPr="00452CA5">
        <w:rPr>
          <w:shd w:val="clear" w:color="000000" w:fill="FFFFFF"/>
          <w:lang w:val="fr-FR"/>
        </w:rPr>
        <w:br/>
      </w:r>
      <w:r w:rsidRPr="00452CA5">
        <w:rPr>
          <w:spacing w:val="-4"/>
          <w:shd w:val="clear" w:color="000000" w:fill="FFFFFF"/>
          <w:lang w:val="fr-FR"/>
        </w:rPr>
        <w:t>provisoirement adoptés à ce jour par la Commission</w:t>
      </w:r>
      <w:bookmarkEnd w:id="58"/>
    </w:p>
    <w:p w14:paraId="07984526" w14:textId="77777777" w:rsidR="004C5E26" w:rsidRPr="00452CA5" w:rsidRDefault="004C5E26" w:rsidP="00AF4E47">
      <w:pPr>
        <w:pStyle w:val="H23G"/>
        <w:rPr>
          <w:shd w:val="clear" w:color="000000" w:fill="FFFFFF"/>
          <w:lang w:val="fr-FR"/>
        </w:rPr>
      </w:pPr>
      <w:r w:rsidRPr="00452CA5">
        <w:rPr>
          <w:shd w:val="clear" w:color="000000" w:fill="FFFFFF"/>
          <w:lang w:val="fr-FR"/>
        </w:rPr>
        <w:tab/>
        <w:t>1.</w:t>
      </w:r>
      <w:r w:rsidRPr="00452CA5">
        <w:rPr>
          <w:shd w:val="clear" w:color="000000" w:fill="FFFFFF"/>
          <w:lang w:val="fr-FR"/>
        </w:rPr>
        <w:tab/>
      </w:r>
      <w:bookmarkStart w:id="59" w:name="_Hlk175323404"/>
      <w:r w:rsidRPr="00452CA5">
        <w:rPr>
          <w:shd w:val="clear" w:color="000000" w:fill="FFFFFF"/>
          <w:lang w:val="fr-FR"/>
        </w:rPr>
        <w:t>Texte des projets de conclusion</w:t>
      </w:r>
      <w:bookmarkEnd w:id="59"/>
    </w:p>
    <w:p w14:paraId="77A17DD8" w14:textId="77777777" w:rsidR="004C5E26" w:rsidRPr="00452CA5" w:rsidRDefault="004C5E26" w:rsidP="004C5E26">
      <w:pPr>
        <w:pStyle w:val="SingleTxtG"/>
        <w:rPr>
          <w:shd w:val="clear" w:color="000000" w:fill="FFFFFF"/>
          <w:lang w:val="fr-FR"/>
        </w:rPr>
      </w:pPr>
      <w:r>
        <w:rPr>
          <w:shd w:val="clear" w:color="000000" w:fill="FFFFFF"/>
          <w:lang w:val="fr-FR"/>
        </w:rPr>
        <w:t>74</w:t>
      </w:r>
      <w:r w:rsidRPr="00452CA5">
        <w:rPr>
          <w:shd w:val="clear" w:color="000000" w:fill="FFFFFF"/>
          <w:lang w:val="fr-FR"/>
        </w:rPr>
        <w:t>.</w:t>
      </w:r>
      <w:r w:rsidRPr="00452CA5">
        <w:rPr>
          <w:shd w:val="clear" w:color="000000" w:fill="FFFFFF"/>
          <w:lang w:val="fr-FR"/>
        </w:rPr>
        <w:tab/>
        <w:t>Le texte des projets de conclusion provisoirement adoptés par la Commission à ses soixante-quatorzième et soixante-quinzième sessions est reproduit ci-après.</w:t>
      </w:r>
    </w:p>
    <w:p w14:paraId="0965CCC5" w14:textId="306859AB" w:rsidR="004C5E26" w:rsidRPr="00452CA5" w:rsidRDefault="004C5E26" w:rsidP="00AF4E47">
      <w:pPr>
        <w:pStyle w:val="H23G"/>
        <w:ind w:left="1701" w:firstLine="0"/>
        <w:rPr>
          <w:lang w:val="fr-FR"/>
        </w:rPr>
      </w:pPr>
      <w:r w:rsidRPr="00452CA5">
        <w:rPr>
          <w:lang w:val="fr-FR"/>
        </w:rPr>
        <w:tab/>
        <w:t>Conclusion 1</w:t>
      </w:r>
      <w:r>
        <w:rPr>
          <w:lang w:val="fr-FR"/>
        </w:rPr>
        <w:t xml:space="preserve"> </w:t>
      </w:r>
      <w:r w:rsidRPr="00452CA5">
        <w:rPr>
          <w:lang w:val="fr-FR"/>
        </w:rPr>
        <w:br/>
        <w:t>Objet</w:t>
      </w:r>
    </w:p>
    <w:p w14:paraId="216D5A70" w14:textId="77777777" w:rsidR="004C5E26" w:rsidRPr="00452CA5" w:rsidRDefault="004C5E26" w:rsidP="00AF4E47">
      <w:pPr>
        <w:pStyle w:val="SingleTxtG"/>
        <w:ind w:left="1701" w:firstLine="567"/>
        <w:rPr>
          <w:lang w:val="fr-FR"/>
        </w:rPr>
      </w:pPr>
      <w:r w:rsidRPr="00452CA5">
        <w:rPr>
          <w:lang w:val="fr-FR"/>
        </w:rPr>
        <w:t>Les présents projets de conclusion concernent le recours aux moyens auxiliaires aux fins de détermination des règles de droit international.</w:t>
      </w:r>
    </w:p>
    <w:p w14:paraId="7B334F5A" w14:textId="14BE03FA" w:rsidR="004C5E26" w:rsidRPr="00452CA5" w:rsidRDefault="004C5E26" w:rsidP="00AF4E47">
      <w:pPr>
        <w:pStyle w:val="H23G"/>
        <w:ind w:left="1701" w:firstLine="0"/>
        <w:rPr>
          <w:lang w:val="fr-FR"/>
        </w:rPr>
      </w:pPr>
      <w:r w:rsidRPr="00452CA5">
        <w:rPr>
          <w:lang w:val="fr-FR"/>
        </w:rPr>
        <w:tab/>
        <w:t>Conclusion 2</w:t>
      </w:r>
      <w:r>
        <w:rPr>
          <w:lang w:val="fr-FR"/>
        </w:rPr>
        <w:t xml:space="preserve"> </w:t>
      </w:r>
      <w:r w:rsidRPr="00452CA5">
        <w:rPr>
          <w:lang w:val="fr-FR"/>
        </w:rPr>
        <w:br/>
        <w:t>Catégories de moyens auxiliaires de détermination des règles de droit international</w:t>
      </w:r>
    </w:p>
    <w:p w14:paraId="7A7839A3" w14:textId="77777777" w:rsidR="004C5E26" w:rsidRPr="00452CA5" w:rsidRDefault="004C5E26" w:rsidP="00AF4E47">
      <w:pPr>
        <w:pStyle w:val="SingleTxtG"/>
        <w:ind w:left="1701" w:firstLine="567"/>
        <w:rPr>
          <w:lang w:val="fr-FR"/>
        </w:rPr>
      </w:pPr>
      <w:r w:rsidRPr="00452CA5">
        <w:rPr>
          <w:lang w:val="fr-FR"/>
        </w:rPr>
        <w:t>Les moyens auxiliaires de détermination des règles de droit international comprennent :</w:t>
      </w:r>
    </w:p>
    <w:p w14:paraId="71480B7D" w14:textId="77777777" w:rsidR="004C5E26" w:rsidRPr="00452CA5" w:rsidRDefault="004C5E26" w:rsidP="0038638C">
      <w:pPr>
        <w:pStyle w:val="SingleTxtG"/>
        <w:ind w:left="1701" w:firstLine="567"/>
        <w:rPr>
          <w:lang w:val="fr-FR"/>
        </w:rPr>
      </w:pPr>
      <w:r w:rsidRPr="00452CA5">
        <w:rPr>
          <w:lang w:val="fr-FR"/>
        </w:rPr>
        <w:t>a)</w:t>
      </w:r>
      <w:r w:rsidRPr="00452CA5">
        <w:rPr>
          <w:lang w:val="fr-FR"/>
        </w:rPr>
        <w:tab/>
        <w:t>Les décisions des juridictions ;</w:t>
      </w:r>
    </w:p>
    <w:p w14:paraId="73ED9C30" w14:textId="77777777" w:rsidR="004C5E26" w:rsidRPr="00452CA5" w:rsidRDefault="004C5E26" w:rsidP="0038638C">
      <w:pPr>
        <w:pStyle w:val="SingleTxtG"/>
        <w:ind w:left="1701" w:firstLine="567"/>
        <w:rPr>
          <w:lang w:val="fr-FR"/>
        </w:rPr>
      </w:pPr>
      <w:r w:rsidRPr="00452CA5">
        <w:rPr>
          <w:lang w:val="fr-FR"/>
        </w:rPr>
        <w:t>b)</w:t>
      </w:r>
      <w:r w:rsidRPr="00452CA5">
        <w:rPr>
          <w:lang w:val="fr-FR"/>
        </w:rPr>
        <w:tab/>
        <w:t>La doctrine ;</w:t>
      </w:r>
    </w:p>
    <w:p w14:paraId="7D8DDF49" w14:textId="77777777" w:rsidR="004C5E26" w:rsidRPr="00452CA5" w:rsidRDefault="004C5E26" w:rsidP="0038638C">
      <w:pPr>
        <w:pStyle w:val="SingleTxtG"/>
        <w:ind w:left="1701" w:firstLine="567"/>
        <w:rPr>
          <w:lang w:val="fr-FR"/>
        </w:rPr>
      </w:pPr>
      <w:r w:rsidRPr="00452CA5">
        <w:rPr>
          <w:lang w:val="fr-FR"/>
        </w:rPr>
        <w:t>c)</w:t>
      </w:r>
      <w:r w:rsidRPr="00452CA5">
        <w:rPr>
          <w:lang w:val="fr-FR"/>
        </w:rPr>
        <w:tab/>
        <w:t>Tout autre moyen auquel il est généralement fait recours pour aider à la détermination des règles de droit international.</w:t>
      </w:r>
    </w:p>
    <w:p w14:paraId="46BBEB7B" w14:textId="60DB86E1" w:rsidR="004C5E26" w:rsidRPr="00452CA5" w:rsidRDefault="004C5E26" w:rsidP="00AF4E47">
      <w:pPr>
        <w:pStyle w:val="H23G"/>
        <w:ind w:left="1701" w:firstLine="0"/>
        <w:rPr>
          <w:lang w:val="fr-FR"/>
        </w:rPr>
      </w:pPr>
      <w:r w:rsidRPr="00452CA5">
        <w:rPr>
          <w:lang w:val="fr-FR"/>
        </w:rPr>
        <w:tab/>
        <w:t>Conclusion 3</w:t>
      </w:r>
      <w:r>
        <w:rPr>
          <w:lang w:val="fr-FR"/>
        </w:rPr>
        <w:t xml:space="preserve"> </w:t>
      </w:r>
      <w:r w:rsidRPr="00452CA5">
        <w:rPr>
          <w:lang w:val="fr-FR"/>
        </w:rPr>
        <w:br/>
        <w:t>Critères généraux d</w:t>
      </w:r>
      <w:r>
        <w:rPr>
          <w:lang w:val="fr-FR"/>
        </w:rPr>
        <w:t>’</w:t>
      </w:r>
      <w:r w:rsidRPr="00452CA5">
        <w:rPr>
          <w:lang w:val="fr-FR"/>
        </w:rPr>
        <w:t xml:space="preserve">appréciation des moyens auxiliaires de détermination </w:t>
      </w:r>
      <w:r w:rsidR="0038638C">
        <w:rPr>
          <w:lang w:val="fr-FR"/>
        </w:rPr>
        <w:br/>
      </w:r>
      <w:r w:rsidRPr="00452CA5">
        <w:rPr>
          <w:lang w:val="fr-FR"/>
        </w:rPr>
        <w:t>des règles de droit international</w:t>
      </w:r>
    </w:p>
    <w:p w14:paraId="3245A02E" w14:textId="7E92CEC7" w:rsidR="004C5E26" w:rsidRPr="00452CA5" w:rsidRDefault="004C5E26" w:rsidP="00AF4E47">
      <w:pPr>
        <w:pStyle w:val="SingleTxtG"/>
        <w:ind w:left="1701" w:firstLine="567"/>
        <w:rPr>
          <w:lang w:val="fr-FR"/>
        </w:rPr>
      </w:pPr>
      <w:r w:rsidRPr="00452CA5">
        <w:rPr>
          <w:lang w:val="fr-FR"/>
        </w:rPr>
        <w:t>Aux fins de l</w:t>
      </w:r>
      <w:r>
        <w:rPr>
          <w:lang w:val="fr-FR"/>
        </w:rPr>
        <w:t>’</w:t>
      </w:r>
      <w:r w:rsidRPr="00452CA5">
        <w:rPr>
          <w:lang w:val="fr-FR"/>
        </w:rPr>
        <w:t xml:space="preserve">appréciation du poids à accorder aux moyens auxiliaires de détermination des règles de droit international, une attention devrait être portée, </w:t>
      </w:r>
      <w:r w:rsidRPr="00452CA5">
        <w:rPr>
          <w:i/>
          <w:iCs/>
          <w:lang w:val="fr-FR"/>
        </w:rPr>
        <w:t>inter</w:t>
      </w:r>
      <w:r w:rsidR="0038638C">
        <w:rPr>
          <w:i/>
          <w:iCs/>
          <w:lang w:val="fr-FR"/>
        </w:rPr>
        <w:t> </w:t>
      </w:r>
      <w:r w:rsidRPr="00452CA5">
        <w:rPr>
          <w:i/>
          <w:iCs/>
          <w:lang w:val="fr-FR"/>
        </w:rPr>
        <w:t>alia</w:t>
      </w:r>
      <w:r w:rsidRPr="00452CA5">
        <w:rPr>
          <w:lang w:val="fr-FR"/>
        </w:rPr>
        <w:t>, à :</w:t>
      </w:r>
    </w:p>
    <w:p w14:paraId="341EDE07" w14:textId="77777777" w:rsidR="004C5E26" w:rsidRPr="00452CA5" w:rsidRDefault="004C5E26" w:rsidP="0038638C">
      <w:pPr>
        <w:pStyle w:val="SingleTxtG"/>
        <w:ind w:left="1701" w:firstLine="567"/>
        <w:rPr>
          <w:lang w:val="fr-FR"/>
        </w:rPr>
      </w:pPr>
      <w:r w:rsidRPr="00452CA5">
        <w:rPr>
          <w:lang w:val="fr-FR"/>
        </w:rPr>
        <w:t>a)</w:t>
      </w:r>
      <w:r w:rsidRPr="00452CA5">
        <w:rPr>
          <w:lang w:val="fr-FR"/>
        </w:rPr>
        <w:tab/>
        <w:t>Leur degré de représentativité ;</w:t>
      </w:r>
    </w:p>
    <w:p w14:paraId="1F3879CD" w14:textId="77777777" w:rsidR="004C5E26" w:rsidRPr="00452CA5" w:rsidRDefault="004C5E26" w:rsidP="0038638C">
      <w:pPr>
        <w:pStyle w:val="SingleTxtG"/>
        <w:ind w:left="1701" w:firstLine="567"/>
        <w:rPr>
          <w:lang w:val="fr-FR"/>
        </w:rPr>
      </w:pPr>
      <w:r w:rsidRPr="00452CA5">
        <w:rPr>
          <w:lang w:val="fr-FR"/>
        </w:rPr>
        <w:lastRenderedPageBreak/>
        <w:t>b)</w:t>
      </w:r>
      <w:r w:rsidRPr="00452CA5">
        <w:rPr>
          <w:lang w:val="fr-FR"/>
        </w:rPr>
        <w:tab/>
        <w:t>La qualité du raisonnement ;</w:t>
      </w:r>
    </w:p>
    <w:p w14:paraId="54A57D58" w14:textId="77777777" w:rsidR="004C5E26" w:rsidRPr="00452CA5" w:rsidRDefault="004C5E26" w:rsidP="0038638C">
      <w:pPr>
        <w:pStyle w:val="SingleTxtG"/>
        <w:ind w:left="1701" w:firstLine="567"/>
        <w:rPr>
          <w:lang w:val="fr-FR"/>
        </w:rPr>
      </w:pPr>
      <w:r w:rsidRPr="00452CA5">
        <w:rPr>
          <w:lang w:val="fr-FR"/>
        </w:rPr>
        <w:t>c)</w:t>
      </w:r>
      <w:r w:rsidRPr="00452CA5">
        <w:rPr>
          <w:lang w:val="fr-FR"/>
        </w:rPr>
        <w:tab/>
        <w:t>La compétence des personnes concernées ;</w:t>
      </w:r>
    </w:p>
    <w:p w14:paraId="6BC68AEF" w14:textId="2E7CA8CC" w:rsidR="004C5E26" w:rsidRPr="00452CA5" w:rsidRDefault="004C5E26" w:rsidP="0038638C">
      <w:pPr>
        <w:pStyle w:val="SingleTxtG"/>
        <w:ind w:left="1701" w:firstLine="567"/>
        <w:rPr>
          <w:lang w:val="fr-FR"/>
        </w:rPr>
      </w:pPr>
      <w:r w:rsidRPr="00452CA5">
        <w:rPr>
          <w:lang w:val="fr-FR"/>
        </w:rPr>
        <w:t>d)</w:t>
      </w:r>
      <w:r w:rsidRPr="00452CA5">
        <w:rPr>
          <w:lang w:val="fr-FR"/>
        </w:rPr>
        <w:tab/>
        <w:t>Le degré d</w:t>
      </w:r>
      <w:r>
        <w:rPr>
          <w:lang w:val="fr-FR"/>
        </w:rPr>
        <w:t>’</w:t>
      </w:r>
      <w:r w:rsidRPr="00452CA5">
        <w:rPr>
          <w:lang w:val="fr-FR"/>
        </w:rPr>
        <w:t>accord entre les personnes concernées ;</w:t>
      </w:r>
    </w:p>
    <w:p w14:paraId="3ACCD73B" w14:textId="4709B944" w:rsidR="004C5E26" w:rsidRPr="00452CA5" w:rsidRDefault="004C5E26" w:rsidP="0038638C">
      <w:pPr>
        <w:pStyle w:val="SingleTxtG"/>
        <w:ind w:left="1701" w:firstLine="567"/>
        <w:rPr>
          <w:lang w:val="fr-FR"/>
        </w:rPr>
      </w:pPr>
      <w:r w:rsidRPr="00452CA5">
        <w:rPr>
          <w:lang w:val="fr-FR"/>
        </w:rPr>
        <w:t>e)</w:t>
      </w:r>
      <w:r w:rsidRPr="00452CA5">
        <w:rPr>
          <w:lang w:val="fr-FR"/>
        </w:rPr>
        <w:tab/>
        <w:t>L</w:t>
      </w:r>
      <w:r>
        <w:rPr>
          <w:lang w:val="fr-FR"/>
        </w:rPr>
        <w:t>’</w:t>
      </w:r>
      <w:r w:rsidRPr="00452CA5">
        <w:rPr>
          <w:lang w:val="fr-FR"/>
        </w:rPr>
        <w:t>accueil reçu de la part des États et autres entités ;</w:t>
      </w:r>
    </w:p>
    <w:p w14:paraId="5F69B531" w14:textId="537E9CAB" w:rsidR="004C5E26" w:rsidRPr="00452CA5" w:rsidRDefault="004C5E26" w:rsidP="0038638C">
      <w:pPr>
        <w:pStyle w:val="SingleTxtG"/>
        <w:ind w:left="1701" w:firstLine="567"/>
        <w:rPr>
          <w:lang w:val="fr-FR"/>
        </w:rPr>
      </w:pPr>
      <w:r w:rsidRPr="00452CA5">
        <w:rPr>
          <w:lang w:val="fr-FR"/>
        </w:rPr>
        <w:t>f)</w:t>
      </w:r>
      <w:r w:rsidRPr="00452CA5">
        <w:rPr>
          <w:lang w:val="fr-FR"/>
        </w:rPr>
        <w:tab/>
        <w:t>S</w:t>
      </w:r>
      <w:r>
        <w:rPr>
          <w:lang w:val="fr-FR"/>
        </w:rPr>
        <w:t>’</w:t>
      </w:r>
      <w:r w:rsidRPr="00452CA5">
        <w:rPr>
          <w:lang w:val="fr-FR"/>
        </w:rPr>
        <w:t>il y a lieu, le mandat conféré à l</w:t>
      </w:r>
      <w:r>
        <w:rPr>
          <w:lang w:val="fr-FR"/>
        </w:rPr>
        <w:t>’</w:t>
      </w:r>
      <w:r w:rsidRPr="00452CA5">
        <w:rPr>
          <w:lang w:val="fr-FR"/>
        </w:rPr>
        <w:t>organe.</w:t>
      </w:r>
    </w:p>
    <w:p w14:paraId="755912EE" w14:textId="7100828F" w:rsidR="004C5E26" w:rsidRPr="00452CA5" w:rsidRDefault="004C5E26" w:rsidP="00AF4E47">
      <w:pPr>
        <w:pStyle w:val="H23G"/>
        <w:ind w:left="1701" w:firstLine="0"/>
        <w:rPr>
          <w:lang w:val="fr-FR"/>
        </w:rPr>
      </w:pPr>
      <w:r w:rsidRPr="00452CA5">
        <w:rPr>
          <w:lang w:val="fr-FR"/>
        </w:rPr>
        <w:tab/>
        <w:t xml:space="preserve">Conclusion 4 </w:t>
      </w:r>
      <w:r w:rsidRPr="00452CA5">
        <w:rPr>
          <w:lang w:val="fr-FR"/>
        </w:rPr>
        <w:br/>
        <w:t>Décisions de juridictions</w:t>
      </w:r>
    </w:p>
    <w:p w14:paraId="75383782" w14:textId="1C8A7F74" w:rsidR="004C5E26" w:rsidRPr="00452CA5" w:rsidRDefault="004C5E26" w:rsidP="0038638C">
      <w:pPr>
        <w:pStyle w:val="SingleTxtG"/>
        <w:ind w:left="1701"/>
        <w:rPr>
          <w:lang w:val="fr-FR"/>
        </w:rPr>
      </w:pPr>
      <w:r w:rsidRPr="00452CA5">
        <w:rPr>
          <w:lang w:val="fr-FR"/>
        </w:rPr>
        <w:t>1.</w:t>
      </w:r>
      <w:r w:rsidRPr="00452CA5">
        <w:rPr>
          <w:lang w:val="fr-FR"/>
        </w:rPr>
        <w:tab/>
        <w:t>Les décisions des juridictions internationales, en particulier celles de la Cour internationale de Justice, constituent un moyen auxiliaire aux fins de la détermination de l</w:t>
      </w:r>
      <w:r>
        <w:rPr>
          <w:lang w:val="fr-FR"/>
        </w:rPr>
        <w:t>’</w:t>
      </w:r>
      <w:r w:rsidRPr="00452CA5">
        <w:rPr>
          <w:lang w:val="fr-FR"/>
        </w:rPr>
        <w:t>existence et du contenu des règles de droit international.</w:t>
      </w:r>
    </w:p>
    <w:p w14:paraId="08B66A98" w14:textId="55381C80" w:rsidR="004C5E26" w:rsidRPr="00452CA5" w:rsidRDefault="004C5E26" w:rsidP="0038638C">
      <w:pPr>
        <w:pStyle w:val="SingleTxtG"/>
        <w:ind w:left="1701"/>
        <w:rPr>
          <w:lang w:val="fr-FR"/>
        </w:rPr>
      </w:pPr>
      <w:r w:rsidRPr="00452CA5">
        <w:rPr>
          <w:lang w:val="fr-FR"/>
        </w:rPr>
        <w:t>2.</w:t>
      </w:r>
      <w:r w:rsidRPr="00452CA5">
        <w:rPr>
          <w:lang w:val="fr-FR"/>
        </w:rPr>
        <w:tab/>
        <w:t>Les décisions des juridictions nationales peuvent être utilisées, dans certaines circonstances, comme un moyen auxiliaire aux fins de la détermination de l</w:t>
      </w:r>
      <w:r>
        <w:rPr>
          <w:lang w:val="fr-FR"/>
        </w:rPr>
        <w:t>’</w:t>
      </w:r>
      <w:r w:rsidRPr="00452CA5">
        <w:rPr>
          <w:lang w:val="fr-FR"/>
        </w:rPr>
        <w:t>existence et du contenu des règles de droit international.</w:t>
      </w:r>
    </w:p>
    <w:p w14:paraId="59240024" w14:textId="426ECF47" w:rsidR="004C5E26" w:rsidRPr="00452CA5" w:rsidRDefault="004C5E26" w:rsidP="00AF4E47">
      <w:pPr>
        <w:pStyle w:val="H23G"/>
        <w:ind w:left="1701" w:firstLine="0"/>
        <w:rPr>
          <w:bCs/>
          <w:lang w:val="fr-FR"/>
        </w:rPr>
      </w:pPr>
      <w:r w:rsidRPr="00452CA5">
        <w:rPr>
          <w:lang w:val="fr-FR"/>
        </w:rPr>
        <w:tab/>
        <w:t>Conclusion 5</w:t>
      </w:r>
      <w:r>
        <w:rPr>
          <w:lang w:val="fr-FR"/>
        </w:rPr>
        <w:t xml:space="preserve"> </w:t>
      </w:r>
      <w:r w:rsidRPr="00452CA5">
        <w:rPr>
          <w:lang w:val="fr-FR"/>
        </w:rPr>
        <w:br/>
      </w:r>
      <w:r w:rsidRPr="00452CA5">
        <w:rPr>
          <w:bCs/>
          <w:lang w:val="fr-FR"/>
        </w:rPr>
        <w:t>Doctrine</w:t>
      </w:r>
    </w:p>
    <w:p w14:paraId="55264463" w14:textId="73869E2B" w:rsidR="004C5E26" w:rsidRPr="00452CA5" w:rsidRDefault="004C5E26" w:rsidP="0038638C">
      <w:pPr>
        <w:pStyle w:val="SingleTxtG"/>
        <w:ind w:left="1701" w:firstLine="567"/>
        <w:rPr>
          <w:lang w:val="fr-FR"/>
        </w:rPr>
      </w:pPr>
      <w:r w:rsidRPr="00452CA5">
        <w:rPr>
          <w:lang w:val="fr-FR"/>
        </w:rPr>
        <w:t>La doctrine, en particulier celle qui reflète de manière générale les points de vue concordants de personnes ayant une compétence en droit international et représentatives des différents systèmes juridiques et régions du monde, constitue un moyen auxiliaire aux fins de la détermination de l</w:t>
      </w:r>
      <w:r>
        <w:rPr>
          <w:lang w:val="fr-FR"/>
        </w:rPr>
        <w:t>’</w:t>
      </w:r>
      <w:r w:rsidRPr="00452CA5">
        <w:rPr>
          <w:lang w:val="fr-FR"/>
        </w:rPr>
        <w:t xml:space="preserve">existence et du contenu des règles de droit international. Pour évaluer le caractère représentatif de la doctrine, une attention particulière devrait être portée, </w:t>
      </w:r>
      <w:r w:rsidRPr="00452CA5">
        <w:rPr>
          <w:i/>
          <w:iCs/>
          <w:lang w:val="fr-FR"/>
        </w:rPr>
        <w:t>inter alia</w:t>
      </w:r>
      <w:r w:rsidRPr="00452CA5">
        <w:rPr>
          <w:lang w:val="fr-FR"/>
        </w:rPr>
        <w:t>, à la diversité de genre et de langues.</w:t>
      </w:r>
    </w:p>
    <w:p w14:paraId="381A659A" w14:textId="665997F4" w:rsidR="004C5E26" w:rsidRPr="00452CA5" w:rsidRDefault="004C5E26" w:rsidP="00AF4E47">
      <w:pPr>
        <w:pStyle w:val="H23G"/>
        <w:ind w:left="1701" w:firstLine="0"/>
        <w:rPr>
          <w:lang w:val="fr-FR"/>
        </w:rPr>
      </w:pPr>
      <w:r w:rsidRPr="00452CA5">
        <w:rPr>
          <w:rFonts w:eastAsia="Times New Roman"/>
          <w:lang w:val="fr-FR"/>
        </w:rPr>
        <w:tab/>
        <w:t>Conclusion 6</w:t>
      </w:r>
      <w:r>
        <w:rPr>
          <w:rFonts w:eastAsia="Times New Roman"/>
          <w:lang w:val="fr-FR"/>
        </w:rPr>
        <w:t xml:space="preserve"> </w:t>
      </w:r>
      <w:r w:rsidRPr="00452CA5">
        <w:rPr>
          <w:rFonts w:eastAsia="Times New Roman"/>
          <w:lang w:val="fr-FR"/>
        </w:rPr>
        <w:br/>
      </w:r>
      <w:r w:rsidRPr="00452CA5">
        <w:rPr>
          <w:lang w:val="fr-FR"/>
        </w:rPr>
        <w:t>Nature et fonction des moyens auxiliaires</w:t>
      </w:r>
    </w:p>
    <w:p w14:paraId="67B8A467" w14:textId="0C099F7E" w:rsidR="004C5E26" w:rsidRPr="00452CA5" w:rsidRDefault="004C5E26" w:rsidP="0038638C">
      <w:pPr>
        <w:pStyle w:val="SingleTxtG"/>
        <w:ind w:left="1701"/>
        <w:rPr>
          <w:b/>
          <w:bCs/>
          <w:lang w:val="fr-FR"/>
        </w:rPr>
      </w:pPr>
      <w:r w:rsidRPr="00452CA5">
        <w:rPr>
          <w:bCs/>
          <w:lang w:val="fr-FR"/>
        </w:rPr>
        <w:t>1.</w:t>
      </w:r>
      <w:r w:rsidRPr="00452CA5">
        <w:rPr>
          <w:bCs/>
          <w:lang w:val="fr-FR"/>
        </w:rPr>
        <w:tab/>
      </w:r>
      <w:r w:rsidRPr="00452CA5">
        <w:rPr>
          <w:lang w:val="fr-FR"/>
        </w:rPr>
        <w:t>Les moyens auxiliaires ne constituent pas une source du droit international. La fonction des moyens auxiliaires est d</w:t>
      </w:r>
      <w:r>
        <w:rPr>
          <w:lang w:val="fr-FR"/>
        </w:rPr>
        <w:t>’</w:t>
      </w:r>
      <w:r w:rsidRPr="00452CA5">
        <w:rPr>
          <w:lang w:val="fr-FR"/>
        </w:rPr>
        <w:t>aider à déterminer l</w:t>
      </w:r>
      <w:r>
        <w:rPr>
          <w:lang w:val="fr-FR"/>
        </w:rPr>
        <w:t>’</w:t>
      </w:r>
      <w:r w:rsidRPr="00452CA5">
        <w:rPr>
          <w:lang w:val="fr-FR"/>
        </w:rPr>
        <w:t>existence et le contenu des règles de droit international.</w:t>
      </w:r>
    </w:p>
    <w:p w14:paraId="3187ECFE" w14:textId="0F1D9FF2" w:rsidR="004C5E26" w:rsidRPr="00452CA5" w:rsidRDefault="004C5E26" w:rsidP="0038638C">
      <w:pPr>
        <w:pStyle w:val="SingleTxtG"/>
        <w:ind w:left="1701"/>
        <w:rPr>
          <w:lang w:val="fr-FR"/>
        </w:rPr>
      </w:pPr>
      <w:r w:rsidRPr="00452CA5">
        <w:rPr>
          <w:lang w:val="fr-FR"/>
        </w:rPr>
        <w:t>2.</w:t>
      </w:r>
      <w:r w:rsidRPr="00452CA5">
        <w:rPr>
          <w:lang w:val="fr-FR"/>
        </w:rPr>
        <w:tab/>
        <w:t>L</w:t>
      </w:r>
      <w:r>
        <w:rPr>
          <w:lang w:val="fr-FR"/>
        </w:rPr>
        <w:t>’</w:t>
      </w:r>
      <w:r w:rsidRPr="00452CA5">
        <w:rPr>
          <w:lang w:val="fr-FR"/>
        </w:rPr>
        <w:t>utilisation d</w:t>
      </w:r>
      <w:r>
        <w:rPr>
          <w:lang w:val="fr-FR"/>
        </w:rPr>
        <w:t>’</w:t>
      </w:r>
      <w:r w:rsidRPr="00452CA5">
        <w:rPr>
          <w:lang w:val="fr-FR"/>
        </w:rPr>
        <w:t>éléments comme moyens auxiliaires de détermination des règles de droit international est sans préjudice de leur utilisation à d</w:t>
      </w:r>
      <w:r>
        <w:rPr>
          <w:lang w:val="fr-FR"/>
        </w:rPr>
        <w:t>’</w:t>
      </w:r>
      <w:r w:rsidRPr="00452CA5">
        <w:rPr>
          <w:lang w:val="fr-FR"/>
        </w:rPr>
        <w:t>autres fins.</w:t>
      </w:r>
    </w:p>
    <w:p w14:paraId="469BA37D" w14:textId="386FC885" w:rsidR="004C5E26" w:rsidRPr="00452CA5" w:rsidRDefault="004C5E26" w:rsidP="00AF4E47">
      <w:pPr>
        <w:pStyle w:val="H23G"/>
        <w:ind w:left="1701" w:firstLine="0"/>
        <w:rPr>
          <w:lang w:val="fr-FR"/>
        </w:rPr>
      </w:pPr>
      <w:r w:rsidRPr="00452CA5">
        <w:rPr>
          <w:rFonts w:eastAsia="Times New Roman"/>
          <w:lang w:val="fr-FR"/>
        </w:rPr>
        <w:tab/>
        <w:t>Conclusion 7</w:t>
      </w:r>
      <w:bookmarkStart w:id="60" w:name="_Toc157458651"/>
      <w:r>
        <w:rPr>
          <w:rFonts w:eastAsia="Times New Roman"/>
          <w:lang w:val="fr-FR"/>
        </w:rPr>
        <w:t xml:space="preserve"> </w:t>
      </w:r>
      <w:r w:rsidRPr="00452CA5">
        <w:rPr>
          <w:rFonts w:eastAsia="Times New Roman"/>
          <w:lang w:val="fr-FR"/>
        </w:rPr>
        <w:br/>
      </w:r>
      <w:bookmarkEnd w:id="60"/>
      <w:r w:rsidRPr="00452CA5">
        <w:rPr>
          <w:lang w:val="fr-FR"/>
        </w:rPr>
        <w:t>Absence de précédents juridiquement contraignants en droit international</w:t>
      </w:r>
    </w:p>
    <w:p w14:paraId="5BDBDCBB" w14:textId="69B2386F" w:rsidR="004C5E26" w:rsidRPr="00452CA5" w:rsidRDefault="004C5E26" w:rsidP="0038638C">
      <w:pPr>
        <w:pStyle w:val="SingleTxtG"/>
        <w:ind w:left="1701" w:firstLine="567"/>
        <w:rPr>
          <w:lang w:val="fr-FR"/>
        </w:rPr>
      </w:pPr>
      <w:r w:rsidRPr="00452CA5">
        <w:rPr>
          <w:lang w:val="fr-FR"/>
        </w:rPr>
        <w:t>Les décisions des juridictions internationales peuvent être suivies sur des points de droit lorsque ces décisions traitent de questions identiques ou similaires à celles qui sont à l</w:t>
      </w:r>
      <w:r>
        <w:rPr>
          <w:lang w:val="fr-FR"/>
        </w:rPr>
        <w:t>’</w:t>
      </w:r>
      <w:r w:rsidRPr="00452CA5">
        <w:rPr>
          <w:lang w:val="fr-FR"/>
        </w:rPr>
        <w:t>examen. Ces décisions ne constituent pas des précédents juridiquement contraignants, à moins qu</w:t>
      </w:r>
      <w:r>
        <w:rPr>
          <w:lang w:val="fr-FR"/>
        </w:rPr>
        <w:t>’</w:t>
      </w:r>
      <w:r w:rsidRPr="00452CA5">
        <w:rPr>
          <w:lang w:val="fr-FR"/>
        </w:rPr>
        <w:t>un instrument ou une règle spécifique de droit international n</w:t>
      </w:r>
      <w:r>
        <w:rPr>
          <w:lang w:val="fr-FR"/>
        </w:rPr>
        <w:t>’</w:t>
      </w:r>
      <w:r w:rsidRPr="00452CA5">
        <w:rPr>
          <w:lang w:val="fr-FR"/>
        </w:rPr>
        <w:t>en dispose autrement.</w:t>
      </w:r>
    </w:p>
    <w:p w14:paraId="1CAFE879" w14:textId="426BBD68" w:rsidR="004C5E26" w:rsidRPr="00452CA5" w:rsidRDefault="004C5E26" w:rsidP="00AF4E47">
      <w:pPr>
        <w:pStyle w:val="H23G"/>
        <w:ind w:left="1701" w:firstLine="0"/>
        <w:rPr>
          <w:rFonts w:eastAsia="Times New Roman"/>
          <w:lang w:val="fr-FR"/>
        </w:rPr>
      </w:pPr>
      <w:r w:rsidRPr="00452CA5">
        <w:rPr>
          <w:rFonts w:eastAsia="Times New Roman"/>
          <w:lang w:val="fr-FR"/>
        </w:rPr>
        <w:tab/>
        <w:t>Conclusion 8</w:t>
      </w:r>
      <w:r>
        <w:rPr>
          <w:rFonts w:eastAsia="Times New Roman"/>
          <w:lang w:val="fr-FR"/>
        </w:rPr>
        <w:t xml:space="preserve"> </w:t>
      </w:r>
      <w:r w:rsidRPr="00452CA5">
        <w:rPr>
          <w:rFonts w:eastAsia="Times New Roman"/>
          <w:lang w:val="fr-FR"/>
        </w:rPr>
        <w:br/>
      </w:r>
      <w:r w:rsidRPr="00452CA5">
        <w:rPr>
          <w:lang w:val="fr-FR"/>
        </w:rPr>
        <w:t>Poids des décisions des juridictions</w:t>
      </w:r>
    </w:p>
    <w:p w14:paraId="23762B12" w14:textId="32F7A190" w:rsidR="004C5E26" w:rsidRPr="00452CA5" w:rsidRDefault="004C5E26" w:rsidP="0038638C">
      <w:pPr>
        <w:pStyle w:val="SingleTxtG"/>
        <w:ind w:left="1701" w:firstLine="567"/>
        <w:rPr>
          <w:spacing w:val="-2"/>
          <w:lang w:val="fr-FR"/>
        </w:rPr>
      </w:pPr>
      <w:r w:rsidRPr="00452CA5">
        <w:rPr>
          <w:spacing w:val="-2"/>
          <w:lang w:val="fr-FR"/>
        </w:rPr>
        <w:t>Aux fins de l</w:t>
      </w:r>
      <w:r>
        <w:rPr>
          <w:spacing w:val="-2"/>
          <w:lang w:val="fr-FR"/>
        </w:rPr>
        <w:t>’</w:t>
      </w:r>
      <w:r w:rsidRPr="00452CA5">
        <w:rPr>
          <w:spacing w:val="-2"/>
          <w:lang w:val="fr-FR"/>
        </w:rPr>
        <w:t>appréciation du poids à accorder aux décisions des juridictions et en sus des critères énoncés au projet de conclusion</w:t>
      </w:r>
      <w:r>
        <w:rPr>
          <w:spacing w:val="-2"/>
          <w:lang w:val="fr-FR"/>
        </w:rPr>
        <w:t> </w:t>
      </w:r>
      <w:r w:rsidRPr="00452CA5">
        <w:rPr>
          <w:spacing w:val="-2"/>
          <w:lang w:val="fr-FR"/>
        </w:rPr>
        <w:t xml:space="preserve">3, une attention devrait être portée, </w:t>
      </w:r>
      <w:r w:rsidRPr="00452CA5">
        <w:rPr>
          <w:i/>
          <w:iCs/>
          <w:spacing w:val="-2"/>
          <w:lang w:val="fr-FR"/>
        </w:rPr>
        <w:t>inter alia</w:t>
      </w:r>
      <w:r w:rsidRPr="00452CA5">
        <w:rPr>
          <w:spacing w:val="-2"/>
          <w:lang w:val="fr-FR"/>
        </w:rPr>
        <w:t>, à :</w:t>
      </w:r>
    </w:p>
    <w:p w14:paraId="075F2576" w14:textId="7802873E" w:rsidR="004C5E26" w:rsidRPr="00452CA5" w:rsidRDefault="004C5E26" w:rsidP="0038638C">
      <w:pPr>
        <w:pStyle w:val="SingleTxtG"/>
        <w:ind w:left="1701" w:firstLine="567"/>
        <w:rPr>
          <w:lang w:val="fr-FR"/>
        </w:rPr>
      </w:pPr>
      <w:r w:rsidRPr="00452CA5">
        <w:rPr>
          <w:lang w:val="fr-FR"/>
        </w:rPr>
        <w:t>a)</w:t>
      </w:r>
      <w:r w:rsidRPr="00452CA5">
        <w:rPr>
          <w:lang w:val="fr-FR"/>
        </w:rPr>
        <w:tab/>
        <w:t>La question de savoir si la juridiction s</w:t>
      </w:r>
      <w:r>
        <w:rPr>
          <w:lang w:val="fr-FR"/>
        </w:rPr>
        <w:t>’</w:t>
      </w:r>
      <w:r w:rsidRPr="00452CA5">
        <w:rPr>
          <w:lang w:val="fr-FR"/>
        </w:rPr>
        <w:t>est vu conférer une compétence spécifique à l</w:t>
      </w:r>
      <w:r>
        <w:rPr>
          <w:lang w:val="fr-FR"/>
        </w:rPr>
        <w:t>’</w:t>
      </w:r>
      <w:r w:rsidRPr="00452CA5">
        <w:rPr>
          <w:lang w:val="fr-FR"/>
        </w:rPr>
        <w:t>égard de l</w:t>
      </w:r>
      <w:r>
        <w:rPr>
          <w:lang w:val="fr-FR"/>
        </w:rPr>
        <w:t>’</w:t>
      </w:r>
      <w:r w:rsidRPr="00452CA5">
        <w:rPr>
          <w:lang w:val="fr-FR"/>
        </w:rPr>
        <w:t>application de la règle en question ;</w:t>
      </w:r>
    </w:p>
    <w:p w14:paraId="682CE420" w14:textId="12C7B391" w:rsidR="004C5E26" w:rsidRPr="00452CA5" w:rsidRDefault="004C5E26" w:rsidP="0038638C">
      <w:pPr>
        <w:pStyle w:val="SingleTxtG"/>
        <w:ind w:left="1701" w:firstLine="567"/>
        <w:rPr>
          <w:lang w:val="fr-FR"/>
        </w:rPr>
      </w:pPr>
      <w:r w:rsidRPr="00452CA5">
        <w:rPr>
          <w:lang w:val="fr-FR"/>
        </w:rPr>
        <w:t>b)</w:t>
      </w:r>
      <w:r w:rsidRPr="00452CA5">
        <w:rPr>
          <w:lang w:val="fr-FR"/>
        </w:rPr>
        <w:tab/>
        <w:t>La mesure dans laquelle la décision fait partie d</w:t>
      </w:r>
      <w:r>
        <w:rPr>
          <w:lang w:val="fr-FR"/>
        </w:rPr>
        <w:t>’</w:t>
      </w:r>
      <w:r w:rsidRPr="00452CA5">
        <w:rPr>
          <w:lang w:val="fr-FR"/>
        </w:rPr>
        <w:t>un ensemble de décisions concordantes ; et</w:t>
      </w:r>
    </w:p>
    <w:p w14:paraId="1D388BAD" w14:textId="77777777" w:rsidR="004C5E26" w:rsidRPr="00452CA5" w:rsidRDefault="004C5E26" w:rsidP="0038638C">
      <w:pPr>
        <w:pStyle w:val="SingleTxtG"/>
        <w:ind w:left="1701" w:firstLine="567"/>
        <w:rPr>
          <w:lang w:val="fr-FR"/>
        </w:rPr>
      </w:pPr>
      <w:r w:rsidRPr="00452CA5">
        <w:rPr>
          <w:lang w:val="fr-FR"/>
        </w:rPr>
        <w:t>c)</w:t>
      </w:r>
      <w:r w:rsidRPr="00452CA5">
        <w:rPr>
          <w:lang w:val="fr-FR"/>
        </w:rPr>
        <w:tab/>
        <w:t>La mesure dans laquelle le raisonnement reste pertinent au regard des développements ultérieurs.</w:t>
      </w:r>
    </w:p>
    <w:p w14:paraId="59B1B432" w14:textId="66449934" w:rsidR="004C5E26" w:rsidRPr="005B4699" w:rsidRDefault="0038638C" w:rsidP="0038638C">
      <w:pPr>
        <w:pStyle w:val="H23G"/>
        <w:rPr>
          <w:shd w:val="clear" w:color="000000" w:fill="FFFFFF"/>
          <w:lang w:val="fr-FR"/>
        </w:rPr>
      </w:pPr>
      <w:r>
        <w:rPr>
          <w:shd w:val="clear" w:color="000000" w:fill="FFFFFF"/>
          <w:lang w:val="fr-FR"/>
        </w:rPr>
        <w:lastRenderedPageBreak/>
        <w:tab/>
      </w:r>
      <w:r w:rsidR="004C5E26" w:rsidRPr="005B4699">
        <w:rPr>
          <w:shd w:val="clear" w:color="000000" w:fill="FFFFFF"/>
          <w:lang w:val="fr-FR"/>
        </w:rPr>
        <w:t>2.</w:t>
      </w:r>
      <w:r w:rsidR="004C5E26" w:rsidRPr="005B4699">
        <w:rPr>
          <w:shd w:val="clear" w:color="000000" w:fill="FFFFFF"/>
          <w:lang w:val="fr-FR"/>
        </w:rPr>
        <w:tab/>
      </w:r>
      <w:bookmarkStart w:id="61" w:name="_Hlk175323418"/>
      <w:r w:rsidR="004C5E26" w:rsidRPr="005B4699">
        <w:rPr>
          <w:shd w:val="clear" w:color="000000" w:fill="FFFFFF"/>
          <w:lang w:val="fr-FR"/>
        </w:rPr>
        <w:t xml:space="preserve">Texte des projets de conclusion et </w:t>
      </w:r>
      <w:r w:rsidR="004C5E26">
        <w:rPr>
          <w:shd w:val="clear" w:color="000000" w:fill="FFFFFF"/>
          <w:lang w:val="fr-FR"/>
        </w:rPr>
        <w:t xml:space="preserve">des </w:t>
      </w:r>
      <w:r w:rsidR="004C5E26" w:rsidRPr="005B4699">
        <w:rPr>
          <w:shd w:val="clear" w:color="000000" w:fill="FFFFFF"/>
          <w:lang w:val="fr-FR"/>
        </w:rPr>
        <w:t>commentaires y relatifs provisoirement adoptés par</w:t>
      </w:r>
      <w:r w:rsidR="004C5E26">
        <w:rPr>
          <w:shd w:val="clear" w:color="000000" w:fill="FFFFFF"/>
          <w:lang w:val="fr-FR"/>
        </w:rPr>
        <w:t> </w:t>
      </w:r>
      <w:r w:rsidR="004C5E26" w:rsidRPr="005B4699">
        <w:rPr>
          <w:shd w:val="clear" w:color="000000" w:fill="FFFFFF"/>
          <w:lang w:val="fr-FR"/>
        </w:rPr>
        <w:t>la Commission à sa soixante-quinzième session</w:t>
      </w:r>
      <w:bookmarkEnd w:id="61"/>
    </w:p>
    <w:p w14:paraId="115AC885" w14:textId="77777777" w:rsidR="004C5E26" w:rsidRPr="005B4699" w:rsidRDefault="004C5E26" w:rsidP="004C5E26">
      <w:pPr>
        <w:pStyle w:val="SingleTxtG"/>
        <w:rPr>
          <w:lang w:val="fr-FR"/>
        </w:rPr>
      </w:pPr>
      <w:r w:rsidRPr="00F80FC3">
        <w:rPr>
          <w:shd w:val="clear" w:color="000000" w:fill="FFFFFF"/>
          <w:lang w:val="fr-FR"/>
        </w:rPr>
        <w:t>75</w:t>
      </w:r>
      <w:r w:rsidRPr="005B4699">
        <w:rPr>
          <w:lang w:val="fr-FR"/>
        </w:rPr>
        <w:t>.</w:t>
      </w:r>
      <w:r w:rsidRPr="005B4699">
        <w:rPr>
          <w:lang w:val="fr-FR"/>
        </w:rPr>
        <w:tab/>
        <w:t>Le texte des projets de conclusion et des commentaires y relatifs provisoirement adoptés par la Commission à sa soixante-quinzième session est reproduit ci-après.</w:t>
      </w:r>
    </w:p>
    <w:p w14:paraId="62CB4E70" w14:textId="77777777" w:rsidR="004C5E26" w:rsidRPr="00993A70" w:rsidRDefault="004C5E26" w:rsidP="00AF4E47">
      <w:pPr>
        <w:pStyle w:val="H23G"/>
        <w:ind w:left="1701" w:firstLine="0"/>
        <w:rPr>
          <w:rFonts w:eastAsia="Times New Roman"/>
          <w:b w:val="0"/>
          <w:bCs/>
          <w:lang w:val="fr-FR"/>
        </w:rPr>
      </w:pPr>
      <w:r w:rsidRPr="00993A70">
        <w:rPr>
          <w:bCs/>
          <w:lang w:val="fr-FR"/>
        </w:rPr>
        <w:t xml:space="preserve">Conclusion 4 </w:t>
      </w:r>
      <w:r w:rsidRPr="00993A70">
        <w:rPr>
          <w:bCs/>
          <w:lang w:val="fr-FR"/>
        </w:rPr>
        <w:br/>
      </w:r>
      <w:bookmarkStart w:id="62" w:name="_Hlk175323441"/>
      <w:r w:rsidRPr="00993A70">
        <w:rPr>
          <w:bCs/>
          <w:lang w:val="fr-FR"/>
        </w:rPr>
        <w:t>Décisions de juridictions</w:t>
      </w:r>
      <w:bookmarkEnd w:id="62"/>
    </w:p>
    <w:p w14:paraId="2C8CFA67" w14:textId="118B1EA3" w:rsidR="004C5E26" w:rsidRPr="005B4699" w:rsidRDefault="004C5E26" w:rsidP="004C5E26">
      <w:pPr>
        <w:pStyle w:val="SingleTxtG"/>
        <w:ind w:left="1701"/>
        <w:rPr>
          <w:lang w:val="fr-FR"/>
        </w:rPr>
      </w:pPr>
      <w:r w:rsidRPr="005B4699">
        <w:rPr>
          <w:lang w:val="fr-FR"/>
        </w:rPr>
        <w:t>1.</w:t>
      </w:r>
      <w:r w:rsidRPr="005B4699">
        <w:rPr>
          <w:lang w:val="fr-FR"/>
        </w:rPr>
        <w:tab/>
        <w:t>Les décisions des juridictions internationales, en particulier celles de la Cour internationale de Justice, constituent un moyen auxiliaire aux fins de la détermination de l</w:t>
      </w:r>
      <w:r>
        <w:rPr>
          <w:lang w:val="fr-FR"/>
        </w:rPr>
        <w:t>’</w:t>
      </w:r>
      <w:r w:rsidRPr="005B4699">
        <w:rPr>
          <w:lang w:val="fr-FR"/>
        </w:rPr>
        <w:t>existence et du contenu des règles de droit international.</w:t>
      </w:r>
    </w:p>
    <w:p w14:paraId="376F017C" w14:textId="59A49060" w:rsidR="004C5E26" w:rsidRPr="005B4699" w:rsidRDefault="004C5E26" w:rsidP="004C5E26">
      <w:pPr>
        <w:pStyle w:val="SingleTxtG"/>
        <w:ind w:left="1701"/>
        <w:rPr>
          <w:lang w:val="fr-FR"/>
        </w:rPr>
      </w:pPr>
      <w:r w:rsidRPr="005B4699">
        <w:rPr>
          <w:lang w:val="fr-FR"/>
        </w:rPr>
        <w:t>2.</w:t>
      </w:r>
      <w:r w:rsidRPr="005B4699">
        <w:rPr>
          <w:lang w:val="fr-FR"/>
        </w:rPr>
        <w:tab/>
        <w:t>Les décisions des juridictions nationales peuvent être utilisées, dans certaines circonstances, comme un moyen auxiliaire aux fins de la détermination de l</w:t>
      </w:r>
      <w:r>
        <w:rPr>
          <w:lang w:val="fr-FR"/>
        </w:rPr>
        <w:t>’</w:t>
      </w:r>
      <w:r w:rsidRPr="005B4699">
        <w:rPr>
          <w:lang w:val="fr-FR"/>
        </w:rPr>
        <w:t>existence et du contenu des règles de droit international.</w:t>
      </w:r>
    </w:p>
    <w:p w14:paraId="3898B123" w14:textId="77777777" w:rsidR="004C5E26" w:rsidRPr="005B4699" w:rsidRDefault="004C5E26" w:rsidP="004C5E26">
      <w:pPr>
        <w:pStyle w:val="H23G"/>
        <w:rPr>
          <w:rFonts w:eastAsia="Times New Roman"/>
          <w:color w:val="000000"/>
          <w:lang w:val="fr-FR"/>
        </w:rPr>
      </w:pPr>
      <w:r>
        <w:rPr>
          <w:shd w:val="clear" w:color="000000" w:fill="FFFFFF"/>
          <w:lang w:val="fr-FR"/>
        </w:rPr>
        <w:tab/>
      </w:r>
      <w:r>
        <w:rPr>
          <w:shd w:val="clear" w:color="000000" w:fill="FFFFFF"/>
          <w:lang w:val="fr-FR"/>
        </w:rPr>
        <w:tab/>
      </w:r>
      <w:r w:rsidRPr="00993A70">
        <w:rPr>
          <w:shd w:val="clear" w:color="000000" w:fill="FFFFFF"/>
          <w:lang w:val="fr-FR"/>
        </w:rPr>
        <w:t>Commentaire</w:t>
      </w:r>
    </w:p>
    <w:p w14:paraId="54D0634E" w14:textId="1DDABF29" w:rsidR="004C5E26" w:rsidRPr="00947B86" w:rsidRDefault="004C5E26" w:rsidP="004C5E26">
      <w:pPr>
        <w:pStyle w:val="SingleTxtG"/>
        <w:rPr>
          <w:lang w:val="fr-FR"/>
        </w:rPr>
      </w:pPr>
      <w:r w:rsidRPr="005B4699">
        <w:rPr>
          <w:lang w:val="fr-FR"/>
        </w:rPr>
        <w:t>1</w:t>
      </w:r>
      <w:r>
        <w:rPr>
          <w:lang w:val="fr-FR"/>
        </w:rPr>
        <w:t>)</w:t>
      </w:r>
      <w:r w:rsidRPr="005B4699">
        <w:rPr>
          <w:lang w:val="fr-FR"/>
        </w:rPr>
        <w:tab/>
        <w:t>Les projets de conclusions 4 (Décisions de juridictions) et 5 (Doctrine) s</w:t>
      </w:r>
      <w:r>
        <w:rPr>
          <w:lang w:val="fr-FR"/>
        </w:rPr>
        <w:t>’</w:t>
      </w:r>
      <w:r w:rsidRPr="005B4699">
        <w:rPr>
          <w:lang w:val="fr-FR"/>
        </w:rPr>
        <w:t xml:space="preserve">appuient sur les travaux antérieurs de la Commission. Ils visent à clarifier comment les </w:t>
      </w:r>
      <w:r w:rsidRPr="005B4699">
        <w:rPr>
          <w:iCs/>
          <w:lang w:val="fr-FR"/>
        </w:rPr>
        <w:t>décisions des juridictions et la doctrine</w:t>
      </w:r>
      <w:r w:rsidRPr="005B4699">
        <w:rPr>
          <w:lang w:val="fr-FR"/>
        </w:rPr>
        <w:t>, les deux principaux moyens</w:t>
      </w:r>
      <w:r>
        <w:rPr>
          <w:lang w:val="fr-FR"/>
        </w:rPr>
        <w:t xml:space="preserve"> auxiliaires découlant de</w:t>
      </w:r>
      <w:r w:rsidRPr="005B4699">
        <w:rPr>
          <w:lang w:val="fr-FR"/>
        </w:rPr>
        <w:t xml:space="preserve"> </w:t>
      </w:r>
      <w:r w:rsidRPr="00947B86">
        <w:rPr>
          <w:lang w:val="fr-FR"/>
        </w:rPr>
        <w:t>l</w:t>
      </w:r>
      <w:r>
        <w:rPr>
          <w:lang w:val="fr-FR"/>
        </w:rPr>
        <w:t>’</w:t>
      </w:r>
      <w:r w:rsidRPr="00947B86">
        <w:rPr>
          <w:lang w:val="fr-FR"/>
        </w:rPr>
        <w:t>alinéa</w:t>
      </w:r>
      <w:r w:rsidR="00327C90">
        <w:rPr>
          <w:lang w:val="fr-FR"/>
        </w:rPr>
        <w:t> </w:t>
      </w:r>
      <w:r w:rsidRPr="00947B86">
        <w:rPr>
          <w:lang w:val="fr-FR"/>
        </w:rPr>
        <w:t>d) du paragraphe</w:t>
      </w:r>
      <w:r w:rsidR="00327C90">
        <w:rPr>
          <w:lang w:val="fr-FR"/>
        </w:rPr>
        <w:t> </w:t>
      </w:r>
      <w:r w:rsidRPr="00947B86">
        <w:rPr>
          <w:lang w:val="fr-FR"/>
        </w:rPr>
        <w:t>1 de l</w:t>
      </w:r>
      <w:r>
        <w:rPr>
          <w:lang w:val="fr-FR"/>
        </w:rPr>
        <w:t>’</w:t>
      </w:r>
      <w:r w:rsidRPr="00947B86">
        <w:rPr>
          <w:lang w:val="fr-FR"/>
        </w:rPr>
        <w:t>Article 38 du Statut de la Cour internationale de Justice, doivent être utilisées aux fins de la détermination de l</w:t>
      </w:r>
      <w:r>
        <w:rPr>
          <w:lang w:val="fr-FR"/>
        </w:rPr>
        <w:t>’</w:t>
      </w:r>
      <w:r w:rsidRPr="00947B86">
        <w:rPr>
          <w:lang w:val="fr-FR"/>
        </w:rPr>
        <w:t xml:space="preserve">existence et du contenu des règles de droit international. </w:t>
      </w:r>
    </w:p>
    <w:p w14:paraId="597E8E23" w14:textId="0E93F1E1" w:rsidR="004C5E26" w:rsidRPr="005B4699" w:rsidRDefault="004C5E26" w:rsidP="004C5E26">
      <w:pPr>
        <w:pStyle w:val="SingleTxtG"/>
        <w:rPr>
          <w:rFonts w:eastAsia="Times New Roman"/>
          <w:color w:val="000000"/>
          <w:lang w:val="fr-FR"/>
        </w:rPr>
      </w:pPr>
      <w:r>
        <w:rPr>
          <w:rFonts w:eastAsia="Times New Roman"/>
          <w:color w:val="000000"/>
          <w:lang w:val="fr-FR"/>
        </w:rPr>
        <w:t>2)</w:t>
      </w:r>
      <w:r w:rsidRPr="005B4699">
        <w:rPr>
          <w:rFonts w:eastAsia="Times New Roman"/>
          <w:color w:val="000000"/>
          <w:lang w:val="fr-FR"/>
        </w:rPr>
        <w:tab/>
      </w:r>
      <w:r w:rsidRPr="005B4699">
        <w:rPr>
          <w:lang w:val="fr-FR"/>
        </w:rPr>
        <w:t>Le projet de conclusion 4 concerne le rôle des décisions des juridictions internationales et nationales comme moyen auxiliaire aux fins de la détermination de l</w:t>
      </w:r>
      <w:r>
        <w:rPr>
          <w:lang w:val="fr-FR"/>
        </w:rPr>
        <w:t>’</w:t>
      </w:r>
      <w:r w:rsidRPr="005B4699">
        <w:rPr>
          <w:lang w:val="fr-FR"/>
        </w:rPr>
        <w:t>existence et du contenu des règles de droit international</w:t>
      </w:r>
      <w:r>
        <w:rPr>
          <w:lang w:val="fr-FR"/>
        </w:rPr>
        <w:t xml:space="preserve">. </w:t>
      </w:r>
      <w:r>
        <w:rPr>
          <w:rFonts w:eastAsia="Times New Roman"/>
          <w:color w:val="000000"/>
          <w:lang w:val="fr-FR"/>
        </w:rPr>
        <w:t>Il</w:t>
      </w:r>
      <w:r w:rsidRPr="005B4699">
        <w:rPr>
          <w:rFonts w:eastAsia="Times New Roman"/>
          <w:color w:val="000000"/>
          <w:lang w:val="fr-FR"/>
        </w:rPr>
        <w:t xml:space="preserve"> comprend deux paragraphes. Le paragraphe 1 porte sur les décisions des juridictions internationales, en particulier celles de la Cour </w:t>
      </w:r>
      <w:r w:rsidRPr="00993A70">
        <w:rPr>
          <w:lang w:val="fr-FR"/>
        </w:rPr>
        <w:t>internationale</w:t>
      </w:r>
      <w:r w:rsidRPr="005B4699">
        <w:rPr>
          <w:rFonts w:eastAsia="Times New Roman"/>
          <w:color w:val="000000"/>
          <w:lang w:val="fr-FR"/>
        </w:rPr>
        <w:t xml:space="preserve"> de Justice, qui sont un moyen auxiliaire aux fins de la détermination de l</w:t>
      </w:r>
      <w:r>
        <w:rPr>
          <w:rFonts w:eastAsia="Times New Roman"/>
          <w:color w:val="000000"/>
          <w:lang w:val="fr-FR"/>
        </w:rPr>
        <w:t>’</w:t>
      </w:r>
      <w:r w:rsidRPr="005B4699">
        <w:rPr>
          <w:rFonts w:eastAsia="Times New Roman"/>
          <w:color w:val="000000"/>
          <w:lang w:val="fr-FR"/>
        </w:rPr>
        <w:t>existence et du contenu des règles de droit international. Le paragraphe 2 envisage le rôle plus limité des décisions des juridictions nationales comme moyen auxiliaire de détermination de l</w:t>
      </w:r>
      <w:r>
        <w:rPr>
          <w:rFonts w:eastAsia="Times New Roman"/>
          <w:color w:val="000000"/>
          <w:lang w:val="fr-FR"/>
        </w:rPr>
        <w:t>’</w:t>
      </w:r>
      <w:r w:rsidRPr="005B4699">
        <w:rPr>
          <w:rFonts w:eastAsia="Times New Roman"/>
          <w:color w:val="000000"/>
          <w:lang w:val="fr-FR"/>
        </w:rPr>
        <w:t>existence et du contenu des règles de droit international.</w:t>
      </w:r>
      <w:r>
        <w:rPr>
          <w:rFonts w:eastAsia="Times New Roman"/>
          <w:color w:val="000000"/>
          <w:lang w:val="fr-FR"/>
        </w:rPr>
        <w:t xml:space="preserve"> Comme il est indiqué au paragraphe</w:t>
      </w:r>
      <w:r w:rsidR="00327C90">
        <w:rPr>
          <w:rFonts w:eastAsia="Times New Roman"/>
          <w:color w:val="000000"/>
          <w:lang w:val="fr-FR"/>
        </w:rPr>
        <w:t> </w:t>
      </w:r>
      <w:r>
        <w:rPr>
          <w:rFonts w:eastAsia="Times New Roman"/>
          <w:color w:val="000000"/>
          <w:lang w:val="fr-FR"/>
        </w:rPr>
        <w:t>2 du projet de conclusion</w:t>
      </w:r>
      <w:r w:rsidR="00327C90">
        <w:rPr>
          <w:rFonts w:eastAsia="Times New Roman"/>
          <w:color w:val="000000"/>
          <w:lang w:val="fr-FR"/>
        </w:rPr>
        <w:t> </w:t>
      </w:r>
      <w:r>
        <w:rPr>
          <w:rFonts w:eastAsia="Times New Roman"/>
          <w:color w:val="000000"/>
          <w:lang w:val="fr-FR"/>
        </w:rPr>
        <w:t xml:space="preserve">6, cette </w:t>
      </w:r>
      <w:r w:rsidRPr="005B4699">
        <w:rPr>
          <w:rFonts w:eastAsia="Times New Roman"/>
          <w:color w:val="000000"/>
          <w:lang w:val="fr-FR"/>
        </w:rPr>
        <w:t xml:space="preserve">utilisation des décisions des juridictions </w:t>
      </w:r>
      <w:r>
        <w:rPr>
          <w:rFonts w:eastAsia="Times New Roman"/>
          <w:color w:val="000000"/>
          <w:lang w:val="fr-FR"/>
        </w:rPr>
        <w:t>nationales</w:t>
      </w:r>
      <w:r w:rsidRPr="005B4699">
        <w:rPr>
          <w:rFonts w:eastAsia="Times New Roman"/>
          <w:color w:val="000000"/>
          <w:lang w:val="fr-FR"/>
        </w:rPr>
        <w:t xml:space="preserve"> est sans préjudice de leurs autres utilisations. Elle est également sans préjudice de l</w:t>
      </w:r>
      <w:r>
        <w:rPr>
          <w:rFonts w:eastAsia="Times New Roman"/>
          <w:color w:val="000000"/>
          <w:lang w:val="fr-FR"/>
        </w:rPr>
        <w:t>’</w:t>
      </w:r>
      <w:r w:rsidRPr="005B4699">
        <w:rPr>
          <w:rFonts w:eastAsia="Times New Roman"/>
          <w:color w:val="000000"/>
          <w:lang w:val="fr-FR"/>
        </w:rPr>
        <w:t>utilisation de</w:t>
      </w:r>
      <w:r>
        <w:rPr>
          <w:rFonts w:eastAsia="Times New Roman"/>
          <w:color w:val="000000"/>
          <w:lang w:val="fr-FR"/>
        </w:rPr>
        <w:t xml:space="preserve"> ces</w:t>
      </w:r>
      <w:r w:rsidRPr="005B4699">
        <w:rPr>
          <w:rFonts w:eastAsia="Times New Roman"/>
          <w:color w:val="000000"/>
          <w:lang w:val="fr-FR"/>
        </w:rPr>
        <w:t xml:space="preserve"> décisions dans la doctrine et dans d</w:t>
      </w:r>
      <w:r>
        <w:rPr>
          <w:rFonts w:eastAsia="Times New Roman"/>
          <w:color w:val="000000"/>
          <w:lang w:val="fr-FR"/>
        </w:rPr>
        <w:t>’</w:t>
      </w:r>
      <w:r w:rsidRPr="005B4699">
        <w:rPr>
          <w:rFonts w:eastAsia="Times New Roman"/>
          <w:color w:val="000000"/>
          <w:lang w:val="fr-FR"/>
        </w:rPr>
        <w:t xml:space="preserve">autres moyens auxiliaires. Les principaux éléments de chacun des deux paragraphes du projet de conclusion 4 sont examinés ci-après. </w:t>
      </w:r>
    </w:p>
    <w:p w14:paraId="671FB6A5" w14:textId="77777777" w:rsidR="004C5E26" w:rsidRPr="005B4699" w:rsidRDefault="004C5E26" w:rsidP="004C5E26">
      <w:pPr>
        <w:pStyle w:val="H4G"/>
        <w:rPr>
          <w:lang w:val="fr-FR"/>
        </w:rPr>
      </w:pPr>
      <w:r>
        <w:rPr>
          <w:lang w:val="fr-FR"/>
        </w:rPr>
        <w:tab/>
      </w:r>
      <w:r>
        <w:rPr>
          <w:lang w:val="fr-FR"/>
        </w:rPr>
        <w:tab/>
      </w:r>
      <w:r w:rsidRPr="005B4699">
        <w:rPr>
          <w:lang w:val="fr-FR"/>
        </w:rPr>
        <w:t>Paragraphe 1</w:t>
      </w:r>
    </w:p>
    <w:p w14:paraId="46AEC14A" w14:textId="77777777" w:rsidR="004C5E26" w:rsidRPr="005B4699" w:rsidRDefault="004C5E26" w:rsidP="004C5E26">
      <w:pPr>
        <w:pStyle w:val="H4G"/>
        <w:rPr>
          <w:rFonts w:eastAsia="Times New Roman"/>
          <w:color w:val="000000"/>
          <w:lang w:val="fr-FR"/>
        </w:rPr>
      </w:pPr>
      <w:r>
        <w:rPr>
          <w:rFonts w:eastAsia="Times New Roman"/>
          <w:color w:val="000000"/>
          <w:lang w:val="fr-FR"/>
        </w:rPr>
        <w:tab/>
      </w:r>
      <w:r>
        <w:rPr>
          <w:rFonts w:eastAsia="Times New Roman"/>
          <w:color w:val="000000"/>
          <w:lang w:val="fr-FR"/>
        </w:rPr>
        <w:tab/>
      </w:r>
      <w:r w:rsidRPr="005B4699">
        <w:rPr>
          <w:rFonts w:eastAsia="Times New Roman"/>
          <w:color w:val="000000"/>
          <w:lang w:val="fr-FR"/>
        </w:rPr>
        <w:t>« </w:t>
      </w:r>
      <w:r w:rsidRPr="00993A70">
        <w:rPr>
          <w:lang w:val="fr-FR"/>
        </w:rPr>
        <w:t>Décisions</w:t>
      </w:r>
      <w:r>
        <w:rPr>
          <w:lang w:val="fr-FR"/>
        </w:rPr>
        <w:t xml:space="preserve"> </w:t>
      </w:r>
      <w:r w:rsidRPr="005B4699">
        <w:rPr>
          <w:lang w:val="fr-FR"/>
        </w:rPr>
        <w:t>des juridictions internationales, en particulier celles de la Cour internationale de Justice</w:t>
      </w:r>
      <w:r w:rsidRPr="005B4699">
        <w:rPr>
          <w:rFonts w:eastAsia="Times New Roman"/>
          <w:color w:val="000000"/>
          <w:lang w:val="fr-FR"/>
        </w:rPr>
        <w:t> »</w:t>
      </w:r>
    </w:p>
    <w:p w14:paraId="393A1C8F" w14:textId="3C377480" w:rsidR="004C5E26" w:rsidRPr="005B4699" w:rsidRDefault="004C5E26" w:rsidP="004C5E26">
      <w:pPr>
        <w:pStyle w:val="SingleTxtG"/>
        <w:rPr>
          <w:rFonts w:eastAsia="Times New Roman"/>
          <w:color w:val="000000"/>
          <w:lang w:val="fr-FR"/>
        </w:rPr>
      </w:pPr>
      <w:r>
        <w:rPr>
          <w:rFonts w:eastAsia="Times New Roman"/>
          <w:color w:val="000000"/>
          <w:lang w:val="fr-FR"/>
        </w:rPr>
        <w:t>3)</w:t>
      </w:r>
      <w:r w:rsidRPr="005B4699">
        <w:rPr>
          <w:rFonts w:eastAsia="Times New Roman"/>
          <w:color w:val="000000"/>
          <w:lang w:val="fr-FR"/>
        </w:rPr>
        <w:tab/>
        <w:t>Le terme « décisions » tel qu</w:t>
      </w:r>
      <w:r>
        <w:rPr>
          <w:rFonts w:eastAsia="Times New Roman"/>
          <w:color w:val="000000"/>
          <w:lang w:val="fr-FR"/>
        </w:rPr>
        <w:t xml:space="preserve">’il est </w:t>
      </w:r>
      <w:r w:rsidRPr="005B4699">
        <w:rPr>
          <w:rFonts w:eastAsia="Times New Roman"/>
          <w:color w:val="000000"/>
          <w:lang w:val="fr-FR"/>
        </w:rPr>
        <w:t xml:space="preserve">utilisé dans le présent commentaire est déjà expliqué dans le commentaire de </w:t>
      </w:r>
      <w:r w:rsidRPr="00947B86">
        <w:rPr>
          <w:rFonts w:eastAsia="Times New Roman"/>
          <w:color w:val="000000"/>
          <w:lang w:val="fr-FR"/>
        </w:rPr>
        <w:t>l</w:t>
      </w:r>
      <w:r>
        <w:rPr>
          <w:rFonts w:eastAsia="Times New Roman"/>
          <w:color w:val="000000"/>
          <w:lang w:val="fr-FR"/>
        </w:rPr>
        <w:t>’</w:t>
      </w:r>
      <w:r w:rsidRPr="00947B86">
        <w:rPr>
          <w:rFonts w:eastAsia="Times New Roman"/>
          <w:color w:val="000000"/>
          <w:lang w:val="fr-FR"/>
        </w:rPr>
        <w:t>alinéa a) du projet de conclusion 2. Il suffit donc de rappeler que, dans ce commentaire, la Commission indique que la formulation étroite « décisions judiciaires », utilisée à l</w:t>
      </w:r>
      <w:r>
        <w:rPr>
          <w:rFonts w:eastAsia="Times New Roman"/>
          <w:color w:val="000000"/>
          <w:lang w:val="fr-FR"/>
        </w:rPr>
        <w:t>’</w:t>
      </w:r>
      <w:r w:rsidRPr="00947B86">
        <w:rPr>
          <w:rFonts w:eastAsia="Times New Roman"/>
          <w:color w:val="000000"/>
          <w:lang w:val="fr-FR"/>
        </w:rPr>
        <w:t>alinéa d) du paragraphe</w:t>
      </w:r>
      <w:r w:rsidRPr="005B4699">
        <w:rPr>
          <w:rFonts w:eastAsia="Times New Roman"/>
          <w:color w:val="000000"/>
          <w:lang w:val="fr-FR"/>
        </w:rPr>
        <w:t> 1 de l</w:t>
      </w:r>
      <w:r>
        <w:rPr>
          <w:rFonts w:eastAsia="Times New Roman"/>
          <w:color w:val="000000"/>
          <w:lang w:val="fr-FR"/>
        </w:rPr>
        <w:t>’</w:t>
      </w:r>
      <w:r w:rsidRPr="005B4699">
        <w:rPr>
          <w:rFonts w:eastAsia="Times New Roman"/>
          <w:color w:val="000000"/>
          <w:lang w:val="fr-FR"/>
        </w:rPr>
        <w:t xml:space="preserve">Article 38 du Statut de la Cour internationale de Justice, a été </w:t>
      </w:r>
      <w:r>
        <w:rPr>
          <w:rFonts w:eastAsia="Times New Roman"/>
          <w:color w:val="000000"/>
          <w:lang w:val="fr-FR"/>
        </w:rPr>
        <w:t>remplacée par le</w:t>
      </w:r>
      <w:r w:rsidRPr="005B4699">
        <w:rPr>
          <w:rFonts w:eastAsia="Times New Roman"/>
          <w:color w:val="000000"/>
          <w:lang w:val="fr-FR"/>
        </w:rPr>
        <w:t xml:space="preserve"> terme </w:t>
      </w:r>
      <w:r>
        <w:rPr>
          <w:rFonts w:eastAsia="Times New Roman"/>
          <w:color w:val="000000"/>
          <w:lang w:val="fr-FR"/>
        </w:rPr>
        <w:t xml:space="preserve">plus large </w:t>
      </w:r>
      <w:r w:rsidRPr="005B4699">
        <w:rPr>
          <w:rFonts w:eastAsia="Times New Roman"/>
          <w:color w:val="000000"/>
          <w:lang w:val="fr-FR"/>
        </w:rPr>
        <w:t>« décisions », sans qualificatif, pour refléter la pratique contemporaine</w:t>
      </w:r>
      <w:r w:rsidRPr="0053774D">
        <w:rPr>
          <w:rStyle w:val="Appelnotedebasdep"/>
        </w:rPr>
        <w:footnoteReference w:id="85"/>
      </w:r>
      <w:r w:rsidRPr="005B4699">
        <w:rPr>
          <w:rFonts w:eastAsia="Times New Roman"/>
          <w:color w:val="000000"/>
          <w:lang w:val="fr-FR"/>
        </w:rPr>
        <w:t>. Cette pratique contemporaine confirme l</w:t>
      </w:r>
      <w:r>
        <w:rPr>
          <w:rFonts w:eastAsia="Times New Roman"/>
          <w:color w:val="000000"/>
          <w:lang w:val="fr-FR"/>
        </w:rPr>
        <w:t>’</w:t>
      </w:r>
      <w:r w:rsidRPr="005B4699">
        <w:rPr>
          <w:rFonts w:eastAsia="Times New Roman"/>
          <w:color w:val="000000"/>
          <w:lang w:val="fr-FR"/>
        </w:rPr>
        <w:t>utilisation d</w:t>
      </w:r>
      <w:r>
        <w:rPr>
          <w:rFonts w:eastAsia="Times New Roman"/>
          <w:color w:val="000000"/>
          <w:lang w:val="fr-FR"/>
        </w:rPr>
        <w:t>’</w:t>
      </w:r>
      <w:r w:rsidRPr="005B4699">
        <w:rPr>
          <w:rFonts w:eastAsia="Times New Roman"/>
          <w:color w:val="000000"/>
          <w:lang w:val="fr-FR"/>
        </w:rPr>
        <w:t>un éventail plus large de décisions émanant d</w:t>
      </w:r>
      <w:r>
        <w:rPr>
          <w:rFonts w:eastAsia="Times New Roman"/>
          <w:color w:val="000000"/>
          <w:lang w:val="fr-FR"/>
        </w:rPr>
        <w:t>’</w:t>
      </w:r>
      <w:r w:rsidRPr="005B4699">
        <w:rPr>
          <w:rFonts w:eastAsia="Times New Roman"/>
          <w:color w:val="000000"/>
          <w:lang w:val="fr-FR"/>
        </w:rPr>
        <w:t>organes très divers, pas seulement judiciaires, dans le cadre du processus d</w:t>
      </w:r>
      <w:r>
        <w:rPr>
          <w:rFonts w:eastAsia="Times New Roman"/>
          <w:color w:val="000000"/>
          <w:lang w:val="fr-FR"/>
        </w:rPr>
        <w:t>’</w:t>
      </w:r>
      <w:r w:rsidRPr="005B4699">
        <w:rPr>
          <w:rFonts w:eastAsia="Times New Roman"/>
          <w:color w:val="000000"/>
          <w:lang w:val="fr-FR"/>
        </w:rPr>
        <w:t>identification ou de détermination de l</w:t>
      </w:r>
      <w:r>
        <w:rPr>
          <w:rFonts w:eastAsia="Times New Roman"/>
          <w:color w:val="000000"/>
          <w:lang w:val="fr-FR"/>
        </w:rPr>
        <w:t>’</w:t>
      </w:r>
      <w:r w:rsidRPr="005B4699">
        <w:rPr>
          <w:rFonts w:eastAsia="Times New Roman"/>
          <w:color w:val="000000"/>
          <w:lang w:val="fr-FR"/>
        </w:rPr>
        <w:t>existence et du contenu des règles de droit international</w:t>
      </w:r>
      <w:r w:rsidRPr="0053774D">
        <w:rPr>
          <w:rStyle w:val="Appelnotedebasdep"/>
        </w:rPr>
        <w:footnoteReference w:id="86"/>
      </w:r>
      <w:r>
        <w:rPr>
          <w:rFonts w:eastAsia="Times New Roman"/>
          <w:color w:val="000000"/>
        </w:rPr>
        <w:t>.</w:t>
      </w:r>
      <w:r w:rsidRPr="005B4699">
        <w:rPr>
          <w:rFonts w:eastAsia="Times New Roman"/>
          <w:color w:val="000000"/>
          <w:lang w:val="fr-FR"/>
        </w:rPr>
        <w:t xml:space="preserve">La Commission a expliqué que </w:t>
      </w:r>
      <w:r w:rsidRPr="005B4699">
        <w:rPr>
          <w:rFonts w:eastAsia="Times New Roman"/>
          <w:color w:val="000000"/>
          <w:lang w:val="fr-FR"/>
        </w:rPr>
        <w:lastRenderedPageBreak/>
        <w:t>dans ce sens plus général, le terme « décisions » s</w:t>
      </w:r>
      <w:r>
        <w:rPr>
          <w:rFonts w:eastAsia="Times New Roman"/>
          <w:color w:val="000000"/>
          <w:lang w:val="fr-FR"/>
        </w:rPr>
        <w:t>’</w:t>
      </w:r>
      <w:r w:rsidRPr="005B4699">
        <w:rPr>
          <w:rFonts w:eastAsia="Times New Roman"/>
          <w:color w:val="000000"/>
          <w:lang w:val="fr-FR"/>
        </w:rPr>
        <w:t>entendait des arrêts définitifs</w:t>
      </w:r>
      <w:r>
        <w:rPr>
          <w:rFonts w:eastAsia="Times New Roman"/>
          <w:color w:val="000000"/>
          <w:lang w:val="fr-FR"/>
        </w:rPr>
        <w:t>,</w:t>
      </w:r>
      <w:r w:rsidRPr="005B4699">
        <w:rPr>
          <w:rFonts w:eastAsia="Times New Roman"/>
          <w:color w:val="000000"/>
          <w:lang w:val="fr-FR"/>
        </w:rPr>
        <w:t xml:space="preserve"> des avis consultatifs</w:t>
      </w:r>
      <w:r>
        <w:rPr>
          <w:rFonts w:eastAsia="Times New Roman"/>
          <w:color w:val="000000"/>
          <w:lang w:val="fr-FR"/>
        </w:rPr>
        <w:t>, des sentences</w:t>
      </w:r>
      <w:r w:rsidRPr="005B4699">
        <w:rPr>
          <w:rFonts w:eastAsia="Times New Roman"/>
          <w:color w:val="000000"/>
          <w:lang w:val="fr-FR"/>
        </w:rPr>
        <w:t xml:space="preserve"> et de toutes autres ordonnances rendues dans le cadre de procédures incidentes ou interlocutoires, y compris les mesures conservatoires</w:t>
      </w:r>
      <w:r w:rsidRPr="0053774D">
        <w:rPr>
          <w:rStyle w:val="Appelnotedebasdep"/>
        </w:rPr>
        <w:footnoteReference w:id="87"/>
      </w:r>
      <w:r>
        <w:rPr>
          <w:rFonts w:eastAsia="Times New Roman"/>
          <w:color w:val="000000"/>
          <w:lang w:val="fr-FR"/>
        </w:rPr>
        <w:t>.</w:t>
      </w:r>
      <w:r w:rsidRPr="005B4699">
        <w:rPr>
          <w:rFonts w:eastAsia="Times New Roman"/>
          <w:color w:val="000000"/>
          <w:lang w:val="fr-FR"/>
        </w:rPr>
        <w:t xml:space="preserve"> </w:t>
      </w:r>
    </w:p>
    <w:p w14:paraId="05666A47" w14:textId="5922A511" w:rsidR="004C5E26" w:rsidRPr="005B4699" w:rsidRDefault="004C5E26" w:rsidP="004C5E26">
      <w:pPr>
        <w:pStyle w:val="SingleTxtG"/>
        <w:rPr>
          <w:rFonts w:eastAsia="Times New Roman"/>
          <w:color w:val="000000"/>
          <w:lang w:val="fr-FR"/>
        </w:rPr>
      </w:pPr>
      <w:r>
        <w:rPr>
          <w:rFonts w:eastAsia="Times New Roman"/>
          <w:color w:val="000000"/>
          <w:lang w:val="fr-FR"/>
        </w:rPr>
        <w:t>4)</w:t>
      </w:r>
      <w:r w:rsidRPr="005B4699">
        <w:rPr>
          <w:rFonts w:eastAsia="Times New Roman"/>
          <w:color w:val="000000"/>
          <w:lang w:val="fr-FR"/>
        </w:rPr>
        <w:tab/>
        <w:t>Dans le commentaire du projet de conclusion 2, le terme « juridictions » est également expliqué comme s</w:t>
      </w:r>
      <w:r>
        <w:rPr>
          <w:rFonts w:eastAsia="Times New Roman"/>
          <w:color w:val="000000"/>
          <w:lang w:val="fr-FR"/>
        </w:rPr>
        <w:t>’</w:t>
      </w:r>
      <w:r w:rsidRPr="005B4699">
        <w:rPr>
          <w:rFonts w:eastAsia="Times New Roman"/>
          <w:color w:val="000000"/>
          <w:lang w:val="fr-FR"/>
        </w:rPr>
        <w:t>entendant de deux catégories ou types généraux de juridictions : premièrement</w:t>
      </w:r>
      <w:r>
        <w:rPr>
          <w:rFonts w:eastAsia="Times New Roman"/>
          <w:color w:val="000000"/>
          <w:lang w:val="fr-FR"/>
        </w:rPr>
        <w:t>,</w:t>
      </w:r>
      <w:r w:rsidRPr="005B4699">
        <w:rPr>
          <w:rFonts w:eastAsia="Times New Roman"/>
          <w:color w:val="000000"/>
          <w:lang w:val="fr-FR"/>
        </w:rPr>
        <w:t xml:space="preserve"> « les juridictions internationales » et, deuxièmement, « les juridictions nationales ». Dans le présent projet de conclusion, la distinction entre juridictions internationales d</w:t>
      </w:r>
      <w:r>
        <w:rPr>
          <w:rFonts w:eastAsia="Times New Roman"/>
          <w:color w:val="000000"/>
          <w:lang w:val="fr-FR"/>
        </w:rPr>
        <w:t>’</w:t>
      </w:r>
      <w:r w:rsidRPr="005B4699">
        <w:rPr>
          <w:rFonts w:eastAsia="Times New Roman"/>
          <w:color w:val="000000"/>
          <w:lang w:val="fr-FR"/>
        </w:rPr>
        <w:t>une part et juridictions nationales d</w:t>
      </w:r>
      <w:r>
        <w:rPr>
          <w:rFonts w:eastAsia="Times New Roman"/>
          <w:color w:val="000000"/>
          <w:lang w:val="fr-FR"/>
        </w:rPr>
        <w:t>’</w:t>
      </w:r>
      <w:r w:rsidRPr="005B4699">
        <w:rPr>
          <w:rFonts w:eastAsia="Times New Roman"/>
          <w:color w:val="000000"/>
          <w:lang w:val="fr-FR"/>
        </w:rPr>
        <w:t>autre part a des implications quant au poids à accorder aux décisions des juridictions et est explicitée en relation avec le paragraphe</w:t>
      </w:r>
      <w:r w:rsidR="00327C90">
        <w:rPr>
          <w:rFonts w:eastAsia="Times New Roman"/>
          <w:color w:val="000000"/>
          <w:lang w:val="fr-FR"/>
        </w:rPr>
        <w:t> </w:t>
      </w:r>
      <w:r w:rsidRPr="005B4699">
        <w:rPr>
          <w:rFonts w:eastAsia="Times New Roman"/>
          <w:color w:val="000000"/>
          <w:lang w:val="fr-FR"/>
        </w:rPr>
        <w:t>2.</w:t>
      </w:r>
    </w:p>
    <w:p w14:paraId="4507CE7B" w14:textId="60A70672" w:rsidR="004C5E26" w:rsidRPr="005B4699" w:rsidRDefault="004C5E26" w:rsidP="004C5E26">
      <w:pPr>
        <w:pStyle w:val="SingleTxtG"/>
        <w:rPr>
          <w:rFonts w:eastAsia="Times New Roman"/>
          <w:color w:val="000000"/>
          <w:lang w:val="fr-FR"/>
        </w:rPr>
      </w:pPr>
      <w:r>
        <w:rPr>
          <w:rFonts w:eastAsia="Times New Roman"/>
          <w:color w:val="000000"/>
          <w:lang w:val="fr-FR"/>
        </w:rPr>
        <w:t>5)</w:t>
      </w:r>
      <w:r w:rsidRPr="005B4699">
        <w:rPr>
          <w:rFonts w:eastAsia="Times New Roman"/>
          <w:color w:val="000000"/>
          <w:lang w:val="fr-FR"/>
        </w:rPr>
        <w:tab/>
        <w:t>Le projet de conclusion 4 souligne que les décisions des « juridictions internationales » doivent s</w:t>
      </w:r>
      <w:r>
        <w:rPr>
          <w:rFonts w:eastAsia="Times New Roman"/>
          <w:color w:val="000000"/>
          <w:lang w:val="fr-FR"/>
        </w:rPr>
        <w:t>’</w:t>
      </w:r>
      <w:r w:rsidRPr="005B4699">
        <w:rPr>
          <w:rFonts w:eastAsia="Times New Roman"/>
          <w:color w:val="000000"/>
          <w:lang w:val="fr-FR"/>
        </w:rPr>
        <w:t>entendre au sens large. L</w:t>
      </w:r>
      <w:r>
        <w:rPr>
          <w:rFonts w:eastAsia="Times New Roman"/>
          <w:color w:val="000000"/>
          <w:lang w:val="fr-FR"/>
        </w:rPr>
        <w:t>’</w:t>
      </w:r>
      <w:r w:rsidRPr="005B4699">
        <w:rPr>
          <w:rFonts w:eastAsia="Times New Roman"/>
          <w:color w:val="000000"/>
          <w:lang w:val="fr-FR"/>
        </w:rPr>
        <w:t>expression vise à désigner « tout organe international doté de compétences judiciaires</w:t>
      </w:r>
      <w:r w:rsidRPr="0053774D">
        <w:rPr>
          <w:rStyle w:val="Appelnotedebasdep"/>
        </w:rPr>
        <w:footnoteReference w:id="88"/>
      </w:r>
      <w:r w:rsidRPr="005B4699">
        <w:rPr>
          <w:rFonts w:eastAsia="Times New Roman"/>
          <w:color w:val="000000"/>
          <w:lang w:val="fr-FR"/>
        </w:rPr>
        <w:t> » et appelé à déterminer l</w:t>
      </w:r>
      <w:r>
        <w:rPr>
          <w:rFonts w:eastAsia="Times New Roman"/>
          <w:color w:val="000000"/>
          <w:lang w:val="fr-FR"/>
        </w:rPr>
        <w:t>’</w:t>
      </w:r>
      <w:r w:rsidRPr="005B4699">
        <w:rPr>
          <w:rFonts w:eastAsia="Times New Roman"/>
          <w:color w:val="000000"/>
          <w:lang w:val="fr-FR"/>
        </w:rPr>
        <w:t>existence et le contenu de règles de droit international. De</w:t>
      </w:r>
      <w:r>
        <w:rPr>
          <w:rFonts w:eastAsia="Times New Roman"/>
          <w:color w:val="000000"/>
          <w:lang w:val="fr-FR"/>
        </w:rPr>
        <w:t> </w:t>
      </w:r>
      <w:r w:rsidRPr="005B4699">
        <w:rPr>
          <w:rFonts w:eastAsia="Times New Roman"/>
          <w:color w:val="000000"/>
          <w:lang w:val="fr-FR"/>
        </w:rPr>
        <w:t xml:space="preserve">nos jours, les exemples de telles juridictions internationales abondent. </w:t>
      </w:r>
      <w:r>
        <w:rPr>
          <w:rFonts w:eastAsia="Times New Roman"/>
          <w:color w:val="000000"/>
          <w:lang w:val="fr-FR"/>
        </w:rPr>
        <w:t>On peut notamment citer les</w:t>
      </w:r>
      <w:r w:rsidRPr="005B4699">
        <w:rPr>
          <w:rFonts w:eastAsia="Times New Roman"/>
          <w:color w:val="000000"/>
          <w:lang w:val="fr-FR"/>
        </w:rPr>
        <w:t xml:space="preserve"> organes permanents tels que la Cour internationale de Justice</w:t>
      </w:r>
      <w:r>
        <w:rPr>
          <w:rFonts w:eastAsia="Times New Roman"/>
          <w:color w:val="000000"/>
          <w:lang w:val="fr-FR"/>
        </w:rPr>
        <w:t>,</w:t>
      </w:r>
      <w:r w:rsidRPr="005B4699">
        <w:rPr>
          <w:rFonts w:eastAsia="Times New Roman"/>
          <w:color w:val="000000"/>
          <w:lang w:val="fr-FR"/>
        </w:rPr>
        <w:t xml:space="preserve"> mais aussi des juridictions spécialisées et régionales très diverses, dont certaines peuvent avoir un caractère ad hoc au lieu de permanent et être des tribunaux arbitraux interétatiques ou d</w:t>
      </w:r>
      <w:r>
        <w:rPr>
          <w:rFonts w:eastAsia="Times New Roman"/>
          <w:color w:val="000000"/>
          <w:lang w:val="fr-FR"/>
        </w:rPr>
        <w:t>’</w:t>
      </w:r>
      <w:r w:rsidRPr="005B4699">
        <w:rPr>
          <w:rFonts w:eastAsia="Times New Roman"/>
          <w:color w:val="000000"/>
          <w:lang w:val="fr-FR"/>
        </w:rPr>
        <w:t>autres types de tribunaux appliquant le droit international</w:t>
      </w:r>
      <w:r w:rsidRPr="0053774D">
        <w:rPr>
          <w:rStyle w:val="Appelnotedebasdep"/>
        </w:rPr>
        <w:footnoteReference w:id="89"/>
      </w:r>
      <w:r>
        <w:rPr>
          <w:rFonts w:eastAsia="Times New Roman"/>
          <w:color w:val="000000"/>
          <w:lang w:val="fr-FR"/>
        </w:rPr>
        <w:t>.</w:t>
      </w:r>
      <w:r w:rsidRPr="005B4699">
        <w:rPr>
          <w:rFonts w:eastAsia="Times New Roman"/>
          <w:color w:val="000000"/>
          <w:lang w:val="fr-FR"/>
        </w:rPr>
        <w:t xml:space="preserve"> Le droit que les juridictions internationales appliquent ainsi que leurs compétences et le vaste éventail d</w:t>
      </w:r>
      <w:r>
        <w:rPr>
          <w:rFonts w:eastAsia="Times New Roman"/>
          <w:color w:val="000000"/>
          <w:lang w:val="fr-FR"/>
        </w:rPr>
        <w:t>’</w:t>
      </w:r>
      <w:r w:rsidRPr="005B4699">
        <w:rPr>
          <w:rFonts w:eastAsia="Times New Roman"/>
          <w:color w:val="000000"/>
          <w:lang w:val="fr-FR"/>
        </w:rPr>
        <w:t xml:space="preserve">éléments de preuve auquel elles ont généralement accès peuvent donner un poids considérable à leurs décisions, sous réserve des considérations mentionnées dans les projets de conclusions 3 </w:t>
      </w:r>
      <w:r w:rsidRPr="00B841F1">
        <w:rPr>
          <w:rFonts w:eastAsia="Times New Roman"/>
          <w:color w:val="000000"/>
          <w:lang w:val="fr-FR"/>
        </w:rPr>
        <w:t>(qui énonce les critères généraux d</w:t>
      </w:r>
      <w:r>
        <w:rPr>
          <w:rFonts w:eastAsia="Times New Roman"/>
          <w:color w:val="000000"/>
          <w:lang w:val="fr-FR"/>
        </w:rPr>
        <w:t>’</w:t>
      </w:r>
      <w:r w:rsidRPr="00B841F1">
        <w:rPr>
          <w:rFonts w:eastAsia="Times New Roman"/>
          <w:color w:val="000000"/>
          <w:lang w:val="fr-FR"/>
        </w:rPr>
        <w:t>appréciation des moyens auxiliaires) et 8 (qui énonce des</w:t>
      </w:r>
      <w:r w:rsidRPr="005B4699">
        <w:rPr>
          <w:rFonts w:eastAsia="Times New Roman"/>
          <w:color w:val="000000"/>
          <w:lang w:val="fr-FR"/>
        </w:rPr>
        <w:t xml:space="preserve"> critères spécifiques aux fins de l</w:t>
      </w:r>
      <w:r>
        <w:rPr>
          <w:rFonts w:eastAsia="Times New Roman"/>
          <w:color w:val="000000"/>
          <w:lang w:val="fr-FR"/>
        </w:rPr>
        <w:t>’</w:t>
      </w:r>
      <w:r w:rsidRPr="005B4699">
        <w:rPr>
          <w:rFonts w:eastAsia="Times New Roman"/>
          <w:color w:val="000000"/>
          <w:lang w:val="fr-FR"/>
        </w:rPr>
        <w:t xml:space="preserve">appréciation du poids à accorder aux décisions des juridictions). </w:t>
      </w:r>
    </w:p>
    <w:p w14:paraId="5789105C" w14:textId="62E250BA" w:rsidR="004C5E26" w:rsidRPr="008C17B1" w:rsidRDefault="004C5E26" w:rsidP="004C5E26">
      <w:pPr>
        <w:pStyle w:val="SingleTxtG"/>
        <w:rPr>
          <w:rFonts w:eastAsia="Times New Roman"/>
          <w:color w:val="000000"/>
          <w:lang w:val="fr-FR"/>
        </w:rPr>
      </w:pPr>
      <w:r>
        <w:rPr>
          <w:rFonts w:eastAsia="Times New Roman"/>
          <w:color w:val="000000"/>
          <w:lang w:val="fr-FR"/>
        </w:rPr>
        <w:t>6)</w:t>
      </w:r>
      <w:r w:rsidRPr="005B4699">
        <w:rPr>
          <w:rFonts w:eastAsia="Times New Roman"/>
          <w:color w:val="000000"/>
          <w:lang w:val="fr-FR"/>
        </w:rPr>
        <w:tab/>
        <w:t>Si le paragraphe 1 clarifie que les décisions de toutes les juridictions internationales constituent un moyen auxiliaire aux fins de la détermination de l</w:t>
      </w:r>
      <w:r>
        <w:rPr>
          <w:rFonts w:eastAsia="Times New Roman"/>
          <w:color w:val="000000"/>
          <w:lang w:val="fr-FR"/>
        </w:rPr>
        <w:t>’</w:t>
      </w:r>
      <w:r w:rsidRPr="005B4699">
        <w:rPr>
          <w:rFonts w:eastAsia="Times New Roman"/>
          <w:color w:val="000000"/>
          <w:lang w:val="fr-FR"/>
        </w:rPr>
        <w:t xml:space="preserve">existence et du contenu des règles de droit international, la Commission </w:t>
      </w:r>
      <w:r>
        <w:rPr>
          <w:rFonts w:eastAsia="Times New Roman"/>
          <w:color w:val="000000"/>
          <w:lang w:val="fr-FR"/>
        </w:rPr>
        <w:t xml:space="preserve">fait </w:t>
      </w:r>
      <w:r w:rsidRPr="005B4699">
        <w:rPr>
          <w:rFonts w:eastAsia="Times New Roman"/>
          <w:color w:val="000000"/>
          <w:lang w:val="fr-FR"/>
        </w:rPr>
        <w:t>expressément</w:t>
      </w:r>
      <w:r>
        <w:rPr>
          <w:rFonts w:eastAsia="Times New Roman"/>
          <w:color w:val="000000"/>
          <w:lang w:val="fr-FR"/>
        </w:rPr>
        <w:t xml:space="preserve"> référence à</w:t>
      </w:r>
      <w:r w:rsidRPr="005B4699">
        <w:rPr>
          <w:rFonts w:eastAsia="Times New Roman"/>
          <w:color w:val="000000"/>
          <w:lang w:val="fr-FR"/>
        </w:rPr>
        <w:t xml:space="preserve"> la Cour internationale de Justice. C</w:t>
      </w:r>
      <w:r>
        <w:rPr>
          <w:rFonts w:eastAsia="Times New Roman"/>
          <w:color w:val="000000"/>
          <w:lang w:val="fr-FR"/>
        </w:rPr>
        <w:t>’</w:t>
      </w:r>
      <w:r w:rsidRPr="005B4699">
        <w:rPr>
          <w:rFonts w:eastAsia="Times New Roman"/>
          <w:color w:val="000000"/>
          <w:lang w:val="fr-FR"/>
        </w:rPr>
        <w:t>est ce qu</w:t>
      </w:r>
      <w:r>
        <w:rPr>
          <w:rFonts w:eastAsia="Times New Roman"/>
          <w:color w:val="000000"/>
          <w:lang w:val="fr-FR"/>
        </w:rPr>
        <w:t>’</w:t>
      </w:r>
      <w:r w:rsidRPr="005B4699">
        <w:rPr>
          <w:rFonts w:eastAsia="Times New Roman"/>
          <w:color w:val="000000"/>
          <w:lang w:val="fr-FR"/>
        </w:rPr>
        <w:t>indique le membre de phrase « en particulier la Cour internationale de Justice ». Ce membre de phrase figure également au paragraphe</w:t>
      </w:r>
      <w:r>
        <w:rPr>
          <w:rFonts w:eastAsia="Times New Roman"/>
          <w:color w:val="000000"/>
          <w:lang w:val="fr-FR"/>
        </w:rPr>
        <w:t> </w:t>
      </w:r>
      <w:r w:rsidRPr="005B4699">
        <w:rPr>
          <w:rFonts w:eastAsia="Times New Roman"/>
          <w:color w:val="000000"/>
          <w:lang w:val="fr-FR"/>
        </w:rPr>
        <w:t>1 de la conclusion</w:t>
      </w:r>
      <w:r>
        <w:rPr>
          <w:rFonts w:eastAsia="Times New Roman"/>
          <w:color w:val="000000"/>
          <w:lang w:val="fr-FR"/>
        </w:rPr>
        <w:t> </w:t>
      </w:r>
      <w:r w:rsidRPr="005B4699">
        <w:rPr>
          <w:rFonts w:eastAsia="Times New Roman"/>
          <w:color w:val="000000"/>
          <w:lang w:val="fr-FR"/>
        </w:rPr>
        <w:t>13 (Décisions de juridictions) des conclusions sur la détermination du droit international coutumier</w:t>
      </w:r>
      <w:r w:rsidRPr="0053774D">
        <w:rPr>
          <w:rStyle w:val="Appelnotedebasdep"/>
        </w:rPr>
        <w:footnoteReference w:id="90"/>
      </w:r>
      <w:r>
        <w:rPr>
          <w:rFonts w:eastAsia="Times New Roman"/>
          <w:color w:val="000000"/>
          <w:lang w:val="fr-FR"/>
        </w:rPr>
        <w:t>,</w:t>
      </w:r>
      <w:r w:rsidRPr="005B4699">
        <w:rPr>
          <w:rFonts w:eastAsia="Times New Roman"/>
          <w:color w:val="000000"/>
          <w:lang w:val="fr-FR"/>
        </w:rPr>
        <w:t xml:space="preserve"> au paragraphe 1 de la conclusion 9 (Moyens auxiliaires de détermination du caractère impératif des normes du droit international général) du projet de conclusions sur la détermination et les conséquences juridiques des normes impératives du droit international général (</w:t>
      </w:r>
      <w:r w:rsidRPr="005B4699">
        <w:rPr>
          <w:rFonts w:eastAsia="Times New Roman"/>
          <w:i/>
          <w:iCs/>
          <w:color w:val="000000"/>
          <w:lang w:val="fr-FR"/>
        </w:rPr>
        <w:t>jus cogens</w:t>
      </w:r>
      <w:r w:rsidRPr="005B4699">
        <w:rPr>
          <w:rFonts w:eastAsia="Times New Roman"/>
          <w:color w:val="000000"/>
          <w:lang w:val="fr-FR"/>
        </w:rPr>
        <w:t>)</w:t>
      </w:r>
      <w:r w:rsidRPr="0053774D">
        <w:rPr>
          <w:rStyle w:val="Appelnotedebasdep"/>
        </w:rPr>
        <w:footnoteReference w:id="91"/>
      </w:r>
      <w:r w:rsidRPr="005B4699">
        <w:rPr>
          <w:rFonts w:eastAsia="Times New Roman"/>
          <w:color w:val="000000"/>
          <w:lang w:val="fr-FR"/>
        </w:rPr>
        <w:t xml:space="preserve"> et au paragraphe </w:t>
      </w:r>
      <w:r w:rsidRPr="00947B86">
        <w:rPr>
          <w:rFonts w:eastAsia="Times New Roman"/>
          <w:color w:val="000000"/>
          <w:lang w:val="fr-FR"/>
        </w:rPr>
        <w:t>1 du projet de conclusion</w:t>
      </w:r>
      <w:r w:rsidR="00327C90">
        <w:rPr>
          <w:rFonts w:eastAsia="Times New Roman"/>
          <w:color w:val="000000"/>
          <w:lang w:val="fr-FR"/>
        </w:rPr>
        <w:t> </w:t>
      </w:r>
      <w:r w:rsidRPr="00947B86">
        <w:rPr>
          <w:rFonts w:eastAsia="Times New Roman"/>
          <w:color w:val="000000"/>
          <w:lang w:val="fr-FR"/>
        </w:rPr>
        <w:t>8</w:t>
      </w:r>
      <w:r w:rsidRPr="005B4699">
        <w:rPr>
          <w:rFonts w:eastAsia="Times New Roman"/>
          <w:color w:val="000000"/>
          <w:lang w:val="fr-FR"/>
        </w:rPr>
        <w:t xml:space="preserve"> (</w:t>
      </w:r>
      <w:r w:rsidRPr="005B4699">
        <w:rPr>
          <w:bCs/>
          <w:lang w:val="fr-FR"/>
        </w:rPr>
        <w:t>Décisions de juridictions)</w:t>
      </w:r>
      <w:r w:rsidRPr="005B4699">
        <w:rPr>
          <w:rFonts w:eastAsia="Times New Roman"/>
          <w:color w:val="000000"/>
          <w:lang w:val="fr-FR"/>
        </w:rPr>
        <w:t xml:space="preserve"> du projet de conclusions sur les principes généraux du droit</w:t>
      </w:r>
      <w:r w:rsidRPr="0053774D">
        <w:rPr>
          <w:rStyle w:val="Appelnotedebasdep"/>
        </w:rPr>
        <w:footnoteReference w:id="92"/>
      </w:r>
      <w:r>
        <w:rPr>
          <w:rFonts w:eastAsia="Times New Roman"/>
          <w:color w:val="000000"/>
          <w:lang w:val="fr-FR"/>
        </w:rPr>
        <w:t>.</w:t>
      </w:r>
    </w:p>
    <w:p w14:paraId="404584CB" w14:textId="21512AAA" w:rsidR="004C5E26" w:rsidRPr="005B4699" w:rsidRDefault="004C5E26" w:rsidP="004C5E26">
      <w:pPr>
        <w:pStyle w:val="SingleTxtG"/>
        <w:rPr>
          <w:rFonts w:eastAsia="Times New Roman"/>
          <w:color w:val="000000"/>
          <w:lang w:val="fr-FR"/>
        </w:rPr>
      </w:pPr>
      <w:r>
        <w:rPr>
          <w:rFonts w:eastAsia="Times New Roman"/>
          <w:color w:val="000000"/>
          <w:lang w:val="fr-FR"/>
        </w:rPr>
        <w:t>7)</w:t>
      </w:r>
      <w:r w:rsidRPr="008C17B1">
        <w:rPr>
          <w:rFonts w:eastAsia="Times New Roman"/>
          <w:color w:val="000000"/>
          <w:lang w:val="fr-FR"/>
        </w:rPr>
        <w:tab/>
        <w:t>La Commission considère que viser expressément la Cour</w:t>
      </w:r>
      <w:r w:rsidRPr="005B4699">
        <w:rPr>
          <w:rFonts w:eastAsia="Times New Roman"/>
          <w:color w:val="000000"/>
          <w:lang w:val="fr-FR"/>
        </w:rPr>
        <w:t xml:space="preserve"> internationale de Justice au paragraphe 1 du projet de conclusion 4 est justifié pour plusieurs raisons. Premièrement, </w:t>
      </w:r>
      <w:r w:rsidRPr="00BC36AB">
        <w:rPr>
          <w:shd w:val="clear" w:color="auto" w:fill="FFFFFF"/>
          <w:lang w:val="fr-FR"/>
        </w:rPr>
        <w:t>l</w:t>
      </w:r>
      <w:r>
        <w:rPr>
          <w:shd w:val="clear" w:color="auto" w:fill="FFFFFF"/>
          <w:lang w:val="fr-FR"/>
        </w:rPr>
        <w:t>’</w:t>
      </w:r>
      <w:r w:rsidRPr="00BC36AB">
        <w:rPr>
          <w:shd w:val="clear" w:color="auto" w:fill="FFFFFF"/>
          <w:lang w:val="fr-FR"/>
        </w:rPr>
        <w:t>alinéa d) du</w:t>
      </w:r>
      <w:r w:rsidRPr="005B4699">
        <w:rPr>
          <w:shd w:val="clear" w:color="auto" w:fill="FFFFFF"/>
          <w:lang w:val="fr-FR"/>
        </w:rPr>
        <w:t xml:space="preserve"> paragraphe 1 de l</w:t>
      </w:r>
      <w:r>
        <w:rPr>
          <w:rFonts w:ascii="TimesNewRomanPSMT" w:hAnsi="TimesNewRomanPSMT"/>
          <w:lang w:val="fr-FR"/>
        </w:rPr>
        <w:t>’</w:t>
      </w:r>
      <w:r w:rsidRPr="005B4699">
        <w:rPr>
          <w:rFonts w:ascii="TimesNewRomanPSMT" w:hAnsi="TimesNewRomanPSMT"/>
          <w:lang w:val="fr-FR"/>
        </w:rPr>
        <w:t>Article 38</w:t>
      </w:r>
      <w:r w:rsidRPr="005B4699">
        <w:rPr>
          <w:rFonts w:eastAsia="Times New Roman"/>
          <w:color w:val="000000"/>
          <w:lang w:val="fr-FR"/>
        </w:rPr>
        <w:t xml:space="preserve"> est la clause relative au droit applicable du Statut de la Cour internationale de Justice, lequel fait partie intégrante de la Charte des </w:t>
      </w:r>
      <w:r w:rsidRPr="005B4699">
        <w:rPr>
          <w:rFonts w:eastAsia="Times New Roman"/>
          <w:color w:val="000000"/>
          <w:lang w:val="fr-FR"/>
        </w:rPr>
        <w:lastRenderedPageBreak/>
        <w:t>Nations Unies et dispose que la Cour, lorsqu</w:t>
      </w:r>
      <w:r>
        <w:rPr>
          <w:rFonts w:eastAsia="Times New Roman"/>
          <w:color w:val="000000"/>
          <w:lang w:val="fr-FR"/>
        </w:rPr>
        <w:t>’</w:t>
      </w:r>
      <w:r w:rsidRPr="005B4699">
        <w:rPr>
          <w:rFonts w:eastAsia="Times New Roman"/>
          <w:color w:val="000000"/>
          <w:lang w:val="fr-FR"/>
        </w:rPr>
        <w:t>elle règle des différends entre États conformément au droit international ou rend des avis consultatifs, « applique »,</w:t>
      </w:r>
      <w:r w:rsidRPr="005B4699">
        <w:rPr>
          <w:rFonts w:eastAsia="Times New Roman"/>
          <w:bCs/>
          <w:color w:val="000000"/>
          <w:lang w:val="fr-FR"/>
        </w:rPr>
        <w:t xml:space="preserve"> sous </w:t>
      </w:r>
      <w:r w:rsidRPr="005B4699">
        <w:rPr>
          <w:rFonts w:eastAsia="Times New Roman"/>
          <w:color w:val="000000"/>
          <w:lang w:val="fr-FR"/>
        </w:rPr>
        <w:t>la seule réserve des dispositions de l</w:t>
      </w:r>
      <w:r>
        <w:rPr>
          <w:rFonts w:eastAsia="Times New Roman"/>
          <w:color w:val="000000"/>
          <w:lang w:val="fr-FR"/>
        </w:rPr>
        <w:t>’</w:t>
      </w:r>
      <w:r w:rsidRPr="005B4699">
        <w:rPr>
          <w:rFonts w:eastAsia="Times New Roman"/>
          <w:color w:val="000000"/>
          <w:lang w:val="fr-FR"/>
        </w:rPr>
        <w:t>article 59, « les décisions judiciaires […] comme moyen auxiliaire de détermination des règles de droit ». Naturellement, une étude comme la présente</w:t>
      </w:r>
      <w:r>
        <w:rPr>
          <w:rFonts w:eastAsia="Times New Roman"/>
          <w:color w:val="000000"/>
          <w:lang w:val="fr-FR"/>
        </w:rPr>
        <w:t>,</w:t>
      </w:r>
      <w:r w:rsidRPr="005B4699">
        <w:rPr>
          <w:rFonts w:eastAsia="Times New Roman"/>
          <w:color w:val="000000"/>
          <w:lang w:val="fr-FR"/>
        </w:rPr>
        <w:t xml:space="preserve"> qui vise à clarifier la pratique </w:t>
      </w:r>
      <w:r>
        <w:rPr>
          <w:rFonts w:eastAsia="Times New Roman"/>
          <w:color w:val="000000"/>
          <w:lang w:val="fr-FR"/>
        </w:rPr>
        <w:t>relative à</w:t>
      </w:r>
      <w:r w:rsidRPr="005B4699">
        <w:rPr>
          <w:rFonts w:eastAsia="Times New Roman"/>
          <w:color w:val="000000"/>
          <w:lang w:val="fr-FR"/>
        </w:rPr>
        <w:t xml:space="preserve"> une disposition du Statut de la Cour</w:t>
      </w:r>
      <w:r>
        <w:rPr>
          <w:rFonts w:eastAsia="Times New Roman"/>
          <w:color w:val="000000"/>
          <w:lang w:val="fr-FR"/>
        </w:rPr>
        <w:t>,</w:t>
      </w:r>
      <w:r w:rsidRPr="005B4699">
        <w:rPr>
          <w:rFonts w:eastAsia="Times New Roman"/>
          <w:color w:val="000000"/>
          <w:lang w:val="fr-FR"/>
        </w:rPr>
        <w:t xml:space="preserve"> doit tenir dûment compte de l</w:t>
      </w:r>
      <w:r>
        <w:rPr>
          <w:rFonts w:eastAsia="Times New Roman"/>
          <w:color w:val="000000"/>
          <w:lang w:val="fr-FR"/>
        </w:rPr>
        <w:t>’</w:t>
      </w:r>
      <w:r w:rsidRPr="005B4699">
        <w:rPr>
          <w:rFonts w:eastAsia="Times New Roman"/>
          <w:color w:val="000000"/>
          <w:lang w:val="fr-FR"/>
        </w:rPr>
        <w:t>abondante pratique judiciaire de cet organe. En fait, la pratique indique que la Cour invoque régulièrement ses propres décisions antérieures, et de plus en plus celles d</w:t>
      </w:r>
      <w:r>
        <w:rPr>
          <w:rFonts w:eastAsia="Times New Roman"/>
          <w:color w:val="000000"/>
          <w:lang w:val="fr-FR"/>
        </w:rPr>
        <w:t>’</w:t>
      </w:r>
      <w:r w:rsidRPr="005B4699">
        <w:rPr>
          <w:rFonts w:eastAsia="Times New Roman"/>
          <w:color w:val="000000"/>
          <w:lang w:val="fr-FR"/>
        </w:rPr>
        <w:t>autres juridictions, même si elle ne les qualifie pas nécessairement de « moyen auxiliaire »</w:t>
      </w:r>
      <w:r w:rsidRPr="0053774D">
        <w:rPr>
          <w:rStyle w:val="Appelnotedebasdep"/>
        </w:rPr>
        <w:footnoteReference w:id="93"/>
      </w:r>
      <w:r>
        <w:rPr>
          <w:rFonts w:eastAsia="Times New Roman"/>
          <w:color w:val="000000"/>
          <w:lang w:val="fr-FR"/>
        </w:rPr>
        <w:t>.</w:t>
      </w:r>
      <w:r w:rsidRPr="005B4699">
        <w:rPr>
          <w:rFonts w:eastAsia="Times New Roman"/>
          <w:color w:val="000000"/>
          <w:lang w:val="fr-FR"/>
        </w:rPr>
        <w:t xml:space="preserve"> De cette manière, non seulement la Cour applique la disposition relative au droit applicable en tant que fonction de son propre Statut, désormais considéré comme relevant du droit international coutumier, mais elle rend également des décisions faisant autorité qui contribuent à préserver l</w:t>
      </w:r>
      <w:r>
        <w:rPr>
          <w:rFonts w:eastAsia="Times New Roman"/>
          <w:color w:val="000000"/>
          <w:lang w:val="fr-FR"/>
        </w:rPr>
        <w:t>’</w:t>
      </w:r>
      <w:r w:rsidRPr="005B4699">
        <w:rPr>
          <w:rFonts w:eastAsia="Times New Roman"/>
          <w:color w:val="000000"/>
          <w:lang w:val="fr-FR"/>
        </w:rPr>
        <w:t>unité et la cohérence du droit international en tant que système juridique.</w:t>
      </w:r>
    </w:p>
    <w:p w14:paraId="460444C0" w14:textId="382C6472" w:rsidR="004C5E26" w:rsidRPr="005B4699" w:rsidRDefault="004C5E26" w:rsidP="004C5E26">
      <w:pPr>
        <w:pStyle w:val="SingleTxtG"/>
        <w:rPr>
          <w:rFonts w:eastAsia="Times New Roman"/>
          <w:color w:val="000000"/>
          <w:lang w:val="fr-FR"/>
        </w:rPr>
      </w:pPr>
      <w:r w:rsidRPr="00B85302">
        <w:rPr>
          <w:rFonts w:eastAsia="Times New Roman"/>
          <w:color w:val="000000"/>
          <w:lang w:val="fr-FR"/>
        </w:rPr>
        <w:t>8)</w:t>
      </w:r>
      <w:r w:rsidRPr="00B85302">
        <w:rPr>
          <w:rFonts w:eastAsia="Times New Roman"/>
          <w:color w:val="000000"/>
          <w:lang w:val="fr-FR"/>
        </w:rPr>
        <w:tab/>
        <w:t>Deuxièmement, aux termes de l’Article 92 de la Charte des Nations Unies, la Cour internationale de Justice « constitue l’organe judiciaire principal des Nations Unies</w:t>
      </w:r>
      <w:r w:rsidRPr="00B85302">
        <w:rPr>
          <w:rStyle w:val="Appelnotedebasdep"/>
        </w:rPr>
        <w:footnoteReference w:id="94"/>
      </w:r>
      <w:r w:rsidRPr="00B85302">
        <w:rPr>
          <w:rFonts w:eastAsia="Times New Roman"/>
          <w:color w:val="000000"/>
          <w:lang w:val="fr-FR"/>
        </w:rPr>
        <w:t xml:space="preserve"> ». Outre que tous les membres de l’Organisation des Nations Unies sont </w:t>
      </w:r>
      <w:r w:rsidRPr="00B85302">
        <w:rPr>
          <w:rFonts w:eastAsia="Times New Roman"/>
          <w:i/>
          <w:iCs/>
          <w:color w:val="000000"/>
          <w:lang w:val="fr-FR"/>
        </w:rPr>
        <w:t>ipso facto</w:t>
      </w:r>
      <w:r w:rsidRPr="00B85302">
        <w:rPr>
          <w:rFonts w:eastAsia="Times New Roman"/>
          <w:color w:val="000000"/>
          <w:lang w:val="fr-FR"/>
        </w:rPr>
        <w:t xml:space="preserve"> « parties au Statut de la Cour internationale de Justice</w:t>
      </w:r>
      <w:r w:rsidRPr="00B85302">
        <w:rPr>
          <w:rStyle w:val="Appelnotedebasdep"/>
        </w:rPr>
        <w:footnoteReference w:id="95"/>
      </w:r>
      <w:r w:rsidRPr="00B85302">
        <w:rPr>
          <w:rFonts w:eastAsia="Times New Roman"/>
          <w:color w:val="000000"/>
          <w:lang w:val="fr-FR"/>
        </w:rPr>
        <w:t> », les membres de celle-ci sont élus par les principaux</w:t>
      </w:r>
      <w:r w:rsidRPr="005B4699">
        <w:rPr>
          <w:rFonts w:eastAsia="Times New Roman"/>
          <w:color w:val="000000"/>
          <w:lang w:val="fr-FR"/>
        </w:rPr>
        <w:t xml:space="preserve"> organes politiques de l</w:t>
      </w:r>
      <w:r>
        <w:rPr>
          <w:rFonts w:eastAsia="Times New Roman"/>
          <w:color w:val="000000"/>
          <w:lang w:val="fr-FR"/>
        </w:rPr>
        <w:t>’</w:t>
      </w:r>
      <w:r w:rsidRPr="005B4699">
        <w:rPr>
          <w:rFonts w:eastAsia="Times New Roman"/>
          <w:color w:val="000000"/>
          <w:lang w:val="fr-FR"/>
        </w:rPr>
        <w:t>Organisation des Nations Unies, à savoir l</w:t>
      </w:r>
      <w:r>
        <w:rPr>
          <w:rFonts w:eastAsia="Times New Roman"/>
          <w:color w:val="000000"/>
          <w:lang w:val="fr-FR"/>
        </w:rPr>
        <w:t>’</w:t>
      </w:r>
      <w:r w:rsidRPr="005B4699">
        <w:rPr>
          <w:rFonts w:eastAsia="Times New Roman"/>
          <w:color w:val="000000"/>
          <w:lang w:val="fr-FR"/>
        </w:rPr>
        <w:t xml:space="preserve">Assemblée générale et le Conseil de sécurité. </w:t>
      </w:r>
      <w:r>
        <w:rPr>
          <w:rFonts w:eastAsia="Times New Roman"/>
          <w:color w:val="000000"/>
          <w:lang w:val="fr-FR"/>
        </w:rPr>
        <w:t xml:space="preserve">Les </w:t>
      </w:r>
      <w:r w:rsidRPr="00F80FC3">
        <w:rPr>
          <w:rFonts w:eastAsia="Times New Roman"/>
          <w:color w:val="000000"/>
          <w:lang w:val="fr-FR"/>
        </w:rPr>
        <w:t xml:space="preserve">personnes appelées à faire partie de la </w:t>
      </w:r>
      <w:r>
        <w:rPr>
          <w:rFonts w:eastAsia="Times New Roman"/>
          <w:color w:val="000000"/>
          <w:lang w:val="fr-FR"/>
        </w:rPr>
        <w:t xml:space="preserve">Cour </w:t>
      </w:r>
      <w:r>
        <w:t>non seulement doivent réunir individuellement les conditions requises par le Statut, mais assurent dans l’ensemble la représentation des grandes formes de civilisation et des principaux systèmes juridiques du monde.</w:t>
      </w:r>
      <w:r w:rsidRPr="005B4699">
        <w:rPr>
          <w:rFonts w:eastAsia="Times New Roman"/>
          <w:color w:val="000000"/>
          <w:lang w:val="fr-FR"/>
        </w:rPr>
        <w:t xml:space="preserve"> La Cour, en d</w:t>
      </w:r>
      <w:r>
        <w:rPr>
          <w:rFonts w:eastAsia="Times New Roman"/>
          <w:color w:val="000000"/>
          <w:lang w:val="fr-FR"/>
        </w:rPr>
        <w:t>’</w:t>
      </w:r>
      <w:r w:rsidRPr="005B4699">
        <w:rPr>
          <w:rFonts w:eastAsia="Times New Roman"/>
          <w:color w:val="000000"/>
          <w:lang w:val="fr-FR"/>
        </w:rPr>
        <w:t>autres termes, est un collège de juristes vraiment universel fondé par une organisation internationale vraiment universelle qui est largement représentative des principaux systèmes juridiques</w:t>
      </w:r>
      <w:r>
        <w:rPr>
          <w:rFonts w:eastAsia="Times New Roman"/>
          <w:color w:val="000000"/>
          <w:lang w:val="fr-FR"/>
        </w:rPr>
        <w:t xml:space="preserve"> et régions</w:t>
      </w:r>
      <w:r w:rsidRPr="005B4699">
        <w:rPr>
          <w:rFonts w:eastAsia="Times New Roman"/>
          <w:color w:val="000000"/>
          <w:lang w:val="fr-FR"/>
        </w:rPr>
        <w:t xml:space="preserve"> du monde. Ses</w:t>
      </w:r>
      <w:r>
        <w:rPr>
          <w:rFonts w:eastAsia="Times New Roman"/>
          <w:color w:val="000000"/>
          <w:lang w:val="fr-FR"/>
        </w:rPr>
        <w:t> </w:t>
      </w:r>
      <w:r w:rsidRPr="005B4699">
        <w:rPr>
          <w:rFonts w:eastAsia="Times New Roman"/>
          <w:color w:val="000000"/>
          <w:lang w:val="fr-FR"/>
        </w:rPr>
        <w:t xml:space="preserve">prononcés judiciaires possèdent donc les caractéristiques </w:t>
      </w:r>
      <w:proofErr w:type="spellStart"/>
      <w:r w:rsidRPr="005B4699">
        <w:rPr>
          <w:rFonts w:eastAsia="Times New Roman"/>
          <w:color w:val="000000"/>
          <w:lang w:val="fr-FR"/>
        </w:rPr>
        <w:t>légitimantes</w:t>
      </w:r>
      <w:proofErr w:type="spellEnd"/>
      <w:r w:rsidRPr="005B4699">
        <w:rPr>
          <w:rFonts w:eastAsia="Times New Roman"/>
          <w:color w:val="000000"/>
          <w:lang w:val="fr-FR"/>
        </w:rPr>
        <w:t xml:space="preserve"> qui l</w:t>
      </w:r>
      <w:r>
        <w:rPr>
          <w:rFonts w:eastAsia="Times New Roman"/>
          <w:color w:val="000000"/>
          <w:lang w:val="fr-FR"/>
        </w:rPr>
        <w:t>’</w:t>
      </w:r>
      <w:r w:rsidRPr="005B4699">
        <w:rPr>
          <w:rFonts w:eastAsia="Times New Roman"/>
          <w:color w:val="000000"/>
          <w:lang w:val="fr-FR"/>
        </w:rPr>
        <w:t>ont à juste titre amenée à être qualifiée de « Cour mondiale</w:t>
      </w:r>
      <w:r w:rsidRPr="0053774D">
        <w:rPr>
          <w:rStyle w:val="Appelnotedebasdep"/>
        </w:rPr>
        <w:footnoteReference w:id="96"/>
      </w:r>
      <w:r w:rsidRPr="005B4699">
        <w:rPr>
          <w:rFonts w:eastAsia="Times New Roman"/>
          <w:color w:val="000000"/>
          <w:lang w:val="fr-FR"/>
        </w:rPr>
        <w:t> »</w:t>
      </w:r>
      <w:r>
        <w:rPr>
          <w:rFonts w:eastAsia="Times New Roman"/>
          <w:color w:val="000000"/>
          <w:lang w:val="fr-FR"/>
        </w:rPr>
        <w:t>.</w:t>
      </w:r>
    </w:p>
    <w:p w14:paraId="2CCE4DE5" w14:textId="22480035" w:rsidR="004C5E26" w:rsidRPr="005B4699" w:rsidRDefault="004C5E26" w:rsidP="004C5E26">
      <w:pPr>
        <w:pStyle w:val="SingleTxtG"/>
        <w:rPr>
          <w:rFonts w:eastAsia="Times New Roman"/>
          <w:color w:val="000000"/>
          <w:lang w:val="fr-FR"/>
        </w:rPr>
      </w:pPr>
      <w:r>
        <w:rPr>
          <w:rFonts w:eastAsia="Times New Roman"/>
          <w:color w:val="000000"/>
          <w:lang w:val="fr-FR"/>
        </w:rPr>
        <w:t>9)</w:t>
      </w:r>
      <w:r w:rsidRPr="005B4699">
        <w:rPr>
          <w:rFonts w:eastAsia="Times New Roman"/>
          <w:color w:val="000000"/>
          <w:lang w:val="fr-FR"/>
        </w:rPr>
        <w:tab/>
        <w:t>Troisièmement, si certains États ont créé des juridictions pour régler judiciairement au niveau régional les différends qui les opposent</w:t>
      </w:r>
      <w:r w:rsidRPr="0053774D">
        <w:rPr>
          <w:rStyle w:val="Appelnotedebasdep"/>
        </w:rPr>
        <w:footnoteReference w:id="97"/>
      </w:r>
      <w:r>
        <w:rPr>
          <w:rFonts w:eastAsia="Times New Roman"/>
          <w:color w:val="000000"/>
          <w:lang w:val="fr-FR"/>
        </w:rPr>
        <w:t>,</w:t>
      </w:r>
      <w:r w:rsidRPr="005B4699">
        <w:rPr>
          <w:rFonts w:eastAsia="Times New Roman"/>
          <w:color w:val="000000"/>
          <w:lang w:val="fr-FR"/>
        </w:rPr>
        <w:t xml:space="preserve"> la Cour internationale de Justice demeure à ce jour la seule juridiction internationale</w:t>
      </w:r>
      <w:r>
        <w:rPr>
          <w:rFonts w:eastAsia="Times New Roman"/>
          <w:color w:val="000000"/>
          <w:lang w:val="fr-FR"/>
        </w:rPr>
        <w:t xml:space="preserve"> à compétence générale</w:t>
      </w:r>
      <w:r w:rsidRPr="005B4699">
        <w:rPr>
          <w:rFonts w:eastAsia="Times New Roman"/>
          <w:color w:val="000000"/>
          <w:lang w:val="fr-FR"/>
        </w:rPr>
        <w:t xml:space="preserve">. Bien que ce pouvoir ne </w:t>
      </w:r>
      <w:r w:rsidRPr="005B4699">
        <w:rPr>
          <w:rFonts w:eastAsia="Times New Roman"/>
          <w:color w:val="000000"/>
          <w:lang w:val="fr-FR"/>
        </w:rPr>
        <w:lastRenderedPageBreak/>
        <w:t xml:space="preserve">soit pas unique, la Cour est aussi compétente pour donner des avis consultatifs sur toutes questions juridiques à la demande des deux principaux organes politiques </w:t>
      </w:r>
      <w:r>
        <w:rPr>
          <w:rFonts w:eastAsia="Times New Roman"/>
          <w:color w:val="000000"/>
          <w:lang w:val="fr-FR"/>
        </w:rPr>
        <w:t xml:space="preserve">et </w:t>
      </w:r>
      <w:r w:rsidRPr="005B4699">
        <w:rPr>
          <w:rFonts w:eastAsia="Times New Roman"/>
          <w:color w:val="000000"/>
          <w:lang w:val="fr-FR"/>
        </w:rPr>
        <w:t>d</w:t>
      </w:r>
      <w:r>
        <w:rPr>
          <w:rFonts w:eastAsia="Times New Roman"/>
          <w:color w:val="000000"/>
          <w:lang w:val="fr-FR"/>
        </w:rPr>
        <w:t>’</w:t>
      </w:r>
      <w:r w:rsidRPr="005B4699">
        <w:rPr>
          <w:rFonts w:eastAsia="Times New Roman"/>
          <w:color w:val="000000"/>
          <w:lang w:val="fr-FR"/>
        </w:rPr>
        <w:t>autres organes de l</w:t>
      </w:r>
      <w:r>
        <w:rPr>
          <w:rFonts w:eastAsia="Times New Roman"/>
          <w:color w:val="000000"/>
          <w:lang w:val="fr-FR"/>
        </w:rPr>
        <w:t>’</w:t>
      </w:r>
      <w:r w:rsidRPr="005B4699">
        <w:rPr>
          <w:rFonts w:eastAsia="Times New Roman"/>
          <w:color w:val="000000"/>
          <w:lang w:val="fr-FR"/>
        </w:rPr>
        <w:t>Organisation des Nations Unies et de ses institutions spécialisées. Il est donc dans une certaine mesure justifié d</w:t>
      </w:r>
      <w:r>
        <w:rPr>
          <w:rFonts w:eastAsia="Times New Roman"/>
          <w:color w:val="000000"/>
          <w:lang w:val="fr-FR"/>
        </w:rPr>
        <w:t>’</w:t>
      </w:r>
      <w:r w:rsidRPr="005B4699">
        <w:rPr>
          <w:rFonts w:eastAsia="Times New Roman"/>
          <w:color w:val="000000"/>
          <w:lang w:val="fr-FR"/>
        </w:rPr>
        <w:t>accorder de l</w:t>
      </w:r>
      <w:r>
        <w:rPr>
          <w:rFonts w:eastAsia="Times New Roman"/>
          <w:color w:val="000000"/>
          <w:lang w:val="fr-FR"/>
        </w:rPr>
        <w:t>’</w:t>
      </w:r>
      <w:r w:rsidRPr="005B4699">
        <w:rPr>
          <w:rFonts w:eastAsia="Times New Roman"/>
          <w:color w:val="000000"/>
          <w:lang w:val="fr-FR"/>
        </w:rPr>
        <w:t xml:space="preserve">importance à sa jurisprudence eu égard à son statut spécial de seule juridiction internationale permanente </w:t>
      </w:r>
      <w:r>
        <w:rPr>
          <w:rFonts w:eastAsia="Times New Roman"/>
          <w:color w:val="000000"/>
          <w:lang w:val="fr-FR"/>
        </w:rPr>
        <w:t>à compétence générale</w:t>
      </w:r>
      <w:r w:rsidRPr="005B4699">
        <w:rPr>
          <w:rFonts w:eastAsia="Times New Roman"/>
          <w:color w:val="000000"/>
          <w:lang w:val="fr-FR"/>
        </w:rPr>
        <w:t xml:space="preserve">. </w:t>
      </w:r>
    </w:p>
    <w:p w14:paraId="018F235C" w14:textId="52534F2E" w:rsidR="004C5E26" w:rsidRPr="005B4699" w:rsidRDefault="004C5E26" w:rsidP="004C5E26">
      <w:pPr>
        <w:pStyle w:val="SingleTxtG"/>
        <w:rPr>
          <w:rFonts w:eastAsia="Times New Roman"/>
          <w:color w:val="000000"/>
          <w:lang w:val="fr-FR"/>
        </w:rPr>
      </w:pPr>
      <w:r>
        <w:rPr>
          <w:rFonts w:eastAsia="Times New Roman"/>
          <w:color w:val="000000"/>
          <w:lang w:val="fr-FR"/>
        </w:rPr>
        <w:t>10)</w:t>
      </w:r>
      <w:r w:rsidRPr="006353D8">
        <w:rPr>
          <w:rFonts w:eastAsia="Times New Roman"/>
          <w:color w:val="000000"/>
          <w:lang w:val="fr-FR"/>
        </w:rPr>
        <w:tab/>
        <w:t>Quatrièmement, et ce point</w:t>
      </w:r>
      <w:r w:rsidRPr="005B4699">
        <w:rPr>
          <w:rFonts w:eastAsia="Times New Roman"/>
          <w:color w:val="000000"/>
          <w:lang w:val="fr-FR"/>
        </w:rPr>
        <w:t xml:space="preserve"> découle également de l</w:t>
      </w:r>
      <w:r>
        <w:rPr>
          <w:rFonts w:eastAsia="Times New Roman"/>
          <w:color w:val="000000"/>
          <w:lang w:val="fr-FR"/>
        </w:rPr>
        <w:t>’</w:t>
      </w:r>
      <w:r w:rsidRPr="005B4699">
        <w:rPr>
          <w:rFonts w:eastAsia="Times New Roman"/>
          <w:color w:val="000000"/>
          <w:lang w:val="fr-FR"/>
        </w:rPr>
        <w:t xml:space="preserve">Article 94 de la Charte des Nations Unies, chaque membre des </w:t>
      </w:r>
      <w:r w:rsidRPr="005B4699">
        <w:rPr>
          <w:lang w:val="fr-FR"/>
        </w:rPr>
        <w:t>Nations Unies s</w:t>
      </w:r>
      <w:r>
        <w:rPr>
          <w:lang w:val="fr-FR"/>
        </w:rPr>
        <w:t>’</w:t>
      </w:r>
      <w:r w:rsidRPr="005B4699">
        <w:rPr>
          <w:lang w:val="fr-FR"/>
        </w:rPr>
        <w:t>engage à se conformer à la décision de la Cour internationale de Justice dans tout litige auquel il est partie</w:t>
      </w:r>
      <w:r w:rsidRPr="0053774D">
        <w:rPr>
          <w:rStyle w:val="Appelnotedebasdep"/>
        </w:rPr>
        <w:footnoteReference w:id="98"/>
      </w:r>
      <w:r>
        <w:rPr>
          <w:lang w:val="fr-FR"/>
        </w:rPr>
        <w:t>.</w:t>
      </w:r>
      <w:r w:rsidRPr="005B4699">
        <w:rPr>
          <w:rFonts w:eastAsia="Times New Roman"/>
          <w:color w:val="000000"/>
          <w:lang w:val="fr-FR"/>
        </w:rPr>
        <w:t xml:space="preserve"> Le Conseil de sécurité peut assurer l</w:t>
      </w:r>
      <w:r>
        <w:rPr>
          <w:rFonts w:eastAsia="Times New Roman"/>
          <w:color w:val="000000"/>
          <w:lang w:val="fr-FR"/>
        </w:rPr>
        <w:t>’</w:t>
      </w:r>
      <w:r w:rsidRPr="005B4699">
        <w:rPr>
          <w:rFonts w:eastAsia="Times New Roman"/>
          <w:color w:val="000000"/>
          <w:lang w:val="fr-FR"/>
        </w:rPr>
        <w:t xml:space="preserve">exécution </w:t>
      </w:r>
      <w:r>
        <w:rPr>
          <w:rFonts w:eastAsia="Times New Roman"/>
          <w:color w:val="000000"/>
          <w:lang w:val="fr-FR"/>
        </w:rPr>
        <w:t>des</w:t>
      </w:r>
      <w:r w:rsidRPr="005B4699">
        <w:rPr>
          <w:rFonts w:eastAsia="Times New Roman"/>
          <w:color w:val="000000"/>
          <w:lang w:val="fr-FR"/>
        </w:rPr>
        <w:t xml:space="preserve"> décisions</w:t>
      </w:r>
      <w:r>
        <w:rPr>
          <w:rFonts w:eastAsia="Times New Roman"/>
          <w:color w:val="000000"/>
          <w:lang w:val="fr-FR"/>
        </w:rPr>
        <w:t xml:space="preserve"> de la Cour</w:t>
      </w:r>
      <w:r w:rsidRPr="005B4699">
        <w:rPr>
          <w:rFonts w:eastAsia="Times New Roman"/>
          <w:color w:val="000000"/>
          <w:lang w:val="fr-FR"/>
        </w:rPr>
        <w:t xml:space="preserve">, y compris les </w:t>
      </w:r>
      <w:r w:rsidRPr="001030F0">
        <w:rPr>
          <w:rFonts w:eastAsia="Times New Roman"/>
          <w:color w:val="000000"/>
          <w:lang w:val="fr-FR"/>
        </w:rPr>
        <w:t>arrêts définitifs</w:t>
      </w:r>
      <w:r>
        <w:rPr>
          <w:rFonts w:eastAsia="Times New Roman"/>
          <w:color w:val="000000"/>
          <w:lang w:val="fr-FR"/>
        </w:rPr>
        <w:t>. Il</w:t>
      </w:r>
      <w:r w:rsidRPr="005B4699">
        <w:rPr>
          <w:rFonts w:eastAsia="Times New Roman"/>
          <w:color w:val="000000"/>
          <w:lang w:val="fr-FR"/>
        </w:rPr>
        <w:t xml:space="preserve"> peut, s</w:t>
      </w:r>
      <w:r>
        <w:rPr>
          <w:rFonts w:eastAsia="Times New Roman"/>
          <w:color w:val="000000"/>
          <w:lang w:val="fr-FR"/>
        </w:rPr>
        <w:t>’</w:t>
      </w:r>
      <w:r w:rsidRPr="005B4699">
        <w:rPr>
          <w:rFonts w:eastAsia="Times New Roman"/>
          <w:color w:val="000000"/>
          <w:lang w:val="fr-FR"/>
        </w:rPr>
        <w:t>il le juge nécessaire, faire des recommandations ou décider des mesures à prendre pour donner effet à l</w:t>
      </w:r>
      <w:r>
        <w:rPr>
          <w:rFonts w:eastAsia="Times New Roman"/>
          <w:color w:val="000000"/>
          <w:lang w:val="fr-FR"/>
        </w:rPr>
        <w:t>’</w:t>
      </w:r>
      <w:r w:rsidRPr="005B4699">
        <w:rPr>
          <w:rFonts w:eastAsia="Times New Roman"/>
          <w:color w:val="000000"/>
          <w:lang w:val="fr-FR"/>
        </w:rPr>
        <w:t>arrêt. Ce pouvoir n</w:t>
      </w:r>
      <w:r>
        <w:rPr>
          <w:rFonts w:eastAsia="Times New Roman"/>
          <w:color w:val="000000"/>
          <w:lang w:val="fr-FR"/>
        </w:rPr>
        <w:t>’</w:t>
      </w:r>
      <w:r w:rsidRPr="005B4699">
        <w:rPr>
          <w:rFonts w:eastAsia="Times New Roman"/>
          <w:color w:val="000000"/>
          <w:lang w:val="fr-FR"/>
        </w:rPr>
        <w:t>a pas été fréquemment invoqué en pratique. Toutefois, en vertu de la Charte des Nations Unies, les États conservent la possibilité de recourir à cette disposition aux fins de l</w:t>
      </w:r>
      <w:r>
        <w:rPr>
          <w:rFonts w:eastAsia="Times New Roman"/>
          <w:color w:val="000000"/>
          <w:lang w:val="fr-FR"/>
        </w:rPr>
        <w:t>’</w:t>
      </w:r>
      <w:r w:rsidRPr="005B4699">
        <w:rPr>
          <w:rFonts w:eastAsia="Times New Roman"/>
          <w:color w:val="000000"/>
          <w:lang w:val="fr-FR"/>
        </w:rPr>
        <w:t xml:space="preserve">exécution des décisions </w:t>
      </w:r>
      <w:r>
        <w:rPr>
          <w:rFonts w:eastAsia="Times New Roman"/>
          <w:color w:val="000000"/>
          <w:lang w:val="fr-FR"/>
        </w:rPr>
        <w:t>de la Cour</w:t>
      </w:r>
      <w:bookmarkStart w:id="63" w:name="_Ref175314391"/>
      <w:r w:rsidRPr="0053774D">
        <w:rPr>
          <w:rStyle w:val="Appelnotedebasdep"/>
        </w:rPr>
        <w:footnoteReference w:id="99"/>
      </w:r>
      <w:bookmarkEnd w:id="63"/>
      <w:r>
        <w:rPr>
          <w:rFonts w:eastAsia="Times New Roman"/>
          <w:color w:val="000000"/>
          <w:lang w:val="fr-FR"/>
        </w:rPr>
        <w:t>.</w:t>
      </w:r>
    </w:p>
    <w:p w14:paraId="6B4C39BD" w14:textId="5DACA6E7"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1)</w:t>
      </w:r>
      <w:r w:rsidRPr="005B4699">
        <w:rPr>
          <w:rFonts w:eastAsia="Times New Roman"/>
          <w:color w:val="000000"/>
          <w:lang w:val="fr-FR"/>
        </w:rPr>
        <w:tab/>
        <w:t>Dans l</w:t>
      </w:r>
      <w:r>
        <w:rPr>
          <w:rFonts w:eastAsia="Times New Roman"/>
          <w:color w:val="000000"/>
          <w:lang w:val="fr-FR"/>
        </w:rPr>
        <w:t>’</w:t>
      </w:r>
      <w:r w:rsidRPr="005B4699">
        <w:rPr>
          <w:rFonts w:eastAsia="Times New Roman"/>
          <w:color w:val="000000"/>
          <w:lang w:val="fr-FR"/>
        </w:rPr>
        <w:t xml:space="preserve">ensemble, compte tenu des considérations qui précèdent, la Commission a jugé approprié de souligner le rôle de la Cour internationale de Justice sans </w:t>
      </w:r>
      <w:r>
        <w:rPr>
          <w:rFonts w:eastAsia="Times New Roman"/>
          <w:color w:val="000000"/>
          <w:lang w:val="fr-FR"/>
        </w:rPr>
        <w:t xml:space="preserve">que cela n’implique </w:t>
      </w:r>
      <w:r w:rsidRPr="005B4699">
        <w:rPr>
          <w:rFonts w:eastAsia="Times New Roman"/>
          <w:color w:val="000000"/>
          <w:lang w:val="fr-FR"/>
        </w:rPr>
        <w:t>qu</w:t>
      </w:r>
      <w:r>
        <w:rPr>
          <w:rFonts w:eastAsia="Times New Roman"/>
          <w:color w:val="000000"/>
          <w:lang w:val="fr-FR"/>
        </w:rPr>
        <w:t>’</w:t>
      </w:r>
      <w:r w:rsidRPr="005B4699">
        <w:rPr>
          <w:rFonts w:eastAsia="Times New Roman"/>
          <w:color w:val="000000"/>
          <w:lang w:val="fr-FR"/>
        </w:rPr>
        <w:t xml:space="preserve">il existe une hiérarchie vis-à-vis des autres juridictions internationales créées par les États ou les organisations internationales qui exercent </w:t>
      </w:r>
      <w:r>
        <w:rPr>
          <w:rFonts w:eastAsia="Times New Roman"/>
          <w:color w:val="000000"/>
          <w:lang w:val="fr-FR"/>
        </w:rPr>
        <w:t>l</w:t>
      </w:r>
      <w:r w:rsidRPr="005B4699">
        <w:rPr>
          <w:rFonts w:eastAsia="Times New Roman"/>
          <w:color w:val="000000"/>
          <w:lang w:val="fr-FR"/>
        </w:rPr>
        <w:t xml:space="preserve">es compétences spécifiques que leur ont conférées leurs </w:t>
      </w:r>
      <w:r>
        <w:rPr>
          <w:rFonts w:eastAsia="Times New Roman"/>
          <w:color w:val="000000"/>
          <w:lang w:val="fr-FR"/>
        </w:rPr>
        <w:t>instruments constitutifs</w:t>
      </w:r>
      <w:r w:rsidRPr="005B4699">
        <w:rPr>
          <w:rFonts w:eastAsia="Times New Roman"/>
          <w:color w:val="000000"/>
          <w:lang w:val="fr-FR"/>
        </w:rPr>
        <w:t>. Par exemple, en matière de droit international</w:t>
      </w:r>
      <w:r w:rsidRPr="00070285">
        <w:rPr>
          <w:rFonts w:eastAsia="Times New Roman"/>
          <w:color w:val="000000"/>
          <w:lang w:val="fr-FR"/>
        </w:rPr>
        <w:t xml:space="preserve"> </w:t>
      </w:r>
      <w:r w:rsidRPr="005B4699">
        <w:rPr>
          <w:rFonts w:eastAsia="Times New Roman"/>
          <w:color w:val="000000"/>
          <w:lang w:val="fr-FR"/>
        </w:rPr>
        <w:t>pénal, de droit international des droits de l</w:t>
      </w:r>
      <w:r>
        <w:rPr>
          <w:rFonts w:eastAsia="Times New Roman"/>
          <w:color w:val="000000"/>
          <w:lang w:val="fr-FR"/>
        </w:rPr>
        <w:t>’</w:t>
      </w:r>
      <w:r w:rsidRPr="005B4699">
        <w:rPr>
          <w:rFonts w:eastAsia="Times New Roman"/>
          <w:color w:val="000000"/>
          <w:lang w:val="fr-FR"/>
        </w:rPr>
        <w:t>homme, de droit de la mer et de droit international</w:t>
      </w:r>
      <w:r w:rsidRPr="00070285">
        <w:rPr>
          <w:rFonts w:eastAsia="Times New Roman"/>
          <w:color w:val="000000"/>
          <w:lang w:val="fr-FR"/>
        </w:rPr>
        <w:t xml:space="preserve"> </w:t>
      </w:r>
      <w:r w:rsidRPr="005B4699">
        <w:rPr>
          <w:rFonts w:eastAsia="Times New Roman"/>
          <w:color w:val="000000"/>
          <w:lang w:val="fr-FR"/>
        </w:rPr>
        <w:t xml:space="preserve">économique, les décisions des juridictions </w:t>
      </w:r>
      <w:r>
        <w:rPr>
          <w:rFonts w:eastAsia="Times New Roman"/>
          <w:color w:val="000000"/>
          <w:lang w:val="fr-FR"/>
        </w:rPr>
        <w:t>internationales</w:t>
      </w:r>
      <w:r w:rsidRPr="005B4699">
        <w:rPr>
          <w:rFonts w:eastAsia="Times New Roman"/>
          <w:color w:val="000000"/>
          <w:lang w:val="fr-FR"/>
        </w:rPr>
        <w:t xml:space="preserve"> ad hoc ou permanentes créées par les États </w:t>
      </w:r>
      <w:r>
        <w:rPr>
          <w:rFonts w:eastAsia="Times New Roman"/>
          <w:color w:val="000000"/>
          <w:lang w:val="fr-FR"/>
        </w:rPr>
        <w:t xml:space="preserve">et les </w:t>
      </w:r>
      <w:r w:rsidRPr="005B4699">
        <w:rPr>
          <w:rFonts w:eastAsia="Times New Roman"/>
          <w:color w:val="000000"/>
          <w:lang w:val="fr-FR"/>
        </w:rPr>
        <w:t>organisations internationales doivent être prises en compte et dans certains cas se voir conférer un poids considérable, voire décisif</w:t>
      </w:r>
      <w:r>
        <w:rPr>
          <w:rFonts w:eastAsia="Times New Roman"/>
          <w:color w:val="000000"/>
          <w:lang w:val="fr-FR"/>
        </w:rPr>
        <w:t>, par rapport à celles des tribunaux généraux</w:t>
      </w:r>
      <w:r w:rsidRPr="005B4699">
        <w:rPr>
          <w:rFonts w:eastAsia="Times New Roman"/>
          <w:color w:val="000000"/>
          <w:lang w:val="fr-FR"/>
        </w:rPr>
        <w:t xml:space="preserve">. Le poids juridique à attribuer aux décisions de tous ces organes variera en fonction du contexte </w:t>
      </w:r>
      <w:r>
        <w:rPr>
          <w:rFonts w:eastAsia="Times New Roman"/>
          <w:color w:val="000000"/>
          <w:lang w:val="fr-FR"/>
        </w:rPr>
        <w:t xml:space="preserve">et de la qualité du raisonnement </w:t>
      </w:r>
      <w:r w:rsidRPr="005B4699">
        <w:rPr>
          <w:rFonts w:eastAsia="Times New Roman"/>
          <w:color w:val="000000"/>
          <w:lang w:val="fr-FR"/>
        </w:rPr>
        <w:t>et doit être apprécié au cas par cas.</w:t>
      </w:r>
    </w:p>
    <w:p w14:paraId="66500623" w14:textId="65F1C0D8" w:rsidR="004C5E26" w:rsidRPr="002A01A7" w:rsidRDefault="004C5E26" w:rsidP="00B85302">
      <w:pPr>
        <w:pStyle w:val="H4G"/>
        <w:rPr>
          <w:lang w:val="fr-FR"/>
        </w:rPr>
      </w:pPr>
      <w:r>
        <w:rPr>
          <w:lang w:val="fr-FR"/>
        </w:rPr>
        <w:tab/>
      </w:r>
      <w:r>
        <w:rPr>
          <w:lang w:val="fr-FR"/>
        </w:rPr>
        <w:tab/>
      </w:r>
      <w:r w:rsidRPr="005B4699">
        <w:rPr>
          <w:lang w:val="fr-FR"/>
        </w:rPr>
        <w:t>« constituent un moyen auxiliaire aux fins de la détermination de l</w:t>
      </w:r>
      <w:r>
        <w:rPr>
          <w:lang w:val="fr-FR"/>
        </w:rPr>
        <w:t>’</w:t>
      </w:r>
      <w:r w:rsidRPr="005B4699">
        <w:rPr>
          <w:lang w:val="fr-FR"/>
        </w:rPr>
        <w:t>existence et du contenu des règles de droit international »</w:t>
      </w:r>
    </w:p>
    <w:p w14:paraId="27086979" w14:textId="276B7B0C" w:rsidR="004C5E26" w:rsidRPr="005B4699" w:rsidRDefault="004C5E26" w:rsidP="004C5E26">
      <w:pPr>
        <w:pStyle w:val="SingleTxtG"/>
        <w:rPr>
          <w:rFonts w:eastAsia="Times New Roman"/>
          <w:color w:val="000000"/>
          <w:lang w:val="fr-FR"/>
        </w:rPr>
      </w:pPr>
      <w:r>
        <w:rPr>
          <w:rFonts w:eastAsia="Times New Roman"/>
          <w:color w:val="000000"/>
          <w:lang w:val="fr-FR"/>
        </w:rPr>
        <w:t>12)</w:t>
      </w:r>
      <w:r w:rsidRPr="005B4699">
        <w:rPr>
          <w:rFonts w:eastAsia="Times New Roman"/>
          <w:color w:val="000000"/>
          <w:lang w:val="fr-FR"/>
        </w:rPr>
        <w:tab/>
      </w:r>
      <w:r>
        <w:rPr>
          <w:rFonts w:eastAsia="Times New Roman"/>
          <w:color w:val="000000"/>
          <w:lang w:val="fr-FR"/>
        </w:rPr>
        <w:t xml:space="preserve">Dans le </w:t>
      </w:r>
      <w:r w:rsidRPr="005B4699">
        <w:rPr>
          <w:rFonts w:eastAsia="Times New Roman"/>
          <w:color w:val="000000"/>
          <w:lang w:val="fr-FR"/>
        </w:rPr>
        <w:t>dernier élément du paragraphe 1 du projet de conclusion 4, la Commission a déterminé que les décisions des juridictions internationales, en particulier celles de la Cour internationale de Justice, « </w:t>
      </w:r>
      <w:r w:rsidRPr="005B4699">
        <w:rPr>
          <w:rFonts w:eastAsia="Times New Roman"/>
          <w:i/>
          <w:iCs/>
          <w:color w:val="000000"/>
          <w:lang w:val="fr-FR"/>
        </w:rPr>
        <w:t xml:space="preserve">constituent </w:t>
      </w:r>
      <w:r w:rsidRPr="005B4699">
        <w:rPr>
          <w:rFonts w:eastAsia="Times New Roman"/>
          <w:color w:val="000000"/>
          <w:lang w:val="fr-FR"/>
        </w:rPr>
        <w:t>un moyen auxiliaire aux fins de la détermination de l</w:t>
      </w:r>
      <w:r>
        <w:rPr>
          <w:rFonts w:eastAsia="Times New Roman"/>
          <w:color w:val="000000"/>
          <w:lang w:val="fr-FR"/>
        </w:rPr>
        <w:t>’</w:t>
      </w:r>
      <w:r w:rsidRPr="005B4699">
        <w:rPr>
          <w:rFonts w:eastAsia="Times New Roman"/>
          <w:color w:val="000000"/>
          <w:lang w:val="fr-FR"/>
        </w:rPr>
        <w:t>existence et du contenu des règles de droit international » (non souligné dans l</w:t>
      </w:r>
      <w:r>
        <w:rPr>
          <w:rFonts w:eastAsia="Times New Roman"/>
          <w:color w:val="000000"/>
          <w:lang w:val="fr-FR"/>
        </w:rPr>
        <w:t>’</w:t>
      </w:r>
      <w:r w:rsidRPr="005B4699">
        <w:rPr>
          <w:rFonts w:eastAsia="Times New Roman"/>
          <w:color w:val="000000"/>
          <w:lang w:val="fr-FR"/>
        </w:rPr>
        <w:t xml:space="preserve">original). Les décisions de ces juridictions sur des questions de droit international, en particulier les décisions qui interprètent et appliquent des </w:t>
      </w:r>
      <w:r w:rsidRPr="002A01A7">
        <w:rPr>
          <w:rFonts w:eastAsia="Times New Roman"/>
          <w:color w:val="000000" w:themeColor="text1"/>
          <w:lang w:val="fr-FR"/>
        </w:rPr>
        <w:t>règles</w:t>
      </w:r>
      <w:r w:rsidRPr="005B4699">
        <w:rPr>
          <w:rFonts w:eastAsia="Times New Roman"/>
          <w:color w:val="000000"/>
          <w:lang w:val="fr-FR"/>
        </w:rPr>
        <w:t xml:space="preserve"> conventionnelles ou qui établissent l</w:t>
      </w:r>
      <w:r>
        <w:rPr>
          <w:rFonts w:eastAsia="Times New Roman"/>
          <w:color w:val="000000"/>
          <w:lang w:val="fr-FR"/>
        </w:rPr>
        <w:t>’</w:t>
      </w:r>
      <w:r w:rsidRPr="005B4699">
        <w:rPr>
          <w:rFonts w:eastAsia="Times New Roman"/>
          <w:color w:val="000000"/>
          <w:lang w:val="fr-FR"/>
        </w:rPr>
        <w:t>existence de règles du droit international coutumier, principes généraux ou normes impératives</w:t>
      </w:r>
      <w:r>
        <w:rPr>
          <w:rFonts w:eastAsia="Times New Roman"/>
          <w:color w:val="000000"/>
          <w:lang w:val="fr-FR"/>
        </w:rPr>
        <w:t xml:space="preserve"> du droit international général (</w:t>
      </w:r>
      <w:r w:rsidRPr="00F80FC3">
        <w:rPr>
          <w:rFonts w:eastAsia="Times New Roman"/>
          <w:i/>
          <w:iCs/>
          <w:color w:val="000000"/>
          <w:lang w:val="fr-FR"/>
        </w:rPr>
        <w:t>jus cogens</w:t>
      </w:r>
      <w:r>
        <w:rPr>
          <w:rFonts w:eastAsia="Times New Roman"/>
          <w:color w:val="000000"/>
          <w:lang w:val="fr-FR"/>
        </w:rPr>
        <w:t>)</w:t>
      </w:r>
      <w:r w:rsidRPr="005B4699">
        <w:rPr>
          <w:rFonts w:eastAsia="Times New Roman"/>
          <w:color w:val="000000"/>
          <w:lang w:val="fr-FR"/>
        </w:rPr>
        <w:t xml:space="preserve"> et </w:t>
      </w:r>
      <w:r>
        <w:rPr>
          <w:rFonts w:eastAsia="Times New Roman"/>
          <w:color w:val="000000"/>
          <w:lang w:val="fr-FR"/>
        </w:rPr>
        <w:t xml:space="preserve">les </w:t>
      </w:r>
      <w:r w:rsidRPr="005B4699">
        <w:rPr>
          <w:rFonts w:eastAsia="Times New Roman"/>
          <w:color w:val="000000"/>
          <w:lang w:val="fr-FR"/>
        </w:rPr>
        <w:t>appliquent, peuvent fournir des indications précieuses pour déterminer</w:t>
      </w:r>
      <w:r>
        <w:rPr>
          <w:rFonts w:eastAsia="Times New Roman"/>
          <w:color w:val="000000"/>
          <w:lang w:val="fr-FR"/>
        </w:rPr>
        <w:t xml:space="preserve"> l’existence ou le contenu des</w:t>
      </w:r>
      <w:r w:rsidRPr="005B4699">
        <w:rPr>
          <w:rFonts w:eastAsia="Times New Roman"/>
          <w:color w:val="000000"/>
          <w:lang w:val="fr-FR"/>
        </w:rPr>
        <w:t xml:space="preserve"> règles de droit international.</w:t>
      </w:r>
    </w:p>
    <w:p w14:paraId="08C30AFF" w14:textId="4835FC3A"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3)</w:t>
      </w:r>
      <w:r w:rsidRPr="005B4699">
        <w:rPr>
          <w:rFonts w:eastAsia="Times New Roman"/>
          <w:color w:val="000000"/>
          <w:lang w:val="fr-FR"/>
        </w:rPr>
        <w:tab/>
        <w:t xml:space="preserve">Les termes « moyen auxiliaire » et « détermination » sont déjà expliqués dans le commentaire du projet de conclusion 1. On pourra se reporter à </w:t>
      </w:r>
      <w:r>
        <w:rPr>
          <w:rFonts w:eastAsia="Times New Roman"/>
          <w:color w:val="000000"/>
          <w:lang w:val="fr-FR"/>
        </w:rPr>
        <w:t xml:space="preserve">l’explication qui figure au </w:t>
      </w:r>
      <w:r>
        <w:rPr>
          <w:rFonts w:eastAsia="Times New Roman"/>
          <w:color w:val="000000"/>
          <w:lang w:val="fr-FR"/>
        </w:rPr>
        <w:lastRenderedPageBreak/>
        <w:t xml:space="preserve">début du commentaire </w:t>
      </w:r>
      <w:r w:rsidRPr="005B4699">
        <w:rPr>
          <w:rFonts w:eastAsia="Times New Roman"/>
          <w:color w:val="000000"/>
          <w:lang w:val="fr-FR"/>
        </w:rPr>
        <w:t xml:space="preserve">de </w:t>
      </w:r>
      <w:r>
        <w:rPr>
          <w:rFonts w:eastAsia="Times New Roman"/>
          <w:color w:val="000000"/>
          <w:lang w:val="fr-FR"/>
        </w:rPr>
        <w:t>cette disposition</w:t>
      </w:r>
      <w:r w:rsidRPr="005B4699">
        <w:rPr>
          <w:rFonts w:eastAsia="Times New Roman"/>
          <w:color w:val="000000"/>
          <w:lang w:val="fr-FR"/>
        </w:rPr>
        <w:t xml:space="preserve"> (voir les par</w:t>
      </w:r>
      <w:r w:rsidR="00B85302">
        <w:rPr>
          <w:rFonts w:eastAsia="Times New Roman"/>
          <w:color w:val="000000"/>
          <w:lang w:val="fr-FR"/>
        </w:rPr>
        <w:t>agraphes</w:t>
      </w:r>
      <w:r>
        <w:rPr>
          <w:rFonts w:eastAsia="Times New Roman"/>
          <w:color w:val="000000"/>
          <w:lang w:val="fr-FR"/>
        </w:rPr>
        <w:t> </w:t>
      </w:r>
      <w:r w:rsidRPr="005B4699">
        <w:rPr>
          <w:rFonts w:eastAsia="Times New Roman"/>
          <w:color w:val="000000"/>
          <w:lang w:val="fr-FR"/>
        </w:rPr>
        <w:t>10 à 13 de celui-ci)</w:t>
      </w:r>
      <w:r w:rsidRPr="0053774D">
        <w:rPr>
          <w:rStyle w:val="Appelnotedebasdep"/>
        </w:rPr>
        <w:footnoteReference w:id="100"/>
      </w:r>
      <w:r w:rsidRPr="00B85302">
        <w:rPr>
          <w:rStyle w:val="Appelnotedebasdep"/>
          <w:rFonts w:eastAsia="Times New Roman"/>
          <w:color w:val="000000"/>
          <w:vertAlign w:val="baseline"/>
          <w:lang w:val="fr-FR"/>
        </w:rPr>
        <w:t>.</w:t>
      </w:r>
      <w:r w:rsidRPr="005B4699">
        <w:rPr>
          <w:rFonts w:eastAsia="Times New Roman"/>
          <w:color w:val="000000"/>
          <w:lang w:val="fr-FR"/>
        </w:rPr>
        <w:t xml:space="preserve"> Dans </w:t>
      </w:r>
      <w:r>
        <w:rPr>
          <w:rFonts w:eastAsia="Times New Roman"/>
          <w:color w:val="000000"/>
          <w:lang w:val="fr-FR"/>
        </w:rPr>
        <w:t>les</w:t>
      </w:r>
      <w:r w:rsidRPr="005B4699">
        <w:rPr>
          <w:rFonts w:eastAsia="Times New Roman"/>
          <w:color w:val="000000"/>
          <w:lang w:val="fr-FR"/>
        </w:rPr>
        <w:t xml:space="preserve"> paragraphes</w:t>
      </w:r>
      <w:r>
        <w:rPr>
          <w:rFonts w:eastAsia="Times New Roman"/>
          <w:color w:val="000000"/>
          <w:lang w:val="fr-FR"/>
        </w:rPr>
        <w:t xml:space="preserve"> pertinents</w:t>
      </w:r>
      <w:r w:rsidRPr="005B4699">
        <w:rPr>
          <w:rFonts w:eastAsia="Times New Roman"/>
          <w:color w:val="000000"/>
          <w:lang w:val="fr-FR"/>
        </w:rPr>
        <w:t xml:space="preserve">, la Commission a déjà établi que le terme « détermination » </w:t>
      </w:r>
      <w:r>
        <w:rPr>
          <w:rFonts w:eastAsia="Times New Roman"/>
          <w:color w:val="000000"/>
          <w:lang w:val="fr-FR"/>
        </w:rPr>
        <w:t>avait trait à deux grands aspects</w:t>
      </w:r>
      <w:r w:rsidRPr="005B4699">
        <w:rPr>
          <w:rFonts w:eastAsia="Times New Roman"/>
          <w:color w:val="000000"/>
          <w:lang w:val="fr-FR"/>
        </w:rPr>
        <w:t xml:space="preserve">. En conséquence, le terme </w:t>
      </w:r>
      <w:r>
        <w:rPr>
          <w:rFonts w:eastAsia="Times New Roman"/>
          <w:color w:val="000000"/>
          <w:lang w:val="fr-FR"/>
        </w:rPr>
        <w:t>« </w:t>
      </w:r>
      <w:r w:rsidRPr="005B4699">
        <w:rPr>
          <w:rFonts w:eastAsia="Times New Roman"/>
          <w:color w:val="000000"/>
          <w:lang w:val="fr-FR"/>
        </w:rPr>
        <w:t>détermination</w:t>
      </w:r>
      <w:r>
        <w:rPr>
          <w:rFonts w:eastAsia="Times New Roman"/>
          <w:color w:val="000000"/>
          <w:lang w:val="fr-FR"/>
        </w:rPr>
        <w:t xml:space="preserve"> » recouvre différentes </w:t>
      </w:r>
      <w:r w:rsidRPr="005B4699">
        <w:rPr>
          <w:rFonts w:eastAsia="Times New Roman"/>
          <w:color w:val="000000"/>
          <w:lang w:val="fr-FR"/>
        </w:rPr>
        <w:t>opérations aux fins des projets de conclusion. De même, le commentaire clarifie également les termes « l</w:t>
      </w:r>
      <w:r>
        <w:rPr>
          <w:rFonts w:eastAsia="Times New Roman"/>
          <w:color w:val="000000"/>
          <w:lang w:val="fr-FR"/>
        </w:rPr>
        <w:t>’</w:t>
      </w:r>
      <w:r w:rsidRPr="005B4699">
        <w:rPr>
          <w:rFonts w:eastAsia="Times New Roman"/>
          <w:color w:val="000000"/>
          <w:lang w:val="fr-FR"/>
        </w:rPr>
        <w:t>existence et le contenu » des règles de droit international (par</w:t>
      </w:r>
      <w:r>
        <w:rPr>
          <w:rFonts w:eastAsia="Times New Roman"/>
          <w:color w:val="000000"/>
          <w:lang w:val="fr-FR"/>
        </w:rPr>
        <w:t>. </w:t>
      </w:r>
      <w:r w:rsidRPr="005B4699">
        <w:rPr>
          <w:rFonts w:eastAsia="Times New Roman"/>
          <w:color w:val="000000"/>
          <w:lang w:val="fr-FR"/>
        </w:rPr>
        <w:t>3 du commentaire général)</w:t>
      </w:r>
      <w:r w:rsidRPr="0053774D">
        <w:rPr>
          <w:rStyle w:val="Appelnotedebasdep"/>
        </w:rPr>
        <w:footnoteReference w:id="101"/>
      </w:r>
      <w:r w:rsidRPr="005B4699">
        <w:rPr>
          <w:rFonts w:eastAsia="Times New Roman"/>
          <w:color w:val="000000"/>
          <w:lang w:val="fr-FR"/>
        </w:rPr>
        <w:t>. Ainsi, la référence à « l</w:t>
      </w:r>
      <w:r>
        <w:rPr>
          <w:rFonts w:eastAsia="Times New Roman"/>
          <w:color w:val="000000"/>
          <w:lang w:val="fr-FR"/>
        </w:rPr>
        <w:t>’</w:t>
      </w:r>
      <w:r w:rsidRPr="005B4699">
        <w:rPr>
          <w:rFonts w:eastAsia="Times New Roman"/>
          <w:color w:val="000000"/>
          <w:lang w:val="fr-FR"/>
        </w:rPr>
        <w:t xml:space="preserve">existence et [au] contenu » </w:t>
      </w:r>
      <w:r>
        <w:rPr>
          <w:rFonts w:eastAsia="Times New Roman"/>
          <w:color w:val="000000"/>
          <w:lang w:val="fr-FR"/>
        </w:rPr>
        <w:t>tient</w:t>
      </w:r>
      <w:r w:rsidRPr="005B4699">
        <w:rPr>
          <w:rFonts w:eastAsia="Times New Roman"/>
          <w:color w:val="000000"/>
          <w:lang w:val="fr-FR"/>
        </w:rPr>
        <w:t xml:space="preserve"> compte du fait que s</w:t>
      </w:r>
      <w:r>
        <w:rPr>
          <w:rFonts w:eastAsia="Times New Roman"/>
          <w:color w:val="000000"/>
          <w:lang w:val="fr-FR"/>
        </w:rPr>
        <w:t>’</w:t>
      </w:r>
      <w:r w:rsidRPr="005B4699">
        <w:rPr>
          <w:rFonts w:eastAsia="Times New Roman"/>
          <w:color w:val="000000"/>
          <w:lang w:val="fr-FR"/>
        </w:rPr>
        <w:t xml:space="preserve">il peut souvent être nécessaire </w:t>
      </w:r>
      <w:r>
        <w:rPr>
          <w:rFonts w:eastAsia="Times New Roman"/>
          <w:color w:val="000000"/>
          <w:lang w:val="fr-FR"/>
        </w:rPr>
        <w:t>e</w:t>
      </w:r>
      <w:r w:rsidRPr="005B4699">
        <w:rPr>
          <w:rFonts w:eastAsia="Times New Roman"/>
          <w:color w:val="000000"/>
          <w:lang w:val="fr-FR"/>
        </w:rPr>
        <w:t xml:space="preserve">n pratique de recourir à un tel moyen auxiliaire pour </w:t>
      </w:r>
      <w:r>
        <w:rPr>
          <w:rFonts w:eastAsia="Times New Roman"/>
          <w:color w:val="000000"/>
          <w:lang w:val="fr-FR"/>
        </w:rPr>
        <w:t>établir l’existence</w:t>
      </w:r>
      <w:r w:rsidRPr="005B4699">
        <w:rPr>
          <w:rFonts w:eastAsia="Times New Roman"/>
          <w:color w:val="000000"/>
          <w:lang w:val="fr-FR"/>
        </w:rPr>
        <w:t xml:space="preserve"> </w:t>
      </w:r>
      <w:r>
        <w:rPr>
          <w:rFonts w:eastAsia="Times New Roman"/>
          <w:color w:val="000000"/>
          <w:lang w:val="fr-FR"/>
        </w:rPr>
        <w:t>d’</w:t>
      </w:r>
      <w:r w:rsidRPr="005B4699">
        <w:rPr>
          <w:rFonts w:eastAsia="Times New Roman"/>
          <w:color w:val="000000"/>
          <w:lang w:val="fr-FR"/>
        </w:rPr>
        <w:t>une règle, dans certains cas</w:t>
      </w:r>
      <w:r>
        <w:rPr>
          <w:rFonts w:eastAsia="Times New Roman"/>
          <w:color w:val="000000"/>
          <w:lang w:val="fr-FR"/>
        </w:rPr>
        <w:t>,</w:t>
      </w:r>
      <w:r w:rsidRPr="005B4699">
        <w:rPr>
          <w:rFonts w:eastAsia="Times New Roman"/>
          <w:color w:val="000000"/>
          <w:lang w:val="fr-FR"/>
        </w:rPr>
        <w:t xml:space="preserve"> il peut déjà être admis que la règle existe</w:t>
      </w:r>
      <w:r>
        <w:rPr>
          <w:rFonts w:eastAsia="Times New Roman"/>
          <w:color w:val="000000"/>
          <w:lang w:val="fr-FR"/>
        </w:rPr>
        <w:t>, mais c’est</w:t>
      </w:r>
      <w:r w:rsidRPr="005B4699">
        <w:rPr>
          <w:rFonts w:eastAsia="Times New Roman"/>
          <w:color w:val="000000"/>
          <w:lang w:val="fr-FR"/>
        </w:rPr>
        <w:t xml:space="preserve"> son contenu précis qui </w:t>
      </w:r>
      <w:r>
        <w:rPr>
          <w:rFonts w:eastAsia="Times New Roman"/>
          <w:color w:val="000000"/>
          <w:lang w:val="fr-FR"/>
        </w:rPr>
        <w:t>est</w:t>
      </w:r>
      <w:r w:rsidRPr="005B4699">
        <w:rPr>
          <w:rFonts w:eastAsia="Times New Roman"/>
          <w:color w:val="000000"/>
          <w:lang w:val="fr-FR"/>
        </w:rPr>
        <w:t xml:space="preserve"> en litige et </w:t>
      </w:r>
      <w:r>
        <w:rPr>
          <w:rFonts w:eastAsia="Times New Roman"/>
          <w:color w:val="000000"/>
          <w:lang w:val="fr-FR"/>
        </w:rPr>
        <w:t>doit</w:t>
      </w:r>
      <w:r w:rsidRPr="005B4699">
        <w:rPr>
          <w:rFonts w:eastAsia="Times New Roman"/>
          <w:color w:val="000000"/>
          <w:lang w:val="fr-FR"/>
        </w:rPr>
        <w:t xml:space="preserve"> donc être déterminé. La</w:t>
      </w:r>
      <w:r>
        <w:rPr>
          <w:rFonts w:eastAsia="Times New Roman"/>
          <w:color w:val="000000"/>
          <w:lang w:val="fr-FR"/>
        </w:rPr>
        <w:t> </w:t>
      </w:r>
      <w:r w:rsidRPr="005B4699">
        <w:rPr>
          <w:rFonts w:eastAsia="Times New Roman"/>
          <w:color w:val="000000"/>
          <w:lang w:val="fr-FR"/>
        </w:rPr>
        <w:t xml:space="preserve">formulation utilisée rend compte de ces deux situations. </w:t>
      </w:r>
    </w:p>
    <w:p w14:paraId="3D89896A" w14:textId="419A470C"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4)</w:t>
      </w:r>
      <w:r w:rsidRPr="005B4699">
        <w:rPr>
          <w:rFonts w:eastAsia="Times New Roman"/>
          <w:color w:val="000000"/>
          <w:lang w:val="fr-FR"/>
        </w:rPr>
        <w:tab/>
        <w:t>S</w:t>
      </w:r>
      <w:r>
        <w:rPr>
          <w:rFonts w:eastAsia="Times New Roman"/>
          <w:color w:val="000000"/>
          <w:lang w:val="fr-FR"/>
        </w:rPr>
        <w:t>’</w:t>
      </w:r>
      <w:r w:rsidRPr="005B4699">
        <w:rPr>
          <w:rFonts w:eastAsia="Times New Roman"/>
          <w:color w:val="000000"/>
          <w:lang w:val="fr-FR"/>
        </w:rPr>
        <w:t>agissant de l</w:t>
      </w:r>
      <w:r>
        <w:rPr>
          <w:rFonts w:eastAsia="Times New Roman"/>
          <w:color w:val="000000"/>
          <w:lang w:val="fr-FR"/>
        </w:rPr>
        <w:t>’</w:t>
      </w:r>
      <w:r w:rsidRPr="005B4699">
        <w:rPr>
          <w:rFonts w:eastAsia="Times New Roman"/>
          <w:color w:val="000000"/>
          <w:lang w:val="fr-FR"/>
        </w:rPr>
        <w:t>expression « règles de droit international », il est expliqué au paragraphe 3 du commentaire du projet de conclusion 1</w:t>
      </w:r>
      <w:r w:rsidRPr="0053774D">
        <w:rPr>
          <w:rStyle w:val="Appelnotedebasdep"/>
        </w:rPr>
        <w:footnoteReference w:id="102"/>
      </w:r>
      <w:r w:rsidRPr="005B4699">
        <w:rPr>
          <w:rFonts w:eastAsia="Times New Roman"/>
          <w:color w:val="000000"/>
          <w:lang w:val="fr-FR"/>
        </w:rPr>
        <w:t xml:space="preserve"> que c</w:t>
      </w:r>
      <w:r>
        <w:rPr>
          <w:rFonts w:eastAsia="Times New Roman"/>
          <w:color w:val="000000"/>
          <w:lang w:val="fr-FR"/>
        </w:rPr>
        <w:t>’</w:t>
      </w:r>
      <w:r w:rsidRPr="005B4699">
        <w:rPr>
          <w:rFonts w:eastAsia="Times New Roman"/>
          <w:color w:val="000000"/>
          <w:lang w:val="fr-FR"/>
        </w:rPr>
        <w:t>est l</w:t>
      </w:r>
      <w:r>
        <w:rPr>
          <w:rFonts w:eastAsia="Times New Roman"/>
          <w:color w:val="000000"/>
          <w:lang w:val="fr-FR"/>
        </w:rPr>
        <w:t>’</w:t>
      </w:r>
      <w:r w:rsidRPr="005B4699">
        <w:rPr>
          <w:rFonts w:eastAsia="Times New Roman"/>
          <w:color w:val="000000"/>
          <w:lang w:val="fr-FR"/>
        </w:rPr>
        <w:t>expression « règles de droit » qui est en fait utilisée à l</w:t>
      </w:r>
      <w:r>
        <w:rPr>
          <w:rFonts w:eastAsia="Times New Roman"/>
          <w:color w:val="000000"/>
          <w:lang w:val="fr-FR"/>
        </w:rPr>
        <w:t>’</w:t>
      </w:r>
      <w:r w:rsidRPr="005B4699">
        <w:rPr>
          <w:rFonts w:eastAsia="Times New Roman"/>
          <w:color w:val="000000"/>
          <w:lang w:val="fr-FR"/>
        </w:rPr>
        <w:t>alinéa d) du paragraphe 1 de l</w:t>
      </w:r>
      <w:r>
        <w:rPr>
          <w:rFonts w:eastAsia="Times New Roman"/>
          <w:color w:val="000000"/>
          <w:lang w:val="fr-FR"/>
        </w:rPr>
        <w:t>’</w:t>
      </w:r>
      <w:r w:rsidRPr="005B4699">
        <w:rPr>
          <w:rFonts w:eastAsia="Times New Roman"/>
          <w:color w:val="000000"/>
          <w:lang w:val="fr-FR"/>
        </w:rPr>
        <w:t xml:space="preserve">Article 38 du Statut de la Cour internationale de Justice. La Commission </w:t>
      </w:r>
      <w:r>
        <w:rPr>
          <w:rFonts w:eastAsia="Times New Roman"/>
          <w:color w:val="000000"/>
          <w:lang w:val="fr-FR"/>
        </w:rPr>
        <w:t xml:space="preserve">note que la jurisprudence explique que </w:t>
      </w:r>
      <w:r w:rsidRPr="005B4699">
        <w:rPr>
          <w:rFonts w:eastAsia="Times New Roman"/>
          <w:color w:val="000000"/>
          <w:lang w:val="fr-FR"/>
        </w:rPr>
        <w:t xml:space="preserve">la référence </w:t>
      </w:r>
      <w:r w:rsidRPr="002B0F7E">
        <w:rPr>
          <w:rFonts w:eastAsia="Times New Roman"/>
          <w:color w:val="000000"/>
          <w:lang w:val="fr-FR"/>
        </w:rPr>
        <w:t xml:space="preserve">aux « règles » de droit international vient désigner toutes les règles pouvant être trouvées dans </w:t>
      </w:r>
      <w:r w:rsidR="002B0F7E" w:rsidRPr="002B0F7E">
        <w:rPr>
          <w:rFonts w:eastAsia="Times New Roman"/>
          <w:color w:val="000000"/>
          <w:lang w:val="fr-FR"/>
        </w:rPr>
        <w:t xml:space="preserve">les </w:t>
      </w:r>
      <w:r w:rsidRPr="002B0F7E">
        <w:rPr>
          <w:rFonts w:eastAsia="Times New Roman"/>
          <w:color w:val="000000"/>
          <w:lang w:val="fr-FR"/>
        </w:rPr>
        <w:t>sources du droit international</w:t>
      </w:r>
      <w:r w:rsidRPr="002B0F7E">
        <w:rPr>
          <w:rStyle w:val="Appelnotedebasdep"/>
          <w:rFonts w:eastAsia="Times New Roman"/>
          <w:color w:val="000000"/>
        </w:rPr>
        <w:footnoteReference w:id="103"/>
      </w:r>
      <w:r w:rsidR="00B85302" w:rsidRPr="002B0F7E">
        <w:rPr>
          <w:rFonts w:eastAsia="Times New Roman"/>
          <w:color w:val="000000"/>
          <w:lang w:val="fr-FR"/>
        </w:rPr>
        <w:t>.</w:t>
      </w:r>
    </w:p>
    <w:p w14:paraId="60698ADC" w14:textId="5A765AB3" w:rsidR="004C5E26" w:rsidRPr="005B4699" w:rsidRDefault="004C5E26" w:rsidP="004C5E26">
      <w:pPr>
        <w:pStyle w:val="SingleTxtG"/>
        <w:rPr>
          <w:rFonts w:eastAsia="Times New Roman"/>
          <w:color w:val="000000"/>
          <w:lang w:val="fr-FR"/>
        </w:rPr>
      </w:pPr>
      <w:r>
        <w:rPr>
          <w:rFonts w:eastAsia="Times New Roman"/>
          <w:color w:val="000000"/>
          <w:lang w:val="fr-FR"/>
        </w:rPr>
        <w:t>15)</w:t>
      </w:r>
      <w:r w:rsidRPr="005B4699">
        <w:rPr>
          <w:rFonts w:eastAsia="Times New Roman"/>
          <w:color w:val="000000"/>
          <w:lang w:val="fr-FR"/>
        </w:rPr>
        <w:tab/>
        <w:t xml:space="preserve">De plus, la Commission a déjà déterminé que, </w:t>
      </w:r>
      <w:r>
        <w:rPr>
          <w:rFonts w:eastAsia="Times New Roman"/>
          <w:color w:val="000000"/>
          <w:lang w:val="fr-FR"/>
        </w:rPr>
        <w:t>comme les</w:t>
      </w:r>
      <w:r w:rsidRPr="005B4699">
        <w:rPr>
          <w:rFonts w:eastAsia="Times New Roman"/>
          <w:color w:val="000000"/>
          <w:lang w:val="fr-FR"/>
        </w:rPr>
        <w:t xml:space="preserve"> sources du droit international mentionnées dans le paragraphe qui précède, les décisions des juridictions internationales sont un moyen auxiliaire de détermination du caractère impératif des normes du droit international général</w:t>
      </w:r>
      <w:r w:rsidRPr="0053774D">
        <w:rPr>
          <w:rStyle w:val="Appelnotedebasdep"/>
        </w:rPr>
        <w:footnoteReference w:id="104"/>
      </w:r>
      <w:r>
        <w:rPr>
          <w:rFonts w:eastAsia="Times New Roman"/>
          <w:color w:val="000000"/>
          <w:lang w:val="fr-FR"/>
        </w:rPr>
        <w:t>.</w:t>
      </w:r>
      <w:r w:rsidRPr="00C3040A">
        <w:rPr>
          <w:rFonts w:eastAsia="Times New Roman"/>
          <w:color w:val="000000"/>
          <w:lang w:val="fr-FR"/>
        </w:rPr>
        <w:t xml:space="preserve"> </w:t>
      </w:r>
      <w:r w:rsidRPr="005B4699">
        <w:rPr>
          <w:rFonts w:eastAsia="Times New Roman"/>
          <w:color w:val="000000"/>
          <w:lang w:val="fr-FR"/>
        </w:rPr>
        <w:t>Elle a expliqué dans le cadre de travaux antérieurs qu</w:t>
      </w:r>
      <w:r>
        <w:rPr>
          <w:rFonts w:eastAsia="Times New Roman"/>
          <w:color w:val="000000"/>
          <w:lang w:val="fr-FR"/>
        </w:rPr>
        <w:t>’</w:t>
      </w:r>
      <w:r w:rsidRPr="005B4699">
        <w:rPr>
          <w:rFonts w:eastAsia="Times New Roman"/>
          <w:color w:val="000000"/>
          <w:lang w:val="fr-FR"/>
        </w:rPr>
        <w:t xml:space="preserve">« [i]l </w:t>
      </w:r>
      <w:proofErr w:type="spellStart"/>
      <w:r w:rsidRPr="005B4699">
        <w:rPr>
          <w:rFonts w:eastAsia="Times New Roman"/>
          <w:color w:val="000000"/>
          <w:lang w:val="fr-FR"/>
        </w:rPr>
        <w:t>exist</w:t>
      </w:r>
      <w:proofErr w:type="spellEnd"/>
      <w:r w:rsidRPr="005B4699">
        <w:rPr>
          <w:rFonts w:eastAsia="Times New Roman"/>
          <w:color w:val="000000"/>
          <w:lang w:val="fr-FR"/>
        </w:rPr>
        <w:t>[ait] de très nombreux exemples de [telles] décisions »</w:t>
      </w:r>
      <w:r w:rsidRPr="0053774D">
        <w:rPr>
          <w:rStyle w:val="Appelnotedebasdep"/>
        </w:rPr>
        <w:footnoteReference w:id="105"/>
      </w:r>
      <w:r w:rsidRPr="005B4699">
        <w:rPr>
          <w:rFonts w:eastAsia="Times New Roman"/>
          <w:color w:val="000000"/>
          <w:lang w:val="fr-FR"/>
        </w:rPr>
        <w:t>, notamment dans la jurisprudence de diverses juridictions internationales telles que le Tribunal pénal international pour l</w:t>
      </w:r>
      <w:r>
        <w:rPr>
          <w:rFonts w:eastAsia="Times New Roman"/>
          <w:color w:val="000000"/>
          <w:lang w:val="fr-FR"/>
        </w:rPr>
        <w:t>’</w:t>
      </w:r>
      <w:r w:rsidRPr="005B4699">
        <w:rPr>
          <w:rFonts w:eastAsia="Times New Roman"/>
          <w:color w:val="000000"/>
          <w:lang w:val="fr-FR"/>
        </w:rPr>
        <w:t>ex-Yougoslavie</w:t>
      </w:r>
      <w:r w:rsidRPr="0053774D">
        <w:rPr>
          <w:rStyle w:val="Appelnotedebasdep"/>
        </w:rPr>
        <w:footnoteReference w:id="106"/>
      </w:r>
      <w:r>
        <w:rPr>
          <w:rFonts w:eastAsia="Times New Roman"/>
          <w:color w:val="000000"/>
          <w:lang w:val="fr-FR"/>
        </w:rPr>
        <w:t>.</w:t>
      </w:r>
      <w:r w:rsidRPr="005B4699">
        <w:rPr>
          <w:rFonts w:eastAsia="Times New Roman"/>
          <w:color w:val="000000"/>
          <w:lang w:val="fr-FR"/>
        </w:rPr>
        <w:t xml:space="preserve"> En bref, conformément à l</w:t>
      </w:r>
      <w:r>
        <w:rPr>
          <w:rFonts w:eastAsia="Times New Roman"/>
          <w:color w:val="000000"/>
          <w:lang w:val="fr-FR"/>
        </w:rPr>
        <w:t>’</w:t>
      </w:r>
      <w:r w:rsidRPr="005B4699">
        <w:rPr>
          <w:rFonts w:eastAsia="Times New Roman"/>
          <w:color w:val="000000"/>
          <w:lang w:val="fr-FR"/>
        </w:rPr>
        <w:t>approche suivie par la Commission dans le cadre de sujets récents et comme expliqué dans le commentaire du projet de conclusion 1, relatif à l</w:t>
      </w:r>
      <w:r>
        <w:rPr>
          <w:rFonts w:eastAsia="Times New Roman"/>
          <w:color w:val="000000"/>
          <w:lang w:val="fr-FR"/>
        </w:rPr>
        <w:t>’</w:t>
      </w:r>
      <w:r w:rsidRPr="005B4699">
        <w:rPr>
          <w:rFonts w:eastAsia="Times New Roman"/>
          <w:color w:val="000000"/>
          <w:lang w:val="fr-FR"/>
        </w:rPr>
        <w:t>objet</w:t>
      </w:r>
      <w:r>
        <w:rPr>
          <w:rFonts w:eastAsia="Times New Roman"/>
          <w:color w:val="000000"/>
          <w:lang w:val="fr-FR"/>
        </w:rPr>
        <w:t xml:space="preserve"> du présent sujet</w:t>
      </w:r>
      <w:r w:rsidRPr="005B4699">
        <w:rPr>
          <w:rFonts w:eastAsia="Times New Roman"/>
          <w:color w:val="000000"/>
          <w:lang w:val="fr-FR"/>
        </w:rPr>
        <w:t>, les décisions des juridictions internationales sont un moyen auxiliaire de détermination de l</w:t>
      </w:r>
      <w:r>
        <w:rPr>
          <w:rFonts w:eastAsia="Times New Roman"/>
          <w:color w:val="000000"/>
          <w:lang w:val="fr-FR"/>
        </w:rPr>
        <w:t>’</w:t>
      </w:r>
      <w:r w:rsidRPr="005B4699">
        <w:rPr>
          <w:rFonts w:eastAsia="Times New Roman"/>
          <w:color w:val="000000"/>
          <w:lang w:val="fr-FR"/>
        </w:rPr>
        <w:t>existence et du contenu de</w:t>
      </w:r>
      <w:r>
        <w:rPr>
          <w:rFonts w:eastAsia="Times New Roman"/>
          <w:color w:val="000000"/>
          <w:lang w:val="fr-FR"/>
        </w:rPr>
        <w:t>s</w:t>
      </w:r>
      <w:r w:rsidRPr="005B4699">
        <w:rPr>
          <w:rFonts w:eastAsia="Times New Roman"/>
          <w:color w:val="000000"/>
          <w:lang w:val="fr-FR"/>
        </w:rPr>
        <w:t xml:space="preserve"> règles de droit international.</w:t>
      </w:r>
    </w:p>
    <w:p w14:paraId="4C011494" w14:textId="6ADFCC69" w:rsidR="004C5E26" w:rsidRPr="005B4699" w:rsidRDefault="004C5E26" w:rsidP="004C5E26">
      <w:pPr>
        <w:pStyle w:val="H4G"/>
        <w:rPr>
          <w:lang w:val="fr-FR"/>
        </w:rPr>
      </w:pPr>
      <w:r>
        <w:rPr>
          <w:lang w:val="fr-FR"/>
        </w:rPr>
        <w:tab/>
      </w:r>
      <w:r>
        <w:rPr>
          <w:lang w:val="fr-FR"/>
        </w:rPr>
        <w:tab/>
      </w:r>
      <w:r w:rsidRPr="005B4699">
        <w:rPr>
          <w:lang w:val="fr-FR"/>
        </w:rPr>
        <w:t xml:space="preserve">Paragraphe 2 </w:t>
      </w:r>
      <w:r>
        <w:rPr>
          <w:lang w:val="fr-FR"/>
        </w:rPr>
        <w:t>−</w:t>
      </w:r>
      <w:r w:rsidRPr="005B4699">
        <w:rPr>
          <w:lang w:val="fr-FR"/>
        </w:rPr>
        <w:t xml:space="preserve"> Les décisions des juridictions nationales peuvent être utilisées, dans</w:t>
      </w:r>
      <w:r>
        <w:rPr>
          <w:lang w:val="fr-FR"/>
        </w:rPr>
        <w:t> </w:t>
      </w:r>
      <w:r w:rsidRPr="005B4699">
        <w:rPr>
          <w:lang w:val="fr-FR"/>
        </w:rPr>
        <w:t>certaines circonstances, comme un moyen auxiliaire aux fins de la détermination de</w:t>
      </w:r>
      <w:r>
        <w:rPr>
          <w:lang w:val="fr-FR"/>
        </w:rPr>
        <w:t> </w:t>
      </w:r>
      <w:r w:rsidRPr="005B4699">
        <w:rPr>
          <w:lang w:val="fr-FR"/>
        </w:rPr>
        <w:t>l</w:t>
      </w:r>
      <w:r>
        <w:rPr>
          <w:lang w:val="fr-FR"/>
        </w:rPr>
        <w:t>’</w:t>
      </w:r>
      <w:r w:rsidRPr="005B4699">
        <w:rPr>
          <w:lang w:val="fr-FR"/>
        </w:rPr>
        <w:t>existence et du contenu des règles de droit international</w:t>
      </w:r>
    </w:p>
    <w:p w14:paraId="607F58DE" w14:textId="4003087D" w:rsidR="004C5E26" w:rsidRPr="005B4699" w:rsidRDefault="004C5E26" w:rsidP="004C5E26">
      <w:pPr>
        <w:pStyle w:val="SingleTxtG"/>
        <w:rPr>
          <w:rFonts w:eastAsia="Times New Roman"/>
          <w:color w:val="000000"/>
          <w:lang w:val="fr-FR"/>
        </w:rPr>
      </w:pPr>
      <w:r>
        <w:rPr>
          <w:rFonts w:eastAsia="Times New Roman"/>
          <w:color w:val="000000"/>
          <w:lang w:val="fr-FR"/>
        </w:rPr>
        <w:t>16)</w:t>
      </w:r>
      <w:r w:rsidRPr="005B4699">
        <w:rPr>
          <w:rFonts w:eastAsia="Times New Roman"/>
          <w:color w:val="000000"/>
          <w:lang w:val="fr-FR"/>
        </w:rPr>
        <w:tab/>
        <w:t xml:space="preserve">Le paragraphe 2 du projet de conclusion 4 concerne les décisions des juridictions nationales, qui peuvent être utilisées, dans certaines </w:t>
      </w:r>
      <w:r>
        <w:rPr>
          <w:rFonts w:eastAsia="Times New Roman"/>
          <w:color w:val="000000"/>
          <w:lang w:val="fr-FR"/>
        </w:rPr>
        <w:t>circonstances</w:t>
      </w:r>
      <w:r w:rsidRPr="005B4699">
        <w:rPr>
          <w:rFonts w:eastAsia="Times New Roman"/>
          <w:color w:val="000000"/>
          <w:lang w:val="fr-FR"/>
        </w:rPr>
        <w:t>, comme un moyen auxiliaire aux fins de la détermination de l</w:t>
      </w:r>
      <w:r>
        <w:rPr>
          <w:rFonts w:eastAsia="Times New Roman"/>
          <w:color w:val="000000"/>
          <w:lang w:val="fr-FR"/>
        </w:rPr>
        <w:t>’</w:t>
      </w:r>
      <w:r w:rsidRPr="005B4699">
        <w:rPr>
          <w:rFonts w:eastAsia="Times New Roman"/>
          <w:color w:val="000000"/>
          <w:lang w:val="fr-FR"/>
        </w:rPr>
        <w:t xml:space="preserve">existence et du contenu des règles de droit </w:t>
      </w:r>
      <w:r w:rsidRPr="005B4699">
        <w:rPr>
          <w:rFonts w:eastAsia="Times New Roman"/>
          <w:color w:val="000000"/>
          <w:lang w:val="fr-FR"/>
        </w:rPr>
        <w:lastRenderedPageBreak/>
        <w:t xml:space="preserve">international. </w:t>
      </w:r>
      <w:r>
        <w:rPr>
          <w:rFonts w:eastAsia="Times New Roman"/>
          <w:color w:val="000000"/>
          <w:lang w:val="fr-FR"/>
        </w:rPr>
        <w:t xml:space="preserve">Il apparaît nécessaire de faire deux remarques préliminaires avant d’expliquer le texte du paragraphe. </w:t>
      </w:r>
      <w:r w:rsidRPr="005B4699">
        <w:rPr>
          <w:rFonts w:eastAsia="Times New Roman"/>
          <w:color w:val="000000"/>
          <w:lang w:val="fr-FR"/>
        </w:rPr>
        <w:t xml:space="preserve">Premièrement, la Commission </w:t>
      </w:r>
      <w:r>
        <w:rPr>
          <w:rFonts w:eastAsia="Times New Roman"/>
          <w:color w:val="000000"/>
          <w:lang w:val="fr-FR"/>
        </w:rPr>
        <w:t>rappelle</w:t>
      </w:r>
      <w:r w:rsidRPr="005B4699">
        <w:rPr>
          <w:rFonts w:eastAsia="Times New Roman"/>
          <w:color w:val="000000"/>
          <w:lang w:val="fr-FR"/>
        </w:rPr>
        <w:t xml:space="preserve"> que l</w:t>
      </w:r>
      <w:r>
        <w:rPr>
          <w:rFonts w:eastAsia="Times New Roman"/>
          <w:color w:val="000000"/>
          <w:lang w:val="fr-FR"/>
        </w:rPr>
        <w:t>’</w:t>
      </w:r>
      <w:r w:rsidRPr="005B4699">
        <w:rPr>
          <w:rFonts w:eastAsia="Times New Roman"/>
          <w:color w:val="000000"/>
          <w:lang w:val="fr-FR"/>
        </w:rPr>
        <w:t>alinéa d) du paragraphe 1 de l</w:t>
      </w:r>
      <w:r>
        <w:rPr>
          <w:rFonts w:eastAsia="Times New Roman"/>
          <w:color w:val="000000"/>
          <w:lang w:val="fr-FR"/>
        </w:rPr>
        <w:t>’</w:t>
      </w:r>
      <w:r w:rsidRPr="005B4699">
        <w:rPr>
          <w:rFonts w:eastAsia="Times New Roman"/>
          <w:color w:val="000000"/>
          <w:lang w:val="fr-FR"/>
        </w:rPr>
        <w:t xml:space="preserve">Article 38 du Statut de la Cour internationale de Justice vise « les décisions judiciaires » sans </w:t>
      </w:r>
      <w:r>
        <w:rPr>
          <w:rFonts w:eastAsia="Times New Roman"/>
          <w:color w:val="000000"/>
          <w:lang w:val="fr-FR"/>
        </w:rPr>
        <w:t>faire de distinction entre</w:t>
      </w:r>
      <w:r w:rsidRPr="005B4699">
        <w:rPr>
          <w:rFonts w:eastAsia="Times New Roman"/>
          <w:color w:val="000000"/>
          <w:lang w:val="fr-FR"/>
        </w:rPr>
        <w:t xml:space="preserve"> ces décisions </w:t>
      </w:r>
      <w:r>
        <w:rPr>
          <w:rFonts w:eastAsia="Times New Roman"/>
          <w:color w:val="000000"/>
          <w:lang w:val="fr-FR"/>
        </w:rPr>
        <w:t xml:space="preserve">selon qu’elles </w:t>
      </w:r>
      <w:r w:rsidRPr="005B4699">
        <w:rPr>
          <w:rFonts w:eastAsia="Times New Roman"/>
          <w:color w:val="000000"/>
          <w:lang w:val="fr-FR"/>
        </w:rPr>
        <w:t>émanent de juridictions internationales ou de juridictions nationales</w:t>
      </w:r>
      <w:r w:rsidRPr="0053774D">
        <w:rPr>
          <w:rStyle w:val="Appelnotedebasdep"/>
        </w:rPr>
        <w:footnoteReference w:id="107"/>
      </w:r>
      <w:r>
        <w:rPr>
          <w:rFonts w:eastAsia="Times New Roman"/>
          <w:color w:val="000000"/>
          <w:lang w:val="fr-FR"/>
        </w:rPr>
        <w:t>.</w:t>
      </w:r>
      <w:r w:rsidRPr="005B4699">
        <w:rPr>
          <w:rFonts w:eastAsia="Times New Roman"/>
          <w:color w:val="000000"/>
          <w:lang w:val="fr-FR"/>
        </w:rPr>
        <w:t xml:space="preserve"> Cela signifie que les décisions des juridictions tant internationales que nationales </w:t>
      </w:r>
      <w:r>
        <w:rPr>
          <w:rFonts w:eastAsia="Times New Roman"/>
          <w:color w:val="000000"/>
          <w:lang w:val="fr-FR"/>
        </w:rPr>
        <w:t xml:space="preserve">pourraient </w:t>
      </w:r>
      <w:r w:rsidRPr="005B4699">
        <w:rPr>
          <w:rFonts w:eastAsia="Times New Roman"/>
          <w:color w:val="000000"/>
          <w:lang w:val="fr-FR"/>
        </w:rPr>
        <w:t xml:space="preserve">servir </w:t>
      </w:r>
      <w:r w:rsidRPr="001030F0">
        <w:rPr>
          <w:rFonts w:eastAsia="Times New Roman"/>
          <w:color w:val="000000"/>
          <w:lang w:val="fr-FR"/>
        </w:rPr>
        <w:t xml:space="preserve">de </w:t>
      </w:r>
      <w:r w:rsidRPr="005B4699">
        <w:rPr>
          <w:rFonts w:eastAsia="Times New Roman"/>
          <w:color w:val="000000"/>
          <w:lang w:val="fr-FR"/>
        </w:rPr>
        <w:t>moyens auxiliaires susceptibles d</w:t>
      </w:r>
      <w:r>
        <w:rPr>
          <w:rFonts w:eastAsia="Times New Roman"/>
          <w:color w:val="000000"/>
          <w:lang w:val="fr-FR"/>
        </w:rPr>
        <w:t>’</w:t>
      </w:r>
      <w:r w:rsidRPr="005B4699">
        <w:rPr>
          <w:rFonts w:eastAsia="Times New Roman"/>
          <w:color w:val="000000"/>
          <w:lang w:val="fr-FR"/>
        </w:rPr>
        <w:t>être utilisés pour déterminer l</w:t>
      </w:r>
      <w:r>
        <w:rPr>
          <w:rFonts w:eastAsia="Times New Roman"/>
          <w:color w:val="000000"/>
          <w:lang w:val="fr-FR"/>
        </w:rPr>
        <w:t>’</w:t>
      </w:r>
      <w:r w:rsidRPr="005B4699">
        <w:rPr>
          <w:rFonts w:eastAsia="Times New Roman"/>
          <w:color w:val="000000"/>
          <w:lang w:val="fr-FR"/>
        </w:rPr>
        <w:t>existence et le contenu de</w:t>
      </w:r>
      <w:r>
        <w:rPr>
          <w:rFonts w:eastAsia="Times New Roman"/>
          <w:color w:val="000000"/>
          <w:lang w:val="fr-FR"/>
        </w:rPr>
        <w:t>s</w:t>
      </w:r>
      <w:r w:rsidRPr="005B4699">
        <w:rPr>
          <w:rFonts w:eastAsia="Times New Roman"/>
          <w:color w:val="000000"/>
          <w:lang w:val="fr-FR"/>
        </w:rPr>
        <w:t xml:space="preserve"> règles de droit international. </w:t>
      </w:r>
    </w:p>
    <w:p w14:paraId="10811418" w14:textId="7A8FF5D3" w:rsidR="004C5E26" w:rsidRPr="005B4699" w:rsidRDefault="004C5E26" w:rsidP="004C5E26">
      <w:pPr>
        <w:pStyle w:val="SingleTxtG"/>
        <w:rPr>
          <w:rFonts w:eastAsia="Times New Roman"/>
          <w:color w:val="000000"/>
          <w:lang w:val="fr-FR"/>
        </w:rPr>
      </w:pPr>
      <w:r>
        <w:rPr>
          <w:rFonts w:eastAsia="Times New Roman"/>
          <w:color w:val="000000"/>
          <w:lang w:val="fr-FR"/>
        </w:rPr>
        <w:t>17)</w:t>
      </w:r>
      <w:r w:rsidRPr="005B4699">
        <w:rPr>
          <w:rFonts w:eastAsia="Times New Roman"/>
          <w:color w:val="000000"/>
          <w:lang w:val="fr-FR"/>
        </w:rPr>
        <w:tab/>
        <w:t xml:space="preserve">Deuxièmement, </w:t>
      </w:r>
      <w:r>
        <w:rPr>
          <w:rFonts w:eastAsia="Times New Roman"/>
          <w:color w:val="000000"/>
          <w:lang w:val="fr-FR"/>
        </w:rPr>
        <w:t xml:space="preserve">s’il n’est généralement pas difficile de faire la distinction, en pratique, entre les décisions de juridictions internationales, d’une part, et les décisions de juridictions nationales, d’autre part, </w:t>
      </w:r>
      <w:r w:rsidRPr="005B4699">
        <w:rPr>
          <w:rFonts w:eastAsia="Times New Roman"/>
          <w:color w:val="000000"/>
          <w:lang w:val="fr-FR"/>
        </w:rPr>
        <w:t>eu égard à l</w:t>
      </w:r>
      <w:r>
        <w:rPr>
          <w:rFonts w:eastAsia="Times New Roman"/>
          <w:color w:val="000000"/>
          <w:lang w:val="fr-FR"/>
        </w:rPr>
        <w:t>’</w:t>
      </w:r>
      <w:r w:rsidRPr="005B4699">
        <w:rPr>
          <w:rFonts w:eastAsia="Times New Roman"/>
          <w:color w:val="000000"/>
          <w:lang w:val="fr-FR"/>
        </w:rPr>
        <w:t>apparition d</w:t>
      </w:r>
      <w:r>
        <w:rPr>
          <w:rFonts w:eastAsia="Times New Roman"/>
          <w:color w:val="000000"/>
          <w:lang w:val="fr-FR"/>
        </w:rPr>
        <w:t>’</w:t>
      </w:r>
      <w:r w:rsidRPr="005B4699">
        <w:rPr>
          <w:rFonts w:eastAsia="Times New Roman"/>
          <w:color w:val="000000"/>
          <w:lang w:val="fr-FR"/>
        </w:rPr>
        <w:t xml:space="preserve">un </w:t>
      </w:r>
      <w:r w:rsidRPr="002A01A7">
        <w:rPr>
          <w:rFonts w:eastAsia="Times New Roman"/>
          <w:color w:val="000000" w:themeColor="text1"/>
          <w:lang w:val="fr-FR"/>
        </w:rPr>
        <w:t>nouveau</w:t>
      </w:r>
      <w:r w:rsidRPr="005B4699">
        <w:rPr>
          <w:rFonts w:eastAsia="Times New Roman"/>
          <w:color w:val="000000"/>
          <w:lang w:val="fr-FR"/>
        </w:rPr>
        <w:t xml:space="preserve"> type de juridictions, les juridictions « hybrides »</w:t>
      </w:r>
      <w:r>
        <w:rPr>
          <w:rFonts w:eastAsia="Times New Roman"/>
          <w:color w:val="000000"/>
          <w:lang w:val="fr-FR"/>
        </w:rPr>
        <w:t>, cette distinction n’est pas toujours évidente</w:t>
      </w:r>
      <w:r w:rsidRPr="0053774D">
        <w:rPr>
          <w:rStyle w:val="Appelnotedebasdep"/>
        </w:rPr>
        <w:footnoteReference w:id="108"/>
      </w:r>
      <w:r w:rsidR="002B0F7E">
        <w:rPr>
          <w:rFonts w:eastAsia="Times New Roman"/>
          <w:color w:val="000000"/>
          <w:lang w:val="fr-FR"/>
        </w:rPr>
        <w:t>.</w:t>
      </w:r>
    </w:p>
    <w:p w14:paraId="42EC8F38" w14:textId="4FF0CF79" w:rsidR="004C5E26" w:rsidRPr="00681A41" w:rsidRDefault="004C5E26" w:rsidP="004C5E26">
      <w:pPr>
        <w:pStyle w:val="SingleTxtG"/>
        <w:rPr>
          <w:rFonts w:eastAsia="Times New Roman"/>
          <w:color w:val="000000"/>
          <w:lang w:val="fr-FR"/>
        </w:rPr>
      </w:pPr>
      <w:r>
        <w:rPr>
          <w:rFonts w:eastAsia="Times New Roman"/>
          <w:color w:val="000000"/>
          <w:lang w:val="fr-FR"/>
        </w:rPr>
        <w:t>18)</w:t>
      </w:r>
      <w:r w:rsidRPr="00681A41">
        <w:rPr>
          <w:rFonts w:eastAsia="Times New Roman"/>
          <w:color w:val="000000"/>
          <w:lang w:val="fr-FR"/>
        </w:rPr>
        <w:tab/>
      </w:r>
      <w:r w:rsidRPr="005B4699">
        <w:rPr>
          <w:rFonts w:eastAsia="Times New Roman"/>
          <w:color w:val="000000"/>
          <w:lang w:val="fr-FR"/>
        </w:rPr>
        <w:t xml:space="preserve">La Commission </w:t>
      </w:r>
      <w:r>
        <w:rPr>
          <w:rFonts w:eastAsia="Times New Roman"/>
          <w:color w:val="000000"/>
          <w:lang w:val="fr-FR"/>
        </w:rPr>
        <w:t xml:space="preserve">met surtout l’accent sur les </w:t>
      </w:r>
      <w:r w:rsidRPr="005B4699">
        <w:rPr>
          <w:rFonts w:eastAsia="Times New Roman"/>
          <w:color w:val="000000"/>
          <w:lang w:val="fr-FR"/>
        </w:rPr>
        <w:t>décisions des juridictions internationales comme moyen auxiliaire aux fins de la détermination de l</w:t>
      </w:r>
      <w:r>
        <w:rPr>
          <w:rFonts w:eastAsia="Times New Roman"/>
          <w:color w:val="000000"/>
          <w:lang w:val="fr-FR"/>
        </w:rPr>
        <w:t>’</w:t>
      </w:r>
      <w:r w:rsidRPr="005B4699">
        <w:rPr>
          <w:rFonts w:eastAsia="Times New Roman"/>
          <w:color w:val="000000"/>
          <w:lang w:val="fr-FR"/>
        </w:rPr>
        <w:t xml:space="preserve">existence et du contenu des règles de droit international. </w:t>
      </w:r>
      <w:r>
        <w:rPr>
          <w:rFonts w:eastAsia="Times New Roman"/>
          <w:color w:val="000000"/>
          <w:lang w:val="fr-FR"/>
        </w:rPr>
        <w:t>L’</w:t>
      </w:r>
      <w:r w:rsidRPr="005B4699">
        <w:rPr>
          <w:rFonts w:eastAsia="Times New Roman"/>
          <w:color w:val="000000"/>
          <w:lang w:val="fr-FR"/>
        </w:rPr>
        <w:t xml:space="preserve">utilisation des décisions des juridictions nationales </w:t>
      </w:r>
      <w:r>
        <w:rPr>
          <w:rFonts w:eastAsia="Times New Roman"/>
          <w:color w:val="000000"/>
          <w:lang w:val="fr-FR"/>
        </w:rPr>
        <w:t>nécessite</w:t>
      </w:r>
      <w:r w:rsidRPr="005B4699">
        <w:rPr>
          <w:rFonts w:eastAsia="Times New Roman"/>
          <w:color w:val="000000"/>
          <w:lang w:val="fr-FR"/>
        </w:rPr>
        <w:t xml:space="preserve"> une certain</w:t>
      </w:r>
      <w:r>
        <w:rPr>
          <w:rFonts w:eastAsia="Times New Roman"/>
          <w:color w:val="000000"/>
          <w:lang w:val="fr-FR"/>
        </w:rPr>
        <w:t>e</w:t>
      </w:r>
      <w:r w:rsidRPr="005B4699">
        <w:rPr>
          <w:rFonts w:eastAsia="Times New Roman"/>
          <w:color w:val="000000"/>
          <w:lang w:val="fr-FR"/>
        </w:rPr>
        <w:t xml:space="preserve"> prudence</w:t>
      </w:r>
      <w:r w:rsidRPr="0053774D">
        <w:rPr>
          <w:rStyle w:val="Appelnotedebasdep"/>
        </w:rPr>
        <w:footnoteReference w:id="109"/>
      </w:r>
      <w:r>
        <w:rPr>
          <w:rFonts w:eastAsia="Times New Roman"/>
          <w:color w:val="000000"/>
          <w:lang w:val="fr-FR"/>
        </w:rPr>
        <w:t>.</w:t>
      </w:r>
      <w:r w:rsidRPr="005B4699">
        <w:rPr>
          <w:rFonts w:eastAsia="Times New Roman"/>
          <w:color w:val="000000"/>
          <w:lang w:val="fr-FR"/>
        </w:rPr>
        <w:t xml:space="preserve"> </w:t>
      </w:r>
      <w:r>
        <w:rPr>
          <w:rFonts w:eastAsia="Times New Roman"/>
          <w:color w:val="000000"/>
          <w:lang w:val="fr-FR"/>
        </w:rPr>
        <w:t>Cette prudence</w:t>
      </w:r>
      <w:r w:rsidRPr="005B4699">
        <w:rPr>
          <w:rFonts w:eastAsia="Times New Roman"/>
          <w:color w:val="000000"/>
          <w:lang w:val="fr-FR"/>
        </w:rPr>
        <w:t xml:space="preserve"> est reflétée dans l</w:t>
      </w:r>
      <w:r>
        <w:rPr>
          <w:rFonts w:eastAsia="Times New Roman"/>
          <w:color w:val="000000"/>
          <w:lang w:val="fr-FR"/>
        </w:rPr>
        <w:t>’</w:t>
      </w:r>
      <w:r w:rsidRPr="005B4699">
        <w:rPr>
          <w:rFonts w:eastAsia="Times New Roman"/>
          <w:color w:val="000000"/>
          <w:lang w:val="fr-FR"/>
        </w:rPr>
        <w:t>utilisation</w:t>
      </w:r>
      <w:r>
        <w:rPr>
          <w:rFonts w:eastAsia="Times New Roman"/>
          <w:color w:val="000000"/>
          <w:lang w:val="fr-FR"/>
        </w:rPr>
        <w:t>,</w:t>
      </w:r>
      <w:r w:rsidRPr="005B4699">
        <w:rPr>
          <w:rFonts w:eastAsia="Times New Roman"/>
          <w:color w:val="000000"/>
          <w:lang w:val="fr-FR"/>
        </w:rPr>
        <w:t xml:space="preserve"> </w:t>
      </w:r>
      <w:r>
        <w:rPr>
          <w:rFonts w:eastAsia="Times New Roman"/>
          <w:color w:val="000000"/>
          <w:lang w:val="fr-FR"/>
        </w:rPr>
        <w:t xml:space="preserve">aux paragraphes 1 et 2, </w:t>
      </w:r>
      <w:r w:rsidRPr="005B4699">
        <w:rPr>
          <w:rFonts w:eastAsia="Times New Roman"/>
          <w:color w:val="000000"/>
          <w:lang w:val="fr-FR"/>
        </w:rPr>
        <w:t xml:space="preserve">des mots « peuvent être utilisées » et « dans certaines circonstances » </w:t>
      </w:r>
      <w:r>
        <w:rPr>
          <w:rFonts w:eastAsia="Times New Roman"/>
          <w:color w:val="000000"/>
          <w:lang w:val="fr-FR"/>
        </w:rPr>
        <w:t xml:space="preserve">pour qualifier la formule </w:t>
      </w:r>
      <w:r w:rsidRPr="005B4699">
        <w:rPr>
          <w:rFonts w:eastAsia="Times New Roman"/>
          <w:color w:val="000000"/>
          <w:lang w:val="fr-FR"/>
        </w:rPr>
        <w:t>« un moyen auxiliaire aux fins de la détermination de l</w:t>
      </w:r>
      <w:r>
        <w:rPr>
          <w:rFonts w:eastAsia="Times New Roman"/>
          <w:color w:val="000000"/>
          <w:lang w:val="fr-FR"/>
        </w:rPr>
        <w:t>’</w:t>
      </w:r>
      <w:r w:rsidRPr="005B4699">
        <w:rPr>
          <w:rFonts w:eastAsia="Times New Roman"/>
          <w:color w:val="000000"/>
          <w:lang w:val="fr-FR"/>
        </w:rPr>
        <w:t xml:space="preserve">existence et du contenu des règles de droit international ». </w:t>
      </w:r>
      <w:r>
        <w:rPr>
          <w:rFonts w:eastAsia="Times New Roman"/>
          <w:color w:val="000000"/>
          <w:lang w:val="fr-FR"/>
        </w:rPr>
        <w:t>Le</w:t>
      </w:r>
      <w:r w:rsidRPr="00681A41">
        <w:rPr>
          <w:rFonts w:eastAsia="Times New Roman"/>
          <w:color w:val="000000"/>
          <w:lang w:val="fr-FR"/>
        </w:rPr>
        <w:t xml:space="preserve"> paragraphe 1 indique de manière catégorique que les décisions des juridictions internationales « constituent » un moyen auxiliaire. L</w:t>
      </w:r>
      <w:r>
        <w:rPr>
          <w:rFonts w:eastAsia="Times New Roman"/>
          <w:color w:val="000000"/>
          <w:lang w:val="fr-FR"/>
        </w:rPr>
        <w:t>es mots</w:t>
      </w:r>
      <w:r w:rsidRPr="00681A41">
        <w:rPr>
          <w:rFonts w:eastAsia="Times New Roman"/>
          <w:color w:val="000000"/>
          <w:lang w:val="fr-FR"/>
        </w:rPr>
        <w:t xml:space="preserve"> « dans certaines circonstances » exprime</w:t>
      </w:r>
      <w:r>
        <w:rPr>
          <w:rFonts w:eastAsia="Times New Roman"/>
          <w:color w:val="000000"/>
          <w:lang w:val="fr-FR"/>
        </w:rPr>
        <w:t>nt</w:t>
      </w:r>
      <w:r w:rsidRPr="00681A41">
        <w:rPr>
          <w:rFonts w:eastAsia="Times New Roman"/>
          <w:color w:val="000000"/>
          <w:lang w:val="fr-FR"/>
        </w:rPr>
        <w:t xml:space="preserve"> </w:t>
      </w:r>
      <w:r>
        <w:rPr>
          <w:rFonts w:eastAsia="Times New Roman"/>
          <w:color w:val="000000"/>
          <w:lang w:val="fr-FR"/>
        </w:rPr>
        <w:t xml:space="preserve">en substance </w:t>
      </w:r>
      <w:r w:rsidRPr="00681A41">
        <w:rPr>
          <w:rFonts w:eastAsia="Times New Roman"/>
          <w:color w:val="000000"/>
          <w:lang w:val="fr-FR"/>
        </w:rPr>
        <w:t>l</w:t>
      </w:r>
      <w:r>
        <w:rPr>
          <w:rFonts w:eastAsia="Times New Roman"/>
          <w:color w:val="000000"/>
          <w:lang w:val="fr-FR"/>
        </w:rPr>
        <w:t>’</w:t>
      </w:r>
      <w:r w:rsidRPr="00681A41">
        <w:rPr>
          <w:rFonts w:eastAsia="Times New Roman"/>
          <w:color w:val="000000"/>
          <w:lang w:val="fr-FR"/>
        </w:rPr>
        <w:t xml:space="preserve">idée exprimée par la Commission dans ses travaux </w:t>
      </w:r>
      <w:r w:rsidRPr="00681A41">
        <w:rPr>
          <w:rFonts w:eastAsia="Times New Roman"/>
          <w:color w:val="000000"/>
          <w:lang w:val="fr-FR"/>
        </w:rPr>
        <w:lastRenderedPageBreak/>
        <w:t>antérieurs sur la détermination du droit international coutumier (conclusion 13, par. 2</w:t>
      </w:r>
      <w:r w:rsidRPr="0053774D">
        <w:rPr>
          <w:rStyle w:val="Appelnotedebasdep"/>
        </w:rPr>
        <w:footnoteReference w:id="110"/>
      </w:r>
      <w:r w:rsidRPr="00681A41">
        <w:rPr>
          <w:rFonts w:eastAsia="Times New Roman"/>
          <w:color w:val="000000"/>
          <w:lang w:val="fr-FR"/>
        </w:rPr>
        <w:t>) et les principes généraux du droit (projet de conclusion 8, par. 2</w:t>
      </w:r>
      <w:r w:rsidRPr="0053774D">
        <w:rPr>
          <w:rStyle w:val="Appelnotedebasdep"/>
        </w:rPr>
        <w:footnoteReference w:id="111"/>
      </w:r>
      <w:r w:rsidRPr="00681A41">
        <w:rPr>
          <w:rFonts w:eastAsia="Times New Roman"/>
          <w:color w:val="000000"/>
          <w:lang w:val="fr-FR"/>
        </w:rPr>
        <w:t xml:space="preserve">) </w:t>
      </w:r>
      <w:r>
        <w:rPr>
          <w:rFonts w:eastAsia="Times New Roman"/>
          <w:color w:val="000000"/>
          <w:lang w:val="fr-FR"/>
        </w:rPr>
        <w:t>−</w:t>
      </w:r>
      <w:r w:rsidRPr="00681A41">
        <w:rPr>
          <w:rFonts w:eastAsia="Times New Roman"/>
          <w:color w:val="000000"/>
          <w:lang w:val="fr-FR"/>
        </w:rPr>
        <w:t xml:space="preserve"> « [u]ne attention peut être portée, le cas échéant » </w:t>
      </w:r>
      <w:r>
        <w:rPr>
          <w:rFonts w:eastAsia="Times New Roman"/>
          <w:color w:val="000000"/>
          <w:lang w:val="fr-FR"/>
        </w:rPr>
        <w:t>−</w:t>
      </w:r>
      <w:r w:rsidRPr="00681A41">
        <w:rPr>
          <w:rFonts w:eastAsia="Times New Roman"/>
          <w:color w:val="000000"/>
          <w:lang w:val="fr-FR"/>
        </w:rPr>
        <w:t xml:space="preserve"> ou sur la détermination et les conséquences juridiques des normes impératives du droit international général (</w:t>
      </w:r>
      <w:r w:rsidRPr="00681A41">
        <w:rPr>
          <w:rFonts w:eastAsia="Times New Roman"/>
          <w:i/>
          <w:iCs/>
          <w:color w:val="000000"/>
          <w:lang w:val="fr-FR"/>
        </w:rPr>
        <w:t>jus cogens</w:t>
      </w:r>
      <w:r w:rsidRPr="00681A41">
        <w:rPr>
          <w:rFonts w:eastAsia="Times New Roman"/>
          <w:color w:val="000000"/>
          <w:lang w:val="fr-FR"/>
        </w:rPr>
        <w:t>) (projet de conclusion 9, par. 1</w:t>
      </w:r>
      <w:r w:rsidRPr="0053774D">
        <w:rPr>
          <w:rStyle w:val="Appelnotedebasdep"/>
        </w:rPr>
        <w:footnoteReference w:id="112"/>
      </w:r>
      <w:r w:rsidRPr="00681A41">
        <w:rPr>
          <w:rFonts w:eastAsia="Times New Roman"/>
          <w:color w:val="000000"/>
          <w:lang w:val="fr-FR"/>
        </w:rPr>
        <w:t xml:space="preserve">) </w:t>
      </w:r>
      <w:r w:rsidR="002B0F7E">
        <w:rPr>
          <w:rFonts w:eastAsia="Times New Roman"/>
          <w:color w:val="000000"/>
          <w:lang w:val="fr-FR"/>
        </w:rPr>
        <w:t>− </w:t>
      </w:r>
      <w:r w:rsidRPr="00681A41">
        <w:rPr>
          <w:rFonts w:eastAsia="Times New Roman"/>
          <w:color w:val="000000"/>
          <w:lang w:val="fr-FR"/>
        </w:rPr>
        <w:t xml:space="preserve">« [u]ne attention peut </w:t>
      </w:r>
      <w:r w:rsidRPr="002B0F7E">
        <w:rPr>
          <w:rFonts w:eastAsia="Times New Roman"/>
          <w:color w:val="000000"/>
          <w:lang w:val="fr-FR"/>
        </w:rPr>
        <w:t>également</w:t>
      </w:r>
      <w:r w:rsidRPr="00681A41">
        <w:rPr>
          <w:rFonts w:eastAsia="Times New Roman"/>
          <w:color w:val="000000"/>
          <w:lang w:val="fr-FR"/>
        </w:rPr>
        <w:t xml:space="preserve"> être portée, le cas échéant ».</w:t>
      </w:r>
    </w:p>
    <w:p w14:paraId="083F4185" w14:textId="7216FC72" w:rsidR="004C5E26" w:rsidRPr="001030F0" w:rsidRDefault="004C5E26" w:rsidP="004C5E26">
      <w:pPr>
        <w:pStyle w:val="SingleTxtG"/>
        <w:rPr>
          <w:rFonts w:eastAsia="Times New Roman"/>
          <w:color w:val="000000"/>
          <w:lang w:val="fr-FR"/>
        </w:rPr>
      </w:pPr>
      <w:r>
        <w:rPr>
          <w:rFonts w:eastAsia="Times New Roman"/>
          <w:color w:val="000000"/>
          <w:lang w:val="fr-FR"/>
        </w:rPr>
        <w:t>19)</w:t>
      </w:r>
      <w:r w:rsidRPr="001030F0">
        <w:rPr>
          <w:rFonts w:eastAsia="Times New Roman"/>
          <w:color w:val="000000"/>
          <w:lang w:val="fr-FR"/>
        </w:rPr>
        <w:tab/>
      </w:r>
      <w:r w:rsidRPr="005B4699">
        <w:rPr>
          <w:rFonts w:eastAsia="Times New Roman"/>
          <w:color w:val="000000"/>
          <w:lang w:val="fr-FR"/>
        </w:rPr>
        <w:t xml:space="preserve">La Commission a </w:t>
      </w:r>
      <w:r>
        <w:rPr>
          <w:rFonts w:eastAsia="Times New Roman"/>
          <w:color w:val="000000"/>
          <w:lang w:val="fr-FR"/>
        </w:rPr>
        <w:t>souligné</w:t>
      </w:r>
      <w:r w:rsidRPr="005B4699">
        <w:rPr>
          <w:rFonts w:eastAsia="Times New Roman"/>
          <w:color w:val="000000"/>
          <w:lang w:val="fr-FR"/>
        </w:rPr>
        <w:t xml:space="preserve"> qu</w:t>
      </w:r>
      <w:r>
        <w:rPr>
          <w:rFonts w:eastAsia="Times New Roman"/>
          <w:color w:val="000000"/>
          <w:lang w:val="fr-FR"/>
        </w:rPr>
        <w:t>’</w:t>
      </w:r>
      <w:r w:rsidRPr="005B4699">
        <w:rPr>
          <w:rFonts w:eastAsia="Times New Roman"/>
          <w:color w:val="000000"/>
          <w:lang w:val="fr-FR"/>
        </w:rPr>
        <w:t xml:space="preserve">il existait de solides raisons de distinguer les décisions des juridictions internationales </w:t>
      </w:r>
      <w:r>
        <w:rPr>
          <w:rFonts w:eastAsia="Times New Roman"/>
          <w:color w:val="000000"/>
          <w:lang w:val="fr-FR"/>
        </w:rPr>
        <w:t>de</w:t>
      </w:r>
      <w:r w:rsidRPr="005B4699">
        <w:rPr>
          <w:rFonts w:eastAsia="Times New Roman"/>
          <w:color w:val="000000"/>
          <w:lang w:val="fr-FR"/>
        </w:rPr>
        <w:t xml:space="preserve"> celles des juridictions nationales. Les décisions des juridictions internationales reflètent les vues de tribunaux internationaux qui sont constitués pour </w:t>
      </w:r>
      <w:r>
        <w:rPr>
          <w:rFonts w:eastAsia="Times New Roman"/>
          <w:color w:val="000000"/>
          <w:lang w:val="fr-FR"/>
        </w:rPr>
        <w:t xml:space="preserve">interpréter et </w:t>
      </w:r>
      <w:r w:rsidRPr="005B4699">
        <w:rPr>
          <w:rFonts w:eastAsia="Times New Roman"/>
          <w:color w:val="000000"/>
          <w:lang w:val="fr-FR"/>
        </w:rPr>
        <w:t xml:space="preserve">appliquer le droit international et sont généralement composés de juges représentant les principaux systèmes </w:t>
      </w:r>
      <w:r w:rsidRPr="001030F0">
        <w:rPr>
          <w:rFonts w:eastAsia="Times New Roman"/>
          <w:color w:val="000000"/>
          <w:lang w:val="fr-FR"/>
        </w:rPr>
        <w:t xml:space="preserve">juridiques et régions du monde. Ces décisions constituent donc un moyen faisant autorité aux fins de </w:t>
      </w:r>
      <w:r w:rsidRPr="002A01A7">
        <w:rPr>
          <w:rFonts w:eastAsia="Times New Roman"/>
          <w:color w:val="000000" w:themeColor="text1"/>
          <w:lang w:val="fr-FR"/>
        </w:rPr>
        <w:t>l</w:t>
      </w:r>
      <w:r>
        <w:rPr>
          <w:rFonts w:eastAsia="Times New Roman"/>
          <w:color w:val="000000" w:themeColor="text1"/>
          <w:lang w:val="fr-FR"/>
        </w:rPr>
        <w:t>’</w:t>
      </w:r>
      <w:r w:rsidRPr="002A01A7">
        <w:rPr>
          <w:rFonts w:eastAsia="Times New Roman"/>
          <w:color w:val="000000" w:themeColor="text1"/>
          <w:lang w:val="fr-FR"/>
        </w:rPr>
        <w:t>identification</w:t>
      </w:r>
      <w:r w:rsidRPr="001030F0">
        <w:rPr>
          <w:rFonts w:eastAsia="Times New Roman"/>
          <w:color w:val="000000"/>
          <w:lang w:val="fr-FR"/>
        </w:rPr>
        <w:t xml:space="preserve"> de l</w:t>
      </w:r>
      <w:r>
        <w:rPr>
          <w:rFonts w:eastAsia="Times New Roman"/>
          <w:color w:val="000000"/>
          <w:lang w:val="fr-FR"/>
        </w:rPr>
        <w:t>’</w:t>
      </w:r>
      <w:r w:rsidRPr="001030F0">
        <w:rPr>
          <w:rFonts w:eastAsia="Times New Roman"/>
          <w:color w:val="000000"/>
          <w:lang w:val="fr-FR"/>
        </w:rPr>
        <w:t xml:space="preserve">existence </w:t>
      </w:r>
      <w:r>
        <w:rPr>
          <w:rFonts w:eastAsia="Times New Roman"/>
          <w:color w:val="000000"/>
          <w:lang w:val="fr-FR"/>
        </w:rPr>
        <w:t>des règles de</w:t>
      </w:r>
      <w:r w:rsidRPr="001030F0">
        <w:rPr>
          <w:rFonts w:eastAsia="Times New Roman"/>
          <w:color w:val="000000"/>
          <w:lang w:val="fr-FR"/>
        </w:rPr>
        <w:t xml:space="preserve"> droit international et de la détermination du champ d</w:t>
      </w:r>
      <w:r>
        <w:rPr>
          <w:rFonts w:eastAsia="Times New Roman"/>
          <w:color w:val="000000"/>
          <w:lang w:val="fr-FR"/>
        </w:rPr>
        <w:t>’</w:t>
      </w:r>
      <w:r w:rsidRPr="001030F0">
        <w:rPr>
          <w:rFonts w:eastAsia="Times New Roman"/>
          <w:color w:val="000000"/>
          <w:lang w:val="fr-FR"/>
        </w:rPr>
        <w:t xml:space="preserve">application et du contenu de </w:t>
      </w:r>
      <w:r>
        <w:rPr>
          <w:rFonts w:eastAsia="Times New Roman"/>
          <w:color w:val="000000"/>
          <w:lang w:val="fr-FR"/>
        </w:rPr>
        <w:t>celles</w:t>
      </w:r>
      <w:r>
        <w:rPr>
          <w:rFonts w:eastAsia="Times New Roman"/>
          <w:color w:val="000000"/>
          <w:lang w:val="fr-FR"/>
        </w:rPr>
        <w:noBreakHyphen/>
      </w:r>
      <w:r w:rsidRPr="001030F0">
        <w:rPr>
          <w:rFonts w:eastAsia="Times New Roman"/>
          <w:color w:val="000000"/>
          <w:lang w:val="fr-FR"/>
        </w:rPr>
        <w:t xml:space="preserve">ci. </w:t>
      </w:r>
    </w:p>
    <w:p w14:paraId="7DC14D8D" w14:textId="64544619" w:rsidR="004C5E26" w:rsidRPr="005B4699" w:rsidRDefault="004C5E26" w:rsidP="004C5E26">
      <w:pPr>
        <w:pStyle w:val="SingleTxtG"/>
        <w:rPr>
          <w:rFonts w:eastAsia="Times New Roman"/>
          <w:color w:val="000000"/>
          <w:lang w:val="fr-FR"/>
        </w:rPr>
      </w:pPr>
      <w:r w:rsidRPr="005B4699">
        <w:rPr>
          <w:rFonts w:eastAsia="Times New Roman"/>
          <w:color w:val="000000"/>
          <w:lang w:val="fr-FR"/>
        </w:rPr>
        <w:t>2</w:t>
      </w:r>
      <w:r>
        <w:rPr>
          <w:rFonts w:eastAsia="Times New Roman"/>
          <w:color w:val="000000"/>
          <w:lang w:val="fr-FR"/>
        </w:rPr>
        <w:t>0)</w:t>
      </w:r>
      <w:r w:rsidRPr="005B4699">
        <w:rPr>
          <w:rFonts w:eastAsia="Times New Roman"/>
          <w:color w:val="000000"/>
          <w:lang w:val="fr-FR"/>
        </w:rPr>
        <w:tab/>
        <w:t>En revanche, les juridictions nationales opèrent au sein d</w:t>
      </w:r>
      <w:r>
        <w:rPr>
          <w:rFonts w:eastAsia="Times New Roman"/>
          <w:color w:val="000000"/>
          <w:lang w:val="fr-FR"/>
        </w:rPr>
        <w:t>’</w:t>
      </w:r>
      <w:r w:rsidRPr="005B4699">
        <w:rPr>
          <w:rFonts w:eastAsia="Times New Roman"/>
          <w:color w:val="000000"/>
          <w:lang w:val="fr-FR"/>
        </w:rPr>
        <w:t>un système juridique particulier, qui peut n</w:t>
      </w:r>
      <w:r>
        <w:rPr>
          <w:rFonts w:eastAsia="Times New Roman"/>
          <w:color w:val="000000"/>
          <w:lang w:val="fr-FR"/>
        </w:rPr>
        <w:t>’</w:t>
      </w:r>
      <w:r w:rsidRPr="005B4699">
        <w:rPr>
          <w:rFonts w:eastAsia="Times New Roman"/>
          <w:color w:val="000000"/>
          <w:lang w:val="fr-FR"/>
        </w:rPr>
        <w:t xml:space="preserve">incorporer le droit international que de manière particulière </w:t>
      </w:r>
      <w:r>
        <w:rPr>
          <w:rFonts w:eastAsia="Times New Roman"/>
          <w:color w:val="000000"/>
          <w:lang w:val="fr-FR"/>
        </w:rPr>
        <w:t>et</w:t>
      </w:r>
      <w:r w:rsidRPr="005B4699">
        <w:rPr>
          <w:rFonts w:eastAsia="Times New Roman"/>
          <w:color w:val="000000"/>
          <w:lang w:val="fr-FR"/>
        </w:rPr>
        <w:t xml:space="preserve"> dans une mesure limitée. À</w:t>
      </w:r>
      <w:r>
        <w:rPr>
          <w:rFonts w:eastAsia="Times New Roman"/>
          <w:color w:val="000000"/>
          <w:lang w:val="fr-FR"/>
        </w:rPr>
        <w:t> </w:t>
      </w:r>
      <w:r w:rsidRPr="005B4699">
        <w:rPr>
          <w:rFonts w:eastAsia="Times New Roman"/>
          <w:color w:val="000000"/>
          <w:lang w:val="fr-FR"/>
        </w:rPr>
        <w:t>la différence des juridictions internationales, les juridictions nationales manquent parfois de compétences en droit international. Elles peuvent de plus se prononcer sans avoir entendu les arguments des États ou, même lorsqu</w:t>
      </w:r>
      <w:r>
        <w:rPr>
          <w:rFonts w:eastAsia="Times New Roman"/>
          <w:color w:val="000000"/>
          <w:lang w:val="fr-FR"/>
        </w:rPr>
        <w:t>’</w:t>
      </w:r>
      <w:r w:rsidRPr="005B4699">
        <w:rPr>
          <w:rFonts w:eastAsia="Times New Roman"/>
          <w:color w:val="000000"/>
          <w:lang w:val="fr-FR"/>
        </w:rPr>
        <w:t xml:space="preserve">elles les ont entendus, </w:t>
      </w:r>
      <w:r w:rsidRPr="001030F0">
        <w:rPr>
          <w:rFonts w:eastAsia="Times New Roman"/>
          <w:color w:val="000000"/>
          <w:lang w:val="fr-FR"/>
        </w:rPr>
        <w:t>ils peuvent refléter les vues d</w:t>
      </w:r>
      <w:r>
        <w:rPr>
          <w:rFonts w:eastAsia="Times New Roman"/>
          <w:color w:val="000000"/>
          <w:lang w:val="fr-FR"/>
        </w:rPr>
        <w:t>’</w:t>
      </w:r>
      <w:r w:rsidRPr="001030F0">
        <w:rPr>
          <w:rFonts w:eastAsia="Times New Roman"/>
          <w:color w:val="000000"/>
          <w:lang w:val="fr-FR"/>
        </w:rPr>
        <w:t>un ou deux organes d</w:t>
      </w:r>
      <w:r>
        <w:rPr>
          <w:rFonts w:eastAsia="Times New Roman"/>
          <w:color w:val="000000"/>
          <w:lang w:val="fr-FR"/>
        </w:rPr>
        <w:t>’</w:t>
      </w:r>
      <w:r w:rsidRPr="001030F0">
        <w:rPr>
          <w:rFonts w:eastAsia="Times New Roman"/>
          <w:color w:val="000000"/>
          <w:lang w:val="fr-FR"/>
        </w:rPr>
        <w:t>un État seulement</w:t>
      </w:r>
      <w:r w:rsidRPr="0053774D">
        <w:rPr>
          <w:rStyle w:val="Appelnotedebasdep"/>
        </w:rPr>
        <w:footnoteReference w:id="113"/>
      </w:r>
      <w:r>
        <w:rPr>
          <w:rFonts w:eastAsia="Times New Roman"/>
          <w:color w:val="000000"/>
          <w:lang w:val="fr-FR"/>
        </w:rPr>
        <w:t>.</w:t>
      </w:r>
      <w:r w:rsidRPr="001030F0">
        <w:rPr>
          <w:rFonts w:eastAsia="Times New Roman"/>
          <w:color w:val="000000"/>
          <w:lang w:val="fr-FR"/>
        </w:rPr>
        <w:t xml:space="preserve"> Cela dit, même dans la catégorie des juridictio</w:t>
      </w:r>
      <w:r w:rsidRPr="005B4699">
        <w:rPr>
          <w:rFonts w:eastAsia="Times New Roman"/>
          <w:color w:val="000000"/>
          <w:lang w:val="fr-FR"/>
        </w:rPr>
        <w:t xml:space="preserve">ns nationales, </w:t>
      </w:r>
      <w:r>
        <w:rPr>
          <w:rFonts w:eastAsia="Times New Roman"/>
          <w:color w:val="000000"/>
          <w:lang w:val="fr-FR"/>
        </w:rPr>
        <w:t xml:space="preserve">il faut tenir compte de la qualité du raisonnement exposé dans la décision, qui doit être appréciée au cas par cas. Souvent, </w:t>
      </w:r>
      <w:r w:rsidRPr="005B4699">
        <w:rPr>
          <w:rFonts w:eastAsia="Times New Roman"/>
          <w:color w:val="000000"/>
          <w:lang w:val="fr-FR"/>
        </w:rPr>
        <w:t xml:space="preserve">davantage de poids est accordé aux décisions des juridictions </w:t>
      </w:r>
      <w:r>
        <w:rPr>
          <w:rFonts w:eastAsia="Times New Roman"/>
          <w:color w:val="000000"/>
          <w:lang w:val="fr-FR"/>
        </w:rPr>
        <w:t xml:space="preserve">nationales </w:t>
      </w:r>
      <w:r w:rsidRPr="005B4699">
        <w:rPr>
          <w:rFonts w:eastAsia="Times New Roman"/>
          <w:color w:val="000000"/>
          <w:lang w:val="fr-FR"/>
        </w:rPr>
        <w:t xml:space="preserve">supérieures telles que les </w:t>
      </w:r>
      <w:r w:rsidRPr="002A01A7">
        <w:rPr>
          <w:rFonts w:eastAsia="Times New Roman"/>
          <w:color w:val="000000" w:themeColor="text1"/>
          <w:lang w:val="fr-FR"/>
        </w:rPr>
        <w:t>cours</w:t>
      </w:r>
      <w:r w:rsidRPr="005B4699">
        <w:rPr>
          <w:rFonts w:eastAsia="Times New Roman"/>
          <w:color w:val="000000"/>
          <w:lang w:val="fr-FR"/>
        </w:rPr>
        <w:t xml:space="preserve"> suprêmes ou constitutionnelles. On</w:t>
      </w:r>
      <w:r>
        <w:rPr>
          <w:rFonts w:eastAsia="Times New Roman"/>
          <w:color w:val="000000"/>
          <w:lang w:val="fr-FR"/>
        </w:rPr>
        <w:t> </w:t>
      </w:r>
      <w:r w:rsidRPr="005B4699">
        <w:rPr>
          <w:rFonts w:eastAsia="Times New Roman"/>
          <w:color w:val="000000"/>
          <w:lang w:val="fr-FR"/>
        </w:rPr>
        <w:t xml:space="preserve">accordera moins de poids aux décisions des juridictions </w:t>
      </w:r>
      <w:r>
        <w:rPr>
          <w:rFonts w:eastAsia="Times New Roman"/>
          <w:color w:val="000000"/>
          <w:lang w:val="fr-FR"/>
        </w:rPr>
        <w:t xml:space="preserve">nationales </w:t>
      </w:r>
      <w:r w:rsidRPr="005B4699">
        <w:rPr>
          <w:rFonts w:eastAsia="Times New Roman"/>
          <w:color w:val="000000"/>
          <w:lang w:val="fr-FR"/>
        </w:rPr>
        <w:t xml:space="preserve">inférieures. Les décisions de juridictions nationales qui ont été infirmées par une juridiction </w:t>
      </w:r>
      <w:r>
        <w:rPr>
          <w:rFonts w:eastAsia="Times New Roman"/>
          <w:color w:val="000000"/>
          <w:lang w:val="fr-FR"/>
        </w:rPr>
        <w:t xml:space="preserve">nationale </w:t>
      </w:r>
      <w:r w:rsidRPr="005B4699">
        <w:rPr>
          <w:rFonts w:eastAsia="Times New Roman"/>
          <w:color w:val="000000"/>
          <w:lang w:val="fr-FR"/>
        </w:rPr>
        <w:t>supérieure ou par l</w:t>
      </w:r>
      <w:r>
        <w:rPr>
          <w:rFonts w:eastAsia="Times New Roman"/>
          <w:color w:val="000000"/>
          <w:lang w:val="fr-FR"/>
        </w:rPr>
        <w:t>’</w:t>
      </w:r>
      <w:r w:rsidRPr="005B4699">
        <w:rPr>
          <w:rFonts w:eastAsia="Times New Roman"/>
          <w:color w:val="000000"/>
          <w:lang w:val="fr-FR"/>
        </w:rPr>
        <w:t>adoption d</w:t>
      </w:r>
      <w:r>
        <w:rPr>
          <w:rFonts w:eastAsia="Times New Roman"/>
          <w:color w:val="000000"/>
          <w:lang w:val="fr-FR"/>
        </w:rPr>
        <w:t>’</w:t>
      </w:r>
      <w:r w:rsidRPr="005B4699">
        <w:rPr>
          <w:rFonts w:eastAsia="Times New Roman"/>
          <w:color w:val="000000"/>
          <w:lang w:val="fr-FR"/>
        </w:rPr>
        <w:t>un texte législatif p</w:t>
      </w:r>
      <w:r>
        <w:rPr>
          <w:rFonts w:eastAsia="Times New Roman"/>
          <w:color w:val="000000"/>
          <w:lang w:val="fr-FR"/>
        </w:rPr>
        <w:t>euve</w:t>
      </w:r>
      <w:r w:rsidRPr="005B4699">
        <w:rPr>
          <w:rFonts w:eastAsia="Times New Roman"/>
          <w:color w:val="000000"/>
          <w:lang w:val="fr-FR"/>
        </w:rPr>
        <w:t>nt n</w:t>
      </w:r>
      <w:r>
        <w:rPr>
          <w:rFonts w:eastAsia="Times New Roman"/>
          <w:color w:val="000000"/>
          <w:lang w:val="fr-FR"/>
        </w:rPr>
        <w:t>’</w:t>
      </w:r>
      <w:r w:rsidRPr="005B4699">
        <w:rPr>
          <w:rFonts w:eastAsia="Times New Roman"/>
          <w:color w:val="000000"/>
          <w:lang w:val="fr-FR"/>
        </w:rPr>
        <w:t>avoir guère de poids</w:t>
      </w:r>
      <w:r>
        <w:rPr>
          <w:rFonts w:eastAsia="Times New Roman"/>
          <w:color w:val="000000"/>
          <w:lang w:val="fr-FR"/>
        </w:rPr>
        <w:t>, voire ne pas en avoir du tout</w:t>
      </w:r>
      <w:r w:rsidRPr="005B4699">
        <w:rPr>
          <w:rFonts w:eastAsia="Times New Roman"/>
          <w:color w:val="000000"/>
          <w:lang w:val="fr-FR"/>
        </w:rPr>
        <w:t>.</w:t>
      </w:r>
    </w:p>
    <w:p w14:paraId="7BC909F0" w14:textId="20388B0B" w:rsidR="004C5E26" w:rsidRPr="005B4699" w:rsidRDefault="004C5E26" w:rsidP="004C5E26">
      <w:pPr>
        <w:pStyle w:val="SingleTxtG"/>
        <w:rPr>
          <w:rFonts w:eastAsia="Times New Roman"/>
          <w:color w:val="000000"/>
          <w:lang w:val="fr-FR"/>
        </w:rPr>
      </w:pPr>
      <w:r w:rsidRPr="005B4699">
        <w:rPr>
          <w:rFonts w:eastAsia="Times New Roman"/>
          <w:color w:val="000000"/>
          <w:lang w:val="fr-FR"/>
        </w:rPr>
        <w:t>2</w:t>
      </w:r>
      <w:r>
        <w:rPr>
          <w:rFonts w:eastAsia="Times New Roman"/>
          <w:color w:val="000000"/>
          <w:lang w:val="fr-FR"/>
        </w:rPr>
        <w:t>1)</w:t>
      </w:r>
      <w:r w:rsidRPr="005B4699">
        <w:rPr>
          <w:rFonts w:eastAsia="Times New Roman"/>
          <w:color w:val="000000"/>
          <w:lang w:val="fr-FR"/>
        </w:rPr>
        <w:tab/>
        <w:t>Le projet de conclusion 4 doit être lu</w:t>
      </w:r>
      <w:r>
        <w:rPr>
          <w:rFonts w:eastAsia="Times New Roman"/>
          <w:color w:val="000000"/>
          <w:lang w:val="fr-FR"/>
        </w:rPr>
        <w:t xml:space="preserve"> conjointement</w:t>
      </w:r>
      <w:r w:rsidRPr="005B4699">
        <w:rPr>
          <w:rFonts w:eastAsia="Times New Roman"/>
          <w:color w:val="000000"/>
          <w:lang w:val="fr-FR"/>
        </w:rPr>
        <w:t xml:space="preserve"> avec le projet de conclusion</w:t>
      </w:r>
      <w:r w:rsidR="002B0F7E">
        <w:rPr>
          <w:rFonts w:eastAsia="Times New Roman"/>
          <w:color w:val="000000"/>
          <w:lang w:val="fr-FR"/>
        </w:rPr>
        <w:t> </w:t>
      </w:r>
      <w:r w:rsidRPr="005B4699">
        <w:rPr>
          <w:rFonts w:eastAsia="Times New Roman"/>
          <w:color w:val="000000"/>
          <w:lang w:val="fr-FR"/>
        </w:rPr>
        <w:t>3, qui énonce les critères généraux d</w:t>
      </w:r>
      <w:r>
        <w:rPr>
          <w:rFonts w:eastAsia="Times New Roman"/>
          <w:color w:val="000000"/>
          <w:lang w:val="fr-FR"/>
        </w:rPr>
        <w:t>’</w:t>
      </w:r>
      <w:r w:rsidRPr="005B4699">
        <w:rPr>
          <w:rFonts w:eastAsia="Times New Roman"/>
          <w:color w:val="000000"/>
          <w:lang w:val="fr-FR"/>
        </w:rPr>
        <w:t>appréciation des moyens auxiliaires de détermination des règles de droit</w:t>
      </w:r>
      <w:r>
        <w:rPr>
          <w:rFonts w:eastAsia="Times New Roman"/>
          <w:color w:val="000000"/>
          <w:lang w:val="fr-FR"/>
        </w:rPr>
        <w:t xml:space="preserve"> international</w:t>
      </w:r>
      <w:r w:rsidRPr="005B4699">
        <w:rPr>
          <w:rFonts w:eastAsia="Times New Roman"/>
          <w:color w:val="000000"/>
          <w:lang w:val="fr-FR"/>
        </w:rPr>
        <w:t>,</w:t>
      </w:r>
      <w:r>
        <w:rPr>
          <w:rFonts w:eastAsia="Times New Roman"/>
          <w:color w:val="000000"/>
          <w:lang w:val="fr-FR"/>
        </w:rPr>
        <w:t xml:space="preserve"> le projet de conclusion 7, qui concerne l’a</w:t>
      </w:r>
      <w:r w:rsidRPr="00F80FC3">
        <w:rPr>
          <w:rFonts w:eastAsia="Times New Roman"/>
          <w:bCs/>
          <w:lang w:val="fr-FR"/>
        </w:rPr>
        <w:t>bsence de précédents juridiquement contraignants en droit international</w:t>
      </w:r>
      <w:r>
        <w:rPr>
          <w:rFonts w:eastAsia="Times New Roman"/>
          <w:bCs/>
          <w:lang w:val="fr-FR"/>
        </w:rPr>
        <w:t>, et</w:t>
      </w:r>
      <w:r w:rsidRPr="005B4699">
        <w:rPr>
          <w:rFonts w:eastAsia="Times New Roman"/>
          <w:color w:val="000000"/>
          <w:lang w:val="fr-FR"/>
        </w:rPr>
        <w:t xml:space="preserve"> le projet de conclusion 8, qui énonce des critères indicatifs aux fins de l</w:t>
      </w:r>
      <w:r>
        <w:rPr>
          <w:rFonts w:eastAsia="Times New Roman"/>
          <w:color w:val="000000"/>
          <w:lang w:val="fr-FR"/>
        </w:rPr>
        <w:t>’</w:t>
      </w:r>
      <w:r w:rsidRPr="005B4699">
        <w:rPr>
          <w:rFonts w:eastAsia="Times New Roman"/>
          <w:color w:val="000000"/>
          <w:lang w:val="fr-FR"/>
        </w:rPr>
        <w:t>appréciation du poids à accorder aux décisions des juridictions, qu</w:t>
      </w:r>
      <w:r>
        <w:rPr>
          <w:rFonts w:eastAsia="Times New Roman"/>
          <w:color w:val="000000"/>
          <w:lang w:val="fr-FR"/>
        </w:rPr>
        <w:t>’</w:t>
      </w:r>
      <w:r w:rsidRPr="005B4699">
        <w:rPr>
          <w:rFonts w:eastAsia="Times New Roman"/>
          <w:color w:val="000000"/>
          <w:lang w:val="fr-FR"/>
        </w:rPr>
        <w:t>elles soient internationales</w:t>
      </w:r>
      <w:r>
        <w:rPr>
          <w:rFonts w:eastAsia="Times New Roman"/>
          <w:color w:val="000000"/>
          <w:lang w:val="fr-FR"/>
        </w:rPr>
        <w:t>,</w:t>
      </w:r>
      <w:r w:rsidRPr="005B4699">
        <w:rPr>
          <w:rFonts w:eastAsia="Times New Roman"/>
          <w:color w:val="000000"/>
          <w:lang w:val="fr-FR"/>
        </w:rPr>
        <w:t xml:space="preserve"> nationales</w:t>
      </w:r>
      <w:r>
        <w:rPr>
          <w:rFonts w:eastAsia="Times New Roman"/>
          <w:color w:val="000000"/>
          <w:lang w:val="fr-FR"/>
        </w:rPr>
        <w:t xml:space="preserve"> ou hybrides</w:t>
      </w:r>
      <w:r w:rsidRPr="005B4699">
        <w:rPr>
          <w:rFonts w:eastAsia="Times New Roman"/>
          <w:color w:val="000000"/>
          <w:lang w:val="fr-FR"/>
        </w:rPr>
        <w:t xml:space="preserve">. </w:t>
      </w:r>
    </w:p>
    <w:p w14:paraId="6A8F35CB" w14:textId="3ECBB623" w:rsidR="004C5E26" w:rsidRPr="005B4699" w:rsidRDefault="004C5E26" w:rsidP="004C5E26">
      <w:pPr>
        <w:pStyle w:val="SingleTxtG"/>
        <w:rPr>
          <w:rFonts w:eastAsia="Times New Roman"/>
          <w:color w:val="000000"/>
          <w:lang w:val="fr-FR"/>
        </w:rPr>
      </w:pPr>
      <w:r w:rsidRPr="005B4699">
        <w:rPr>
          <w:rFonts w:eastAsia="Times New Roman"/>
          <w:color w:val="000000"/>
          <w:lang w:val="fr-FR"/>
        </w:rPr>
        <w:t>2</w:t>
      </w:r>
      <w:r>
        <w:rPr>
          <w:rFonts w:eastAsia="Times New Roman"/>
          <w:color w:val="000000"/>
          <w:lang w:val="fr-FR"/>
        </w:rPr>
        <w:t>2)</w:t>
      </w:r>
      <w:r w:rsidRPr="005B4699">
        <w:rPr>
          <w:rFonts w:eastAsia="Times New Roman"/>
          <w:color w:val="000000"/>
          <w:lang w:val="fr-FR"/>
        </w:rPr>
        <w:tab/>
        <w:t>La Commission souligne ici que le degré de représentativité des décisions des</w:t>
      </w:r>
      <w:r w:rsidR="00425153">
        <w:rPr>
          <w:rFonts w:eastAsia="Times New Roman"/>
          <w:color w:val="000000"/>
          <w:lang w:val="fr-FR"/>
        </w:rPr>
        <w:t xml:space="preserve"> </w:t>
      </w:r>
      <w:r w:rsidRPr="005B4699">
        <w:rPr>
          <w:rFonts w:eastAsia="Times New Roman"/>
          <w:color w:val="000000"/>
          <w:lang w:val="fr-FR"/>
        </w:rPr>
        <w:t xml:space="preserve">juridictions qui sont utilisées pour déterminer les règles de droit </w:t>
      </w:r>
      <w:r w:rsidRPr="002A01A7">
        <w:rPr>
          <w:rFonts w:eastAsia="Times New Roman"/>
          <w:color w:val="000000" w:themeColor="text1"/>
          <w:lang w:val="fr-FR"/>
        </w:rPr>
        <w:t>international</w:t>
      </w:r>
      <w:r w:rsidRPr="005B4699">
        <w:rPr>
          <w:rFonts w:eastAsia="Times New Roman"/>
          <w:color w:val="000000"/>
          <w:lang w:val="fr-FR"/>
        </w:rPr>
        <w:t xml:space="preserve"> est une considération importante dont il faut tenir compte. Bien trop souvent, en pratique, les décisions de certaines juridictions de certaines régions se voient accorder </w:t>
      </w:r>
      <w:r>
        <w:rPr>
          <w:rFonts w:eastAsia="Times New Roman"/>
          <w:color w:val="000000"/>
          <w:lang w:val="fr-FR"/>
        </w:rPr>
        <w:t>une</w:t>
      </w:r>
      <w:r w:rsidRPr="005B4699">
        <w:rPr>
          <w:rFonts w:eastAsia="Times New Roman"/>
          <w:color w:val="000000"/>
          <w:lang w:val="fr-FR"/>
        </w:rPr>
        <w:t xml:space="preserve"> priorité </w:t>
      </w:r>
      <w:r>
        <w:rPr>
          <w:rFonts w:eastAsia="Times New Roman"/>
          <w:color w:val="000000"/>
          <w:lang w:val="fr-FR"/>
        </w:rPr>
        <w:t>à l’exclusion d’autres juridictions</w:t>
      </w:r>
      <w:r w:rsidRPr="0053774D">
        <w:rPr>
          <w:rStyle w:val="Appelnotedebasdep"/>
        </w:rPr>
        <w:footnoteReference w:id="114"/>
      </w:r>
      <w:r>
        <w:rPr>
          <w:rFonts w:eastAsia="Times New Roman"/>
          <w:color w:val="000000"/>
          <w:lang w:val="fr-FR"/>
        </w:rPr>
        <w:t>.</w:t>
      </w:r>
      <w:r w:rsidRPr="005B4699">
        <w:rPr>
          <w:rFonts w:eastAsia="Times New Roman"/>
          <w:color w:val="000000"/>
          <w:lang w:val="fr-FR"/>
        </w:rPr>
        <w:t xml:space="preserve"> Cela peut avoir pour effet fortuit de compromettre l</w:t>
      </w:r>
      <w:r>
        <w:rPr>
          <w:rFonts w:eastAsia="Times New Roman"/>
          <w:color w:val="000000"/>
          <w:lang w:val="fr-FR"/>
        </w:rPr>
        <w:t>’</w:t>
      </w:r>
      <w:r w:rsidRPr="005B4699">
        <w:rPr>
          <w:rFonts w:eastAsia="Times New Roman"/>
          <w:color w:val="000000"/>
          <w:lang w:val="fr-FR"/>
        </w:rPr>
        <w:t>acceptation du droit international au niveau mondial. De l</w:t>
      </w:r>
      <w:r>
        <w:rPr>
          <w:rFonts w:eastAsia="Times New Roman"/>
          <w:color w:val="000000"/>
          <w:lang w:val="fr-FR"/>
        </w:rPr>
        <w:t>’</w:t>
      </w:r>
      <w:r w:rsidRPr="005B4699">
        <w:rPr>
          <w:rFonts w:eastAsia="Times New Roman"/>
          <w:color w:val="000000"/>
          <w:lang w:val="fr-FR"/>
        </w:rPr>
        <w:t xml:space="preserve">avis de la Commission, comme pour la doctrine en tant que moyen auxiliaire </w:t>
      </w:r>
      <w:r>
        <w:rPr>
          <w:rFonts w:eastAsia="Times New Roman"/>
          <w:color w:val="000000"/>
          <w:lang w:val="fr-FR"/>
        </w:rPr>
        <w:t>faisant l’objet du</w:t>
      </w:r>
      <w:r w:rsidRPr="005B4699">
        <w:rPr>
          <w:rFonts w:eastAsia="Times New Roman"/>
          <w:color w:val="000000"/>
          <w:lang w:val="fr-FR"/>
        </w:rPr>
        <w:t xml:space="preserve"> projet de conclusion 5, il ne faut ménager aucun effort pour utiliser un ensemble représentatif de décisions de juridictions émanant des divers systèmes juridiques et régions du monde et rédigées dans différentes langues. Cela</w:t>
      </w:r>
      <w:r>
        <w:rPr>
          <w:rFonts w:eastAsia="Times New Roman"/>
          <w:color w:val="000000"/>
          <w:lang w:val="fr-FR"/>
        </w:rPr>
        <w:t> </w:t>
      </w:r>
      <w:r w:rsidRPr="005B4699">
        <w:rPr>
          <w:rFonts w:eastAsia="Times New Roman"/>
          <w:color w:val="000000"/>
          <w:lang w:val="fr-FR"/>
        </w:rPr>
        <w:t>contribue à renforcer la légitimité et le développement d</w:t>
      </w:r>
      <w:r>
        <w:rPr>
          <w:rFonts w:eastAsia="Times New Roman"/>
          <w:color w:val="000000"/>
          <w:lang w:val="fr-FR"/>
        </w:rPr>
        <w:t>’</w:t>
      </w:r>
      <w:r w:rsidRPr="005B4699">
        <w:rPr>
          <w:rFonts w:eastAsia="Times New Roman"/>
          <w:color w:val="000000"/>
          <w:lang w:val="fr-FR"/>
        </w:rPr>
        <w:t xml:space="preserve">un droit </w:t>
      </w:r>
      <w:r w:rsidRPr="001030F0">
        <w:rPr>
          <w:rFonts w:eastAsia="Times New Roman"/>
          <w:color w:val="000000"/>
          <w:lang w:val="fr-FR"/>
        </w:rPr>
        <w:t xml:space="preserve">international </w:t>
      </w:r>
      <w:r w:rsidRPr="005B4699">
        <w:rPr>
          <w:rFonts w:eastAsia="Times New Roman"/>
          <w:color w:val="000000"/>
          <w:lang w:val="fr-FR"/>
        </w:rPr>
        <w:t>applicable</w:t>
      </w:r>
      <w:r w:rsidRPr="008C7998">
        <w:rPr>
          <w:rFonts w:eastAsia="Times New Roman"/>
          <w:color w:val="000000"/>
          <w:lang w:val="fr-FR"/>
        </w:rPr>
        <w:t xml:space="preserve"> </w:t>
      </w:r>
      <w:r>
        <w:rPr>
          <w:rFonts w:eastAsia="Times New Roman"/>
          <w:color w:val="000000"/>
          <w:lang w:val="fr-FR"/>
        </w:rPr>
        <w:t xml:space="preserve">réellement </w:t>
      </w:r>
      <w:r w:rsidRPr="001030F0">
        <w:rPr>
          <w:rFonts w:eastAsia="Times New Roman"/>
          <w:color w:val="000000"/>
          <w:lang w:val="fr-FR"/>
        </w:rPr>
        <w:t>universel</w:t>
      </w:r>
      <w:r w:rsidRPr="005B4699">
        <w:rPr>
          <w:rFonts w:eastAsia="Times New Roman"/>
          <w:color w:val="000000"/>
          <w:lang w:val="fr-FR"/>
        </w:rPr>
        <w:t>.</w:t>
      </w:r>
    </w:p>
    <w:p w14:paraId="130FA575" w14:textId="77777777" w:rsidR="004C5E26" w:rsidRPr="005B4699" w:rsidRDefault="004C5E26" w:rsidP="00AF4E47">
      <w:pPr>
        <w:pStyle w:val="H23G"/>
        <w:ind w:left="1701" w:firstLine="0"/>
        <w:rPr>
          <w:rFonts w:eastAsia="Times New Roman"/>
          <w:b w:val="0"/>
          <w:lang w:val="fr-FR"/>
        </w:rPr>
      </w:pPr>
      <w:r w:rsidRPr="002A01A7">
        <w:rPr>
          <w:bCs/>
          <w:lang w:val="fr-FR"/>
        </w:rPr>
        <w:lastRenderedPageBreak/>
        <w:t>Conclusion</w:t>
      </w:r>
      <w:r w:rsidRPr="005B4699">
        <w:rPr>
          <w:rFonts w:eastAsia="Times New Roman"/>
          <w:lang w:val="fr-FR"/>
        </w:rPr>
        <w:t xml:space="preserve"> 5</w:t>
      </w:r>
      <w:r>
        <w:rPr>
          <w:rFonts w:eastAsia="Times New Roman"/>
          <w:lang w:val="fr-FR"/>
        </w:rPr>
        <w:t xml:space="preserve"> </w:t>
      </w:r>
      <w:r>
        <w:rPr>
          <w:rFonts w:eastAsia="Times New Roman"/>
          <w:lang w:val="fr-FR"/>
        </w:rPr>
        <w:br/>
      </w:r>
      <w:bookmarkStart w:id="64" w:name="_Hlk175323457"/>
      <w:r w:rsidRPr="005B4699">
        <w:rPr>
          <w:rFonts w:eastAsia="Times New Roman"/>
          <w:lang w:val="fr-FR"/>
        </w:rPr>
        <w:t>Doctrine</w:t>
      </w:r>
      <w:bookmarkEnd w:id="64"/>
    </w:p>
    <w:p w14:paraId="5A4B44E1" w14:textId="5CCE7F29" w:rsidR="004C5E26" w:rsidRPr="005B4699" w:rsidRDefault="004C5E26" w:rsidP="004C5E26">
      <w:pPr>
        <w:pStyle w:val="SingleTxtG"/>
        <w:keepNext/>
        <w:ind w:left="1701" w:firstLine="567"/>
        <w:rPr>
          <w:rFonts w:eastAsia="Times New Roman"/>
          <w:color w:val="000000"/>
          <w:lang w:val="fr-FR"/>
        </w:rPr>
      </w:pPr>
      <w:r w:rsidRPr="005B4699">
        <w:rPr>
          <w:rFonts w:eastAsia="Times New Roman"/>
          <w:color w:val="000000"/>
          <w:lang w:val="fr-FR"/>
        </w:rPr>
        <w:t>La doctrine, en particulier celle qui reflète de manière générale les points de vue concordants de personnes ayant une compétence en droit international et représentatives des différents systèmes juridiques et régions du monde, constitue un moyen auxiliaire aux fins de la détermination de l</w:t>
      </w:r>
      <w:r>
        <w:rPr>
          <w:rFonts w:eastAsia="Times New Roman"/>
          <w:color w:val="000000"/>
          <w:lang w:val="fr-FR"/>
        </w:rPr>
        <w:t>’</w:t>
      </w:r>
      <w:r w:rsidRPr="005B4699">
        <w:rPr>
          <w:rFonts w:eastAsia="Times New Roman"/>
          <w:color w:val="000000"/>
          <w:lang w:val="fr-FR"/>
        </w:rPr>
        <w:t xml:space="preserve">existence et du contenu des </w:t>
      </w:r>
      <w:r w:rsidRPr="002A01A7">
        <w:rPr>
          <w:lang w:val="fr-FR"/>
        </w:rPr>
        <w:t>règles</w:t>
      </w:r>
      <w:r w:rsidRPr="005B4699">
        <w:rPr>
          <w:rFonts w:eastAsia="Times New Roman"/>
          <w:color w:val="000000"/>
          <w:lang w:val="fr-FR"/>
        </w:rPr>
        <w:t xml:space="preserve"> de droit international. Pour évaluer le caractère représentatif de la doctrine, une attention particulière devrait </w:t>
      </w:r>
      <w:r>
        <w:rPr>
          <w:rFonts w:eastAsia="Times New Roman"/>
          <w:color w:val="000000"/>
          <w:lang w:val="fr-FR"/>
        </w:rPr>
        <w:t xml:space="preserve">également </w:t>
      </w:r>
      <w:r w:rsidRPr="005B4699">
        <w:rPr>
          <w:rFonts w:eastAsia="Times New Roman"/>
          <w:color w:val="000000"/>
          <w:lang w:val="fr-FR"/>
        </w:rPr>
        <w:t xml:space="preserve">être portée, </w:t>
      </w:r>
      <w:r w:rsidRPr="00F01BDF">
        <w:rPr>
          <w:rFonts w:eastAsia="Times New Roman"/>
          <w:i/>
          <w:iCs/>
          <w:color w:val="000000"/>
          <w:lang w:val="fr-FR"/>
        </w:rPr>
        <w:t>inter alia</w:t>
      </w:r>
      <w:r w:rsidRPr="005B4699">
        <w:rPr>
          <w:rFonts w:eastAsia="Times New Roman"/>
          <w:color w:val="000000"/>
          <w:lang w:val="fr-FR"/>
        </w:rPr>
        <w:t>, à la diversité de genre et de langues.</w:t>
      </w:r>
    </w:p>
    <w:p w14:paraId="149E619A" w14:textId="77777777" w:rsidR="004C5E26" w:rsidRPr="005B4699" w:rsidRDefault="004C5E26" w:rsidP="004C5E26">
      <w:pPr>
        <w:pStyle w:val="H23G"/>
        <w:rPr>
          <w:rFonts w:eastAsia="Times New Roman"/>
          <w:lang w:val="fr-FR"/>
        </w:rPr>
      </w:pPr>
      <w:r>
        <w:rPr>
          <w:shd w:val="clear" w:color="000000" w:fill="FFFFFF"/>
          <w:lang w:val="fr-FR"/>
        </w:rPr>
        <w:tab/>
      </w:r>
      <w:r>
        <w:rPr>
          <w:shd w:val="clear" w:color="000000" w:fill="FFFFFF"/>
          <w:lang w:val="fr-FR"/>
        </w:rPr>
        <w:tab/>
      </w:r>
      <w:r w:rsidRPr="002A01A7">
        <w:rPr>
          <w:shd w:val="clear" w:color="000000" w:fill="FFFFFF"/>
          <w:lang w:val="fr-FR"/>
        </w:rPr>
        <w:t>Commentaire</w:t>
      </w:r>
    </w:p>
    <w:p w14:paraId="1B132012" w14:textId="30A80C6A" w:rsidR="004C5E26" w:rsidRPr="004E64D8" w:rsidRDefault="004C5E26" w:rsidP="004C5E26">
      <w:pPr>
        <w:pStyle w:val="SingleTxtG"/>
        <w:rPr>
          <w:rFonts w:eastAsia="Times New Roman"/>
          <w:color w:val="000000"/>
        </w:rPr>
      </w:pPr>
      <w:r w:rsidRPr="005B4699">
        <w:rPr>
          <w:rFonts w:eastAsia="Times New Roman"/>
          <w:color w:val="000000"/>
          <w:lang w:val="fr-FR"/>
        </w:rPr>
        <w:t>1)</w:t>
      </w:r>
      <w:r w:rsidRPr="005B4699">
        <w:rPr>
          <w:rFonts w:eastAsia="Times New Roman"/>
          <w:color w:val="000000"/>
          <w:lang w:val="fr-FR"/>
        </w:rPr>
        <w:tab/>
        <w:t>Le projet de conclusion 5 concerne le rôle de la doctrine (« </w:t>
      </w:r>
      <w:proofErr w:type="spellStart"/>
      <w:r w:rsidRPr="005B4699">
        <w:rPr>
          <w:rFonts w:eastAsia="Times New Roman"/>
          <w:i/>
          <w:color w:val="000000"/>
          <w:lang w:val="fr-FR"/>
        </w:rPr>
        <w:t>teachings</w:t>
      </w:r>
      <w:proofErr w:type="spellEnd"/>
      <w:r w:rsidRPr="005B4699">
        <w:rPr>
          <w:rFonts w:eastAsia="Times New Roman"/>
          <w:iCs/>
          <w:color w:val="000000"/>
          <w:lang w:val="fr-FR"/>
        </w:rPr>
        <w:t> »</w:t>
      </w:r>
      <w:r w:rsidRPr="005B4699">
        <w:rPr>
          <w:rFonts w:eastAsia="Times New Roman"/>
          <w:color w:val="000000"/>
          <w:lang w:val="fr-FR"/>
        </w:rPr>
        <w:t xml:space="preserve"> en anglais et « </w:t>
      </w:r>
      <w:r w:rsidRPr="005B4699">
        <w:rPr>
          <w:rFonts w:eastAsia="Times New Roman"/>
          <w:i/>
          <w:color w:val="000000"/>
          <w:lang w:val="fr-FR"/>
        </w:rPr>
        <w:t>la doctrina</w:t>
      </w:r>
      <w:r w:rsidRPr="005B4699">
        <w:rPr>
          <w:rFonts w:eastAsia="Times New Roman"/>
          <w:iCs/>
          <w:color w:val="000000"/>
          <w:lang w:val="fr-FR"/>
        </w:rPr>
        <w:t> »</w:t>
      </w:r>
      <w:r w:rsidRPr="005B4699">
        <w:rPr>
          <w:rFonts w:eastAsia="Times New Roman"/>
          <w:color w:val="000000"/>
          <w:lang w:val="fr-FR"/>
        </w:rPr>
        <w:t xml:space="preserve"> en espagnol) </w:t>
      </w:r>
      <w:r>
        <w:rPr>
          <w:rFonts w:eastAsia="Times New Roman"/>
          <w:color w:val="000000"/>
          <w:lang w:val="fr-FR"/>
        </w:rPr>
        <w:t xml:space="preserve">entendue </w:t>
      </w:r>
      <w:r w:rsidRPr="005B4699">
        <w:rPr>
          <w:rFonts w:eastAsia="Times New Roman"/>
          <w:color w:val="000000"/>
          <w:lang w:val="fr-FR"/>
        </w:rPr>
        <w:t>au sens large comme incluant les écrits</w:t>
      </w:r>
      <w:r>
        <w:rPr>
          <w:rFonts w:eastAsia="Times New Roman"/>
          <w:color w:val="000000"/>
          <w:lang w:val="fr-FR"/>
        </w:rPr>
        <w:t xml:space="preserve"> ainsi que</w:t>
      </w:r>
      <w:r w:rsidRPr="005B4699">
        <w:rPr>
          <w:rFonts w:eastAsia="Times New Roman"/>
          <w:color w:val="000000"/>
          <w:lang w:val="fr-FR"/>
        </w:rPr>
        <w:t xml:space="preserve"> les conférences enregistrées et les matériels audiovisuels</w:t>
      </w:r>
      <w:r w:rsidRPr="0053774D">
        <w:rPr>
          <w:rStyle w:val="Appelnotedebasdep"/>
        </w:rPr>
        <w:footnoteReference w:id="115"/>
      </w:r>
      <w:r w:rsidR="005928F1">
        <w:rPr>
          <w:rFonts w:eastAsia="Times New Roman"/>
          <w:color w:val="000000"/>
          <w:lang w:val="fr-FR"/>
        </w:rPr>
        <w:t>.</w:t>
      </w:r>
      <w:r>
        <w:rPr>
          <w:rFonts w:eastAsia="Times New Roman"/>
          <w:color w:val="000000"/>
          <w:lang w:val="fr-FR"/>
        </w:rPr>
        <w:t xml:space="preserve"> </w:t>
      </w:r>
      <w:r w:rsidRPr="005B4699">
        <w:rPr>
          <w:rFonts w:eastAsia="Times New Roman"/>
          <w:color w:val="000000"/>
          <w:lang w:val="fr-FR"/>
        </w:rPr>
        <w:t>Le terme désigne aussi généralement la doctrine émanant d</w:t>
      </w:r>
      <w:r>
        <w:rPr>
          <w:rFonts w:eastAsia="Times New Roman"/>
          <w:color w:val="000000"/>
          <w:lang w:val="fr-FR"/>
        </w:rPr>
        <w:t>’</w:t>
      </w:r>
      <w:r w:rsidRPr="005B4699">
        <w:rPr>
          <w:rFonts w:eastAsia="Times New Roman"/>
          <w:color w:val="000000"/>
          <w:lang w:val="fr-FR"/>
        </w:rPr>
        <w:t>auteurs individuels ou de plusieurs auteurs organisés en groupes d</w:t>
      </w:r>
      <w:r>
        <w:rPr>
          <w:rFonts w:eastAsia="Times New Roman"/>
          <w:color w:val="000000"/>
          <w:lang w:val="fr-FR"/>
        </w:rPr>
        <w:t>’</w:t>
      </w:r>
      <w:r w:rsidRPr="005B4699">
        <w:rPr>
          <w:rFonts w:eastAsia="Times New Roman"/>
          <w:color w:val="000000"/>
          <w:lang w:val="fr-FR"/>
        </w:rPr>
        <w:t>experts ad hoc ou permanents, qu</w:t>
      </w:r>
      <w:r>
        <w:rPr>
          <w:rFonts w:eastAsia="Times New Roman"/>
          <w:color w:val="000000"/>
          <w:lang w:val="fr-FR"/>
        </w:rPr>
        <w:t>’</w:t>
      </w:r>
      <w:r w:rsidRPr="005B4699">
        <w:rPr>
          <w:rFonts w:eastAsia="Times New Roman"/>
          <w:color w:val="000000"/>
          <w:lang w:val="fr-FR"/>
        </w:rPr>
        <w:t>ils soient</w:t>
      </w:r>
      <w:r>
        <w:rPr>
          <w:rFonts w:eastAsia="Times New Roman"/>
          <w:color w:val="000000"/>
          <w:lang w:val="fr-FR"/>
        </w:rPr>
        <w:t xml:space="preserve"> </w:t>
      </w:r>
      <w:r w:rsidRPr="005B4699">
        <w:rPr>
          <w:rFonts w:eastAsia="Times New Roman"/>
          <w:color w:val="000000"/>
          <w:lang w:val="fr-FR"/>
        </w:rPr>
        <w:t>créés par</w:t>
      </w:r>
      <w:r>
        <w:rPr>
          <w:rFonts w:eastAsia="Times New Roman"/>
          <w:color w:val="000000"/>
          <w:lang w:val="fr-FR"/>
        </w:rPr>
        <w:t xml:space="preserve"> des personnes ou par des</w:t>
      </w:r>
      <w:r w:rsidRPr="005B4699">
        <w:rPr>
          <w:rFonts w:eastAsia="Times New Roman"/>
          <w:color w:val="000000"/>
          <w:lang w:val="fr-FR"/>
        </w:rPr>
        <w:t xml:space="preserve"> États </w:t>
      </w:r>
      <w:r>
        <w:rPr>
          <w:rFonts w:eastAsia="Times New Roman"/>
          <w:color w:val="000000"/>
          <w:lang w:val="fr-FR"/>
        </w:rPr>
        <w:t>et/</w:t>
      </w:r>
      <w:r w:rsidRPr="005B4699">
        <w:rPr>
          <w:rFonts w:eastAsia="Times New Roman"/>
          <w:color w:val="000000"/>
          <w:lang w:val="fr-FR"/>
        </w:rPr>
        <w:t xml:space="preserve">ou </w:t>
      </w:r>
      <w:r>
        <w:rPr>
          <w:rFonts w:eastAsia="Times New Roman"/>
          <w:color w:val="000000"/>
          <w:lang w:val="fr-FR"/>
        </w:rPr>
        <w:t>des</w:t>
      </w:r>
      <w:r w:rsidRPr="005B4699">
        <w:rPr>
          <w:rFonts w:eastAsia="Times New Roman"/>
          <w:color w:val="000000"/>
          <w:lang w:val="fr-FR"/>
        </w:rPr>
        <w:t xml:space="preserve"> organisations internationales</w:t>
      </w:r>
      <w:r w:rsidRPr="0053774D">
        <w:rPr>
          <w:rStyle w:val="Appelnotedebasdep"/>
        </w:rPr>
        <w:footnoteReference w:id="116"/>
      </w:r>
      <w:r>
        <w:rPr>
          <w:rFonts w:eastAsia="Times New Roman"/>
          <w:color w:val="000000"/>
        </w:rPr>
        <w:t>. Le projet de conclusion envisage la « doctrine » lorsqu’elle est utilisée dans le processus de détermination de l’existence et du contenu des règles de droit international.</w:t>
      </w:r>
    </w:p>
    <w:p w14:paraId="47C2252F" w14:textId="77777777" w:rsidR="004C5E26" w:rsidRPr="005B4699" w:rsidRDefault="004C5E26" w:rsidP="004C5E26">
      <w:pPr>
        <w:pStyle w:val="SingleTxtG"/>
        <w:rPr>
          <w:rFonts w:eastAsia="Times New Roman"/>
          <w:color w:val="000000"/>
          <w:lang w:val="fr-FR"/>
        </w:rPr>
      </w:pPr>
      <w:r w:rsidRPr="005B4699">
        <w:rPr>
          <w:rFonts w:eastAsia="Times New Roman"/>
          <w:color w:val="000000"/>
          <w:lang w:val="fr-FR"/>
        </w:rPr>
        <w:t>2)</w:t>
      </w:r>
      <w:r w:rsidRPr="005B4699">
        <w:rPr>
          <w:rFonts w:eastAsia="Times New Roman"/>
          <w:color w:val="000000"/>
          <w:lang w:val="fr-FR"/>
        </w:rPr>
        <w:tab/>
        <w:t xml:space="preserve">Le présent projet de conclusion comprend deux phrases. La première </w:t>
      </w:r>
      <w:r>
        <w:rPr>
          <w:rFonts w:eastAsia="Times New Roman"/>
          <w:color w:val="000000"/>
          <w:lang w:val="fr-FR"/>
        </w:rPr>
        <w:t xml:space="preserve">vient surtout </w:t>
      </w:r>
      <w:r w:rsidRPr="005B4699">
        <w:rPr>
          <w:rFonts w:eastAsia="Times New Roman"/>
          <w:color w:val="000000"/>
          <w:lang w:val="fr-FR"/>
        </w:rPr>
        <w:t>énonce</w:t>
      </w:r>
      <w:r>
        <w:rPr>
          <w:rFonts w:eastAsia="Times New Roman"/>
          <w:color w:val="000000"/>
          <w:lang w:val="fr-FR"/>
        </w:rPr>
        <w:t>r</w:t>
      </w:r>
      <w:r w:rsidRPr="005B4699">
        <w:rPr>
          <w:rFonts w:eastAsia="Times New Roman"/>
          <w:color w:val="000000"/>
          <w:lang w:val="fr-FR"/>
        </w:rPr>
        <w:t xml:space="preserve"> la règle générale concernant la doctrine. La seconde souligne </w:t>
      </w:r>
      <w:r>
        <w:rPr>
          <w:rFonts w:eastAsia="Times New Roman"/>
          <w:color w:val="000000"/>
          <w:lang w:val="fr-FR"/>
        </w:rPr>
        <w:t>des aspects particuliers du caractère représentatif</w:t>
      </w:r>
      <w:r w:rsidRPr="005B4699">
        <w:rPr>
          <w:rFonts w:eastAsia="Times New Roman"/>
          <w:color w:val="000000"/>
          <w:lang w:val="fr-FR"/>
        </w:rPr>
        <w:t xml:space="preserve"> de la doctrine. </w:t>
      </w:r>
    </w:p>
    <w:p w14:paraId="7E196352" w14:textId="7156DEF7" w:rsidR="004C5E26" w:rsidRPr="005B4699" w:rsidRDefault="004C5E26" w:rsidP="004C5E26">
      <w:pPr>
        <w:pStyle w:val="SingleTxtG"/>
        <w:rPr>
          <w:rFonts w:eastAsia="Times New Roman"/>
          <w:color w:val="000000"/>
          <w:lang w:val="fr-FR"/>
        </w:rPr>
      </w:pPr>
      <w:r w:rsidRPr="005B4699">
        <w:rPr>
          <w:rFonts w:eastAsia="Times New Roman"/>
          <w:color w:val="000000"/>
          <w:lang w:val="fr-FR"/>
        </w:rPr>
        <w:t>3)</w:t>
      </w:r>
      <w:r w:rsidRPr="005B4699">
        <w:rPr>
          <w:rFonts w:eastAsia="Times New Roman"/>
          <w:color w:val="000000"/>
          <w:lang w:val="fr-FR"/>
        </w:rPr>
        <w:tab/>
        <w:t xml:space="preserve">La première phrase </w:t>
      </w:r>
      <w:r>
        <w:rPr>
          <w:rFonts w:eastAsia="Times New Roman"/>
          <w:color w:val="000000"/>
          <w:lang w:val="fr-FR"/>
        </w:rPr>
        <w:t>indique</w:t>
      </w:r>
      <w:r w:rsidRPr="005B4699">
        <w:rPr>
          <w:rFonts w:eastAsia="Times New Roman"/>
          <w:color w:val="000000"/>
          <w:lang w:val="fr-FR"/>
        </w:rPr>
        <w:t xml:space="preserve"> que « [l]a doctrine, en particulier celle qui reflète de manière générale les points de vue concordants de personnes ayant une compétence en droit international et représentatives des différents systèmes juridiques et régions du monde, constitue un moyen auxiliaire aux fins de la détermination de l</w:t>
      </w:r>
      <w:r>
        <w:rPr>
          <w:rFonts w:eastAsia="Times New Roman"/>
          <w:color w:val="000000"/>
          <w:lang w:val="fr-FR"/>
        </w:rPr>
        <w:t>’</w:t>
      </w:r>
      <w:r w:rsidRPr="005B4699">
        <w:rPr>
          <w:rFonts w:eastAsia="Times New Roman"/>
          <w:color w:val="000000"/>
          <w:lang w:val="fr-FR"/>
        </w:rPr>
        <w:t>existence et du contenu des règles de droit international »</w:t>
      </w:r>
      <w:r w:rsidR="005928F1">
        <w:rPr>
          <w:rFonts w:eastAsia="Times New Roman"/>
          <w:color w:val="000000"/>
          <w:lang w:val="fr-FR"/>
        </w:rPr>
        <w:t>.</w:t>
      </w:r>
      <w:r>
        <w:rPr>
          <w:rFonts w:eastAsia="Times New Roman"/>
          <w:color w:val="000000"/>
          <w:lang w:val="fr-FR"/>
        </w:rPr>
        <w:t xml:space="preserve"> </w:t>
      </w:r>
      <w:r w:rsidRPr="005B4699">
        <w:rPr>
          <w:rFonts w:eastAsia="Times New Roman"/>
          <w:color w:val="000000"/>
          <w:lang w:val="fr-FR"/>
        </w:rPr>
        <w:t xml:space="preserve">La Commission rappelle que cette formulation diffère de celle utilisée dans la conclusion relative à la « doctrine » figurant dans les textes issus de ses travaux sur les sujets relatifs aux sources du droit international. Les différences ont principalement trait à deux </w:t>
      </w:r>
      <w:r>
        <w:rPr>
          <w:rFonts w:eastAsia="Times New Roman"/>
          <w:color w:val="000000"/>
          <w:lang w:val="fr-FR"/>
        </w:rPr>
        <w:t>éléments</w:t>
      </w:r>
      <w:r w:rsidRPr="005B4699">
        <w:rPr>
          <w:rFonts w:eastAsia="Times New Roman"/>
          <w:color w:val="000000"/>
          <w:lang w:val="fr-FR"/>
        </w:rPr>
        <w:t xml:space="preserve">. Premièrement, dans le projet de conclusion 5, la Commission a </w:t>
      </w:r>
      <w:r>
        <w:rPr>
          <w:rFonts w:eastAsia="Times New Roman"/>
          <w:color w:val="000000"/>
          <w:lang w:val="fr-FR"/>
        </w:rPr>
        <w:t xml:space="preserve">remplacé </w:t>
      </w:r>
      <w:r w:rsidRPr="005B4699">
        <w:rPr>
          <w:rFonts w:eastAsia="Times New Roman"/>
          <w:color w:val="000000"/>
          <w:lang w:val="fr-FR"/>
        </w:rPr>
        <w:t xml:space="preserve">la formule de même sens </w:t>
      </w:r>
      <w:r>
        <w:rPr>
          <w:rFonts w:eastAsia="Times New Roman"/>
          <w:color w:val="000000"/>
          <w:lang w:val="fr-FR"/>
        </w:rPr>
        <w:t xml:space="preserve">mais </w:t>
      </w:r>
      <w:r w:rsidRPr="005B4699">
        <w:rPr>
          <w:rFonts w:eastAsia="Times New Roman"/>
          <w:color w:val="000000"/>
          <w:lang w:val="fr-FR"/>
        </w:rPr>
        <w:t>archaïque utilisée à l</w:t>
      </w:r>
      <w:r>
        <w:rPr>
          <w:rFonts w:eastAsia="Times New Roman"/>
          <w:color w:val="000000"/>
          <w:lang w:val="fr-FR"/>
        </w:rPr>
        <w:t>’</w:t>
      </w:r>
      <w:r w:rsidRPr="005B4699">
        <w:rPr>
          <w:rFonts w:eastAsia="Times New Roman"/>
          <w:color w:val="000000"/>
          <w:lang w:val="fr-FR"/>
        </w:rPr>
        <w:t>alinéa d) du paragraphe 1 de l</w:t>
      </w:r>
      <w:r>
        <w:rPr>
          <w:rFonts w:eastAsia="Times New Roman"/>
          <w:color w:val="000000"/>
          <w:lang w:val="fr-FR"/>
        </w:rPr>
        <w:t>’</w:t>
      </w:r>
      <w:r w:rsidRPr="005B4699">
        <w:rPr>
          <w:rFonts w:eastAsia="Times New Roman"/>
          <w:color w:val="000000"/>
          <w:lang w:val="fr-FR"/>
        </w:rPr>
        <w:t xml:space="preserve">Article 38 du Statut de la Cour internationale de Justice </w:t>
      </w:r>
      <w:r>
        <w:rPr>
          <w:rFonts w:eastAsia="Times New Roman"/>
          <w:color w:val="000000"/>
          <w:lang w:val="fr-FR"/>
        </w:rPr>
        <w:t>−</w:t>
      </w:r>
      <w:r w:rsidRPr="005B4699">
        <w:rPr>
          <w:rFonts w:eastAsia="Times New Roman"/>
          <w:color w:val="000000"/>
          <w:lang w:val="fr-FR"/>
        </w:rPr>
        <w:t xml:space="preserve"> « la doctrine des publicistes les plus qualifiés des différentes nations » </w:t>
      </w:r>
      <w:r>
        <w:rPr>
          <w:rFonts w:eastAsia="Times New Roman"/>
          <w:color w:val="000000"/>
          <w:lang w:val="fr-FR"/>
        </w:rPr>
        <w:t>−</w:t>
      </w:r>
      <w:r w:rsidRPr="005B4699">
        <w:rPr>
          <w:rFonts w:eastAsia="Times New Roman"/>
          <w:color w:val="000000"/>
          <w:lang w:val="fr-FR"/>
        </w:rPr>
        <w:t xml:space="preserve"> </w:t>
      </w:r>
      <w:r>
        <w:rPr>
          <w:rFonts w:eastAsia="Times New Roman"/>
          <w:color w:val="000000"/>
          <w:lang w:val="fr-FR"/>
        </w:rPr>
        <w:t>par</w:t>
      </w:r>
      <w:r w:rsidRPr="005B4699">
        <w:rPr>
          <w:rFonts w:eastAsia="Times New Roman"/>
          <w:color w:val="000000"/>
          <w:lang w:val="fr-FR"/>
        </w:rPr>
        <w:t xml:space="preserve"> la formulation plus contemporaine </w:t>
      </w:r>
      <w:r>
        <w:rPr>
          <w:rFonts w:eastAsia="Times New Roman"/>
          <w:color w:val="000000"/>
          <w:lang w:val="fr-FR"/>
        </w:rPr>
        <w:t>employée au début du présent paragraphe</w:t>
      </w:r>
      <w:r w:rsidRPr="005B4699">
        <w:rPr>
          <w:rFonts w:eastAsia="Times New Roman"/>
          <w:color w:val="000000"/>
          <w:lang w:val="fr-FR"/>
        </w:rPr>
        <w:t>. Cela dit, pour des raisons de cohérence, l</w:t>
      </w:r>
      <w:r>
        <w:rPr>
          <w:rFonts w:eastAsia="Times New Roman"/>
          <w:color w:val="000000"/>
          <w:lang w:val="fr-FR"/>
        </w:rPr>
        <w:t>’</w:t>
      </w:r>
      <w:r w:rsidRPr="005B4699">
        <w:rPr>
          <w:rFonts w:eastAsia="Times New Roman"/>
          <w:color w:val="000000"/>
          <w:lang w:val="fr-FR"/>
        </w:rPr>
        <w:t xml:space="preserve">intitulé « Doctrine », beaucoup plus bref, utilisé pour les autres sujets, a été conservé. </w:t>
      </w:r>
    </w:p>
    <w:p w14:paraId="2F044C88" w14:textId="4292BB37" w:rsidR="004C5E26" w:rsidRPr="005B4699" w:rsidRDefault="004C5E26" w:rsidP="004C5E26">
      <w:pPr>
        <w:pStyle w:val="SingleTxtG"/>
        <w:rPr>
          <w:rFonts w:eastAsia="Times New Roman"/>
          <w:color w:val="000000"/>
          <w:lang w:val="fr-FR"/>
        </w:rPr>
      </w:pPr>
      <w:r w:rsidRPr="005B4699">
        <w:rPr>
          <w:rFonts w:eastAsia="Times New Roman"/>
          <w:color w:val="000000"/>
          <w:lang w:val="fr-FR"/>
        </w:rPr>
        <w:t>4)</w:t>
      </w:r>
      <w:r w:rsidRPr="005B4699">
        <w:rPr>
          <w:rFonts w:eastAsia="Times New Roman"/>
          <w:color w:val="000000"/>
          <w:lang w:val="fr-FR"/>
        </w:rPr>
        <w:tab/>
        <w:t>Deuxièmement, bien que des conclusions antérieures indiquent que la doctrine des publicistes les plus qualifiés des différentes nations « peut servir » de moyen auxiliaire, dans le présent projet de conclusion la Commission a employé une formulation plus directe, à savoir que la doctrine « constitue » un moyen auxiliaire</w:t>
      </w:r>
      <w:r w:rsidRPr="005928F1">
        <w:rPr>
          <w:rStyle w:val="Appelnotedebasdep"/>
        </w:rPr>
        <w:footnoteReference w:id="117"/>
      </w:r>
      <w:r w:rsidRPr="005928F1">
        <w:rPr>
          <w:rFonts w:eastAsia="Times New Roman"/>
          <w:color w:val="000000"/>
          <w:lang w:val="fr-FR"/>
        </w:rPr>
        <w:t xml:space="preserve">. </w:t>
      </w:r>
      <w:r w:rsidRPr="005B4699">
        <w:rPr>
          <w:rFonts w:eastAsia="Times New Roman"/>
          <w:color w:val="000000"/>
          <w:lang w:val="fr-FR"/>
        </w:rPr>
        <w:t xml:space="preserve">Spécifiquement en ce qui </w:t>
      </w:r>
      <w:r w:rsidRPr="005B4699">
        <w:rPr>
          <w:rFonts w:eastAsia="Times New Roman"/>
          <w:color w:val="000000"/>
          <w:lang w:val="fr-FR"/>
        </w:rPr>
        <w:lastRenderedPageBreak/>
        <w:t>concerne la doctrine, la formule « peut servir » est utilisée dans le</w:t>
      </w:r>
      <w:r>
        <w:rPr>
          <w:rFonts w:eastAsia="Times New Roman"/>
          <w:color w:val="000000"/>
          <w:lang w:val="fr-FR"/>
        </w:rPr>
        <w:t>s</w:t>
      </w:r>
      <w:r w:rsidRPr="005B4699">
        <w:rPr>
          <w:rFonts w:eastAsia="Times New Roman"/>
          <w:color w:val="000000"/>
          <w:lang w:val="fr-FR"/>
        </w:rPr>
        <w:t xml:space="preserve"> projet</w:t>
      </w:r>
      <w:r>
        <w:rPr>
          <w:rFonts w:eastAsia="Times New Roman"/>
          <w:color w:val="000000"/>
          <w:lang w:val="fr-FR"/>
        </w:rPr>
        <w:t>s</w:t>
      </w:r>
      <w:r w:rsidRPr="005B4699">
        <w:rPr>
          <w:rFonts w:eastAsia="Times New Roman"/>
          <w:color w:val="000000"/>
          <w:lang w:val="fr-FR"/>
        </w:rPr>
        <w:t xml:space="preserve"> de conclusion</w:t>
      </w:r>
      <w:r>
        <w:rPr>
          <w:rFonts w:eastAsia="Times New Roman"/>
          <w:color w:val="000000"/>
          <w:lang w:val="fr-FR"/>
        </w:rPr>
        <w:t xml:space="preserve"> des sujets « Détermination</w:t>
      </w:r>
      <w:r w:rsidRPr="005B4699">
        <w:rPr>
          <w:rFonts w:eastAsia="Times New Roman"/>
          <w:color w:val="000000"/>
          <w:lang w:val="fr-FR"/>
        </w:rPr>
        <w:t xml:space="preserve"> du droit international coutumier</w:t>
      </w:r>
      <w:r>
        <w:rPr>
          <w:rFonts w:eastAsia="Times New Roman"/>
          <w:color w:val="000000"/>
          <w:lang w:val="fr-FR"/>
        </w:rPr>
        <w:t> »</w:t>
      </w:r>
      <w:r w:rsidRPr="005B4699">
        <w:rPr>
          <w:rFonts w:eastAsia="Times New Roman"/>
          <w:color w:val="000000"/>
          <w:lang w:val="fr-FR"/>
        </w:rPr>
        <w:t xml:space="preserve"> (conclusion 14</w:t>
      </w:r>
      <w:r w:rsidRPr="0053774D">
        <w:rPr>
          <w:rStyle w:val="Appelnotedebasdep"/>
        </w:rPr>
        <w:footnoteReference w:id="118"/>
      </w:r>
      <w:r w:rsidRPr="005B4699">
        <w:rPr>
          <w:rFonts w:eastAsia="Times New Roman"/>
          <w:color w:val="000000"/>
          <w:lang w:val="fr-FR"/>
        </w:rPr>
        <w:t xml:space="preserve">) </w:t>
      </w:r>
      <w:r>
        <w:rPr>
          <w:rFonts w:eastAsia="Times New Roman"/>
          <w:color w:val="000000"/>
          <w:lang w:val="fr-FR"/>
        </w:rPr>
        <w:t>et « Principes</w:t>
      </w:r>
      <w:r w:rsidRPr="005B4699">
        <w:rPr>
          <w:rFonts w:eastAsia="Times New Roman"/>
          <w:color w:val="000000"/>
          <w:lang w:val="fr-FR"/>
        </w:rPr>
        <w:t xml:space="preserve"> généraux du droit</w:t>
      </w:r>
      <w:r>
        <w:rPr>
          <w:rFonts w:eastAsia="Times New Roman"/>
          <w:color w:val="000000"/>
          <w:lang w:val="fr-FR"/>
        </w:rPr>
        <w:t> »</w:t>
      </w:r>
      <w:r w:rsidRPr="005B4699">
        <w:rPr>
          <w:rFonts w:eastAsia="Times New Roman"/>
          <w:color w:val="000000"/>
          <w:lang w:val="fr-FR"/>
        </w:rPr>
        <w:t xml:space="preserve"> (projet de conclusion 9</w:t>
      </w:r>
      <w:r w:rsidRPr="0053774D">
        <w:rPr>
          <w:rStyle w:val="Appelnotedebasdep"/>
        </w:rPr>
        <w:footnoteReference w:id="119"/>
      </w:r>
      <w:r w:rsidRPr="005B4699">
        <w:rPr>
          <w:rFonts w:eastAsia="Times New Roman"/>
          <w:color w:val="000000"/>
          <w:lang w:val="fr-FR"/>
        </w:rPr>
        <w:t xml:space="preserve">), et dans </w:t>
      </w:r>
      <w:r w:rsidRPr="0069529C">
        <w:rPr>
          <w:rFonts w:eastAsia="Times New Roman"/>
          <w:color w:val="000000"/>
          <w:lang w:val="fr-FR"/>
        </w:rPr>
        <w:t>le projet de conclusion 9 du</w:t>
      </w:r>
      <w:r w:rsidRPr="005B4699">
        <w:rPr>
          <w:rFonts w:eastAsia="Times New Roman"/>
          <w:color w:val="000000"/>
          <w:lang w:val="fr-FR"/>
        </w:rPr>
        <w:t xml:space="preserve"> projet de conclusions sur la détermination et les conséquences juridiques des normes impératives du droit international général (</w:t>
      </w:r>
      <w:r w:rsidRPr="005B4699">
        <w:rPr>
          <w:rFonts w:eastAsia="Times New Roman"/>
          <w:i/>
          <w:color w:val="000000"/>
          <w:lang w:val="fr-FR"/>
        </w:rPr>
        <w:t>jus cogens</w:t>
      </w:r>
      <w:r w:rsidRPr="005B4699">
        <w:rPr>
          <w:rFonts w:eastAsia="Times New Roman"/>
          <w:color w:val="000000"/>
          <w:lang w:val="fr-FR"/>
        </w:rPr>
        <w:t>)</w:t>
      </w:r>
      <w:r w:rsidRPr="0053774D">
        <w:rPr>
          <w:rStyle w:val="Appelnotedebasdep"/>
        </w:rPr>
        <w:footnoteReference w:id="120"/>
      </w:r>
      <w:r>
        <w:rPr>
          <w:rFonts w:eastAsia="Times New Roman"/>
          <w:color w:val="000000"/>
          <w:lang w:val="fr-FR"/>
        </w:rPr>
        <w:t>.</w:t>
      </w:r>
      <w:r w:rsidRPr="005B4699">
        <w:rPr>
          <w:rFonts w:eastAsia="Times New Roman"/>
          <w:color w:val="000000"/>
          <w:lang w:val="fr-FR"/>
        </w:rPr>
        <w:t xml:space="preserve"> </w:t>
      </w:r>
    </w:p>
    <w:p w14:paraId="52F8CE1A" w14:textId="32DF4850" w:rsidR="004C5E26" w:rsidRPr="005B4699" w:rsidRDefault="004C5E26" w:rsidP="004C5E26">
      <w:pPr>
        <w:pStyle w:val="SingleTxtG"/>
        <w:rPr>
          <w:rFonts w:eastAsia="Times New Roman"/>
          <w:color w:val="000000"/>
          <w:lang w:val="fr-FR"/>
        </w:rPr>
      </w:pPr>
      <w:r>
        <w:rPr>
          <w:rFonts w:eastAsia="Times New Roman"/>
          <w:color w:val="000000"/>
          <w:lang w:val="fr-FR"/>
        </w:rPr>
        <w:t>5</w:t>
      </w:r>
      <w:r w:rsidRPr="005B4699">
        <w:rPr>
          <w:rFonts w:eastAsia="Times New Roman"/>
          <w:color w:val="000000"/>
          <w:lang w:val="fr-FR"/>
        </w:rPr>
        <w:t>)</w:t>
      </w:r>
      <w:r w:rsidRPr="005B4699">
        <w:rPr>
          <w:rFonts w:eastAsia="Times New Roman"/>
          <w:color w:val="000000"/>
          <w:lang w:val="fr-FR"/>
        </w:rPr>
        <w:tab/>
        <w:t>Comme les décisions des juridictions, qui font l</w:t>
      </w:r>
      <w:r>
        <w:rPr>
          <w:rFonts w:eastAsia="Times New Roman"/>
          <w:color w:val="000000"/>
          <w:lang w:val="fr-FR"/>
        </w:rPr>
        <w:t>’</w:t>
      </w:r>
      <w:r w:rsidRPr="005B4699">
        <w:rPr>
          <w:rFonts w:eastAsia="Times New Roman"/>
          <w:color w:val="000000"/>
          <w:lang w:val="fr-FR"/>
        </w:rPr>
        <w:t>objet du projet de conclusion</w:t>
      </w:r>
      <w:r w:rsidR="00C533BE">
        <w:rPr>
          <w:rFonts w:eastAsia="Times New Roman"/>
          <w:color w:val="000000"/>
          <w:lang w:val="fr-FR"/>
        </w:rPr>
        <w:t> </w:t>
      </w:r>
      <w:r w:rsidRPr="005B4699">
        <w:rPr>
          <w:rFonts w:eastAsia="Times New Roman"/>
          <w:color w:val="000000"/>
          <w:lang w:val="fr-FR"/>
        </w:rPr>
        <w:t>4, la doctrine n</w:t>
      </w:r>
      <w:r>
        <w:rPr>
          <w:rFonts w:eastAsia="Times New Roman"/>
          <w:color w:val="000000"/>
          <w:lang w:val="fr-FR"/>
        </w:rPr>
        <w:t>’</w:t>
      </w:r>
      <w:r w:rsidRPr="005B4699">
        <w:rPr>
          <w:rFonts w:eastAsia="Times New Roman"/>
          <w:color w:val="000000"/>
          <w:lang w:val="fr-FR"/>
        </w:rPr>
        <w:t>est pas elle-même une source du droit international. Elle peut toutefois fournir des indications utiles aux fins de la détermination de l</w:t>
      </w:r>
      <w:r>
        <w:rPr>
          <w:rFonts w:eastAsia="Times New Roman"/>
          <w:color w:val="000000"/>
          <w:lang w:val="fr-FR"/>
        </w:rPr>
        <w:t>’</w:t>
      </w:r>
      <w:r w:rsidRPr="005B4699">
        <w:rPr>
          <w:rFonts w:eastAsia="Times New Roman"/>
          <w:color w:val="000000"/>
          <w:lang w:val="fr-FR"/>
        </w:rPr>
        <w:t>existence et du contenu des règles de droit international. Ainsi, l</w:t>
      </w:r>
      <w:r>
        <w:rPr>
          <w:rFonts w:eastAsia="Times New Roman"/>
          <w:color w:val="000000"/>
          <w:lang w:val="fr-FR"/>
        </w:rPr>
        <w:t>’</w:t>
      </w:r>
      <w:r w:rsidRPr="005B4699">
        <w:rPr>
          <w:rFonts w:eastAsia="Times New Roman"/>
          <w:color w:val="000000"/>
          <w:lang w:val="fr-FR"/>
        </w:rPr>
        <w:t>utilisation du verbe « constitue » ne vise pas à altérer le rôle auxiliaire de la doctrine. Elle ne fait que reconnaître la valeur que la doctrine peut avoir dans le processus de détermination de l</w:t>
      </w:r>
      <w:r>
        <w:rPr>
          <w:rFonts w:eastAsia="Times New Roman"/>
          <w:color w:val="000000"/>
          <w:lang w:val="fr-FR"/>
        </w:rPr>
        <w:t>’</w:t>
      </w:r>
      <w:r w:rsidRPr="005B4699">
        <w:rPr>
          <w:rFonts w:eastAsia="Times New Roman"/>
          <w:color w:val="000000"/>
          <w:lang w:val="fr-FR"/>
        </w:rPr>
        <w:t>existence et du contenu des règles de droit international.</w:t>
      </w:r>
    </w:p>
    <w:p w14:paraId="2E07AD56" w14:textId="26F54EF2" w:rsidR="004C5E26" w:rsidRDefault="004C5E26" w:rsidP="004C5E26">
      <w:pPr>
        <w:pStyle w:val="SingleTxtG"/>
        <w:rPr>
          <w:rFonts w:eastAsia="Times New Roman"/>
          <w:color w:val="000000"/>
          <w:lang w:val="fr-FR"/>
        </w:rPr>
      </w:pPr>
      <w:r>
        <w:rPr>
          <w:rFonts w:eastAsia="Times New Roman"/>
          <w:color w:val="000000"/>
          <w:lang w:val="fr-FR"/>
        </w:rPr>
        <w:t>6</w:t>
      </w:r>
      <w:r w:rsidRPr="001030F0">
        <w:rPr>
          <w:rFonts w:eastAsia="Times New Roman"/>
          <w:color w:val="000000"/>
          <w:lang w:val="fr-FR"/>
        </w:rPr>
        <w:t>)</w:t>
      </w:r>
      <w:r w:rsidRPr="001030F0">
        <w:rPr>
          <w:rFonts w:eastAsia="Times New Roman"/>
          <w:color w:val="000000"/>
          <w:lang w:val="fr-FR"/>
        </w:rPr>
        <w:tab/>
      </w:r>
      <w:r>
        <w:rPr>
          <w:rFonts w:eastAsia="Times New Roman"/>
          <w:color w:val="000000"/>
          <w:lang w:val="fr-FR"/>
        </w:rPr>
        <w:t>En ce qui concerne la première partie de la première phrase du projet de conclusion</w:t>
      </w:r>
      <w:r w:rsidR="00C533BE">
        <w:rPr>
          <w:rFonts w:eastAsia="Times New Roman"/>
          <w:color w:val="000000"/>
          <w:lang w:val="fr-FR"/>
        </w:rPr>
        <w:t> </w:t>
      </w:r>
      <w:r>
        <w:rPr>
          <w:rFonts w:eastAsia="Times New Roman"/>
          <w:color w:val="000000"/>
          <w:lang w:val="fr-FR"/>
        </w:rPr>
        <w:t>5, la</w:t>
      </w:r>
      <w:r w:rsidRPr="005B4699">
        <w:rPr>
          <w:rFonts w:eastAsia="Times New Roman"/>
          <w:color w:val="000000"/>
          <w:lang w:val="fr-FR"/>
        </w:rPr>
        <w:t xml:space="preserve"> Commission a </w:t>
      </w:r>
      <w:r>
        <w:rPr>
          <w:rFonts w:eastAsia="Times New Roman"/>
          <w:color w:val="000000"/>
          <w:lang w:val="fr-FR"/>
        </w:rPr>
        <w:t>précédemment</w:t>
      </w:r>
      <w:r w:rsidRPr="005B4699">
        <w:rPr>
          <w:rFonts w:eastAsia="Times New Roman"/>
          <w:color w:val="000000"/>
          <w:lang w:val="fr-FR"/>
        </w:rPr>
        <w:t xml:space="preserve"> indiqué</w:t>
      </w:r>
      <w:r>
        <w:rPr>
          <w:rFonts w:eastAsia="Times New Roman"/>
          <w:color w:val="000000"/>
          <w:lang w:val="fr-FR"/>
        </w:rPr>
        <w:t>, notamment dans les commentaires adoptés à sa soixante-quatorzième session,</w:t>
      </w:r>
      <w:r w:rsidRPr="005B4699">
        <w:rPr>
          <w:rFonts w:eastAsia="Times New Roman"/>
          <w:color w:val="000000"/>
          <w:lang w:val="fr-FR"/>
        </w:rPr>
        <w:t xml:space="preserve"> que le terme « doctrine » désignait une large catégorie. Les mots « en particulier » ont été insérés dans la partie de la première phrase figurant entre deux virgules pour souligner que</w:t>
      </w:r>
      <w:r>
        <w:rPr>
          <w:rFonts w:eastAsia="Times New Roman"/>
          <w:color w:val="000000"/>
          <w:lang w:val="fr-FR"/>
        </w:rPr>
        <w:t>,</w:t>
      </w:r>
      <w:r w:rsidRPr="005B4699">
        <w:rPr>
          <w:rFonts w:eastAsia="Times New Roman"/>
          <w:color w:val="000000"/>
          <w:lang w:val="fr-FR"/>
        </w:rPr>
        <w:t xml:space="preserve"> dans certaines situations</w:t>
      </w:r>
      <w:r>
        <w:rPr>
          <w:rFonts w:eastAsia="Times New Roman"/>
          <w:color w:val="000000"/>
          <w:lang w:val="fr-FR"/>
        </w:rPr>
        <w:t>,</w:t>
      </w:r>
      <w:r w:rsidRPr="005B4699">
        <w:rPr>
          <w:rFonts w:eastAsia="Times New Roman"/>
          <w:color w:val="000000"/>
          <w:lang w:val="fr-FR"/>
        </w:rPr>
        <w:t xml:space="preserve"> </w:t>
      </w:r>
      <w:r>
        <w:rPr>
          <w:rFonts w:eastAsia="Times New Roman"/>
          <w:color w:val="000000"/>
          <w:lang w:val="fr-FR"/>
        </w:rPr>
        <w:t>il peut y avoir une abondante</w:t>
      </w:r>
      <w:r w:rsidRPr="005B4699">
        <w:rPr>
          <w:rFonts w:eastAsia="Times New Roman"/>
          <w:color w:val="000000"/>
          <w:lang w:val="fr-FR"/>
        </w:rPr>
        <w:t xml:space="preserve"> doctrine </w:t>
      </w:r>
      <w:r>
        <w:rPr>
          <w:rFonts w:eastAsia="Times New Roman"/>
          <w:color w:val="000000"/>
          <w:lang w:val="fr-FR"/>
        </w:rPr>
        <w:t>utilisable</w:t>
      </w:r>
      <w:r w:rsidRPr="005B4699">
        <w:rPr>
          <w:rFonts w:eastAsia="Times New Roman"/>
          <w:color w:val="000000"/>
          <w:lang w:val="fr-FR"/>
        </w:rPr>
        <w:t xml:space="preserve"> aux fins de la détermination de l</w:t>
      </w:r>
      <w:r>
        <w:rPr>
          <w:rFonts w:eastAsia="Times New Roman"/>
          <w:color w:val="000000"/>
          <w:lang w:val="fr-FR"/>
        </w:rPr>
        <w:t>’</w:t>
      </w:r>
      <w:r w:rsidRPr="005B4699">
        <w:rPr>
          <w:rFonts w:eastAsia="Times New Roman"/>
          <w:color w:val="000000"/>
          <w:lang w:val="fr-FR"/>
        </w:rPr>
        <w:t xml:space="preserve">existence et du contenu des règles de droit international. </w:t>
      </w:r>
      <w:r>
        <w:rPr>
          <w:rFonts w:eastAsia="Times New Roman"/>
          <w:color w:val="000000"/>
          <w:lang w:val="fr-FR"/>
        </w:rPr>
        <w:t>En pareils cas, une</w:t>
      </w:r>
      <w:r w:rsidRPr="005B4699">
        <w:rPr>
          <w:rFonts w:eastAsia="Times New Roman"/>
          <w:color w:val="000000"/>
          <w:lang w:val="fr-FR"/>
        </w:rPr>
        <w:t xml:space="preserve"> attention particulière </w:t>
      </w:r>
      <w:r>
        <w:rPr>
          <w:rFonts w:eastAsia="Times New Roman"/>
          <w:color w:val="000000"/>
          <w:lang w:val="fr-FR"/>
        </w:rPr>
        <w:t>devrait</w:t>
      </w:r>
      <w:r w:rsidRPr="005B4699">
        <w:rPr>
          <w:rFonts w:eastAsia="Times New Roman"/>
          <w:color w:val="000000"/>
          <w:lang w:val="fr-FR"/>
        </w:rPr>
        <w:t xml:space="preserve"> être accordée à </w:t>
      </w:r>
      <w:r>
        <w:rPr>
          <w:rFonts w:eastAsia="Times New Roman"/>
          <w:color w:val="000000"/>
          <w:lang w:val="fr-FR"/>
        </w:rPr>
        <w:t>« </w:t>
      </w:r>
      <w:r w:rsidR="00C533BE">
        <w:rPr>
          <w:rFonts w:eastAsia="Times New Roman"/>
          <w:color w:val="000000"/>
          <w:lang w:val="fr-FR"/>
        </w:rPr>
        <w:t>[</w:t>
      </w:r>
      <w:r w:rsidRPr="005B4699">
        <w:rPr>
          <w:rFonts w:eastAsia="Times New Roman"/>
          <w:color w:val="000000"/>
          <w:lang w:val="fr-FR"/>
        </w:rPr>
        <w:t>la doctrine</w:t>
      </w:r>
      <w:r>
        <w:rPr>
          <w:rFonts w:eastAsia="Times New Roman"/>
          <w:color w:val="000000"/>
          <w:lang w:val="fr-FR"/>
        </w:rPr>
        <w:t>]</w:t>
      </w:r>
      <w:r w:rsidRPr="005B4699">
        <w:rPr>
          <w:rFonts w:eastAsia="Times New Roman"/>
          <w:color w:val="000000"/>
          <w:lang w:val="fr-FR"/>
        </w:rPr>
        <w:t xml:space="preserve"> qui reflète de manière générale les points de vue concordants de personnes ayant une compétence en droit international</w:t>
      </w:r>
      <w:r>
        <w:rPr>
          <w:rFonts w:eastAsia="Times New Roman"/>
          <w:color w:val="000000"/>
          <w:lang w:val="fr-FR"/>
        </w:rPr>
        <w:t> »</w:t>
      </w:r>
      <w:r w:rsidRPr="005B4699">
        <w:rPr>
          <w:rFonts w:eastAsia="Times New Roman"/>
          <w:color w:val="000000"/>
          <w:lang w:val="fr-FR"/>
        </w:rPr>
        <w:t>.</w:t>
      </w:r>
    </w:p>
    <w:p w14:paraId="779199AD" w14:textId="2787CE93" w:rsidR="004C5E26" w:rsidRPr="001030F0" w:rsidRDefault="004C5E26" w:rsidP="006B3D5C">
      <w:pPr>
        <w:pStyle w:val="SingleTxtG"/>
        <w:rPr>
          <w:rFonts w:eastAsia="Times New Roman"/>
          <w:color w:val="000000"/>
          <w:lang w:val="fr-FR"/>
        </w:rPr>
      </w:pPr>
      <w:r>
        <w:rPr>
          <w:rFonts w:eastAsia="Times New Roman"/>
          <w:color w:val="000000"/>
          <w:lang w:val="fr-FR"/>
        </w:rPr>
        <w:t>7)</w:t>
      </w:r>
      <w:r>
        <w:rPr>
          <w:rFonts w:eastAsia="Times New Roman"/>
          <w:color w:val="000000"/>
          <w:lang w:val="fr-FR"/>
        </w:rPr>
        <w:tab/>
      </w:r>
      <w:r w:rsidR="006B3D5C">
        <w:rPr>
          <w:rFonts w:eastAsia="Times New Roman"/>
          <w:color w:val="000000"/>
          <w:lang w:val="fr-FR"/>
        </w:rPr>
        <w:t>La prépondérance d</w:t>
      </w:r>
      <w:r>
        <w:rPr>
          <w:rFonts w:eastAsia="Times New Roman"/>
          <w:color w:val="000000"/>
          <w:lang w:val="fr-FR"/>
        </w:rPr>
        <w:t xml:space="preserve">es points de vue contenus dans la doctrine émanant de </w:t>
      </w:r>
      <w:r w:rsidRPr="005B4699">
        <w:rPr>
          <w:rFonts w:eastAsia="Times New Roman"/>
          <w:color w:val="000000"/>
          <w:lang w:val="fr-FR"/>
        </w:rPr>
        <w:t xml:space="preserve">personnes ayant une compétence en droit international et représentatives des différents systèmes juridiques et régions du </w:t>
      </w:r>
      <w:r w:rsidRPr="001732E4">
        <w:rPr>
          <w:rFonts w:eastAsia="Times New Roman"/>
          <w:color w:val="000000"/>
          <w:lang w:val="fr-FR"/>
        </w:rPr>
        <w:t>monde, exprimée</w:t>
      </w:r>
      <w:r>
        <w:rPr>
          <w:rFonts w:eastAsia="Times New Roman"/>
          <w:color w:val="000000"/>
          <w:lang w:val="fr-FR"/>
        </w:rPr>
        <w:t xml:space="preserve"> dans la première phrase, peut refléter </w:t>
      </w:r>
      <w:r w:rsidRPr="005B4699">
        <w:rPr>
          <w:rFonts w:eastAsia="Times New Roman"/>
          <w:color w:val="000000"/>
          <w:lang w:val="fr-FR"/>
        </w:rPr>
        <w:t>une tendance générale lorsqu</w:t>
      </w:r>
      <w:r>
        <w:rPr>
          <w:rFonts w:eastAsia="Times New Roman"/>
          <w:color w:val="000000"/>
          <w:lang w:val="fr-FR"/>
        </w:rPr>
        <w:t>’</w:t>
      </w:r>
      <w:r w:rsidR="006B3D5C">
        <w:rPr>
          <w:rFonts w:eastAsia="Times New Roman"/>
          <w:color w:val="000000"/>
          <w:lang w:val="fr-FR"/>
        </w:rPr>
        <w:t>elle</w:t>
      </w:r>
      <w:r w:rsidRPr="005B4699">
        <w:rPr>
          <w:rFonts w:eastAsia="Times New Roman"/>
          <w:color w:val="000000"/>
          <w:lang w:val="fr-FR"/>
        </w:rPr>
        <w:t xml:space="preserve"> </w:t>
      </w:r>
      <w:r w:rsidR="006B3D5C">
        <w:rPr>
          <w:rFonts w:eastAsia="Times New Roman"/>
          <w:color w:val="000000"/>
          <w:lang w:val="fr-FR"/>
        </w:rPr>
        <w:t>est</w:t>
      </w:r>
      <w:r w:rsidRPr="005B4699">
        <w:rPr>
          <w:rFonts w:eastAsia="Times New Roman"/>
          <w:color w:val="000000"/>
          <w:lang w:val="fr-FR"/>
        </w:rPr>
        <w:t xml:space="preserve"> </w:t>
      </w:r>
      <w:r w:rsidR="006B3D5C">
        <w:rPr>
          <w:rFonts w:eastAsia="Times New Roman"/>
          <w:color w:val="000000"/>
          <w:lang w:val="fr-FR"/>
        </w:rPr>
        <w:t>considérée</w:t>
      </w:r>
      <w:r w:rsidRPr="005B4699">
        <w:rPr>
          <w:rFonts w:eastAsia="Times New Roman"/>
          <w:color w:val="000000"/>
          <w:lang w:val="fr-FR"/>
        </w:rPr>
        <w:t xml:space="preserve"> dans </w:t>
      </w:r>
      <w:r w:rsidR="006B3D5C">
        <w:rPr>
          <w:rFonts w:eastAsia="Times New Roman"/>
          <w:color w:val="000000"/>
          <w:lang w:val="fr-FR"/>
        </w:rPr>
        <w:t>son ensemble</w:t>
      </w:r>
      <w:r w:rsidRPr="005B4699">
        <w:rPr>
          <w:rFonts w:eastAsia="Times New Roman"/>
          <w:color w:val="000000"/>
          <w:lang w:val="fr-FR"/>
        </w:rPr>
        <w:t xml:space="preserve"> au regard du corpus des travaux doctrinaux disponibles. Dans de tels cas, on peut considérer que cela indique que ces</w:t>
      </w:r>
      <w:r>
        <w:rPr>
          <w:rFonts w:eastAsia="Times New Roman"/>
          <w:color w:val="000000"/>
          <w:lang w:val="fr-FR"/>
        </w:rPr>
        <w:t xml:space="preserve"> points de</w:t>
      </w:r>
      <w:r w:rsidRPr="005B4699">
        <w:rPr>
          <w:rFonts w:eastAsia="Times New Roman"/>
          <w:color w:val="000000"/>
          <w:lang w:val="fr-FR"/>
        </w:rPr>
        <w:t xml:space="preserve"> vue </w:t>
      </w:r>
      <w:r>
        <w:rPr>
          <w:rFonts w:eastAsia="Times New Roman"/>
          <w:color w:val="000000"/>
          <w:lang w:val="fr-FR"/>
        </w:rPr>
        <w:t>−</w:t>
      </w:r>
      <w:r w:rsidRPr="005B4699">
        <w:rPr>
          <w:rFonts w:eastAsia="Times New Roman"/>
          <w:color w:val="000000"/>
          <w:lang w:val="fr-FR"/>
        </w:rPr>
        <w:t xml:space="preserve"> dans la mesure où </w:t>
      </w:r>
      <w:r>
        <w:rPr>
          <w:rFonts w:eastAsia="Times New Roman"/>
          <w:color w:val="000000"/>
          <w:lang w:val="fr-FR"/>
        </w:rPr>
        <w:t>ils</w:t>
      </w:r>
      <w:r w:rsidRPr="005B4699">
        <w:rPr>
          <w:rFonts w:eastAsia="Times New Roman"/>
          <w:color w:val="000000"/>
          <w:lang w:val="fr-FR"/>
        </w:rPr>
        <w:t xml:space="preserve"> sont divers et représentati</w:t>
      </w:r>
      <w:r>
        <w:rPr>
          <w:rFonts w:eastAsia="Times New Roman"/>
          <w:color w:val="000000"/>
          <w:lang w:val="fr-FR"/>
        </w:rPr>
        <w:t>fs −</w:t>
      </w:r>
      <w:r w:rsidRPr="005B4699">
        <w:rPr>
          <w:rFonts w:eastAsia="Times New Roman"/>
          <w:color w:val="000000"/>
          <w:lang w:val="fr-FR"/>
        </w:rPr>
        <w:t xml:space="preserve"> </w:t>
      </w:r>
      <w:r>
        <w:rPr>
          <w:rFonts w:eastAsia="Times New Roman"/>
          <w:color w:val="000000"/>
          <w:lang w:val="fr-FR"/>
        </w:rPr>
        <w:t>ont davantage de poids</w:t>
      </w:r>
      <w:r w:rsidRPr="005B4699">
        <w:rPr>
          <w:rFonts w:eastAsia="Times New Roman"/>
          <w:color w:val="000000"/>
          <w:lang w:val="fr-FR"/>
        </w:rPr>
        <w:t>. Le projet de conclusion n</w:t>
      </w:r>
      <w:r>
        <w:rPr>
          <w:rFonts w:eastAsia="Times New Roman"/>
          <w:color w:val="000000"/>
          <w:lang w:val="fr-FR"/>
        </w:rPr>
        <w:t>’</w:t>
      </w:r>
      <w:r w:rsidRPr="005B4699">
        <w:rPr>
          <w:rFonts w:eastAsia="Times New Roman"/>
          <w:color w:val="000000"/>
          <w:lang w:val="fr-FR"/>
        </w:rPr>
        <w:t>exige pas le consensus, et encore moins l</w:t>
      </w:r>
      <w:r>
        <w:rPr>
          <w:rFonts w:eastAsia="Times New Roman"/>
          <w:color w:val="000000"/>
          <w:lang w:val="fr-FR"/>
        </w:rPr>
        <w:t>’</w:t>
      </w:r>
      <w:r w:rsidRPr="005B4699">
        <w:rPr>
          <w:rFonts w:eastAsia="Times New Roman"/>
          <w:color w:val="000000"/>
          <w:lang w:val="fr-FR"/>
        </w:rPr>
        <w:t xml:space="preserve">unanimité, au sein de la doctrine pour que des travaux doctrinaux de qualité soient jugés </w:t>
      </w:r>
      <w:r>
        <w:rPr>
          <w:rFonts w:eastAsia="Times New Roman"/>
          <w:color w:val="000000"/>
          <w:lang w:val="fr-FR"/>
        </w:rPr>
        <w:t>utiles</w:t>
      </w:r>
      <w:r w:rsidRPr="005B4699">
        <w:rPr>
          <w:rFonts w:eastAsia="Times New Roman"/>
          <w:color w:val="000000"/>
          <w:lang w:val="fr-FR"/>
        </w:rPr>
        <w:t xml:space="preserve"> aux fins de la détermination de l</w:t>
      </w:r>
      <w:r>
        <w:rPr>
          <w:rFonts w:eastAsia="Times New Roman"/>
          <w:color w:val="000000"/>
          <w:lang w:val="fr-FR"/>
        </w:rPr>
        <w:t>’</w:t>
      </w:r>
      <w:r w:rsidRPr="005B4699">
        <w:rPr>
          <w:rFonts w:eastAsia="Times New Roman"/>
          <w:color w:val="000000"/>
          <w:lang w:val="fr-FR"/>
        </w:rPr>
        <w:t>existence et du contenu des règles de droit international. D</w:t>
      </w:r>
      <w:r>
        <w:rPr>
          <w:rFonts w:eastAsia="Times New Roman"/>
          <w:color w:val="000000"/>
          <w:lang w:val="fr-FR"/>
        </w:rPr>
        <w:t>’</w:t>
      </w:r>
      <w:r w:rsidRPr="005B4699">
        <w:rPr>
          <w:rFonts w:eastAsia="Times New Roman"/>
          <w:color w:val="000000"/>
          <w:lang w:val="fr-FR"/>
        </w:rPr>
        <w:t xml:space="preserve">autre part, le fait que les </w:t>
      </w:r>
      <w:r>
        <w:rPr>
          <w:rFonts w:eastAsia="Times New Roman"/>
          <w:color w:val="000000"/>
          <w:lang w:val="fr-FR"/>
        </w:rPr>
        <w:t xml:space="preserve">points de </w:t>
      </w:r>
      <w:r w:rsidRPr="005B4699">
        <w:rPr>
          <w:rFonts w:eastAsia="Times New Roman"/>
          <w:color w:val="000000"/>
          <w:lang w:val="fr-FR"/>
        </w:rPr>
        <w:t xml:space="preserve">vue des publicistes soient divergents peut aussi être pertinent pour déterminer le poids à accorder à telle ou telle opinion doctrinale. Lorsque les auteurs sont divisés, et </w:t>
      </w:r>
      <w:r w:rsidRPr="001030F0">
        <w:rPr>
          <w:rFonts w:eastAsia="Times New Roman"/>
          <w:color w:val="000000"/>
          <w:lang w:val="fr-FR"/>
        </w:rPr>
        <w:t>qu</w:t>
      </w:r>
      <w:r>
        <w:rPr>
          <w:rFonts w:eastAsia="Times New Roman"/>
          <w:color w:val="000000"/>
          <w:lang w:val="fr-FR"/>
        </w:rPr>
        <w:t>’</w:t>
      </w:r>
      <w:r w:rsidRPr="001030F0">
        <w:rPr>
          <w:rFonts w:eastAsia="Times New Roman"/>
          <w:color w:val="000000"/>
          <w:lang w:val="fr-FR"/>
        </w:rPr>
        <w:t>il existe peut-être aussi une incertitude dans les autres moyens auxiliaires tels que les décisions, cela peut indiquer que le droit n</w:t>
      </w:r>
      <w:r>
        <w:rPr>
          <w:rFonts w:eastAsia="Times New Roman"/>
          <w:color w:val="000000"/>
          <w:lang w:val="fr-FR"/>
        </w:rPr>
        <w:t>’</w:t>
      </w:r>
      <w:r w:rsidRPr="001030F0">
        <w:rPr>
          <w:rFonts w:eastAsia="Times New Roman"/>
          <w:color w:val="000000"/>
          <w:lang w:val="fr-FR"/>
        </w:rPr>
        <w:t>est pas fixé sur la question à l</w:t>
      </w:r>
      <w:r>
        <w:rPr>
          <w:rFonts w:eastAsia="Times New Roman"/>
          <w:color w:val="000000"/>
          <w:lang w:val="fr-FR"/>
        </w:rPr>
        <w:t>’</w:t>
      </w:r>
      <w:r w:rsidRPr="001030F0">
        <w:rPr>
          <w:rFonts w:eastAsia="Times New Roman"/>
          <w:color w:val="000000"/>
          <w:lang w:val="fr-FR"/>
        </w:rPr>
        <w:t>examen.</w:t>
      </w:r>
    </w:p>
    <w:p w14:paraId="27C16F18" w14:textId="65677C0C" w:rsidR="004C5E26" w:rsidRPr="005B4699" w:rsidRDefault="004C5E26" w:rsidP="004C5E26">
      <w:pPr>
        <w:pStyle w:val="SingleTxtG"/>
        <w:rPr>
          <w:rFonts w:eastAsia="Times New Roman"/>
          <w:color w:val="000000"/>
          <w:lang w:val="fr-FR"/>
        </w:rPr>
      </w:pPr>
      <w:r w:rsidRPr="005B4699">
        <w:rPr>
          <w:rFonts w:eastAsia="Times New Roman"/>
          <w:color w:val="000000"/>
          <w:lang w:val="fr-FR"/>
        </w:rPr>
        <w:t>8)</w:t>
      </w:r>
      <w:r w:rsidRPr="005B4699">
        <w:rPr>
          <w:rFonts w:eastAsia="Times New Roman"/>
          <w:color w:val="000000"/>
          <w:lang w:val="fr-FR"/>
        </w:rPr>
        <w:tab/>
        <w:t>S</w:t>
      </w:r>
      <w:r>
        <w:rPr>
          <w:rFonts w:eastAsia="Times New Roman"/>
          <w:color w:val="000000"/>
          <w:lang w:val="fr-FR"/>
        </w:rPr>
        <w:t xml:space="preserve">i </w:t>
      </w:r>
      <w:r w:rsidRPr="005B4699">
        <w:rPr>
          <w:rFonts w:eastAsia="Times New Roman"/>
          <w:color w:val="000000"/>
          <w:lang w:val="fr-FR"/>
        </w:rPr>
        <w:t xml:space="preserve">la doctrine </w:t>
      </w:r>
      <w:r>
        <w:rPr>
          <w:rFonts w:eastAsia="Times New Roman"/>
          <w:color w:val="000000"/>
          <w:lang w:val="fr-FR"/>
        </w:rPr>
        <w:t>traduisant</w:t>
      </w:r>
      <w:r w:rsidRPr="005B4699">
        <w:rPr>
          <w:rFonts w:eastAsia="Times New Roman"/>
          <w:color w:val="000000"/>
          <w:lang w:val="fr-FR"/>
        </w:rPr>
        <w:t xml:space="preserve"> une expertise </w:t>
      </w:r>
      <w:r>
        <w:rPr>
          <w:rFonts w:eastAsia="Times New Roman"/>
          <w:color w:val="000000"/>
          <w:lang w:val="fr-FR"/>
        </w:rPr>
        <w:t xml:space="preserve">spéciale </w:t>
      </w:r>
      <w:r w:rsidRPr="005B4699">
        <w:rPr>
          <w:rFonts w:eastAsia="Times New Roman"/>
          <w:color w:val="000000"/>
          <w:lang w:val="fr-FR"/>
        </w:rPr>
        <w:t>ou une compétence en droit international</w:t>
      </w:r>
      <w:r>
        <w:rPr>
          <w:rFonts w:eastAsia="Times New Roman"/>
          <w:color w:val="000000"/>
          <w:lang w:val="fr-FR"/>
        </w:rPr>
        <w:t xml:space="preserve"> peut être expressément privilégiée</w:t>
      </w:r>
      <w:r w:rsidRPr="005B4699">
        <w:rPr>
          <w:rFonts w:eastAsia="Times New Roman"/>
          <w:color w:val="000000"/>
          <w:lang w:val="fr-FR"/>
        </w:rPr>
        <w:t xml:space="preserve">, la </w:t>
      </w:r>
      <w:r>
        <w:rPr>
          <w:rFonts w:eastAsia="Times New Roman"/>
          <w:color w:val="000000"/>
          <w:lang w:val="fr-FR"/>
        </w:rPr>
        <w:t>Commission considère qu’il est possible</w:t>
      </w:r>
      <w:r w:rsidRPr="005B4699">
        <w:rPr>
          <w:rFonts w:eastAsia="Times New Roman"/>
          <w:color w:val="000000"/>
          <w:lang w:val="fr-FR"/>
        </w:rPr>
        <w:t xml:space="preserve"> que</w:t>
      </w:r>
      <w:r>
        <w:rPr>
          <w:rFonts w:eastAsia="Times New Roman"/>
          <w:color w:val="000000"/>
          <w:lang w:val="fr-FR"/>
        </w:rPr>
        <w:t>,</w:t>
      </w:r>
      <w:r w:rsidRPr="005B4699">
        <w:rPr>
          <w:rFonts w:eastAsia="Times New Roman"/>
          <w:color w:val="000000"/>
          <w:lang w:val="fr-FR"/>
        </w:rPr>
        <w:t xml:space="preserve"> </w:t>
      </w:r>
      <w:r w:rsidRPr="0069529C">
        <w:rPr>
          <w:rFonts w:eastAsia="Times New Roman"/>
          <w:color w:val="000000"/>
          <w:lang w:val="fr-FR"/>
        </w:rPr>
        <w:t>dans certaines circonstances, la doctrine autre que celle du droit international puisse aussi être pertinente aux fins de la détermination</w:t>
      </w:r>
      <w:r>
        <w:rPr>
          <w:rFonts w:eastAsia="Times New Roman"/>
          <w:color w:val="000000"/>
          <w:lang w:val="fr-FR"/>
        </w:rPr>
        <w:t xml:space="preserve"> de l’existence et du contenu des règles de droit international</w:t>
      </w:r>
      <w:r w:rsidRPr="0069529C">
        <w:rPr>
          <w:rFonts w:eastAsia="Times New Roman"/>
          <w:color w:val="000000"/>
          <w:lang w:val="fr-FR"/>
        </w:rPr>
        <w:t xml:space="preserve">. Cela peut </w:t>
      </w:r>
      <w:r>
        <w:rPr>
          <w:rFonts w:eastAsia="Times New Roman"/>
          <w:color w:val="000000"/>
          <w:lang w:val="fr-FR"/>
        </w:rPr>
        <w:t>être le cas</w:t>
      </w:r>
      <w:r w:rsidRPr="0069529C">
        <w:rPr>
          <w:rFonts w:eastAsia="Times New Roman"/>
          <w:color w:val="000000"/>
          <w:lang w:val="fr-FR"/>
        </w:rPr>
        <w:t xml:space="preserve">, par exemple, </w:t>
      </w:r>
      <w:r>
        <w:rPr>
          <w:rFonts w:eastAsia="Times New Roman"/>
          <w:color w:val="000000"/>
          <w:lang w:val="fr-FR"/>
        </w:rPr>
        <w:t>avec des domaines</w:t>
      </w:r>
      <w:r w:rsidRPr="005B4699">
        <w:rPr>
          <w:rFonts w:eastAsia="Times New Roman"/>
          <w:color w:val="000000"/>
          <w:lang w:val="fr-FR"/>
        </w:rPr>
        <w:t xml:space="preserve"> connexes, </w:t>
      </w:r>
      <w:r>
        <w:rPr>
          <w:rFonts w:eastAsia="Times New Roman"/>
          <w:color w:val="000000"/>
          <w:lang w:val="fr-FR"/>
        </w:rPr>
        <w:t>comme</w:t>
      </w:r>
      <w:r w:rsidRPr="005B4699">
        <w:rPr>
          <w:rFonts w:eastAsia="Times New Roman"/>
          <w:color w:val="000000"/>
          <w:lang w:val="fr-FR"/>
        </w:rPr>
        <w:t xml:space="preserve"> le droit comparé. </w:t>
      </w:r>
    </w:p>
    <w:p w14:paraId="42CFBF44" w14:textId="62D8CC38" w:rsidR="004C5E26" w:rsidRPr="001030F0" w:rsidRDefault="004C5E26" w:rsidP="004C5E26">
      <w:pPr>
        <w:pStyle w:val="SingleTxtG"/>
        <w:rPr>
          <w:rFonts w:eastAsia="Times New Roman"/>
          <w:color w:val="000000"/>
          <w:lang w:val="fr-FR"/>
        </w:rPr>
      </w:pPr>
      <w:r>
        <w:rPr>
          <w:rFonts w:eastAsia="Times New Roman"/>
          <w:color w:val="000000"/>
          <w:lang w:val="fr-FR"/>
        </w:rPr>
        <w:t>9)</w:t>
      </w:r>
      <w:r>
        <w:rPr>
          <w:rFonts w:eastAsia="Times New Roman"/>
          <w:color w:val="000000"/>
          <w:lang w:val="fr-FR"/>
        </w:rPr>
        <w:tab/>
      </w:r>
      <w:r w:rsidRPr="005B4699">
        <w:rPr>
          <w:rFonts w:eastAsia="Times New Roman"/>
          <w:color w:val="000000"/>
          <w:lang w:val="fr-FR"/>
        </w:rPr>
        <w:t xml:space="preserve">La formulation de la doctrine dans le présent projet de conclusion a trait à la question </w:t>
      </w:r>
      <w:r>
        <w:rPr>
          <w:rFonts w:eastAsia="Times New Roman"/>
          <w:color w:val="000000"/>
          <w:lang w:val="fr-FR"/>
        </w:rPr>
        <w:t>importante</w:t>
      </w:r>
      <w:r w:rsidRPr="001030F0">
        <w:rPr>
          <w:rFonts w:eastAsia="Times New Roman"/>
          <w:color w:val="000000"/>
          <w:lang w:val="fr-FR"/>
        </w:rPr>
        <w:t xml:space="preserve"> de </w:t>
      </w:r>
      <w:r w:rsidRPr="005B4699">
        <w:rPr>
          <w:rFonts w:eastAsia="Times New Roman"/>
          <w:color w:val="000000"/>
          <w:lang w:val="fr-FR"/>
        </w:rPr>
        <w:t>la nécessité qu</w:t>
      </w:r>
      <w:r>
        <w:rPr>
          <w:rFonts w:eastAsia="Times New Roman"/>
          <w:color w:val="000000"/>
          <w:lang w:val="fr-FR"/>
        </w:rPr>
        <w:t>’</w:t>
      </w:r>
      <w:r w:rsidRPr="005B4699">
        <w:rPr>
          <w:rFonts w:eastAsia="Times New Roman"/>
          <w:color w:val="000000"/>
          <w:lang w:val="fr-FR"/>
        </w:rPr>
        <w:t>elle soit représentative lorsqu</w:t>
      </w:r>
      <w:r>
        <w:rPr>
          <w:rFonts w:eastAsia="Times New Roman"/>
          <w:color w:val="000000"/>
          <w:lang w:val="fr-FR"/>
        </w:rPr>
        <w:t>’</w:t>
      </w:r>
      <w:r w:rsidRPr="005B4699">
        <w:rPr>
          <w:rFonts w:eastAsia="Times New Roman"/>
          <w:color w:val="000000"/>
          <w:lang w:val="fr-FR"/>
        </w:rPr>
        <w:t xml:space="preserve">elle est consultée </w:t>
      </w:r>
      <w:r>
        <w:rPr>
          <w:rFonts w:eastAsia="Times New Roman"/>
          <w:color w:val="000000"/>
          <w:lang w:val="fr-FR"/>
        </w:rPr>
        <w:t>et</w:t>
      </w:r>
      <w:r w:rsidRPr="005B4699">
        <w:rPr>
          <w:rFonts w:eastAsia="Times New Roman"/>
          <w:color w:val="000000"/>
          <w:lang w:val="fr-FR"/>
        </w:rPr>
        <w:t xml:space="preserve"> prise en compte. </w:t>
      </w:r>
      <w:r>
        <w:rPr>
          <w:rFonts w:eastAsia="Times New Roman"/>
          <w:color w:val="000000"/>
          <w:lang w:val="fr-FR"/>
        </w:rPr>
        <w:t>Le</w:t>
      </w:r>
      <w:r w:rsidRPr="005B4699">
        <w:rPr>
          <w:rFonts w:eastAsia="Times New Roman"/>
          <w:color w:val="000000"/>
          <w:lang w:val="fr-FR"/>
        </w:rPr>
        <w:t xml:space="preserve"> projet de conclusion, tel qu</w:t>
      </w:r>
      <w:r>
        <w:rPr>
          <w:rFonts w:eastAsia="Times New Roman"/>
          <w:color w:val="000000"/>
          <w:lang w:val="fr-FR"/>
        </w:rPr>
        <w:t>’</w:t>
      </w:r>
      <w:r w:rsidRPr="005B4699">
        <w:rPr>
          <w:rFonts w:eastAsia="Times New Roman"/>
          <w:color w:val="000000"/>
          <w:lang w:val="fr-FR"/>
        </w:rPr>
        <w:t xml:space="preserve">énoncé, souligne la valeur particulière pouvant être accordée à </w:t>
      </w:r>
      <w:r>
        <w:rPr>
          <w:rFonts w:eastAsia="Times New Roman"/>
          <w:color w:val="000000"/>
          <w:lang w:val="fr-FR"/>
        </w:rPr>
        <w:t xml:space="preserve">une certaine doctrine </w:t>
      </w:r>
      <w:r w:rsidRPr="005B4699">
        <w:rPr>
          <w:rFonts w:eastAsia="Times New Roman"/>
          <w:color w:val="000000"/>
          <w:lang w:val="fr-FR"/>
        </w:rPr>
        <w:t>qui émane, premièrement, des différents systèmes juridiques et, deuxièmement, des différentes régions du monde</w:t>
      </w:r>
      <w:r>
        <w:rPr>
          <w:rFonts w:eastAsia="Times New Roman"/>
          <w:color w:val="000000"/>
          <w:lang w:val="fr-FR"/>
        </w:rPr>
        <w:t>. Cette doctrine</w:t>
      </w:r>
      <w:r w:rsidRPr="005B4699">
        <w:rPr>
          <w:rFonts w:eastAsia="Times New Roman"/>
          <w:color w:val="000000"/>
          <w:lang w:val="fr-FR"/>
        </w:rPr>
        <w:t xml:space="preserve"> se verra accorder un </w:t>
      </w:r>
      <w:r>
        <w:rPr>
          <w:rFonts w:eastAsia="Times New Roman"/>
          <w:color w:val="000000"/>
          <w:lang w:val="fr-FR"/>
        </w:rPr>
        <w:t xml:space="preserve">plus grand </w:t>
      </w:r>
      <w:r w:rsidRPr="005B4699">
        <w:rPr>
          <w:rFonts w:eastAsia="Times New Roman"/>
          <w:color w:val="000000"/>
          <w:lang w:val="fr-FR"/>
        </w:rPr>
        <w:t>poids en tant que moyen auxiliaire de détermination de l</w:t>
      </w:r>
      <w:r>
        <w:rPr>
          <w:rFonts w:eastAsia="Times New Roman"/>
          <w:color w:val="000000"/>
          <w:lang w:val="fr-FR"/>
        </w:rPr>
        <w:t>’</w:t>
      </w:r>
      <w:r w:rsidRPr="005B4699">
        <w:rPr>
          <w:rFonts w:eastAsia="Times New Roman"/>
          <w:color w:val="000000"/>
          <w:lang w:val="fr-FR"/>
        </w:rPr>
        <w:t xml:space="preserve">existence et du contenu des règles de droit </w:t>
      </w:r>
      <w:r w:rsidRPr="00974023">
        <w:rPr>
          <w:rFonts w:eastAsia="Times New Roman"/>
          <w:color w:val="000000"/>
          <w:lang w:val="fr-FR"/>
        </w:rPr>
        <w:t>international. Il s’agit en l’espèce pour la Commission de souligner que la doctrine qui, dans l’ensemble, reflète un</w:t>
      </w:r>
      <w:r w:rsidRPr="005B4699">
        <w:rPr>
          <w:rFonts w:eastAsia="Times New Roman"/>
          <w:color w:val="000000"/>
          <w:lang w:val="fr-FR"/>
        </w:rPr>
        <w:t xml:space="preserve"> riche éventail de traditions juridiques d</w:t>
      </w:r>
      <w:r>
        <w:rPr>
          <w:rFonts w:eastAsia="Times New Roman"/>
          <w:color w:val="000000"/>
          <w:lang w:val="fr-FR"/>
        </w:rPr>
        <w:t>’</w:t>
      </w:r>
      <w:r w:rsidRPr="005B4699">
        <w:rPr>
          <w:rFonts w:eastAsia="Times New Roman"/>
          <w:color w:val="000000"/>
          <w:lang w:val="fr-FR"/>
        </w:rPr>
        <w:t>un monde pluraliste</w:t>
      </w:r>
      <w:r>
        <w:rPr>
          <w:rFonts w:eastAsia="Times New Roman"/>
          <w:color w:val="000000"/>
          <w:lang w:val="fr-FR"/>
        </w:rPr>
        <w:t>,</w:t>
      </w:r>
      <w:r w:rsidRPr="005B4699">
        <w:rPr>
          <w:rFonts w:eastAsia="Times New Roman"/>
          <w:color w:val="000000"/>
          <w:lang w:val="fr-FR"/>
        </w:rPr>
        <w:t xml:space="preserve"> doit se voir accorder davantage de poids dans le processus de détermination de l</w:t>
      </w:r>
      <w:r>
        <w:rPr>
          <w:rFonts w:eastAsia="Times New Roman"/>
          <w:color w:val="000000"/>
          <w:lang w:val="fr-FR"/>
        </w:rPr>
        <w:t>’</w:t>
      </w:r>
      <w:r w:rsidRPr="005B4699">
        <w:rPr>
          <w:rFonts w:eastAsia="Times New Roman"/>
          <w:color w:val="000000"/>
          <w:lang w:val="fr-FR"/>
        </w:rPr>
        <w:t>existence et du contenu des règles de droit international. Si les travaux doctrinaux consultés sont de grande qualité mais ne reflètent qu</w:t>
      </w:r>
      <w:r>
        <w:rPr>
          <w:rFonts w:eastAsia="Times New Roman"/>
          <w:color w:val="000000"/>
          <w:lang w:val="fr-FR"/>
        </w:rPr>
        <w:t>’</w:t>
      </w:r>
      <w:r w:rsidRPr="005B4699">
        <w:rPr>
          <w:rFonts w:eastAsia="Times New Roman"/>
          <w:color w:val="000000"/>
          <w:lang w:val="fr-FR"/>
        </w:rPr>
        <w:t xml:space="preserve">un système juridique et non une large variété de </w:t>
      </w:r>
      <w:r w:rsidRPr="005B4699">
        <w:rPr>
          <w:rFonts w:eastAsia="Times New Roman"/>
          <w:color w:val="000000"/>
          <w:lang w:val="fr-FR"/>
        </w:rPr>
        <w:lastRenderedPageBreak/>
        <w:t>systèmes juridiques et de régions du monde, il leur sera difficile de jouir d</w:t>
      </w:r>
      <w:r>
        <w:rPr>
          <w:rFonts w:eastAsia="Times New Roman"/>
          <w:color w:val="000000"/>
          <w:lang w:val="fr-FR"/>
        </w:rPr>
        <w:t>’</w:t>
      </w:r>
      <w:r w:rsidRPr="005B4699">
        <w:rPr>
          <w:rFonts w:eastAsia="Times New Roman"/>
          <w:color w:val="000000"/>
          <w:lang w:val="fr-FR"/>
        </w:rPr>
        <w:t>une autorité</w:t>
      </w:r>
      <w:r>
        <w:rPr>
          <w:rFonts w:eastAsia="Times New Roman"/>
          <w:color w:val="000000"/>
          <w:lang w:val="fr-FR"/>
        </w:rPr>
        <w:t xml:space="preserve"> persuasive</w:t>
      </w:r>
      <w:r w:rsidRPr="001030F0">
        <w:rPr>
          <w:rFonts w:eastAsia="Times New Roman"/>
          <w:color w:val="000000"/>
          <w:lang w:val="fr-FR"/>
        </w:rPr>
        <w:t xml:space="preserve">. </w:t>
      </w:r>
    </w:p>
    <w:p w14:paraId="36E95B7C" w14:textId="05ABF3F6" w:rsidR="004C5E26" w:rsidRPr="005B4699" w:rsidRDefault="004C5E26" w:rsidP="004C5E26">
      <w:pPr>
        <w:pStyle w:val="SingleTxtG"/>
        <w:rPr>
          <w:rFonts w:eastAsia="Times New Roman"/>
          <w:color w:val="000000"/>
          <w:lang w:val="fr-FR"/>
        </w:rPr>
      </w:pPr>
      <w:r>
        <w:rPr>
          <w:rFonts w:eastAsia="Times New Roman"/>
          <w:color w:val="000000"/>
          <w:lang w:val="fr-FR"/>
        </w:rPr>
        <w:t>10</w:t>
      </w:r>
      <w:r w:rsidRPr="005B4699">
        <w:rPr>
          <w:rFonts w:eastAsia="Times New Roman"/>
          <w:color w:val="000000"/>
          <w:lang w:val="fr-FR"/>
        </w:rPr>
        <w:t>)</w:t>
      </w:r>
      <w:r w:rsidRPr="005B4699">
        <w:rPr>
          <w:rFonts w:eastAsia="Times New Roman"/>
          <w:color w:val="000000"/>
          <w:lang w:val="fr-FR"/>
        </w:rPr>
        <w:tab/>
        <w:t>La formulation « en particulier celle qui reflète de manière générale les points de vue concordants de personnes ayant une compétence en droit international et représentatives des différents systèmes juridiques et régions du monde » est inclusive et générale</w:t>
      </w:r>
      <w:r>
        <w:rPr>
          <w:rFonts w:eastAsia="Times New Roman"/>
          <w:color w:val="000000"/>
          <w:lang w:val="fr-FR"/>
        </w:rPr>
        <w:t>. Elle</w:t>
      </w:r>
      <w:r w:rsidRPr="005B4699">
        <w:rPr>
          <w:rFonts w:eastAsia="Times New Roman"/>
          <w:color w:val="000000"/>
          <w:lang w:val="fr-FR"/>
        </w:rPr>
        <w:t xml:space="preserve"> vise à </w:t>
      </w:r>
      <w:r>
        <w:rPr>
          <w:rFonts w:eastAsia="Times New Roman"/>
          <w:color w:val="000000"/>
          <w:lang w:val="fr-FR"/>
        </w:rPr>
        <w:t xml:space="preserve">garantir </w:t>
      </w:r>
      <w:r w:rsidRPr="005B4699">
        <w:rPr>
          <w:rFonts w:eastAsia="Times New Roman"/>
          <w:color w:val="000000"/>
          <w:lang w:val="fr-FR"/>
        </w:rPr>
        <w:t xml:space="preserve">que la diversité </w:t>
      </w:r>
      <w:r>
        <w:rPr>
          <w:rFonts w:eastAsia="Times New Roman"/>
          <w:color w:val="000000"/>
          <w:lang w:val="fr-FR"/>
        </w:rPr>
        <w:t xml:space="preserve">des points de vue et </w:t>
      </w:r>
      <w:r w:rsidRPr="005B4699">
        <w:rPr>
          <w:rFonts w:eastAsia="Times New Roman"/>
          <w:color w:val="000000"/>
          <w:lang w:val="fr-FR"/>
        </w:rPr>
        <w:t>de la doctrine émanant des différentes régions du monde</w:t>
      </w:r>
      <w:r>
        <w:rPr>
          <w:rFonts w:eastAsia="Times New Roman"/>
          <w:color w:val="000000"/>
          <w:lang w:val="fr-FR"/>
        </w:rPr>
        <w:t xml:space="preserve"> soit</w:t>
      </w:r>
      <w:r w:rsidRPr="005B4699">
        <w:rPr>
          <w:rFonts w:eastAsia="Times New Roman"/>
          <w:color w:val="000000"/>
          <w:lang w:val="fr-FR"/>
        </w:rPr>
        <w:t xml:space="preserve"> pleinement prise en considération pour déterminer les règles de droit international. </w:t>
      </w:r>
      <w:r>
        <w:rPr>
          <w:rFonts w:eastAsia="Times New Roman"/>
          <w:color w:val="000000"/>
          <w:lang w:val="fr-FR"/>
        </w:rPr>
        <w:t>La</w:t>
      </w:r>
      <w:r w:rsidRPr="005B4699">
        <w:rPr>
          <w:rFonts w:eastAsia="Times New Roman"/>
          <w:color w:val="000000"/>
          <w:lang w:val="fr-FR"/>
        </w:rPr>
        <w:t xml:space="preserve"> référence aux </w:t>
      </w:r>
      <w:r>
        <w:rPr>
          <w:rFonts w:eastAsia="Times New Roman"/>
          <w:color w:val="000000"/>
          <w:lang w:val="fr-FR"/>
        </w:rPr>
        <w:t>« différents systèmes juridiques et</w:t>
      </w:r>
      <w:r w:rsidRPr="005B4699">
        <w:rPr>
          <w:rFonts w:eastAsia="Times New Roman"/>
          <w:color w:val="000000"/>
          <w:lang w:val="fr-FR"/>
        </w:rPr>
        <w:t xml:space="preserve"> régions du monde » indique </w:t>
      </w:r>
      <w:r>
        <w:rPr>
          <w:rFonts w:eastAsia="Times New Roman"/>
          <w:color w:val="000000"/>
          <w:lang w:val="fr-FR"/>
        </w:rPr>
        <w:t xml:space="preserve">aussi </w:t>
      </w:r>
      <w:r w:rsidRPr="005B4699">
        <w:rPr>
          <w:rFonts w:eastAsia="Times New Roman"/>
          <w:color w:val="000000"/>
          <w:lang w:val="fr-FR"/>
        </w:rPr>
        <w:t>que, dans l</w:t>
      </w:r>
      <w:r>
        <w:rPr>
          <w:rFonts w:eastAsia="Times New Roman"/>
          <w:color w:val="000000"/>
          <w:lang w:val="fr-FR"/>
        </w:rPr>
        <w:t>’</w:t>
      </w:r>
      <w:r w:rsidRPr="005B4699">
        <w:rPr>
          <w:rFonts w:eastAsia="Times New Roman"/>
          <w:color w:val="000000"/>
          <w:lang w:val="fr-FR"/>
        </w:rPr>
        <w:t>ensemble, même le poids d</w:t>
      </w:r>
      <w:r>
        <w:rPr>
          <w:rFonts w:eastAsia="Times New Roman"/>
          <w:color w:val="000000"/>
          <w:lang w:val="fr-FR"/>
        </w:rPr>
        <w:t>’</w:t>
      </w:r>
      <w:r w:rsidRPr="005B4699">
        <w:rPr>
          <w:rFonts w:eastAsia="Times New Roman"/>
          <w:color w:val="000000"/>
          <w:lang w:val="fr-FR"/>
        </w:rPr>
        <w:t>un travail doctrinal particulier sera renforcé s</w:t>
      </w:r>
      <w:r>
        <w:rPr>
          <w:rFonts w:eastAsia="Times New Roman"/>
          <w:color w:val="000000"/>
          <w:lang w:val="fr-FR"/>
        </w:rPr>
        <w:t>’</w:t>
      </w:r>
      <w:r w:rsidRPr="005B4699">
        <w:rPr>
          <w:rFonts w:eastAsia="Times New Roman"/>
          <w:color w:val="000000"/>
          <w:lang w:val="fr-FR"/>
        </w:rPr>
        <w:t>il procède d</w:t>
      </w:r>
      <w:r>
        <w:rPr>
          <w:rFonts w:eastAsia="Times New Roman"/>
          <w:color w:val="000000"/>
          <w:lang w:val="fr-FR"/>
        </w:rPr>
        <w:t>’</w:t>
      </w:r>
      <w:r w:rsidRPr="005B4699">
        <w:rPr>
          <w:rFonts w:eastAsia="Times New Roman"/>
          <w:color w:val="000000"/>
          <w:lang w:val="fr-FR"/>
        </w:rPr>
        <w:t>investigations démontrant qu</w:t>
      </w:r>
      <w:r>
        <w:rPr>
          <w:rFonts w:eastAsia="Times New Roman"/>
          <w:color w:val="000000"/>
          <w:lang w:val="fr-FR"/>
        </w:rPr>
        <w:t>’</w:t>
      </w:r>
      <w:r w:rsidRPr="005B4699">
        <w:rPr>
          <w:rFonts w:eastAsia="Times New Roman"/>
          <w:color w:val="000000"/>
          <w:lang w:val="fr-FR"/>
        </w:rPr>
        <w:t xml:space="preserve">une certaine règle du droit international est répandue dans </w:t>
      </w:r>
      <w:r>
        <w:rPr>
          <w:rFonts w:eastAsia="Times New Roman"/>
          <w:color w:val="000000"/>
          <w:lang w:val="fr-FR"/>
        </w:rPr>
        <w:t>divers</w:t>
      </w:r>
      <w:r w:rsidRPr="005B4699">
        <w:rPr>
          <w:rFonts w:eastAsia="Times New Roman"/>
          <w:color w:val="000000"/>
          <w:lang w:val="fr-FR"/>
        </w:rPr>
        <w:t xml:space="preserve"> systèmes représentant les principales familles et traditions juridiques du monde. </w:t>
      </w:r>
    </w:p>
    <w:p w14:paraId="31677E56" w14:textId="097AA56E"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1</w:t>
      </w:r>
      <w:r w:rsidRPr="005B4699">
        <w:rPr>
          <w:rFonts w:eastAsia="Times New Roman"/>
          <w:color w:val="000000"/>
          <w:lang w:val="fr-FR"/>
        </w:rPr>
        <w:t>)</w:t>
      </w:r>
      <w:r w:rsidRPr="005B4699">
        <w:rPr>
          <w:rFonts w:eastAsia="Times New Roman"/>
          <w:color w:val="000000"/>
          <w:lang w:val="fr-FR"/>
        </w:rPr>
        <w:tab/>
        <w:t>La deuxième phrase du projet de conclusion 5 développe, à titre illustratif, le critère de représentativité qui doit être pris en compte</w:t>
      </w:r>
      <w:r>
        <w:rPr>
          <w:rFonts w:eastAsia="Times New Roman"/>
          <w:color w:val="000000"/>
          <w:lang w:val="fr-FR"/>
        </w:rPr>
        <w:t xml:space="preserve"> en indiquant</w:t>
      </w:r>
      <w:r w:rsidRPr="005B4699">
        <w:rPr>
          <w:rFonts w:eastAsia="Times New Roman"/>
          <w:color w:val="000000"/>
          <w:lang w:val="fr-FR"/>
        </w:rPr>
        <w:t xml:space="preserve"> </w:t>
      </w:r>
      <w:r>
        <w:rPr>
          <w:rFonts w:eastAsia="Times New Roman"/>
          <w:color w:val="000000"/>
          <w:lang w:val="fr-FR"/>
        </w:rPr>
        <w:t>qu’« </w:t>
      </w:r>
      <w:r w:rsidRPr="005B4699">
        <w:rPr>
          <w:rFonts w:eastAsia="Times New Roman"/>
          <w:color w:val="000000"/>
          <w:lang w:val="fr-FR"/>
        </w:rPr>
        <w:t xml:space="preserve">une attention particulière devrait être portée, </w:t>
      </w:r>
      <w:r w:rsidRPr="005B4699">
        <w:rPr>
          <w:rFonts w:eastAsia="Times New Roman"/>
          <w:i/>
          <w:color w:val="000000"/>
          <w:lang w:val="fr-FR"/>
        </w:rPr>
        <w:t>inter alia,</w:t>
      </w:r>
      <w:r w:rsidRPr="005B4699">
        <w:rPr>
          <w:rFonts w:eastAsia="Times New Roman"/>
          <w:color w:val="000000"/>
          <w:lang w:val="fr-FR"/>
        </w:rPr>
        <w:t xml:space="preserve"> à la diversité de genre et de langues »</w:t>
      </w:r>
      <w:r>
        <w:rPr>
          <w:rFonts w:eastAsia="Times New Roman"/>
          <w:color w:val="000000"/>
          <w:lang w:val="fr-FR"/>
        </w:rPr>
        <w:t>.</w:t>
      </w:r>
    </w:p>
    <w:p w14:paraId="6A667E5C" w14:textId="24A0B998"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2</w:t>
      </w:r>
      <w:r w:rsidRPr="005B4699">
        <w:rPr>
          <w:rFonts w:eastAsia="Times New Roman"/>
          <w:color w:val="000000"/>
          <w:lang w:val="fr-FR"/>
        </w:rPr>
        <w:t>)</w:t>
      </w:r>
      <w:r w:rsidRPr="005B4699">
        <w:rPr>
          <w:rFonts w:eastAsia="Times New Roman"/>
          <w:color w:val="000000"/>
          <w:lang w:val="fr-FR"/>
        </w:rPr>
        <w:tab/>
        <w:t>La Commission a considéré que la diversité de genre</w:t>
      </w:r>
      <w:r>
        <w:rPr>
          <w:rFonts w:eastAsia="Times New Roman"/>
          <w:color w:val="000000"/>
          <w:lang w:val="fr-FR"/>
        </w:rPr>
        <w:t xml:space="preserve">s </w:t>
      </w:r>
      <w:r w:rsidRPr="005B4699">
        <w:rPr>
          <w:rFonts w:eastAsia="Times New Roman"/>
          <w:color w:val="000000"/>
          <w:lang w:val="fr-FR"/>
        </w:rPr>
        <w:t xml:space="preserve">et de langues ainsi que la diversité de points de vue étaient des considérations </w:t>
      </w:r>
      <w:r>
        <w:rPr>
          <w:rFonts w:eastAsia="Times New Roman"/>
          <w:color w:val="000000"/>
          <w:lang w:val="fr-FR"/>
        </w:rPr>
        <w:t>majeures</w:t>
      </w:r>
      <w:r w:rsidRPr="005B4699">
        <w:rPr>
          <w:rFonts w:eastAsia="Times New Roman"/>
          <w:color w:val="000000"/>
          <w:lang w:val="fr-FR"/>
        </w:rPr>
        <w:t xml:space="preserve"> pouvant devoir être </w:t>
      </w:r>
      <w:r>
        <w:rPr>
          <w:rFonts w:eastAsia="Times New Roman"/>
          <w:color w:val="000000"/>
          <w:lang w:val="fr-FR"/>
        </w:rPr>
        <w:t>prises en compte</w:t>
      </w:r>
      <w:r w:rsidRPr="005B4699">
        <w:rPr>
          <w:rFonts w:eastAsia="Times New Roman"/>
          <w:color w:val="000000"/>
          <w:lang w:val="fr-FR"/>
        </w:rPr>
        <w:t xml:space="preserve"> pour apprécier la représentativité des travaux doctrinaux consultés. Toutefois, comme la référence aux diverses régions du monde reflétait déjà diverses formes de diversité, comme la diversité raciale, et qu</w:t>
      </w:r>
      <w:r>
        <w:rPr>
          <w:rFonts w:eastAsia="Times New Roman"/>
          <w:color w:val="000000"/>
          <w:lang w:val="fr-FR"/>
        </w:rPr>
        <w:t>’</w:t>
      </w:r>
      <w:r w:rsidRPr="005B4699">
        <w:rPr>
          <w:rFonts w:eastAsia="Times New Roman"/>
          <w:color w:val="000000"/>
          <w:lang w:val="fr-FR"/>
        </w:rPr>
        <w:t>il s</w:t>
      </w:r>
      <w:r>
        <w:rPr>
          <w:rFonts w:eastAsia="Times New Roman"/>
          <w:color w:val="000000"/>
          <w:lang w:val="fr-FR"/>
        </w:rPr>
        <w:t>’</w:t>
      </w:r>
      <w:r w:rsidRPr="005B4699">
        <w:rPr>
          <w:rFonts w:eastAsia="Times New Roman"/>
          <w:color w:val="000000"/>
          <w:lang w:val="fr-FR"/>
        </w:rPr>
        <w:t>agissait de donner une liste indicative et non une liste exhaustive des facteurs à prendre en considération, il a été jugé nécessaire de ne souligner que la diversité de genre</w:t>
      </w:r>
      <w:r>
        <w:rPr>
          <w:rFonts w:eastAsia="Times New Roman"/>
          <w:color w:val="000000"/>
          <w:lang w:val="fr-FR"/>
        </w:rPr>
        <w:t>s</w:t>
      </w:r>
      <w:r w:rsidRPr="005B4699">
        <w:rPr>
          <w:rFonts w:eastAsia="Times New Roman"/>
          <w:color w:val="000000"/>
          <w:lang w:val="fr-FR"/>
        </w:rPr>
        <w:t xml:space="preserve"> et la diversité de langues qui, de l</w:t>
      </w:r>
      <w:r>
        <w:rPr>
          <w:rFonts w:eastAsia="Times New Roman"/>
          <w:color w:val="000000"/>
          <w:lang w:val="fr-FR"/>
        </w:rPr>
        <w:t>’</w:t>
      </w:r>
      <w:r w:rsidRPr="005B4699">
        <w:rPr>
          <w:rFonts w:eastAsia="Times New Roman"/>
          <w:color w:val="000000"/>
          <w:lang w:val="fr-FR"/>
        </w:rPr>
        <w:t xml:space="preserve">avis des membres qui a finalement prévalu, ne seraient pas </w:t>
      </w:r>
      <w:r>
        <w:rPr>
          <w:rFonts w:eastAsia="Times New Roman"/>
          <w:color w:val="000000"/>
          <w:lang w:val="fr-FR"/>
        </w:rPr>
        <w:t xml:space="preserve">nécessairement </w:t>
      </w:r>
      <w:r w:rsidRPr="005B4699">
        <w:rPr>
          <w:rFonts w:eastAsia="Times New Roman"/>
          <w:color w:val="000000"/>
          <w:lang w:val="fr-FR"/>
        </w:rPr>
        <w:t>reflétées par les mots « des divers systèmes juridiques et régions du monde ». Plusieurs membres, et deux États</w:t>
      </w:r>
      <w:r w:rsidRPr="0053774D">
        <w:rPr>
          <w:rStyle w:val="Appelnotedebasdep"/>
        </w:rPr>
        <w:footnoteReference w:id="121"/>
      </w:r>
      <w:r w:rsidRPr="005B4699">
        <w:rPr>
          <w:rFonts w:eastAsia="Times New Roman"/>
          <w:color w:val="000000"/>
          <w:lang w:val="fr-FR"/>
        </w:rPr>
        <w:t xml:space="preserve"> dans le cadre du débat de la Sixième Commission sur le présent projet de conclusion, ont toutefois estimé que la diversité raciale aurait dû être mentionnée pour les mêmes raisons que la diversité de langues et de genre</w:t>
      </w:r>
      <w:r>
        <w:rPr>
          <w:rFonts w:eastAsia="Times New Roman"/>
          <w:color w:val="000000"/>
          <w:lang w:val="fr-FR"/>
        </w:rPr>
        <w:t>s</w:t>
      </w:r>
      <w:r w:rsidRPr="005B4699">
        <w:rPr>
          <w:rFonts w:eastAsia="Times New Roman"/>
          <w:color w:val="000000"/>
          <w:lang w:val="fr-FR"/>
        </w:rPr>
        <w:t xml:space="preserve">. Ces raisons incluaient le fait que la race était mentionnée avec le genre en tant que motif de discrimination prohibé dans </w:t>
      </w:r>
      <w:r>
        <w:rPr>
          <w:rFonts w:eastAsia="Times New Roman"/>
          <w:color w:val="000000"/>
          <w:lang w:val="fr-FR"/>
        </w:rPr>
        <w:t>des instruments internationaux tels que le Pacte international relatif aux droits civils et politiques</w:t>
      </w:r>
      <w:r>
        <w:rPr>
          <w:rStyle w:val="Appelnotedebasdep"/>
          <w:rFonts w:eastAsia="Times New Roman"/>
          <w:color w:val="000000"/>
        </w:rPr>
        <w:footnoteReference w:id="122"/>
      </w:r>
      <w:r>
        <w:rPr>
          <w:rFonts w:eastAsia="Times New Roman"/>
          <w:color w:val="000000"/>
          <w:lang w:val="fr-FR"/>
        </w:rPr>
        <w:t xml:space="preserve"> </w:t>
      </w:r>
      <w:r w:rsidRPr="005B4699">
        <w:rPr>
          <w:rFonts w:eastAsia="Times New Roman"/>
          <w:color w:val="000000"/>
          <w:lang w:val="fr-FR"/>
        </w:rPr>
        <w:t>et dans des traités régionaux relatifs aux droits de l</w:t>
      </w:r>
      <w:r>
        <w:rPr>
          <w:rFonts w:eastAsia="Times New Roman"/>
          <w:color w:val="000000"/>
          <w:lang w:val="fr-FR"/>
        </w:rPr>
        <w:t>’</w:t>
      </w:r>
      <w:r w:rsidRPr="005B4699">
        <w:rPr>
          <w:rFonts w:eastAsia="Times New Roman"/>
          <w:color w:val="000000"/>
          <w:lang w:val="fr-FR"/>
        </w:rPr>
        <w:t xml:space="preserve">homme ainsi que dans la plupart des constitutions de pays de toutes les différentes régions du monde. </w:t>
      </w:r>
    </w:p>
    <w:p w14:paraId="790A7672" w14:textId="56D64575" w:rsidR="004C5E26" w:rsidRPr="005B4699" w:rsidRDefault="004C5E26" w:rsidP="004C5E26">
      <w:pPr>
        <w:pStyle w:val="SingleTxtG"/>
        <w:rPr>
          <w:rFonts w:eastAsia="Times New Roman"/>
          <w:color w:val="000000"/>
          <w:lang w:val="fr-FR"/>
        </w:rPr>
      </w:pPr>
      <w:r w:rsidRPr="006B3D5C">
        <w:rPr>
          <w:rFonts w:eastAsia="Times New Roman"/>
          <w:color w:val="000000"/>
          <w:lang w:val="fr-FR"/>
        </w:rPr>
        <w:t>13)</w:t>
      </w:r>
      <w:r w:rsidRPr="006B3D5C">
        <w:rPr>
          <w:rFonts w:eastAsia="Times New Roman"/>
          <w:color w:val="000000"/>
          <w:lang w:val="fr-FR"/>
        </w:rPr>
        <w:tab/>
        <w:t xml:space="preserve">La formule « une attention particulière devrait également être portée, </w:t>
      </w:r>
      <w:r w:rsidRPr="006B3D5C">
        <w:rPr>
          <w:rFonts w:eastAsia="Times New Roman"/>
          <w:i/>
          <w:iCs/>
          <w:color w:val="000000"/>
          <w:lang w:val="fr-FR"/>
        </w:rPr>
        <w:t>inter alia</w:t>
      </w:r>
      <w:r w:rsidRPr="006B3D5C">
        <w:rPr>
          <w:rFonts w:eastAsia="Times New Roman"/>
          <w:color w:val="000000"/>
          <w:lang w:val="fr-FR"/>
        </w:rPr>
        <w:t>, » devrait exiger des utilisateurs du projet de conclusion de ne ménager aucun effort pour s’assurer de la représentativité de l</w:t>
      </w:r>
      <w:r w:rsidRPr="005B4699">
        <w:rPr>
          <w:rFonts w:eastAsia="Times New Roman"/>
          <w:color w:val="000000"/>
          <w:lang w:val="fr-FR"/>
        </w:rPr>
        <w:t>a doctrine qu</w:t>
      </w:r>
      <w:r>
        <w:rPr>
          <w:rFonts w:eastAsia="Times New Roman"/>
          <w:color w:val="000000"/>
          <w:lang w:val="fr-FR"/>
        </w:rPr>
        <w:t>’</w:t>
      </w:r>
      <w:r w:rsidRPr="005B4699">
        <w:rPr>
          <w:rFonts w:eastAsia="Times New Roman"/>
          <w:color w:val="000000"/>
          <w:lang w:val="fr-FR"/>
        </w:rPr>
        <w:t>ils utilisent comme moyen auxiliaire. Le terme « devrait » est utilisé au lieu du terme « doit ». Le mot « </w:t>
      </w:r>
      <w:r>
        <w:rPr>
          <w:rFonts w:eastAsia="Times New Roman"/>
          <w:color w:val="000000"/>
          <w:lang w:val="fr-FR"/>
        </w:rPr>
        <w:t>également</w:t>
      </w:r>
      <w:r w:rsidRPr="005B4699">
        <w:rPr>
          <w:rFonts w:eastAsia="Times New Roman"/>
          <w:color w:val="000000"/>
          <w:lang w:val="fr-FR"/>
        </w:rPr>
        <w:t> » indique que l</w:t>
      </w:r>
      <w:r>
        <w:rPr>
          <w:rFonts w:eastAsia="Times New Roman"/>
          <w:color w:val="000000"/>
          <w:lang w:val="fr-FR"/>
        </w:rPr>
        <w:t>’</w:t>
      </w:r>
      <w:r w:rsidRPr="005B4699">
        <w:rPr>
          <w:rFonts w:eastAsia="Times New Roman"/>
          <w:color w:val="000000"/>
          <w:lang w:val="fr-FR"/>
        </w:rPr>
        <w:t>énumération qui suit s</w:t>
      </w:r>
      <w:r>
        <w:rPr>
          <w:rFonts w:eastAsia="Times New Roman"/>
          <w:color w:val="000000"/>
          <w:lang w:val="fr-FR"/>
        </w:rPr>
        <w:t>’</w:t>
      </w:r>
      <w:r w:rsidRPr="005B4699">
        <w:rPr>
          <w:rFonts w:eastAsia="Times New Roman"/>
          <w:color w:val="000000"/>
          <w:lang w:val="fr-FR"/>
        </w:rPr>
        <w:t>ajoute à ce qui a déjà été énoncé. Le dernier élément, « </w:t>
      </w:r>
      <w:r w:rsidRPr="005B4699">
        <w:rPr>
          <w:rFonts w:eastAsia="Times New Roman"/>
          <w:i/>
          <w:iCs/>
          <w:color w:val="000000"/>
          <w:lang w:val="fr-FR"/>
        </w:rPr>
        <w:t>inter alia</w:t>
      </w:r>
      <w:r w:rsidRPr="005B4699">
        <w:rPr>
          <w:rFonts w:eastAsia="Times New Roman"/>
          <w:color w:val="000000"/>
          <w:lang w:val="fr-FR"/>
        </w:rPr>
        <w:t> », qui signifie « entre autres choses », précise que la diversité de genre</w:t>
      </w:r>
      <w:r>
        <w:rPr>
          <w:rFonts w:eastAsia="Times New Roman"/>
          <w:color w:val="000000"/>
          <w:lang w:val="fr-FR"/>
        </w:rPr>
        <w:t>s</w:t>
      </w:r>
      <w:r w:rsidRPr="005B4699">
        <w:rPr>
          <w:rFonts w:eastAsia="Times New Roman"/>
          <w:color w:val="000000"/>
          <w:lang w:val="fr-FR"/>
        </w:rPr>
        <w:t xml:space="preserve"> et de langues ne sont pas les seules formes de diversité </w:t>
      </w:r>
      <w:r>
        <w:rPr>
          <w:rFonts w:eastAsia="Times New Roman"/>
          <w:color w:val="000000"/>
          <w:lang w:val="fr-FR"/>
        </w:rPr>
        <w:t>à prendre</w:t>
      </w:r>
      <w:r w:rsidRPr="005B4699">
        <w:rPr>
          <w:rFonts w:eastAsia="Times New Roman"/>
          <w:color w:val="000000"/>
          <w:lang w:val="fr-FR"/>
        </w:rPr>
        <w:t xml:space="preserve"> en compte. La</w:t>
      </w:r>
      <w:r>
        <w:rPr>
          <w:rFonts w:eastAsia="Times New Roman"/>
          <w:color w:val="000000"/>
          <w:lang w:val="fr-FR"/>
        </w:rPr>
        <w:t> </w:t>
      </w:r>
      <w:r w:rsidRPr="005B4699">
        <w:rPr>
          <w:rFonts w:eastAsia="Times New Roman"/>
          <w:color w:val="000000"/>
          <w:lang w:val="fr-FR"/>
        </w:rPr>
        <w:t>Commission met ainsi en exergue certaines des considérations, mais non toutes, qui peuvent être pertinentes pour apprécier la représentativité de la doctrine</w:t>
      </w:r>
      <w:r>
        <w:rPr>
          <w:rFonts w:eastAsia="Times New Roman"/>
          <w:color w:val="000000"/>
          <w:lang w:val="fr-FR"/>
        </w:rPr>
        <w:t xml:space="preserve"> et qui, outre la diversité raciale, peuvent inclure la diversité ethnique, culturelle et religieuse ainsi que l’orientation sexuelle</w:t>
      </w:r>
      <w:r w:rsidRPr="005B4699">
        <w:rPr>
          <w:rFonts w:eastAsia="Times New Roman"/>
          <w:color w:val="000000"/>
          <w:lang w:val="fr-FR"/>
        </w:rPr>
        <w:t>.</w:t>
      </w:r>
    </w:p>
    <w:p w14:paraId="216EEA41" w14:textId="657A11A1" w:rsidR="004C5E26" w:rsidRDefault="004C5E26" w:rsidP="004C5E26">
      <w:pPr>
        <w:pStyle w:val="SingleTxtG"/>
        <w:rPr>
          <w:rFonts w:eastAsia="Times New Roman"/>
          <w:color w:val="000000"/>
          <w:lang w:val="fr-FR"/>
        </w:rPr>
      </w:pPr>
      <w:r w:rsidRPr="005B4699">
        <w:rPr>
          <w:rFonts w:eastAsia="Times New Roman"/>
          <w:color w:val="000000"/>
          <w:lang w:val="fr-FR"/>
        </w:rPr>
        <w:t>1</w:t>
      </w:r>
      <w:r>
        <w:rPr>
          <w:rFonts w:eastAsia="Times New Roman"/>
          <w:color w:val="000000"/>
          <w:lang w:val="fr-FR"/>
        </w:rPr>
        <w:t>4</w:t>
      </w:r>
      <w:r w:rsidRPr="005B4699">
        <w:rPr>
          <w:rFonts w:eastAsia="Times New Roman"/>
          <w:color w:val="000000"/>
          <w:lang w:val="fr-FR"/>
        </w:rPr>
        <w:t>)</w:t>
      </w:r>
      <w:r w:rsidRPr="005B4699">
        <w:rPr>
          <w:rFonts w:eastAsia="Times New Roman"/>
          <w:color w:val="000000"/>
          <w:lang w:val="fr-FR"/>
        </w:rPr>
        <w:tab/>
        <w:t xml:space="preserve">La Commission </w:t>
      </w:r>
      <w:r>
        <w:rPr>
          <w:rFonts w:eastAsia="Times New Roman"/>
          <w:color w:val="000000"/>
          <w:lang w:val="fr-FR"/>
        </w:rPr>
        <w:t>considère</w:t>
      </w:r>
      <w:r w:rsidRPr="005B4699">
        <w:rPr>
          <w:rFonts w:eastAsia="Times New Roman"/>
          <w:color w:val="000000"/>
          <w:lang w:val="fr-FR"/>
        </w:rPr>
        <w:t xml:space="preserve"> que la doctrine</w:t>
      </w:r>
      <w:r>
        <w:rPr>
          <w:rFonts w:eastAsia="Times New Roman"/>
          <w:color w:val="000000"/>
          <w:lang w:val="fr-FR"/>
        </w:rPr>
        <w:t xml:space="preserve"> joue</w:t>
      </w:r>
      <w:r w:rsidRPr="005B4699">
        <w:rPr>
          <w:rFonts w:eastAsia="Times New Roman"/>
          <w:color w:val="000000"/>
          <w:lang w:val="fr-FR"/>
        </w:rPr>
        <w:t xml:space="preserve"> effectivement un </w:t>
      </w:r>
      <w:r w:rsidRPr="0069529C">
        <w:rPr>
          <w:rFonts w:eastAsia="Times New Roman"/>
          <w:color w:val="000000"/>
          <w:lang w:val="fr-FR"/>
        </w:rPr>
        <w:t>rôle vital dans le</w:t>
      </w:r>
      <w:r w:rsidRPr="005B4699">
        <w:rPr>
          <w:rFonts w:eastAsia="Times New Roman"/>
          <w:color w:val="000000"/>
          <w:lang w:val="fr-FR"/>
        </w:rPr>
        <w:t xml:space="preserve"> processus de détermination et d</w:t>
      </w:r>
      <w:r>
        <w:rPr>
          <w:rFonts w:eastAsia="Times New Roman"/>
          <w:color w:val="000000"/>
          <w:lang w:val="fr-FR"/>
        </w:rPr>
        <w:t>’</w:t>
      </w:r>
      <w:r w:rsidRPr="005B4699">
        <w:rPr>
          <w:rFonts w:eastAsia="Times New Roman"/>
          <w:color w:val="000000"/>
          <w:lang w:val="fr-FR"/>
        </w:rPr>
        <w:t>application des règles de droit international. Nonobstant l</w:t>
      </w:r>
      <w:r>
        <w:rPr>
          <w:rFonts w:eastAsia="Times New Roman"/>
          <w:color w:val="000000"/>
          <w:lang w:val="fr-FR"/>
        </w:rPr>
        <w:t>’</w:t>
      </w:r>
      <w:r w:rsidRPr="005B4699">
        <w:rPr>
          <w:rFonts w:eastAsia="Times New Roman"/>
          <w:color w:val="000000"/>
          <w:lang w:val="fr-FR"/>
        </w:rPr>
        <w:t>importance de la doctrine, comme indiqué dans le cadre de précédents sujets, la prudence s</w:t>
      </w:r>
      <w:r>
        <w:rPr>
          <w:rFonts w:eastAsia="Times New Roman"/>
          <w:color w:val="000000"/>
          <w:lang w:val="fr-FR"/>
        </w:rPr>
        <w:t>’</w:t>
      </w:r>
      <w:r w:rsidRPr="005B4699">
        <w:rPr>
          <w:rFonts w:eastAsia="Times New Roman"/>
          <w:color w:val="000000"/>
          <w:lang w:val="fr-FR"/>
        </w:rPr>
        <w:t>impose lorsqu</w:t>
      </w:r>
      <w:r>
        <w:rPr>
          <w:rFonts w:eastAsia="Times New Roman"/>
          <w:color w:val="000000"/>
          <w:lang w:val="fr-FR"/>
        </w:rPr>
        <w:t>’</w:t>
      </w:r>
      <w:r w:rsidRPr="005B4699">
        <w:rPr>
          <w:rFonts w:eastAsia="Times New Roman"/>
          <w:color w:val="000000"/>
          <w:lang w:val="fr-FR"/>
        </w:rPr>
        <w:t>il est fait appel à la doctrine parce que sa valeur effective aux fins de l</w:t>
      </w:r>
      <w:r>
        <w:rPr>
          <w:rFonts w:eastAsia="Times New Roman"/>
          <w:color w:val="000000"/>
          <w:lang w:val="fr-FR"/>
        </w:rPr>
        <w:t>’</w:t>
      </w:r>
      <w:r w:rsidRPr="005B4699">
        <w:rPr>
          <w:rFonts w:eastAsia="Times New Roman"/>
          <w:color w:val="000000"/>
          <w:lang w:val="fr-FR"/>
        </w:rPr>
        <w:t>appréciation de l</w:t>
      </w:r>
      <w:r>
        <w:rPr>
          <w:rFonts w:eastAsia="Times New Roman"/>
          <w:color w:val="000000"/>
          <w:lang w:val="fr-FR"/>
        </w:rPr>
        <w:t>’</w:t>
      </w:r>
      <w:r w:rsidRPr="005B4699">
        <w:rPr>
          <w:rFonts w:eastAsia="Times New Roman"/>
          <w:color w:val="000000"/>
          <w:lang w:val="fr-FR"/>
        </w:rPr>
        <w:t>existence et du contenu des règles de droit international peut varier pour différentes raisons. Premièrement, parfois la doctrine vise non seulement à consigner l</w:t>
      </w:r>
      <w:r>
        <w:rPr>
          <w:rFonts w:eastAsia="Times New Roman"/>
          <w:color w:val="000000"/>
          <w:lang w:val="fr-FR"/>
        </w:rPr>
        <w:t>’</w:t>
      </w:r>
      <w:r w:rsidRPr="005B4699">
        <w:rPr>
          <w:rFonts w:eastAsia="Times New Roman"/>
          <w:color w:val="000000"/>
          <w:lang w:val="fr-FR"/>
        </w:rPr>
        <w:t xml:space="preserve">état </w:t>
      </w:r>
      <w:r w:rsidRPr="005B4699">
        <w:rPr>
          <w:rFonts w:eastAsia="Times New Roman"/>
          <w:color w:val="000000"/>
          <w:lang w:val="fr-FR"/>
        </w:rPr>
        <w:lastRenderedPageBreak/>
        <w:t>du droit tel qu</w:t>
      </w:r>
      <w:r>
        <w:rPr>
          <w:rFonts w:eastAsia="Times New Roman"/>
          <w:color w:val="000000"/>
          <w:lang w:val="fr-FR"/>
        </w:rPr>
        <w:t>’</w:t>
      </w:r>
      <w:r w:rsidRPr="005B4699">
        <w:rPr>
          <w:rFonts w:eastAsia="Times New Roman"/>
          <w:color w:val="000000"/>
          <w:lang w:val="fr-FR"/>
        </w:rPr>
        <w:t>il est (</w:t>
      </w:r>
      <w:proofErr w:type="spellStart"/>
      <w:r w:rsidRPr="005B4699">
        <w:rPr>
          <w:rFonts w:eastAsia="Times New Roman"/>
          <w:i/>
          <w:iCs/>
          <w:color w:val="000000"/>
          <w:lang w:val="fr-FR"/>
        </w:rPr>
        <w:t>lex</w:t>
      </w:r>
      <w:proofErr w:type="spellEnd"/>
      <w:r w:rsidRPr="005B4699">
        <w:rPr>
          <w:rFonts w:eastAsia="Times New Roman"/>
          <w:i/>
          <w:iCs/>
          <w:color w:val="000000"/>
          <w:lang w:val="fr-FR"/>
        </w:rPr>
        <w:t xml:space="preserve"> </w:t>
      </w:r>
      <w:proofErr w:type="spellStart"/>
      <w:r w:rsidRPr="005B4699">
        <w:rPr>
          <w:rFonts w:eastAsia="Times New Roman"/>
          <w:i/>
          <w:iCs/>
          <w:color w:val="000000"/>
          <w:lang w:val="fr-FR"/>
        </w:rPr>
        <w:t>lata</w:t>
      </w:r>
      <w:proofErr w:type="spellEnd"/>
      <w:r w:rsidRPr="005B4699">
        <w:rPr>
          <w:rFonts w:eastAsia="Times New Roman"/>
          <w:color w:val="000000"/>
          <w:lang w:val="fr-FR"/>
        </w:rPr>
        <w:t>)</w:t>
      </w:r>
      <w:r>
        <w:rPr>
          <w:rFonts w:eastAsia="Times New Roman"/>
          <w:color w:val="000000"/>
          <w:lang w:val="fr-FR"/>
        </w:rPr>
        <w:t>,</w:t>
      </w:r>
      <w:r w:rsidRPr="005B4699">
        <w:rPr>
          <w:rFonts w:eastAsia="Times New Roman"/>
          <w:color w:val="000000"/>
          <w:lang w:val="fr-FR"/>
        </w:rPr>
        <w:t xml:space="preserve"> mais </w:t>
      </w:r>
      <w:r>
        <w:rPr>
          <w:rFonts w:eastAsia="Times New Roman"/>
          <w:color w:val="000000"/>
          <w:lang w:val="fr-FR"/>
        </w:rPr>
        <w:t>aussi</w:t>
      </w:r>
      <w:r w:rsidRPr="005B4699">
        <w:rPr>
          <w:rFonts w:eastAsia="Times New Roman"/>
          <w:color w:val="000000"/>
          <w:lang w:val="fr-FR"/>
        </w:rPr>
        <w:t xml:space="preserve"> à en préconiser le développement (</w:t>
      </w:r>
      <w:proofErr w:type="spellStart"/>
      <w:r w:rsidRPr="005B4699">
        <w:rPr>
          <w:rFonts w:eastAsia="Times New Roman"/>
          <w:i/>
          <w:iCs/>
          <w:color w:val="000000"/>
          <w:lang w:val="fr-FR"/>
        </w:rPr>
        <w:t>lex</w:t>
      </w:r>
      <w:proofErr w:type="spellEnd"/>
      <w:r w:rsidRPr="005B4699">
        <w:rPr>
          <w:rFonts w:eastAsia="Times New Roman"/>
          <w:i/>
          <w:iCs/>
          <w:color w:val="000000"/>
          <w:lang w:val="fr-FR"/>
        </w:rPr>
        <w:t xml:space="preserve"> </w:t>
      </w:r>
      <w:proofErr w:type="spellStart"/>
      <w:r w:rsidRPr="005B4699">
        <w:rPr>
          <w:rFonts w:eastAsia="Times New Roman"/>
          <w:i/>
          <w:iCs/>
          <w:color w:val="000000"/>
          <w:lang w:val="fr-FR"/>
        </w:rPr>
        <w:t>ferenda</w:t>
      </w:r>
      <w:proofErr w:type="spellEnd"/>
      <w:r w:rsidRPr="005B4699">
        <w:rPr>
          <w:rFonts w:eastAsia="Times New Roman"/>
          <w:color w:val="000000"/>
          <w:lang w:val="fr-FR"/>
        </w:rPr>
        <w:t>). Deuxièmement, la doctrine peut refléter les points de vue nationaux ou autres points de vue individuels de ses auteurs. Troisièmement, sa qualité peut être extrêmement vari</w:t>
      </w:r>
      <w:r>
        <w:rPr>
          <w:rFonts w:eastAsia="Times New Roman"/>
          <w:color w:val="000000"/>
          <w:lang w:val="fr-FR"/>
        </w:rPr>
        <w:t>ée</w:t>
      </w:r>
      <w:r w:rsidRPr="005B4699">
        <w:rPr>
          <w:rFonts w:eastAsia="Times New Roman"/>
          <w:color w:val="000000"/>
          <w:lang w:val="fr-FR"/>
        </w:rPr>
        <w:t>. Il est donc essentiel d</w:t>
      </w:r>
      <w:r>
        <w:rPr>
          <w:rFonts w:eastAsia="Times New Roman"/>
          <w:color w:val="000000"/>
          <w:lang w:val="fr-FR"/>
        </w:rPr>
        <w:t>’</w:t>
      </w:r>
      <w:r w:rsidRPr="005B4699">
        <w:rPr>
          <w:rFonts w:eastAsia="Times New Roman"/>
          <w:color w:val="000000"/>
          <w:lang w:val="fr-FR"/>
        </w:rPr>
        <w:t>apprécier l</w:t>
      </w:r>
      <w:r>
        <w:rPr>
          <w:rFonts w:eastAsia="Times New Roman"/>
          <w:color w:val="000000"/>
          <w:lang w:val="fr-FR"/>
        </w:rPr>
        <w:t>’</w:t>
      </w:r>
      <w:r w:rsidRPr="005B4699">
        <w:rPr>
          <w:rFonts w:eastAsia="Times New Roman"/>
          <w:color w:val="000000"/>
          <w:lang w:val="fr-FR"/>
        </w:rPr>
        <w:t xml:space="preserve">autorité de tel ou tel travail. </w:t>
      </w:r>
      <w:r>
        <w:rPr>
          <w:rFonts w:eastAsia="Times New Roman"/>
          <w:color w:val="000000"/>
          <w:lang w:val="fr-FR"/>
        </w:rPr>
        <w:t xml:space="preserve">Cette approche est bien établie dans la pratique des États. Ainsi, </w:t>
      </w:r>
      <w:r w:rsidRPr="005B4699">
        <w:rPr>
          <w:rFonts w:eastAsia="Times New Roman"/>
          <w:color w:val="000000"/>
          <w:lang w:val="fr-FR"/>
        </w:rPr>
        <w:t xml:space="preserve">dans son arrêt </w:t>
      </w:r>
      <w:r w:rsidRPr="005B4699">
        <w:rPr>
          <w:rFonts w:eastAsia="Times New Roman"/>
          <w:i/>
          <w:iCs/>
          <w:color w:val="000000"/>
          <w:lang w:val="fr-FR"/>
        </w:rPr>
        <w:t xml:space="preserve">The </w:t>
      </w:r>
      <w:proofErr w:type="spellStart"/>
      <w:r w:rsidRPr="005B4699">
        <w:rPr>
          <w:rFonts w:eastAsia="Times New Roman"/>
          <w:i/>
          <w:color w:val="000000"/>
          <w:lang w:val="fr-FR"/>
        </w:rPr>
        <w:t>Paquete</w:t>
      </w:r>
      <w:proofErr w:type="spellEnd"/>
      <w:r w:rsidRPr="005B4699">
        <w:rPr>
          <w:rFonts w:eastAsia="Times New Roman"/>
          <w:i/>
          <w:color w:val="000000"/>
          <w:lang w:val="fr-FR"/>
        </w:rPr>
        <w:t xml:space="preserve"> </w:t>
      </w:r>
      <w:proofErr w:type="spellStart"/>
      <w:r w:rsidRPr="005B4699">
        <w:rPr>
          <w:rFonts w:eastAsia="Times New Roman"/>
          <w:i/>
          <w:color w:val="000000"/>
          <w:lang w:val="fr-FR"/>
        </w:rPr>
        <w:t>Habana</w:t>
      </w:r>
      <w:proofErr w:type="spellEnd"/>
      <w:r w:rsidRPr="00F80FC3">
        <w:rPr>
          <w:rFonts w:eastAsia="Times New Roman"/>
          <w:iCs/>
          <w:color w:val="000000"/>
          <w:lang w:val="fr-FR"/>
        </w:rPr>
        <w:t xml:space="preserve">, </w:t>
      </w:r>
      <w:r>
        <w:rPr>
          <w:rFonts w:eastAsia="Times New Roman"/>
          <w:iCs/>
          <w:color w:val="000000"/>
          <w:lang w:val="fr-FR"/>
        </w:rPr>
        <w:t xml:space="preserve">du 8 janvier 1900, la Cour suprême des États-Unis, qui a fait référence aux </w:t>
      </w:r>
      <w:r w:rsidR="006B3D5C">
        <w:rPr>
          <w:rFonts w:eastAsia="Times New Roman"/>
          <w:iCs/>
          <w:color w:val="000000"/>
          <w:lang w:val="fr-FR"/>
        </w:rPr>
        <w:t>−</w:t>
      </w:r>
      <w:r>
        <w:rPr>
          <w:rFonts w:eastAsia="Times New Roman"/>
          <w:iCs/>
          <w:color w:val="000000"/>
          <w:lang w:val="fr-FR"/>
        </w:rPr>
        <w:t> </w:t>
      </w:r>
      <w:r w:rsidRPr="005B4699">
        <w:rPr>
          <w:rFonts w:eastAsia="Times New Roman"/>
          <w:iCs/>
          <w:color w:val="000000"/>
          <w:lang w:val="fr-FR"/>
        </w:rPr>
        <w:t xml:space="preserve">travaux des publicistes et commentateurs qui étaient </w:t>
      </w:r>
      <w:r w:rsidRPr="005B4699">
        <w:rPr>
          <w:rFonts w:eastAsia="Times New Roman"/>
          <w:color w:val="000000"/>
          <w:lang w:val="fr-FR"/>
        </w:rPr>
        <w:t>particulièrement au fait des sujets dont ils traitaient</w:t>
      </w:r>
      <w:r>
        <w:rPr>
          <w:rFonts w:eastAsia="Times New Roman"/>
          <w:color w:val="000000"/>
          <w:lang w:val="fr-FR"/>
        </w:rPr>
        <w:t xml:space="preserve"> grâce à des années de travail, de recherches et d’expérience, que les tribunaux judiciaires</w:t>
      </w:r>
      <w:r w:rsidRPr="005B4699">
        <w:rPr>
          <w:rFonts w:eastAsia="Times New Roman"/>
          <w:color w:val="000000"/>
          <w:lang w:val="fr-FR"/>
        </w:rPr>
        <w:t xml:space="preserve"> pouvaient </w:t>
      </w:r>
      <w:r>
        <w:rPr>
          <w:rFonts w:eastAsia="Times New Roman"/>
          <w:color w:val="000000"/>
          <w:lang w:val="fr-FR"/>
        </w:rPr>
        <w:t xml:space="preserve">consulter </w:t>
      </w:r>
      <w:r w:rsidRPr="005B4699">
        <w:rPr>
          <w:rFonts w:eastAsia="Times New Roman"/>
          <w:color w:val="000000"/>
          <w:lang w:val="fr-FR"/>
        </w:rPr>
        <w:t>non pour</w:t>
      </w:r>
      <w:r>
        <w:rPr>
          <w:rFonts w:eastAsia="Times New Roman"/>
          <w:color w:val="000000"/>
          <w:lang w:val="fr-FR"/>
        </w:rPr>
        <w:t xml:space="preserve"> connaître</w:t>
      </w:r>
      <w:r w:rsidRPr="005B4699">
        <w:rPr>
          <w:rFonts w:eastAsia="Times New Roman"/>
          <w:color w:val="000000"/>
          <w:lang w:val="fr-FR"/>
        </w:rPr>
        <w:t xml:space="preserve"> les spéculations de leurs auteur</w:t>
      </w:r>
      <w:r>
        <w:rPr>
          <w:rFonts w:eastAsia="Times New Roman"/>
          <w:color w:val="000000"/>
          <w:lang w:val="fr-FR"/>
        </w:rPr>
        <w:t>s</w:t>
      </w:r>
      <w:r w:rsidRPr="005B4699">
        <w:rPr>
          <w:rFonts w:eastAsia="Times New Roman"/>
          <w:color w:val="000000"/>
          <w:lang w:val="fr-FR"/>
        </w:rPr>
        <w:t xml:space="preserve"> concernant ce que le droit devait être, mais pour y trouver des preuves fiables de ce que le droit était effectivement</w:t>
      </w:r>
      <w:r w:rsidRPr="0053774D">
        <w:rPr>
          <w:rStyle w:val="Appelnotedebasdep"/>
        </w:rPr>
        <w:footnoteReference w:id="123"/>
      </w:r>
      <w:r>
        <w:rPr>
          <w:rFonts w:eastAsia="Times New Roman"/>
          <w:color w:val="000000"/>
          <w:lang w:val="fr-FR"/>
        </w:rPr>
        <w:t>.</w:t>
      </w:r>
    </w:p>
    <w:p w14:paraId="371D7663" w14:textId="6401F497" w:rsidR="004C5E26" w:rsidRPr="005B4699" w:rsidRDefault="004C5E26" w:rsidP="004C5E26">
      <w:pPr>
        <w:pStyle w:val="SingleTxtG"/>
        <w:rPr>
          <w:rFonts w:eastAsia="Times New Roman"/>
          <w:color w:val="000000"/>
          <w:lang w:val="fr-FR"/>
        </w:rPr>
      </w:pPr>
      <w:r>
        <w:rPr>
          <w:rFonts w:eastAsia="Times New Roman"/>
          <w:color w:val="000000"/>
          <w:lang w:val="fr-FR"/>
        </w:rPr>
        <w:t>15</w:t>
      </w:r>
      <w:r w:rsidR="006B3D5C">
        <w:rPr>
          <w:rFonts w:eastAsia="Times New Roman"/>
          <w:color w:val="000000"/>
          <w:lang w:val="fr-FR"/>
        </w:rPr>
        <w:t>)</w:t>
      </w:r>
      <w:r>
        <w:rPr>
          <w:rFonts w:eastAsia="Times New Roman"/>
          <w:color w:val="000000"/>
          <w:lang w:val="fr-FR"/>
        </w:rPr>
        <w:tab/>
        <w:t>Un autre exemple, plus récent, montre non seulement comment la doctrine est utilisée dans la pratique, mais comment elle peut interagir avec les décisions judiciaires en tant que moyens auxiliaires. Dans son arrêt de mars 2016, la Cour suprême d’appel de l’Afrique du Sud</w:t>
      </w:r>
      <w:r>
        <w:rPr>
          <w:rStyle w:val="Appelnotedebasdep"/>
          <w:rFonts w:eastAsia="Times New Roman"/>
          <w:color w:val="000000"/>
        </w:rPr>
        <w:footnoteReference w:id="124"/>
      </w:r>
      <w:r>
        <w:rPr>
          <w:rFonts w:eastAsia="Times New Roman"/>
          <w:color w:val="000000"/>
          <w:lang w:val="fr-FR"/>
        </w:rPr>
        <w:t xml:space="preserve"> a tranché la question étroite de savoir si le droit international coutumier autorisait des exceptions à l’immunité des chefs d’État de sorte que l’Afrique du Sud, notamment ses tribunaux, pourrait ne pas tenir compte de cette immunité et autoriser l’exécution d’un mandat d’arrêt délivré par la Cour pénale internationale contre Omar Hassan Ahmed Al</w:t>
      </w:r>
      <w:r w:rsidR="006B3D5C">
        <w:rPr>
          <w:rFonts w:eastAsia="Times New Roman"/>
          <w:color w:val="000000"/>
          <w:lang w:val="fr-FR"/>
        </w:rPr>
        <w:noBreakHyphen/>
      </w:r>
      <w:r>
        <w:rPr>
          <w:rFonts w:eastAsia="Times New Roman"/>
          <w:color w:val="000000"/>
          <w:lang w:val="fr-FR"/>
        </w:rPr>
        <w:t>Bashir, qui était alors Président du Soudan</w:t>
      </w:r>
      <w:r>
        <w:rPr>
          <w:rStyle w:val="Appelnotedebasdep"/>
          <w:rFonts w:eastAsia="Times New Roman"/>
          <w:color w:val="000000"/>
        </w:rPr>
        <w:footnoteReference w:id="125"/>
      </w:r>
      <w:r>
        <w:rPr>
          <w:rFonts w:eastAsia="Times New Roman"/>
          <w:color w:val="000000"/>
          <w:lang w:val="fr-FR"/>
        </w:rPr>
        <w:t>. La Cour a analysé le Statut de Rome avant de regarder le droit international coutumier et, face à la difficulté de trancher la question grâce à ces deux sources citées aux alinéas a) et b) du paragraphe 1 de l’Article 38 du Statut de la Cour internationale de Justice, a estimé que les décisions judiciaires, y compris celles émanant de la Cour internationale de Justice, et la doctrine pouvaient donner des « orientations » quant à l’existence ou non d’une exception</w:t>
      </w:r>
      <w:r>
        <w:rPr>
          <w:rStyle w:val="Appelnotedebasdep"/>
          <w:rFonts w:eastAsia="Times New Roman"/>
          <w:color w:val="000000"/>
        </w:rPr>
        <w:footnoteReference w:id="126"/>
      </w:r>
      <w:r>
        <w:rPr>
          <w:rFonts w:eastAsia="Times New Roman"/>
          <w:color w:val="000000"/>
          <w:lang w:val="fr-FR"/>
        </w:rPr>
        <w:t>. Dans le cadre de son analyse, la Cour a examiné les écrits de plusieurs auteurs et a constaté que les points de vue étaient divisés sur la question de savoir si l’immunité s’appliquait ou non. En fin de compte, elle a rejeté l’argument de l’appelant, qui soutenait qu’une exception existait en droit international en ce qui concernait les tribunaux nationaux. Elle a fait observer que les points de vue des auteurs sur la question de l’immunité pourraient à l’avenir être pris en compte dans les débats et contribuer au développement du droit international coutumier</w:t>
      </w:r>
      <w:r>
        <w:rPr>
          <w:rStyle w:val="Appelnotedebasdep"/>
          <w:rFonts w:eastAsia="Times New Roman"/>
          <w:color w:val="000000"/>
        </w:rPr>
        <w:footnoteReference w:id="127"/>
      </w:r>
      <w:r>
        <w:rPr>
          <w:rFonts w:eastAsia="Times New Roman"/>
          <w:color w:val="000000"/>
          <w:lang w:val="fr-FR"/>
        </w:rPr>
        <w:t>. Cette dernière observation éclaire à un autre rôle joué par la doctrine, qu’il faut garder à l’esprit, dans le contexte du présent projet de conclusion. La Cour a expliqué que son rôle n’était pas de trancher des débats théoriques et qu’il lui revenait plus strictement d’apprécier l’état du droit international coutumier tel qu’il était et de l’appliquer sans créer un nouveau droit</w:t>
      </w:r>
      <w:r>
        <w:rPr>
          <w:rStyle w:val="Appelnotedebasdep"/>
          <w:rFonts w:eastAsia="Times New Roman"/>
          <w:color w:val="000000"/>
        </w:rPr>
        <w:footnoteReference w:id="128"/>
      </w:r>
      <w:r>
        <w:rPr>
          <w:rFonts w:eastAsia="Times New Roman"/>
          <w:color w:val="000000"/>
          <w:lang w:val="fr-FR"/>
        </w:rPr>
        <w:t xml:space="preserve">. </w:t>
      </w:r>
    </w:p>
    <w:p w14:paraId="00538557" w14:textId="77777777" w:rsidR="004C5E26" w:rsidRPr="005B4699" w:rsidRDefault="004C5E26" w:rsidP="00AF4E47">
      <w:pPr>
        <w:pStyle w:val="H23G"/>
        <w:ind w:left="1701" w:firstLine="0"/>
        <w:rPr>
          <w:rFonts w:eastAsia="Times New Roman"/>
          <w:color w:val="000000"/>
          <w:lang w:val="fr-FR"/>
        </w:rPr>
      </w:pPr>
      <w:r w:rsidRPr="0094761A">
        <w:rPr>
          <w:bCs/>
          <w:lang w:val="fr-FR"/>
        </w:rPr>
        <w:t>Conclusion</w:t>
      </w:r>
      <w:r w:rsidRPr="005B4699">
        <w:rPr>
          <w:rFonts w:eastAsia="Times New Roman"/>
          <w:color w:val="000000"/>
          <w:lang w:val="fr-FR"/>
        </w:rPr>
        <w:t xml:space="preserve"> 6</w:t>
      </w:r>
      <w:r>
        <w:rPr>
          <w:rFonts w:eastAsia="Times New Roman"/>
          <w:color w:val="000000"/>
          <w:lang w:val="fr-FR"/>
        </w:rPr>
        <w:t xml:space="preserve"> </w:t>
      </w:r>
      <w:r>
        <w:rPr>
          <w:rFonts w:eastAsia="Times New Roman"/>
          <w:color w:val="000000"/>
          <w:lang w:val="fr-FR"/>
        </w:rPr>
        <w:br/>
      </w:r>
      <w:bookmarkStart w:id="65" w:name="_Hlk175323470"/>
      <w:r w:rsidRPr="005B4699">
        <w:rPr>
          <w:rFonts w:eastAsia="Times New Roman"/>
          <w:color w:val="000000"/>
          <w:lang w:val="fr-FR"/>
        </w:rPr>
        <w:t>Nature et fonction des moyens auxiliaires</w:t>
      </w:r>
      <w:bookmarkEnd w:id="65"/>
    </w:p>
    <w:p w14:paraId="1F2F1820" w14:textId="1EF98E39" w:rsidR="004C5E26" w:rsidRPr="005B4699" w:rsidRDefault="004C5E26" w:rsidP="004C5E26">
      <w:pPr>
        <w:pStyle w:val="SingleTxtG"/>
        <w:ind w:left="1701"/>
        <w:rPr>
          <w:rFonts w:eastAsia="Times New Roman"/>
          <w:color w:val="000000"/>
          <w:lang w:val="fr-FR"/>
        </w:rPr>
      </w:pPr>
      <w:r w:rsidRPr="001732E4">
        <w:rPr>
          <w:rFonts w:eastAsia="Times New Roman"/>
          <w:color w:val="000000"/>
          <w:lang w:val="fr-FR"/>
        </w:rPr>
        <w:t>1.</w:t>
      </w:r>
      <w:r w:rsidRPr="001732E4">
        <w:rPr>
          <w:rFonts w:eastAsia="Times New Roman"/>
          <w:color w:val="000000"/>
          <w:lang w:val="fr-FR"/>
        </w:rPr>
        <w:tab/>
        <w:t xml:space="preserve">Les moyens auxiliaires ne constituent pas une source du droit international. La fonction des moyens auxiliaires est d’aider à déterminer l’existence et le contenu des </w:t>
      </w:r>
      <w:r w:rsidRPr="001732E4">
        <w:rPr>
          <w:lang w:val="fr-FR"/>
        </w:rPr>
        <w:t>règles</w:t>
      </w:r>
      <w:r w:rsidRPr="001732E4">
        <w:rPr>
          <w:rFonts w:eastAsia="Times New Roman"/>
          <w:color w:val="000000"/>
          <w:lang w:val="fr-FR"/>
        </w:rPr>
        <w:t xml:space="preserve"> de droit international</w:t>
      </w:r>
      <w:r w:rsidRPr="005B4699">
        <w:rPr>
          <w:rFonts w:eastAsia="Times New Roman"/>
          <w:color w:val="000000"/>
          <w:lang w:val="fr-FR"/>
        </w:rPr>
        <w:t>.</w:t>
      </w:r>
    </w:p>
    <w:p w14:paraId="6CBD3BF8" w14:textId="0B63791A" w:rsidR="004C5E26" w:rsidRPr="005B4699" w:rsidRDefault="004C5E26" w:rsidP="004C5E26">
      <w:pPr>
        <w:pStyle w:val="SingleTxtG"/>
        <w:ind w:left="1701"/>
        <w:rPr>
          <w:rFonts w:eastAsia="Times New Roman"/>
          <w:color w:val="000000"/>
          <w:lang w:val="fr-FR"/>
        </w:rPr>
      </w:pPr>
      <w:r w:rsidRPr="005B4699">
        <w:rPr>
          <w:rFonts w:eastAsia="Times New Roman"/>
          <w:color w:val="000000"/>
          <w:lang w:val="fr-FR"/>
        </w:rPr>
        <w:t>2.</w:t>
      </w:r>
      <w:r w:rsidRPr="005B4699">
        <w:rPr>
          <w:rFonts w:eastAsia="Times New Roman"/>
          <w:color w:val="000000"/>
          <w:lang w:val="fr-FR"/>
        </w:rPr>
        <w:tab/>
        <w:t>L</w:t>
      </w:r>
      <w:r>
        <w:rPr>
          <w:rFonts w:eastAsia="Times New Roman"/>
          <w:color w:val="000000"/>
          <w:lang w:val="fr-FR"/>
        </w:rPr>
        <w:t>’</w:t>
      </w:r>
      <w:r w:rsidRPr="005B4699">
        <w:rPr>
          <w:rFonts w:eastAsia="Times New Roman"/>
          <w:color w:val="000000"/>
          <w:lang w:val="fr-FR"/>
        </w:rPr>
        <w:t>utilisation d</w:t>
      </w:r>
      <w:r>
        <w:rPr>
          <w:rFonts w:eastAsia="Times New Roman"/>
          <w:color w:val="000000"/>
          <w:lang w:val="fr-FR"/>
        </w:rPr>
        <w:t>’</w:t>
      </w:r>
      <w:r w:rsidRPr="005B4699">
        <w:rPr>
          <w:rFonts w:eastAsia="Times New Roman"/>
          <w:color w:val="000000"/>
          <w:lang w:val="fr-FR"/>
        </w:rPr>
        <w:t xml:space="preserve">éléments comme moyens </w:t>
      </w:r>
      <w:r w:rsidRPr="0094761A">
        <w:rPr>
          <w:lang w:val="fr-FR"/>
        </w:rPr>
        <w:t>auxiliaires</w:t>
      </w:r>
      <w:r w:rsidRPr="005B4699">
        <w:rPr>
          <w:rFonts w:eastAsia="Times New Roman"/>
          <w:color w:val="000000"/>
          <w:lang w:val="fr-FR"/>
        </w:rPr>
        <w:t xml:space="preserve"> de détermination des règles de droit international est sans préjudice de leur utilisation à d</w:t>
      </w:r>
      <w:r>
        <w:rPr>
          <w:rFonts w:eastAsia="Times New Roman"/>
          <w:color w:val="000000"/>
          <w:lang w:val="fr-FR"/>
        </w:rPr>
        <w:t>’</w:t>
      </w:r>
      <w:r w:rsidRPr="005B4699">
        <w:rPr>
          <w:rFonts w:eastAsia="Times New Roman"/>
          <w:color w:val="000000"/>
          <w:lang w:val="fr-FR"/>
        </w:rPr>
        <w:t xml:space="preserve">autres fins. </w:t>
      </w:r>
    </w:p>
    <w:p w14:paraId="32B29819" w14:textId="77777777" w:rsidR="004C5E26" w:rsidRPr="005B4699" w:rsidRDefault="004C5E26" w:rsidP="004C5E26">
      <w:pPr>
        <w:pStyle w:val="H23G"/>
        <w:rPr>
          <w:rFonts w:eastAsia="Times New Roman"/>
          <w:color w:val="000000"/>
          <w:lang w:val="fr-FR"/>
        </w:rPr>
      </w:pPr>
      <w:r>
        <w:rPr>
          <w:shd w:val="clear" w:color="000000" w:fill="FFFFFF"/>
          <w:lang w:val="fr-FR"/>
        </w:rPr>
        <w:tab/>
      </w:r>
      <w:r>
        <w:rPr>
          <w:shd w:val="clear" w:color="000000" w:fill="FFFFFF"/>
          <w:lang w:val="fr-FR"/>
        </w:rPr>
        <w:tab/>
      </w:r>
      <w:r w:rsidRPr="0094761A">
        <w:rPr>
          <w:shd w:val="clear" w:color="000000" w:fill="FFFFFF"/>
          <w:lang w:val="fr-FR"/>
        </w:rPr>
        <w:t>Commentaire</w:t>
      </w:r>
    </w:p>
    <w:p w14:paraId="0881CC6E" w14:textId="77777777" w:rsidR="004C5E26" w:rsidRPr="005B4699" w:rsidRDefault="004C5E26" w:rsidP="004C5E26">
      <w:pPr>
        <w:pStyle w:val="SingleTxtG"/>
        <w:rPr>
          <w:rFonts w:eastAsia="Times New Roman"/>
          <w:color w:val="000000"/>
          <w:lang w:val="fr-FR"/>
        </w:rPr>
      </w:pPr>
      <w:r w:rsidRPr="005B4699">
        <w:rPr>
          <w:rFonts w:eastAsia="Times New Roman"/>
          <w:color w:val="000000"/>
          <w:lang w:val="fr-FR"/>
        </w:rPr>
        <w:t>1)</w:t>
      </w:r>
      <w:r w:rsidRPr="005B4699">
        <w:rPr>
          <w:rFonts w:eastAsia="Times New Roman"/>
          <w:color w:val="000000"/>
          <w:lang w:val="fr-FR"/>
        </w:rPr>
        <w:tab/>
        <w:t>Le projet de conclusion 6 vise à clarifier le rôle des moyens auxiliaires aux fins de la détermination des règles de droit international vis-à-vis des sources du droit international. Il</w:t>
      </w:r>
      <w:r>
        <w:rPr>
          <w:rFonts w:eastAsia="Times New Roman"/>
          <w:color w:val="000000"/>
          <w:lang w:val="fr-FR"/>
        </w:rPr>
        <w:t> </w:t>
      </w:r>
      <w:r w:rsidRPr="005B4699">
        <w:rPr>
          <w:rFonts w:eastAsia="Times New Roman"/>
          <w:color w:val="000000"/>
          <w:lang w:val="fr-FR"/>
        </w:rPr>
        <w:t>comprend deux paragraphes. Le paragraphe 1 porte sur la nature et la fonction des moyens auxiliaires, et le paragraphe 2 est une clause sans préjudice.</w:t>
      </w:r>
    </w:p>
    <w:p w14:paraId="768C472A" w14:textId="0B02AB72" w:rsidR="004C5E26" w:rsidRPr="005B4699" w:rsidRDefault="004C5E26" w:rsidP="004C5E26">
      <w:pPr>
        <w:pStyle w:val="H4G"/>
        <w:rPr>
          <w:lang w:val="fr-FR"/>
        </w:rPr>
      </w:pPr>
      <w:r>
        <w:rPr>
          <w:lang w:val="fr-FR"/>
        </w:rPr>
        <w:lastRenderedPageBreak/>
        <w:tab/>
      </w:r>
      <w:r>
        <w:rPr>
          <w:lang w:val="fr-FR"/>
        </w:rPr>
        <w:tab/>
      </w:r>
      <w:r w:rsidRPr="005B4699">
        <w:rPr>
          <w:lang w:val="fr-FR"/>
        </w:rPr>
        <w:t xml:space="preserve">Paragraphe 1 </w:t>
      </w:r>
      <w:r>
        <w:rPr>
          <w:lang w:val="fr-FR"/>
        </w:rPr>
        <w:t>−</w:t>
      </w:r>
      <w:r w:rsidRPr="005B4699">
        <w:rPr>
          <w:lang w:val="fr-FR"/>
        </w:rPr>
        <w:t xml:space="preserve"> </w:t>
      </w:r>
      <w:r w:rsidR="00696ED1" w:rsidRPr="005B4699">
        <w:rPr>
          <w:lang w:val="fr-FR"/>
        </w:rPr>
        <w:t>N</w:t>
      </w:r>
      <w:r w:rsidRPr="005B4699">
        <w:rPr>
          <w:lang w:val="fr-FR"/>
        </w:rPr>
        <w:t>ature et fonction des moyens auxiliaires</w:t>
      </w:r>
    </w:p>
    <w:p w14:paraId="7E9300BA" w14:textId="00BF7A25" w:rsidR="004C5E26" w:rsidRPr="005B4699" w:rsidRDefault="004C5E26" w:rsidP="004C5E26">
      <w:pPr>
        <w:pStyle w:val="SingleTxtG"/>
        <w:rPr>
          <w:rFonts w:eastAsia="Times New Roman"/>
          <w:color w:val="000000"/>
          <w:lang w:val="fr-FR"/>
        </w:rPr>
      </w:pPr>
      <w:r w:rsidRPr="005B4699">
        <w:rPr>
          <w:rFonts w:eastAsia="Times New Roman"/>
          <w:color w:val="000000"/>
          <w:lang w:val="fr-FR"/>
        </w:rPr>
        <w:t>2)</w:t>
      </w:r>
      <w:r w:rsidRPr="005B4699">
        <w:rPr>
          <w:rFonts w:eastAsia="Times New Roman"/>
          <w:color w:val="000000"/>
          <w:lang w:val="fr-FR"/>
        </w:rPr>
        <w:tab/>
        <w:t>Le paragraphe 1 du projet de conclusion 6 comprend deux phrases. La première porte sur la nature des moyens auxiliaires et dispose qu</w:t>
      </w:r>
      <w:r>
        <w:rPr>
          <w:rFonts w:eastAsia="Times New Roman"/>
          <w:color w:val="000000"/>
          <w:lang w:val="fr-FR"/>
        </w:rPr>
        <w:t>’</w:t>
      </w:r>
      <w:r w:rsidRPr="005B4699">
        <w:rPr>
          <w:rFonts w:eastAsia="Times New Roman"/>
          <w:color w:val="000000"/>
          <w:lang w:val="fr-FR"/>
        </w:rPr>
        <w:t xml:space="preserve">ils </w:t>
      </w:r>
      <w:r w:rsidRPr="005B4699">
        <w:rPr>
          <w:rFonts w:eastAsia="Times New Roman"/>
          <w:i/>
          <w:iCs/>
          <w:color w:val="000000"/>
          <w:lang w:val="fr-FR"/>
        </w:rPr>
        <w:t>ne</w:t>
      </w:r>
      <w:r w:rsidRPr="005B4699">
        <w:rPr>
          <w:rFonts w:eastAsia="Times New Roman"/>
          <w:color w:val="000000"/>
          <w:lang w:val="fr-FR"/>
        </w:rPr>
        <w:t xml:space="preserve"> sont </w:t>
      </w:r>
      <w:r w:rsidRPr="005B4699">
        <w:rPr>
          <w:rFonts w:eastAsia="Times New Roman"/>
          <w:i/>
          <w:iCs/>
          <w:color w:val="000000"/>
          <w:lang w:val="fr-FR"/>
        </w:rPr>
        <w:t>pas</w:t>
      </w:r>
      <w:r w:rsidRPr="005B4699">
        <w:rPr>
          <w:rFonts w:eastAsia="Times New Roman"/>
          <w:color w:val="000000"/>
          <w:lang w:val="fr-FR"/>
        </w:rPr>
        <w:t xml:space="preserve"> une source du droit international. La Commission a estimé que cette conclusion était justifiée par une abondante pratique judiciaire internationale et nationale </w:t>
      </w:r>
      <w:r>
        <w:rPr>
          <w:rFonts w:eastAsia="Times New Roman"/>
          <w:color w:val="000000"/>
          <w:lang w:val="fr-FR"/>
        </w:rPr>
        <w:t xml:space="preserve">et par </w:t>
      </w:r>
      <w:r w:rsidRPr="005B4699">
        <w:rPr>
          <w:rFonts w:eastAsia="Times New Roman"/>
          <w:color w:val="000000"/>
          <w:lang w:val="fr-FR"/>
        </w:rPr>
        <w:t>des travaux doctrinaux</w:t>
      </w:r>
      <w:r>
        <w:rPr>
          <w:rFonts w:eastAsia="Times New Roman"/>
          <w:color w:val="000000"/>
          <w:lang w:val="fr-FR"/>
        </w:rPr>
        <w:t xml:space="preserve"> ainsi que </w:t>
      </w:r>
      <w:r w:rsidRPr="005B4699">
        <w:rPr>
          <w:rFonts w:eastAsia="Times New Roman"/>
          <w:color w:val="000000"/>
          <w:lang w:val="fr-FR"/>
        </w:rPr>
        <w:t>des travaux préparatoires</w:t>
      </w:r>
      <w:r w:rsidRPr="0053774D">
        <w:rPr>
          <w:rStyle w:val="Appelnotedebasdep"/>
        </w:rPr>
        <w:footnoteReference w:id="129"/>
      </w:r>
      <w:r>
        <w:rPr>
          <w:rFonts w:eastAsia="Times New Roman"/>
          <w:color w:val="000000"/>
          <w:lang w:val="fr-FR"/>
        </w:rPr>
        <w:t>.</w:t>
      </w:r>
      <w:r w:rsidRPr="005B4699">
        <w:rPr>
          <w:rFonts w:eastAsia="Times New Roman"/>
          <w:color w:val="000000"/>
          <w:lang w:val="fr-FR"/>
        </w:rPr>
        <w:t xml:space="preserve"> </w:t>
      </w:r>
    </w:p>
    <w:p w14:paraId="688FE41E" w14:textId="2B57FF51" w:rsidR="004C5E26" w:rsidRDefault="004C5E26" w:rsidP="004C5E26">
      <w:pPr>
        <w:pStyle w:val="SingleTxtG"/>
        <w:rPr>
          <w:rFonts w:eastAsia="Times New Roman"/>
          <w:color w:val="000000"/>
          <w:lang w:val="fr-FR"/>
        </w:rPr>
      </w:pPr>
      <w:r w:rsidRPr="005B4699">
        <w:rPr>
          <w:rFonts w:eastAsia="Times New Roman"/>
          <w:color w:val="000000"/>
          <w:lang w:val="fr-FR"/>
        </w:rPr>
        <w:t>3)</w:t>
      </w:r>
      <w:r w:rsidRPr="005B4699">
        <w:rPr>
          <w:rFonts w:eastAsia="Times New Roman"/>
          <w:color w:val="000000"/>
          <w:lang w:val="fr-FR"/>
        </w:rPr>
        <w:tab/>
        <w:t>La question de la relation entre les sources du droit international et les moyens auxiliaires de détermination des règles de droit international est implicite dans la formulation négative de la première phrase</w:t>
      </w:r>
      <w:r>
        <w:rPr>
          <w:rFonts w:eastAsia="Times New Roman"/>
          <w:color w:val="000000"/>
          <w:lang w:val="fr-FR"/>
        </w:rPr>
        <w:t xml:space="preserve">, </w:t>
      </w:r>
      <w:r w:rsidRPr="005B4699">
        <w:rPr>
          <w:rFonts w:eastAsia="Times New Roman"/>
          <w:color w:val="000000"/>
          <w:lang w:val="fr-FR"/>
        </w:rPr>
        <w:t xml:space="preserve">qui indique ce que les moyens auxiliaires ne sont pas </w:t>
      </w:r>
      <w:r>
        <w:rPr>
          <w:rFonts w:eastAsia="Times New Roman"/>
          <w:color w:val="000000"/>
          <w:lang w:val="fr-FR"/>
        </w:rPr>
        <w:t>et non</w:t>
      </w:r>
      <w:r w:rsidRPr="005B4699">
        <w:rPr>
          <w:rFonts w:eastAsia="Times New Roman"/>
          <w:color w:val="000000"/>
          <w:lang w:val="fr-FR"/>
        </w:rPr>
        <w:t xml:space="preserve"> ce qu</w:t>
      </w:r>
      <w:r>
        <w:rPr>
          <w:rFonts w:eastAsia="Times New Roman"/>
          <w:color w:val="000000"/>
          <w:lang w:val="fr-FR"/>
        </w:rPr>
        <w:t>’</w:t>
      </w:r>
      <w:r w:rsidRPr="005B4699">
        <w:rPr>
          <w:rFonts w:eastAsia="Times New Roman"/>
          <w:color w:val="000000"/>
          <w:lang w:val="fr-FR"/>
        </w:rPr>
        <w:t>ils sont</w:t>
      </w:r>
      <w:r w:rsidRPr="005B4699">
        <w:rPr>
          <w:rFonts w:eastAsia="Times New Roman"/>
          <w:lang w:val="fr-FR"/>
        </w:rPr>
        <w:t xml:space="preserve">. </w:t>
      </w:r>
      <w:r>
        <w:rPr>
          <w:rFonts w:eastAsia="Times New Roman"/>
          <w:lang w:val="fr-FR"/>
        </w:rPr>
        <w:t xml:space="preserve">Lors de la formulation de la </w:t>
      </w:r>
      <w:r w:rsidRPr="005B4699">
        <w:rPr>
          <w:rFonts w:eastAsia="Times New Roman"/>
          <w:lang w:val="fr-FR"/>
        </w:rPr>
        <w:t xml:space="preserve">position adoptée par la Commission, deux principales options ont été envisagées. La première consistait à indiquer que les </w:t>
      </w:r>
      <w:r w:rsidRPr="005B4699">
        <w:rPr>
          <w:rFonts w:eastAsia="Times New Roman"/>
          <w:color w:val="000000"/>
          <w:lang w:val="fr-FR"/>
        </w:rPr>
        <w:t>moyens auxiliaires avaient un caractère auxiliaire (</w:t>
      </w:r>
      <w:proofErr w:type="spellStart"/>
      <w:r w:rsidRPr="005B4699">
        <w:rPr>
          <w:rFonts w:eastAsia="Times New Roman"/>
          <w:i/>
          <w:iCs/>
          <w:color w:val="000000"/>
          <w:lang w:val="fr-FR"/>
        </w:rPr>
        <w:t>auxiliary</w:t>
      </w:r>
      <w:proofErr w:type="spellEnd"/>
      <w:r w:rsidRPr="005B4699">
        <w:rPr>
          <w:rFonts w:eastAsia="Times New Roman"/>
          <w:color w:val="000000"/>
          <w:lang w:val="fr-FR"/>
        </w:rPr>
        <w:t>) vis-à-vis des traités, du droit international coutumier et des principes généraux du droit et qu</w:t>
      </w:r>
      <w:r>
        <w:rPr>
          <w:rFonts w:eastAsia="Times New Roman"/>
          <w:color w:val="000000"/>
          <w:lang w:val="fr-FR"/>
        </w:rPr>
        <w:t>’</w:t>
      </w:r>
      <w:r w:rsidRPr="005B4699">
        <w:rPr>
          <w:rFonts w:eastAsia="Times New Roman"/>
          <w:color w:val="000000"/>
          <w:lang w:val="fr-FR"/>
        </w:rPr>
        <w:t>il y était principalement fait recours aux fins de la détermination des règles de droit international</w:t>
      </w:r>
      <w:r w:rsidRPr="0053774D">
        <w:rPr>
          <w:rStyle w:val="Appelnotedebasdep"/>
        </w:rPr>
        <w:footnoteReference w:id="130"/>
      </w:r>
      <w:r>
        <w:rPr>
          <w:rFonts w:eastAsia="Times New Roman"/>
          <w:color w:val="000000"/>
          <w:lang w:val="fr-FR"/>
        </w:rPr>
        <w:t>.</w:t>
      </w:r>
      <w:r w:rsidRPr="005B4699">
        <w:rPr>
          <w:rFonts w:eastAsia="Times New Roman"/>
          <w:color w:val="000000"/>
          <w:lang w:val="fr-FR"/>
        </w:rPr>
        <w:t xml:space="preserve"> </w:t>
      </w:r>
    </w:p>
    <w:p w14:paraId="732F392C" w14:textId="04749798" w:rsidR="004C5E26" w:rsidRPr="005B4699" w:rsidRDefault="004C5E26" w:rsidP="004C5E26">
      <w:pPr>
        <w:pStyle w:val="SingleTxtG"/>
        <w:rPr>
          <w:rFonts w:eastAsia="Times New Roman"/>
          <w:color w:val="000000"/>
          <w:lang w:val="fr-FR"/>
        </w:rPr>
      </w:pPr>
      <w:r>
        <w:rPr>
          <w:rFonts w:eastAsia="Times New Roman"/>
          <w:color w:val="000000"/>
          <w:lang w:val="fr-FR"/>
        </w:rPr>
        <w:t>4)</w:t>
      </w:r>
      <w:r>
        <w:rPr>
          <w:rFonts w:eastAsia="Times New Roman"/>
          <w:color w:val="000000"/>
          <w:lang w:val="fr-FR"/>
        </w:rPr>
        <w:tab/>
      </w:r>
      <w:r w:rsidRPr="005B4699">
        <w:rPr>
          <w:rFonts w:eastAsia="Times New Roman"/>
          <w:color w:val="000000"/>
          <w:lang w:val="fr-FR"/>
        </w:rPr>
        <w:t>La seconde option consistait à indiquer que les moyens auxiliaires n</w:t>
      </w:r>
      <w:r>
        <w:rPr>
          <w:rFonts w:eastAsia="Times New Roman"/>
          <w:color w:val="000000"/>
          <w:lang w:val="fr-FR"/>
        </w:rPr>
        <w:t>’</w:t>
      </w:r>
      <w:r w:rsidRPr="005B4699">
        <w:rPr>
          <w:rFonts w:eastAsia="Times New Roman"/>
          <w:color w:val="000000"/>
          <w:lang w:val="fr-FR"/>
        </w:rPr>
        <w:t xml:space="preserve">étaient pas une source « autonome » du droit international </w:t>
      </w:r>
      <w:r>
        <w:rPr>
          <w:rFonts w:eastAsia="Times New Roman"/>
          <w:color w:val="000000"/>
          <w:lang w:val="fr-FR"/>
        </w:rPr>
        <w:t>ou</w:t>
      </w:r>
      <w:r w:rsidRPr="005B4699">
        <w:rPr>
          <w:rFonts w:eastAsia="Times New Roman"/>
          <w:color w:val="000000"/>
          <w:lang w:val="fr-FR"/>
        </w:rPr>
        <w:t xml:space="preserve"> qu</w:t>
      </w:r>
      <w:r>
        <w:rPr>
          <w:rFonts w:eastAsia="Times New Roman"/>
          <w:color w:val="000000"/>
          <w:lang w:val="fr-FR"/>
        </w:rPr>
        <w:t>’</w:t>
      </w:r>
      <w:r w:rsidRPr="005B4699">
        <w:rPr>
          <w:rFonts w:eastAsia="Times New Roman"/>
          <w:color w:val="000000"/>
          <w:lang w:val="fr-FR"/>
        </w:rPr>
        <w:t xml:space="preserve">ils étaient « distincts » des sources du droit international. On a estimé que </w:t>
      </w:r>
      <w:r>
        <w:rPr>
          <w:rFonts w:eastAsia="Times New Roman"/>
          <w:color w:val="000000"/>
          <w:lang w:val="fr-FR"/>
        </w:rPr>
        <w:t xml:space="preserve">chacune de </w:t>
      </w:r>
      <w:r w:rsidRPr="005B4699">
        <w:rPr>
          <w:rFonts w:eastAsia="Times New Roman"/>
          <w:color w:val="000000"/>
          <w:lang w:val="fr-FR"/>
        </w:rPr>
        <w:t xml:space="preserve">ces approches </w:t>
      </w:r>
      <w:r>
        <w:rPr>
          <w:rFonts w:eastAsia="Times New Roman"/>
          <w:color w:val="000000"/>
          <w:lang w:val="fr-FR"/>
        </w:rPr>
        <w:t>pouvait se défendre</w:t>
      </w:r>
      <w:r w:rsidRPr="005B4699">
        <w:rPr>
          <w:rFonts w:eastAsia="Times New Roman"/>
          <w:color w:val="000000"/>
          <w:lang w:val="fr-FR"/>
        </w:rPr>
        <w:t xml:space="preserve">, mais plusieurs questions ont été soulevées en ce qui </w:t>
      </w:r>
      <w:r>
        <w:rPr>
          <w:rFonts w:eastAsia="Times New Roman"/>
          <w:color w:val="000000"/>
          <w:lang w:val="fr-FR"/>
        </w:rPr>
        <w:t xml:space="preserve">les </w:t>
      </w:r>
      <w:r w:rsidRPr="005B4699">
        <w:rPr>
          <w:rFonts w:eastAsia="Times New Roman"/>
          <w:color w:val="000000"/>
          <w:lang w:val="fr-FR"/>
        </w:rPr>
        <w:t xml:space="preserve">concerne, y compris la nécessité éventuelle de les expliciter. La Commission a donc opté pour une formulation plus directe, en indiquant simplement que les moyens auxiliaires ne sont pas une source du droit international. </w:t>
      </w:r>
      <w:r>
        <w:rPr>
          <w:rFonts w:eastAsia="Times New Roman"/>
          <w:color w:val="000000"/>
          <w:lang w:val="fr-FR"/>
        </w:rPr>
        <w:t>Néanmoins</w:t>
      </w:r>
      <w:r w:rsidRPr="005B4699">
        <w:rPr>
          <w:rFonts w:eastAsia="Times New Roman"/>
          <w:color w:val="000000"/>
          <w:lang w:val="fr-FR"/>
        </w:rPr>
        <w:t xml:space="preserve">, selon une opinion, la proposition énoncée dans la première phrase était trop catégorique </w:t>
      </w:r>
      <w:r>
        <w:rPr>
          <w:rFonts w:eastAsia="Times New Roman"/>
          <w:color w:val="000000"/>
          <w:lang w:val="fr-FR"/>
        </w:rPr>
        <w:t xml:space="preserve">sachant que les moyens auxiliaires étaient utilisés à d’autres fins </w:t>
      </w:r>
      <w:r w:rsidRPr="005B4699">
        <w:rPr>
          <w:rFonts w:eastAsia="Times New Roman"/>
          <w:color w:val="000000"/>
          <w:lang w:val="fr-FR"/>
        </w:rPr>
        <w:t xml:space="preserve">et </w:t>
      </w:r>
      <w:r>
        <w:rPr>
          <w:rFonts w:eastAsia="Times New Roman"/>
          <w:color w:val="000000"/>
          <w:lang w:val="fr-FR"/>
        </w:rPr>
        <w:t xml:space="preserve">que </w:t>
      </w:r>
      <w:r w:rsidRPr="005B4699">
        <w:rPr>
          <w:rFonts w:eastAsia="Times New Roman"/>
          <w:color w:val="000000"/>
          <w:lang w:val="fr-FR"/>
        </w:rPr>
        <w:t xml:space="preserve">certaines nuances </w:t>
      </w:r>
      <w:r>
        <w:rPr>
          <w:rFonts w:eastAsia="Times New Roman"/>
          <w:color w:val="000000"/>
          <w:lang w:val="fr-FR"/>
        </w:rPr>
        <w:t>de ce qui se passait concrètement dans la pratique les concernant</w:t>
      </w:r>
      <w:r w:rsidRPr="005B4699">
        <w:rPr>
          <w:rFonts w:eastAsia="Times New Roman"/>
          <w:color w:val="000000"/>
          <w:lang w:val="fr-FR"/>
        </w:rPr>
        <w:t xml:space="preserve"> risquaient d</w:t>
      </w:r>
      <w:r>
        <w:rPr>
          <w:rFonts w:eastAsia="Times New Roman"/>
          <w:color w:val="000000"/>
          <w:lang w:val="fr-FR"/>
        </w:rPr>
        <w:t>’</w:t>
      </w:r>
      <w:r w:rsidRPr="005B4699">
        <w:rPr>
          <w:rFonts w:eastAsia="Times New Roman"/>
          <w:color w:val="000000"/>
          <w:lang w:val="fr-FR"/>
        </w:rPr>
        <w:t>être perdues.</w:t>
      </w:r>
    </w:p>
    <w:p w14:paraId="75B14ADC" w14:textId="20D2B878" w:rsidR="004C5E26" w:rsidRPr="005B4699" w:rsidRDefault="004C5E26" w:rsidP="004C5E26">
      <w:pPr>
        <w:pStyle w:val="SingleTxtG"/>
        <w:rPr>
          <w:rFonts w:eastAsia="Times New Roman"/>
          <w:color w:val="000000"/>
          <w:lang w:val="fr-FR"/>
        </w:rPr>
      </w:pPr>
      <w:r>
        <w:rPr>
          <w:rFonts w:eastAsia="Times New Roman"/>
          <w:color w:val="000000"/>
          <w:lang w:val="fr-FR"/>
        </w:rPr>
        <w:t>5</w:t>
      </w:r>
      <w:r w:rsidRPr="005B4699">
        <w:rPr>
          <w:rFonts w:eastAsia="Times New Roman"/>
          <w:color w:val="000000"/>
          <w:lang w:val="fr-FR"/>
        </w:rPr>
        <w:t>)</w:t>
      </w:r>
      <w:r w:rsidRPr="005B4699">
        <w:rPr>
          <w:rFonts w:eastAsia="Times New Roman"/>
          <w:color w:val="000000"/>
          <w:lang w:val="fr-FR"/>
        </w:rPr>
        <w:tab/>
        <w:t>La deuxième phrase du paragraphe 1 du projet de conclusion 6 repose sur la proposition fondamentale énoncée dans la première phrase en indiquant que la principale fonction des moyens auxiliaires « est d</w:t>
      </w:r>
      <w:r>
        <w:rPr>
          <w:rFonts w:eastAsia="Times New Roman"/>
          <w:color w:val="000000"/>
          <w:lang w:val="fr-FR"/>
        </w:rPr>
        <w:t>’</w:t>
      </w:r>
      <w:r w:rsidRPr="005B4699">
        <w:rPr>
          <w:rFonts w:eastAsia="Times New Roman"/>
          <w:color w:val="000000"/>
          <w:lang w:val="fr-FR"/>
        </w:rPr>
        <w:t>aider à déterminer l</w:t>
      </w:r>
      <w:r>
        <w:rPr>
          <w:rFonts w:eastAsia="Times New Roman"/>
          <w:color w:val="000000"/>
          <w:lang w:val="fr-FR"/>
        </w:rPr>
        <w:t>’</w:t>
      </w:r>
      <w:r w:rsidRPr="005B4699">
        <w:rPr>
          <w:rFonts w:eastAsia="Times New Roman"/>
          <w:color w:val="000000"/>
          <w:lang w:val="fr-FR"/>
        </w:rPr>
        <w:t>existence et le contenu des règles de droit international ». D</w:t>
      </w:r>
      <w:r>
        <w:rPr>
          <w:rFonts w:eastAsia="Times New Roman"/>
          <w:color w:val="000000"/>
          <w:lang w:val="fr-FR"/>
        </w:rPr>
        <w:t>’</w:t>
      </w:r>
      <w:r w:rsidRPr="005B4699">
        <w:rPr>
          <w:rFonts w:eastAsia="Times New Roman"/>
          <w:color w:val="000000"/>
          <w:lang w:val="fr-FR"/>
        </w:rPr>
        <w:t>autres formulations envisagées visaient notamment à préciser que les moyens auxiliaires avaient une fonction d</w:t>
      </w:r>
      <w:r>
        <w:rPr>
          <w:rFonts w:eastAsia="Times New Roman"/>
          <w:color w:val="000000"/>
          <w:lang w:val="fr-FR"/>
        </w:rPr>
        <w:t>’</w:t>
      </w:r>
      <w:r w:rsidRPr="005B4699">
        <w:rPr>
          <w:rFonts w:eastAsia="Times New Roman"/>
          <w:color w:val="000000"/>
          <w:lang w:val="fr-FR"/>
        </w:rPr>
        <w:t>assistance ou un caractère auxiliaire (</w:t>
      </w:r>
      <w:proofErr w:type="spellStart"/>
      <w:r w:rsidRPr="005B4699">
        <w:rPr>
          <w:rFonts w:eastAsia="Times New Roman"/>
          <w:i/>
          <w:iCs/>
          <w:color w:val="000000"/>
          <w:lang w:val="fr-FR"/>
        </w:rPr>
        <w:t>auxiliary</w:t>
      </w:r>
      <w:proofErr w:type="spellEnd"/>
      <w:r w:rsidRPr="005B4699">
        <w:rPr>
          <w:rFonts w:eastAsia="Times New Roman"/>
          <w:color w:val="000000"/>
          <w:lang w:val="fr-FR"/>
        </w:rPr>
        <w:t>). Pour diverses raisons, la Commission n</w:t>
      </w:r>
      <w:r>
        <w:rPr>
          <w:rFonts w:eastAsia="Times New Roman"/>
          <w:color w:val="000000"/>
          <w:lang w:val="fr-FR"/>
        </w:rPr>
        <w:t>’</w:t>
      </w:r>
      <w:r w:rsidRPr="005B4699">
        <w:rPr>
          <w:rFonts w:eastAsia="Times New Roman"/>
          <w:color w:val="000000"/>
          <w:lang w:val="fr-FR"/>
        </w:rPr>
        <w:t>a pas retenu ces formulations. À cet égard, on a fait observer que c</w:t>
      </w:r>
      <w:r>
        <w:rPr>
          <w:rFonts w:eastAsia="Times New Roman"/>
          <w:color w:val="000000"/>
          <w:lang w:val="fr-FR"/>
        </w:rPr>
        <w:t>’</w:t>
      </w:r>
      <w:r w:rsidRPr="005B4699">
        <w:rPr>
          <w:rFonts w:eastAsia="Times New Roman"/>
          <w:color w:val="000000"/>
          <w:lang w:val="fr-FR"/>
        </w:rPr>
        <w:t>était l</w:t>
      </w:r>
      <w:r>
        <w:rPr>
          <w:rFonts w:eastAsia="Times New Roman"/>
          <w:color w:val="000000"/>
          <w:lang w:val="fr-FR"/>
        </w:rPr>
        <w:t>’</w:t>
      </w:r>
      <w:r w:rsidRPr="005B4699">
        <w:rPr>
          <w:rFonts w:eastAsia="Times New Roman"/>
          <w:color w:val="000000"/>
          <w:lang w:val="fr-FR"/>
        </w:rPr>
        <w:t>équivalent du terme anglais « </w:t>
      </w:r>
      <w:proofErr w:type="spellStart"/>
      <w:r w:rsidRPr="005B4699">
        <w:rPr>
          <w:rFonts w:eastAsia="Times New Roman"/>
          <w:i/>
          <w:iCs/>
          <w:color w:val="000000"/>
          <w:lang w:val="fr-FR"/>
        </w:rPr>
        <w:t>auxiliary</w:t>
      </w:r>
      <w:proofErr w:type="spellEnd"/>
      <w:r w:rsidRPr="005B4699">
        <w:rPr>
          <w:rFonts w:eastAsia="Times New Roman"/>
          <w:color w:val="000000"/>
          <w:lang w:val="fr-FR"/>
        </w:rPr>
        <w:t> » qui était utilisé dans d</w:t>
      </w:r>
      <w:r>
        <w:rPr>
          <w:rFonts w:eastAsia="Times New Roman"/>
          <w:color w:val="000000"/>
          <w:lang w:val="fr-FR"/>
        </w:rPr>
        <w:t>’</w:t>
      </w:r>
      <w:r w:rsidRPr="005B4699">
        <w:rPr>
          <w:rFonts w:eastAsia="Times New Roman"/>
          <w:color w:val="000000"/>
          <w:lang w:val="fr-FR"/>
        </w:rPr>
        <w:t xml:space="preserve">autres langues </w:t>
      </w:r>
      <w:r>
        <w:rPr>
          <w:rFonts w:eastAsia="Times New Roman"/>
          <w:color w:val="000000"/>
          <w:lang w:val="fr-FR"/>
        </w:rPr>
        <w:t>à la place</w:t>
      </w:r>
      <w:r w:rsidRPr="005B4699">
        <w:rPr>
          <w:rFonts w:eastAsia="Times New Roman"/>
          <w:color w:val="000000"/>
          <w:lang w:val="fr-FR"/>
        </w:rPr>
        <w:t xml:space="preserve"> de « </w:t>
      </w:r>
      <w:proofErr w:type="spellStart"/>
      <w:r w:rsidRPr="005B4699">
        <w:rPr>
          <w:rFonts w:eastAsia="Times New Roman"/>
          <w:i/>
          <w:iCs/>
          <w:color w:val="000000"/>
          <w:lang w:val="fr-FR"/>
        </w:rPr>
        <w:t>subsidiary</w:t>
      </w:r>
      <w:proofErr w:type="spellEnd"/>
      <w:r w:rsidRPr="005B4699">
        <w:rPr>
          <w:rFonts w:eastAsia="Times New Roman"/>
          <w:color w:val="000000"/>
          <w:lang w:val="fr-FR"/>
        </w:rPr>
        <w:t> »</w:t>
      </w:r>
      <w:r>
        <w:rPr>
          <w:rFonts w:eastAsia="Times New Roman"/>
          <w:color w:val="000000"/>
          <w:lang w:val="fr-FR"/>
        </w:rPr>
        <w:t xml:space="preserve"> en anglais</w:t>
      </w:r>
      <w:r w:rsidRPr="005B4699">
        <w:rPr>
          <w:rFonts w:eastAsia="Times New Roman"/>
          <w:color w:val="000000"/>
          <w:lang w:val="fr-FR"/>
        </w:rPr>
        <w:t>. Cela signifiait que, si le terme « </w:t>
      </w:r>
      <w:proofErr w:type="spellStart"/>
      <w:r w:rsidRPr="005B4699">
        <w:rPr>
          <w:rFonts w:eastAsia="Times New Roman"/>
          <w:i/>
          <w:iCs/>
          <w:color w:val="000000"/>
          <w:lang w:val="fr-FR"/>
        </w:rPr>
        <w:t>auxiliary</w:t>
      </w:r>
      <w:proofErr w:type="spellEnd"/>
      <w:r w:rsidRPr="005B4699">
        <w:rPr>
          <w:rFonts w:eastAsia="Times New Roman"/>
          <w:color w:val="000000"/>
          <w:lang w:val="fr-FR"/>
        </w:rPr>
        <w:t> » était utilisé dans ce projet de conclusion, il serait non seulement répétitif mais aussi circulaire dans d</w:t>
      </w:r>
      <w:r>
        <w:rPr>
          <w:rFonts w:eastAsia="Times New Roman"/>
          <w:color w:val="000000"/>
          <w:lang w:val="fr-FR"/>
        </w:rPr>
        <w:t>’</w:t>
      </w:r>
      <w:r w:rsidRPr="005B4699">
        <w:rPr>
          <w:rFonts w:eastAsia="Times New Roman"/>
          <w:color w:val="000000"/>
          <w:lang w:val="fr-FR"/>
        </w:rPr>
        <w:t>autres langues officielles telles que l</w:t>
      </w:r>
      <w:r>
        <w:rPr>
          <w:rFonts w:eastAsia="Times New Roman"/>
          <w:color w:val="000000"/>
          <w:lang w:val="fr-FR"/>
        </w:rPr>
        <w:t>’</w:t>
      </w:r>
      <w:r w:rsidRPr="005B4699">
        <w:rPr>
          <w:rFonts w:eastAsia="Times New Roman"/>
          <w:color w:val="000000"/>
          <w:lang w:val="fr-FR"/>
        </w:rPr>
        <w:t>espagnol, le français et le russe. Dans ce contexte, on a jugé suffisant d</w:t>
      </w:r>
      <w:r>
        <w:rPr>
          <w:rFonts w:eastAsia="Times New Roman"/>
          <w:color w:val="000000"/>
          <w:lang w:val="fr-FR"/>
        </w:rPr>
        <w:t>’</w:t>
      </w:r>
      <w:r w:rsidRPr="005B4699">
        <w:rPr>
          <w:rFonts w:eastAsia="Times New Roman"/>
          <w:color w:val="000000"/>
          <w:lang w:val="fr-FR"/>
        </w:rPr>
        <w:t>indiquer simplement que la fonction des moyens auxiliaires était « d</w:t>
      </w:r>
      <w:r>
        <w:rPr>
          <w:rFonts w:eastAsia="Times New Roman"/>
          <w:color w:val="000000"/>
          <w:lang w:val="fr-FR"/>
        </w:rPr>
        <w:t>’</w:t>
      </w:r>
      <w:r w:rsidRPr="005B4699">
        <w:rPr>
          <w:rFonts w:eastAsia="Times New Roman"/>
          <w:color w:val="000000"/>
          <w:lang w:val="fr-FR"/>
        </w:rPr>
        <w:t>aider » à déterminer l</w:t>
      </w:r>
      <w:r>
        <w:rPr>
          <w:rFonts w:eastAsia="Times New Roman"/>
          <w:color w:val="000000"/>
          <w:lang w:val="fr-FR"/>
        </w:rPr>
        <w:t>’</w:t>
      </w:r>
      <w:r w:rsidRPr="005B4699">
        <w:rPr>
          <w:rFonts w:eastAsia="Times New Roman"/>
          <w:color w:val="000000"/>
          <w:lang w:val="fr-FR"/>
        </w:rPr>
        <w:t>existence et le contenu des règles de droit international. Cela dit, par cette formulation la Commission n</w:t>
      </w:r>
      <w:r>
        <w:rPr>
          <w:rFonts w:eastAsia="Times New Roman"/>
          <w:color w:val="000000"/>
          <w:lang w:val="fr-FR"/>
        </w:rPr>
        <w:t>’</w:t>
      </w:r>
      <w:r w:rsidRPr="005B4699">
        <w:rPr>
          <w:rFonts w:eastAsia="Times New Roman"/>
          <w:color w:val="000000"/>
          <w:lang w:val="fr-FR"/>
        </w:rPr>
        <w:t xml:space="preserve">exclut pas la possibilité que les </w:t>
      </w:r>
      <w:r>
        <w:rPr>
          <w:rFonts w:eastAsia="Times New Roman"/>
          <w:color w:val="000000"/>
          <w:lang w:val="fr-FR"/>
        </w:rPr>
        <w:t xml:space="preserve">éléments utilisés comme </w:t>
      </w:r>
      <w:r w:rsidRPr="005B4699">
        <w:rPr>
          <w:rFonts w:eastAsia="Times New Roman"/>
          <w:color w:val="000000"/>
          <w:lang w:val="fr-FR"/>
        </w:rPr>
        <w:t>moyens auxiliaires puissent remplir d</w:t>
      </w:r>
      <w:r>
        <w:rPr>
          <w:rFonts w:eastAsia="Times New Roman"/>
          <w:color w:val="000000"/>
          <w:lang w:val="fr-FR"/>
        </w:rPr>
        <w:t>’</w:t>
      </w:r>
      <w:r w:rsidRPr="005B4699">
        <w:rPr>
          <w:rFonts w:eastAsia="Times New Roman"/>
          <w:color w:val="000000"/>
          <w:lang w:val="fr-FR"/>
        </w:rPr>
        <w:t xml:space="preserve">autres fonctions, comme le confirme le paragraphe 2 du projet de conclusion 6. </w:t>
      </w:r>
    </w:p>
    <w:p w14:paraId="2D91E01F" w14:textId="19252914" w:rsidR="004C5E26" w:rsidRPr="005B4699" w:rsidRDefault="004C5E26" w:rsidP="004C5E26">
      <w:pPr>
        <w:pStyle w:val="H4G"/>
        <w:rPr>
          <w:color w:val="000000" w:themeColor="text1"/>
          <w:lang w:val="fr-FR"/>
        </w:rPr>
      </w:pPr>
      <w:r>
        <w:rPr>
          <w:rFonts w:eastAsia="Times New Roman"/>
          <w:color w:val="000000"/>
          <w:lang w:val="fr-FR"/>
        </w:rPr>
        <w:tab/>
      </w:r>
      <w:r>
        <w:rPr>
          <w:rFonts w:eastAsia="Times New Roman"/>
          <w:color w:val="000000"/>
          <w:lang w:val="fr-FR"/>
        </w:rPr>
        <w:tab/>
      </w:r>
      <w:r w:rsidRPr="005B4699">
        <w:rPr>
          <w:rFonts w:eastAsia="Times New Roman"/>
          <w:color w:val="000000"/>
          <w:lang w:val="fr-FR"/>
        </w:rPr>
        <w:t xml:space="preserve">Paragraphe 2 </w:t>
      </w:r>
      <w:r w:rsidR="00620907">
        <w:rPr>
          <w:color w:val="000000" w:themeColor="text1"/>
          <w:lang w:val="fr-FR"/>
        </w:rPr>
        <w:t>−</w:t>
      </w:r>
      <w:r w:rsidRPr="005B4699">
        <w:rPr>
          <w:color w:val="000000" w:themeColor="text1"/>
          <w:lang w:val="fr-FR"/>
        </w:rPr>
        <w:t xml:space="preserve"> </w:t>
      </w:r>
      <w:r w:rsidR="00696ED1" w:rsidRPr="005B4699">
        <w:rPr>
          <w:color w:val="000000" w:themeColor="text1"/>
          <w:lang w:val="fr-FR"/>
        </w:rPr>
        <w:t>L</w:t>
      </w:r>
      <w:r>
        <w:rPr>
          <w:color w:val="000000" w:themeColor="text1"/>
          <w:lang w:val="fr-FR"/>
        </w:rPr>
        <w:t>’</w:t>
      </w:r>
      <w:r w:rsidRPr="005B4699">
        <w:rPr>
          <w:lang w:val="fr-FR"/>
        </w:rPr>
        <w:t>utilisation d</w:t>
      </w:r>
      <w:r>
        <w:rPr>
          <w:lang w:val="fr-FR"/>
        </w:rPr>
        <w:t>’</w:t>
      </w:r>
      <w:r w:rsidRPr="005B4699">
        <w:rPr>
          <w:lang w:val="fr-FR"/>
        </w:rPr>
        <w:t xml:space="preserve">éléments comme moyens auxiliaires est sans préjudice </w:t>
      </w:r>
      <w:r w:rsidR="00620907">
        <w:rPr>
          <w:lang w:val="fr-FR"/>
        </w:rPr>
        <w:br/>
      </w:r>
      <w:r w:rsidRPr="005B4699">
        <w:rPr>
          <w:lang w:val="fr-FR"/>
        </w:rPr>
        <w:t>de leur utilisation à d</w:t>
      </w:r>
      <w:r>
        <w:rPr>
          <w:lang w:val="fr-FR"/>
        </w:rPr>
        <w:t>’</w:t>
      </w:r>
      <w:r w:rsidRPr="005B4699">
        <w:rPr>
          <w:lang w:val="fr-FR"/>
        </w:rPr>
        <w:t>autres fins</w:t>
      </w:r>
    </w:p>
    <w:p w14:paraId="504FC506" w14:textId="1638BBBC" w:rsidR="004C5E26" w:rsidRPr="005B4699" w:rsidRDefault="004C5E26" w:rsidP="004C5E26">
      <w:pPr>
        <w:pStyle w:val="SingleTxtG"/>
        <w:rPr>
          <w:rFonts w:eastAsia="Times New Roman"/>
          <w:color w:val="000000"/>
          <w:lang w:val="fr-FR"/>
        </w:rPr>
      </w:pPr>
      <w:r>
        <w:rPr>
          <w:rFonts w:eastAsia="Times New Roman"/>
          <w:color w:val="000000"/>
          <w:lang w:val="fr-FR"/>
        </w:rPr>
        <w:t>6</w:t>
      </w:r>
      <w:r w:rsidRPr="005B4699">
        <w:rPr>
          <w:rFonts w:eastAsia="Times New Roman"/>
          <w:color w:val="000000"/>
          <w:lang w:val="fr-FR"/>
        </w:rPr>
        <w:t>)</w:t>
      </w:r>
      <w:r w:rsidRPr="005B4699">
        <w:rPr>
          <w:rFonts w:eastAsia="Times New Roman"/>
          <w:color w:val="000000"/>
          <w:lang w:val="fr-FR"/>
        </w:rPr>
        <w:tab/>
        <w:t>Le paragraphe 2 du projet de conclusion 6 comprend une seule phrase. Il indique simplement que l</w:t>
      </w:r>
      <w:r>
        <w:rPr>
          <w:rFonts w:eastAsia="Times New Roman"/>
          <w:color w:val="000000"/>
          <w:lang w:val="fr-FR"/>
        </w:rPr>
        <w:t>’</w:t>
      </w:r>
      <w:r w:rsidRPr="005B4699">
        <w:rPr>
          <w:rFonts w:eastAsia="Times New Roman"/>
          <w:color w:val="000000"/>
          <w:lang w:val="fr-FR"/>
        </w:rPr>
        <w:t>utilisation d</w:t>
      </w:r>
      <w:r>
        <w:rPr>
          <w:rFonts w:eastAsia="Times New Roman"/>
          <w:color w:val="000000"/>
          <w:lang w:val="fr-FR"/>
        </w:rPr>
        <w:t>’</w:t>
      </w:r>
      <w:r w:rsidRPr="005B4699">
        <w:rPr>
          <w:rFonts w:eastAsia="Times New Roman"/>
          <w:color w:val="000000"/>
          <w:lang w:val="fr-FR"/>
        </w:rPr>
        <w:t>« éléments » comme moyens auxiliaires de détermination des règles de droit international est sans préjudice de leur utilisation à d</w:t>
      </w:r>
      <w:r>
        <w:rPr>
          <w:rFonts w:eastAsia="Times New Roman"/>
          <w:color w:val="000000"/>
          <w:lang w:val="fr-FR"/>
        </w:rPr>
        <w:t>’</w:t>
      </w:r>
      <w:r w:rsidRPr="005B4699">
        <w:rPr>
          <w:rFonts w:eastAsia="Times New Roman"/>
          <w:color w:val="000000"/>
          <w:lang w:val="fr-FR"/>
        </w:rPr>
        <w:t xml:space="preserve">autres fins. Cette proposition part du fait que les </w:t>
      </w:r>
      <w:r>
        <w:rPr>
          <w:rFonts w:eastAsia="Times New Roman"/>
          <w:color w:val="000000"/>
          <w:lang w:val="fr-FR"/>
        </w:rPr>
        <w:t xml:space="preserve">éléments utilisés comme </w:t>
      </w:r>
      <w:r w:rsidRPr="005B4699">
        <w:rPr>
          <w:rFonts w:eastAsia="Times New Roman"/>
          <w:color w:val="000000"/>
          <w:lang w:val="fr-FR"/>
        </w:rPr>
        <w:t>moyens auxiliaires, par exemple les décisions judiciaires et la doctrine, peuvent être utilisés à de multiples fins</w:t>
      </w:r>
      <w:r w:rsidRPr="005B4699">
        <w:rPr>
          <w:rFonts w:eastAsia="Times New Roman"/>
          <w:lang w:val="fr-FR"/>
        </w:rPr>
        <w:t>.</w:t>
      </w:r>
      <w:r w:rsidRPr="005B4699">
        <w:rPr>
          <w:rFonts w:eastAsia="Times New Roman"/>
          <w:color w:val="000000"/>
          <w:lang w:val="fr-FR"/>
        </w:rPr>
        <w:t xml:space="preserve"> </w:t>
      </w:r>
    </w:p>
    <w:p w14:paraId="1F466720" w14:textId="29C0C4C6" w:rsidR="004C5E26" w:rsidRDefault="004C5E26" w:rsidP="004C5E26">
      <w:pPr>
        <w:pStyle w:val="SingleTxtG"/>
        <w:rPr>
          <w:rFonts w:eastAsia="Times New Roman"/>
          <w:color w:val="000000"/>
          <w:lang w:val="fr-FR"/>
        </w:rPr>
      </w:pPr>
      <w:r>
        <w:rPr>
          <w:rFonts w:eastAsia="Times New Roman"/>
          <w:color w:val="000000"/>
          <w:lang w:val="fr-FR"/>
        </w:rPr>
        <w:t>7</w:t>
      </w:r>
      <w:r w:rsidRPr="001030F0">
        <w:rPr>
          <w:rFonts w:eastAsia="Times New Roman"/>
          <w:color w:val="000000"/>
          <w:lang w:val="fr-FR"/>
        </w:rPr>
        <w:t>)</w:t>
      </w:r>
      <w:r w:rsidRPr="001030F0">
        <w:rPr>
          <w:rFonts w:eastAsia="Times New Roman"/>
          <w:color w:val="000000"/>
          <w:lang w:val="fr-FR"/>
        </w:rPr>
        <w:tab/>
      </w:r>
      <w:r w:rsidRPr="005B4699">
        <w:rPr>
          <w:rFonts w:eastAsia="Times New Roman"/>
          <w:color w:val="000000"/>
          <w:lang w:val="fr-FR"/>
        </w:rPr>
        <w:t>En premier lieu, ces éléments peuvent être utilisés pour aider à déterminer l</w:t>
      </w:r>
      <w:r>
        <w:rPr>
          <w:rFonts w:eastAsia="Times New Roman"/>
          <w:color w:val="000000"/>
          <w:lang w:val="fr-FR"/>
        </w:rPr>
        <w:t>’</w:t>
      </w:r>
      <w:r w:rsidRPr="005B4699">
        <w:rPr>
          <w:rFonts w:eastAsia="Times New Roman"/>
          <w:color w:val="000000"/>
          <w:lang w:val="fr-FR"/>
        </w:rPr>
        <w:t>existence et le contenu des règles de droit international</w:t>
      </w:r>
      <w:r w:rsidRPr="0053774D">
        <w:rPr>
          <w:rStyle w:val="Appelnotedebasdep"/>
        </w:rPr>
        <w:footnoteReference w:id="131"/>
      </w:r>
      <w:r>
        <w:rPr>
          <w:rFonts w:eastAsia="Times New Roman"/>
          <w:color w:val="000000"/>
          <w:lang w:val="fr-FR"/>
        </w:rPr>
        <w:t>.</w:t>
      </w:r>
      <w:r w:rsidRPr="005B4699">
        <w:rPr>
          <w:rFonts w:eastAsia="Times New Roman"/>
          <w:color w:val="000000"/>
          <w:lang w:val="fr-FR"/>
        </w:rPr>
        <w:t xml:space="preserve"> En second lieu, ils peuvent être utilisés à </w:t>
      </w:r>
      <w:r w:rsidRPr="005B4699">
        <w:rPr>
          <w:rFonts w:eastAsia="Times New Roman"/>
          <w:color w:val="000000"/>
          <w:lang w:val="fr-FR"/>
        </w:rPr>
        <w:lastRenderedPageBreak/>
        <w:t>d</w:t>
      </w:r>
      <w:r>
        <w:rPr>
          <w:rFonts w:eastAsia="Times New Roman"/>
          <w:color w:val="000000"/>
          <w:lang w:val="fr-FR"/>
        </w:rPr>
        <w:t>’</w:t>
      </w:r>
      <w:r w:rsidRPr="005B4699">
        <w:rPr>
          <w:rFonts w:eastAsia="Times New Roman"/>
          <w:color w:val="000000"/>
          <w:lang w:val="fr-FR"/>
        </w:rPr>
        <w:t>autres fins très diverses. Par exemple, s</w:t>
      </w:r>
      <w:r>
        <w:rPr>
          <w:rFonts w:eastAsia="Times New Roman"/>
          <w:color w:val="000000"/>
          <w:lang w:val="fr-FR"/>
        </w:rPr>
        <w:t>’</w:t>
      </w:r>
      <w:r w:rsidRPr="005B4699">
        <w:rPr>
          <w:rFonts w:eastAsia="Times New Roman"/>
          <w:color w:val="000000"/>
          <w:lang w:val="fr-FR"/>
        </w:rPr>
        <w:t>agissant des décisions des juridictions nationales, la Commission a déjà déterminé dans le cadre de travaux antérieurs qu</w:t>
      </w:r>
      <w:r>
        <w:rPr>
          <w:rFonts w:eastAsia="Times New Roman"/>
          <w:color w:val="000000"/>
          <w:lang w:val="fr-FR"/>
        </w:rPr>
        <w:t>’</w:t>
      </w:r>
      <w:r w:rsidRPr="005B4699">
        <w:rPr>
          <w:rFonts w:eastAsia="Times New Roman"/>
          <w:color w:val="000000"/>
          <w:lang w:val="fr-FR"/>
        </w:rPr>
        <w:t>elles pouvaient avoir une double fonction et servir</w:t>
      </w:r>
      <w:r>
        <w:rPr>
          <w:rFonts w:eastAsia="Times New Roman"/>
          <w:color w:val="000000"/>
          <w:lang w:val="fr-FR"/>
        </w:rPr>
        <w:t> </w:t>
      </w:r>
      <w:r w:rsidRPr="005B4699">
        <w:rPr>
          <w:rFonts w:eastAsia="Times New Roman"/>
          <w:color w:val="000000"/>
          <w:lang w:val="fr-FR"/>
        </w:rPr>
        <w:t>: a) soit de preuves des éléments constitutifs du droit international coutumier ; b) soit de moyen auxiliaire utile pour apprécier s</w:t>
      </w:r>
      <w:r>
        <w:rPr>
          <w:rFonts w:eastAsia="Times New Roman"/>
          <w:color w:val="000000"/>
          <w:lang w:val="fr-FR"/>
        </w:rPr>
        <w:t>’</w:t>
      </w:r>
      <w:r w:rsidRPr="005B4699">
        <w:rPr>
          <w:rFonts w:eastAsia="Times New Roman"/>
          <w:color w:val="000000"/>
          <w:lang w:val="fr-FR"/>
        </w:rPr>
        <w:t>il existe des preuves d</w:t>
      </w:r>
      <w:r>
        <w:rPr>
          <w:rFonts w:eastAsia="Times New Roman"/>
          <w:color w:val="000000"/>
          <w:lang w:val="fr-FR"/>
        </w:rPr>
        <w:t>’</w:t>
      </w:r>
      <w:r w:rsidRPr="005B4699">
        <w:rPr>
          <w:rFonts w:eastAsia="Times New Roman"/>
          <w:color w:val="000000"/>
          <w:lang w:val="fr-FR"/>
        </w:rPr>
        <w:t>une pratique étatique et d</w:t>
      </w:r>
      <w:r>
        <w:rPr>
          <w:rFonts w:eastAsia="Times New Roman"/>
          <w:color w:val="000000"/>
          <w:lang w:val="fr-FR"/>
        </w:rPr>
        <w:t>’</w:t>
      </w:r>
      <w:r w:rsidRPr="005B4699">
        <w:rPr>
          <w:rFonts w:eastAsia="Times New Roman"/>
          <w:color w:val="000000"/>
          <w:lang w:val="fr-FR"/>
        </w:rPr>
        <w:t xml:space="preserve">une </w:t>
      </w:r>
      <w:proofErr w:type="spellStart"/>
      <w:r w:rsidRPr="005B4699">
        <w:rPr>
          <w:rFonts w:eastAsia="Times New Roman"/>
          <w:i/>
          <w:iCs/>
          <w:color w:val="000000"/>
          <w:lang w:val="fr-FR"/>
        </w:rPr>
        <w:t>opinio</w:t>
      </w:r>
      <w:proofErr w:type="spellEnd"/>
      <w:r w:rsidRPr="005B4699">
        <w:rPr>
          <w:rFonts w:eastAsia="Times New Roman"/>
          <w:i/>
          <w:iCs/>
          <w:color w:val="000000"/>
          <w:lang w:val="fr-FR"/>
        </w:rPr>
        <w:t xml:space="preserve"> </w:t>
      </w:r>
      <w:proofErr w:type="spellStart"/>
      <w:r w:rsidRPr="005B4699">
        <w:rPr>
          <w:rFonts w:eastAsia="Times New Roman"/>
          <w:i/>
          <w:iCs/>
          <w:color w:val="000000"/>
          <w:lang w:val="fr-FR"/>
        </w:rPr>
        <w:t>juris</w:t>
      </w:r>
      <w:proofErr w:type="spellEnd"/>
      <w:r w:rsidRPr="0053774D">
        <w:rPr>
          <w:rStyle w:val="Appelnotedebasdep"/>
        </w:rPr>
        <w:footnoteReference w:id="132"/>
      </w:r>
      <w:r>
        <w:rPr>
          <w:rFonts w:eastAsia="Times New Roman"/>
          <w:i/>
          <w:iCs/>
          <w:color w:val="000000"/>
          <w:lang w:val="fr-FR"/>
        </w:rPr>
        <w:t>.</w:t>
      </w:r>
      <w:r w:rsidRPr="005B4699">
        <w:rPr>
          <w:rFonts w:eastAsia="Times New Roman"/>
          <w:color w:val="000000"/>
          <w:lang w:val="fr-FR"/>
        </w:rPr>
        <w:t xml:space="preserve"> De même, s</w:t>
      </w:r>
      <w:r>
        <w:rPr>
          <w:rFonts w:eastAsia="Times New Roman"/>
          <w:color w:val="000000"/>
          <w:lang w:val="fr-FR"/>
        </w:rPr>
        <w:t>’</w:t>
      </w:r>
      <w:r w:rsidRPr="005B4699">
        <w:rPr>
          <w:rFonts w:eastAsia="Times New Roman"/>
          <w:color w:val="000000"/>
          <w:lang w:val="fr-FR"/>
        </w:rPr>
        <w:t xml:space="preserve">agissant des principes généraux du droit, les décisions judiciaires </w:t>
      </w:r>
      <w:r>
        <w:rPr>
          <w:rFonts w:eastAsia="Times New Roman"/>
          <w:color w:val="000000"/>
          <w:lang w:val="fr-FR"/>
        </w:rPr>
        <w:t>−</w:t>
      </w:r>
      <w:r w:rsidRPr="005B4699">
        <w:rPr>
          <w:rFonts w:eastAsia="Times New Roman"/>
          <w:color w:val="000000"/>
          <w:lang w:val="fr-FR"/>
        </w:rPr>
        <w:t xml:space="preserve"> en particulier celles émanant des systèmes juridiques nationaux </w:t>
      </w:r>
      <w:r>
        <w:rPr>
          <w:rFonts w:eastAsia="Times New Roman"/>
          <w:color w:val="000000"/>
          <w:lang w:val="fr-FR"/>
        </w:rPr>
        <w:t>−</w:t>
      </w:r>
      <w:r w:rsidRPr="005B4699">
        <w:rPr>
          <w:rFonts w:eastAsia="Times New Roman"/>
          <w:color w:val="000000"/>
          <w:lang w:val="fr-FR"/>
        </w:rPr>
        <w:t xml:space="preserve"> peuvent être utilisées pour déterminer l</w:t>
      </w:r>
      <w:r>
        <w:rPr>
          <w:rFonts w:eastAsia="Times New Roman"/>
          <w:color w:val="000000"/>
          <w:lang w:val="fr-FR"/>
        </w:rPr>
        <w:t>’</w:t>
      </w:r>
      <w:r w:rsidRPr="005B4699">
        <w:rPr>
          <w:rFonts w:eastAsia="Times New Roman"/>
          <w:color w:val="000000"/>
          <w:lang w:val="fr-FR"/>
        </w:rPr>
        <w:t>existence et le contenu, ou l</w:t>
      </w:r>
      <w:r>
        <w:rPr>
          <w:rFonts w:eastAsia="Times New Roman"/>
          <w:color w:val="000000"/>
          <w:lang w:val="fr-FR"/>
        </w:rPr>
        <w:t>’</w:t>
      </w:r>
      <w:r w:rsidRPr="005B4699">
        <w:rPr>
          <w:rFonts w:eastAsia="Times New Roman"/>
          <w:color w:val="000000"/>
          <w:lang w:val="fr-FR"/>
        </w:rPr>
        <w:t>inexistence, de principes généraux du droit</w:t>
      </w:r>
      <w:r w:rsidRPr="0053774D">
        <w:rPr>
          <w:rStyle w:val="Appelnotedebasdep"/>
        </w:rPr>
        <w:footnoteReference w:id="133"/>
      </w:r>
      <w:r>
        <w:rPr>
          <w:rFonts w:eastAsia="Times New Roman"/>
          <w:color w:val="000000"/>
          <w:lang w:val="fr-FR"/>
        </w:rPr>
        <w:t>.</w:t>
      </w:r>
      <w:r w:rsidRPr="005B4699">
        <w:rPr>
          <w:rFonts w:eastAsia="Times New Roman"/>
          <w:color w:val="000000"/>
          <w:lang w:val="fr-FR"/>
        </w:rPr>
        <w:t xml:space="preserve"> De plus, pour déterminer si une norme juridique internationale </w:t>
      </w:r>
      <w:r>
        <w:rPr>
          <w:rFonts w:eastAsia="Times New Roman"/>
          <w:color w:val="000000"/>
          <w:lang w:val="fr-FR"/>
        </w:rPr>
        <w:t>est</w:t>
      </w:r>
      <w:r w:rsidRPr="005B4699">
        <w:rPr>
          <w:rFonts w:eastAsia="Times New Roman"/>
          <w:color w:val="000000"/>
          <w:lang w:val="fr-FR"/>
        </w:rPr>
        <w:t xml:space="preserve"> une norme du </w:t>
      </w:r>
      <w:r w:rsidRPr="005B4699">
        <w:rPr>
          <w:rFonts w:eastAsia="Times New Roman"/>
          <w:i/>
          <w:iCs/>
          <w:color w:val="000000"/>
          <w:lang w:val="fr-FR"/>
        </w:rPr>
        <w:t>jus cogens</w:t>
      </w:r>
      <w:r w:rsidRPr="005B4699">
        <w:rPr>
          <w:rFonts w:eastAsia="Times New Roman"/>
          <w:color w:val="000000"/>
          <w:lang w:val="fr-FR"/>
        </w:rPr>
        <w:t>, les moyens auxiliaires</w:t>
      </w:r>
      <w:r>
        <w:rPr>
          <w:rFonts w:eastAsia="Times New Roman"/>
          <w:color w:val="000000"/>
          <w:lang w:val="fr-FR"/>
        </w:rPr>
        <w:t>, par exemple</w:t>
      </w:r>
      <w:r w:rsidRPr="005B4699">
        <w:rPr>
          <w:rFonts w:eastAsia="Times New Roman"/>
          <w:color w:val="000000"/>
          <w:lang w:val="fr-FR"/>
        </w:rPr>
        <w:t xml:space="preserve"> </w:t>
      </w:r>
      <w:r w:rsidRPr="005608A9">
        <w:rPr>
          <w:rFonts w:eastAsia="Times New Roman"/>
          <w:color w:val="000000"/>
          <w:lang w:val="fr-FR"/>
        </w:rPr>
        <w:t>les décisions des juridictions nationales</w:t>
      </w:r>
      <w:r w:rsidRPr="001030F0">
        <w:rPr>
          <w:rFonts w:eastAsia="Times New Roman"/>
          <w:color w:val="000000"/>
          <w:lang w:val="fr-FR"/>
        </w:rPr>
        <w:t>, peuvent aussi constituer des preuves primaires de l</w:t>
      </w:r>
      <w:r>
        <w:rPr>
          <w:rFonts w:eastAsia="Times New Roman"/>
          <w:color w:val="000000"/>
          <w:lang w:val="fr-FR"/>
        </w:rPr>
        <w:t>’</w:t>
      </w:r>
      <w:r w:rsidRPr="001030F0">
        <w:rPr>
          <w:rFonts w:eastAsia="Times New Roman"/>
          <w:color w:val="000000"/>
          <w:lang w:val="fr-FR"/>
        </w:rPr>
        <w:t>acceptation et la reconnaissance mais ne peuvent en eux-mêmes être des preuves de cette acceptation et reconnaissance</w:t>
      </w:r>
      <w:r w:rsidRPr="0053774D">
        <w:rPr>
          <w:rStyle w:val="Appelnotedebasdep"/>
        </w:rPr>
        <w:footnoteReference w:id="134"/>
      </w:r>
      <w:r>
        <w:rPr>
          <w:rFonts w:eastAsia="Times New Roman"/>
          <w:color w:val="000000"/>
          <w:lang w:val="fr-FR"/>
        </w:rPr>
        <w:t>.</w:t>
      </w:r>
    </w:p>
    <w:p w14:paraId="6AEEF856" w14:textId="04A988D5" w:rsidR="004C5E26" w:rsidRPr="005B4699" w:rsidRDefault="004C5E26" w:rsidP="004C5E26">
      <w:pPr>
        <w:pStyle w:val="SingleTxtG"/>
        <w:rPr>
          <w:rFonts w:eastAsia="Times New Roman"/>
          <w:color w:val="000000"/>
          <w:lang w:val="fr-FR"/>
        </w:rPr>
      </w:pPr>
      <w:r w:rsidRPr="005B4699">
        <w:rPr>
          <w:rFonts w:eastAsia="Times New Roman"/>
          <w:color w:val="000000"/>
          <w:lang w:val="fr-FR"/>
        </w:rPr>
        <w:t>8)</w:t>
      </w:r>
      <w:r w:rsidRPr="005B4699">
        <w:rPr>
          <w:rFonts w:eastAsia="Times New Roman"/>
          <w:color w:val="000000"/>
          <w:lang w:val="fr-FR"/>
        </w:rPr>
        <w:tab/>
        <w:t>La référence générale aux autres utilisations des éléments est également importante pour une autre raison. La Commission a envisagé, s</w:t>
      </w:r>
      <w:r>
        <w:rPr>
          <w:rFonts w:eastAsia="Times New Roman"/>
          <w:color w:val="000000"/>
          <w:lang w:val="fr-FR"/>
        </w:rPr>
        <w:t>’</w:t>
      </w:r>
      <w:r w:rsidRPr="005B4699">
        <w:rPr>
          <w:rFonts w:eastAsia="Times New Roman"/>
          <w:color w:val="000000"/>
          <w:lang w:val="fr-FR"/>
        </w:rPr>
        <w:t>agissant de l</w:t>
      </w:r>
      <w:r>
        <w:rPr>
          <w:rFonts w:eastAsia="Times New Roman"/>
          <w:color w:val="000000"/>
          <w:lang w:val="fr-FR"/>
        </w:rPr>
        <w:t>’</w:t>
      </w:r>
      <w:r w:rsidRPr="005B4699">
        <w:rPr>
          <w:rFonts w:eastAsia="Times New Roman"/>
          <w:color w:val="000000"/>
          <w:lang w:val="fr-FR"/>
        </w:rPr>
        <w:t>alinéa c) du projet de conclusion 2, la possibilité qu</w:t>
      </w:r>
      <w:r>
        <w:rPr>
          <w:rFonts w:eastAsia="Times New Roman"/>
          <w:color w:val="000000"/>
          <w:lang w:val="fr-FR"/>
        </w:rPr>
        <w:t>’</w:t>
      </w:r>
      <w:r w:rsidRPr="005B4699">
        <w:rPr>
          <w:rFonts w:eastAsia="Times New Roman"/>
          <w:color w:val="000000"/>
          <w:lang w:val="fr-FR"/>
        </w:rPr>
        <w:t>il puisse exister d</w:t>
      </w:r>
      <w:r>
        <w:rPr>
          <w:rFonts w:eastAsia="Times New Roman"/>
          <w:color w:val="000000"/>
          <w:lang w:val="fr-FR"/>
        </w:rPr>
        <w:t>’</w:t>
      </w:r>
      <w:r w:rsidRPr="005B4699">
        <w:rPr>
          <w:rFonts w:eastAsia="Times New Roman"/>
          <w:color w:val="000000"/>
          <w:lang w:val="fr-FR"/>
        </w:rPr>
        <w:t>autres éléments pouvant relever de la catégorie de moyens auxiliaires définie par la formule « tout autre moyen auquel il est généralement fait recours pour aider à la déterminer des règles de droit international »</w:t>
      </w:r>
      <w:r w:rsidRPr="0053774D">
        <w:rPr>
          <w:rStyle w:val="Appelnotedebasdep"/>
        </w:rPr>
        <w:footnoteReference w:id="135"/>
      </w:r>
      <w:r>
        <w:rPr>
          <w:rFonts w:eastAsia="Times New Roman"/>
          <w:color w:val="000000"/>
          <w:lang w:val="fr-FR"/>
        </w:rPr>
        <w:t>.</w:t>
      </w:r>
      <w:r w:rsidRPr="005B4699">
        <w:rPr>
          <w:rFonts w:eastAsia="Times New Roman"/>
          <w:color w:val="000000"/>
          <w:lang w:val="fr-FR"/>
        </w:rPr>
        <w:t xml:space="preserve"> Cela étant, lorsqu</w:t>
      </w:r>
      <w:r>
        <w:rPr>
          <w:rFonts w:eastAsia="Times New Roman"/>
          <w:color w:val="000000"/>
          <w:lang w:val="fr-FR"/>
        </w:rPr>
        <w:t>’</w:t>
      </w:r>
      <w:r w:rsidRPr="005B4699">
        <w:rPr>
          <w:rFonts w:eastAsia="Times New Roman"/>
          <w:color w:val="000000"/>
          <w:lang w:val="fr-FR"/>
        </w:rPr>
        <w:t>elle parviendra à la première lecture des projets de conclusion sur le sujet, la Commission reviendra sur la question distincte de la place du présent projet de conclusion dans l</w:t>
      </w:r>
      <w:r>
        <w:rPr>
          <w:rFonts w:eastAsia="Times New Roman"/>
          <w:color w:val="000000"/>
          <w:lang w:val="fr-FR"/>
        </w:rPr>
        <w:t>’</w:t>
      </w:r>
      <w:r w:rsidRPr="005B4699">
        <w:rPr>
          <w:rFonts w:eastAsia="Times New Roman"/>
          <w:color w:val="000000"/>
          <w:lang w:val="fr-FR"/>
        </w:rPr>
        <w:t>ensemble du texte.</w:t>
      </w:r>
    </w:p>
    <w:p w14:paraId="6CB9E08B" w14:textId="77777777" w:rsidR="004C5E26" w:rsidRPr="005B4699" w:rsidRDefault="004C5E26" w:rsidP="00AF4E47">
      <w:pPr>
        <w:pStyle w:val="H23G"/>
        <w:ind w:left="1701" w:firstLine="0"/>
        <w:rPr>
          <w:rFonts w:eastAsia="Times New Roman"/>
          <w:lang w:val="fr-FR"/>
        </w:rPr>
      </w:pPr>
      <w:r w:rsidRPr="005B4699">
        <w:rPr>
          <w:rFonts w:eastAsia="Times New Roman"/>
          <w:lang w:val="fr-FR"/>
        </w:rPr>
        <w:t>Conclusion 7</w:t>
      </w:r>
      <w:r>
        <w:rPr>
          <w:rFonts w:eastAsia="Times New Roman"/>
          <w:lang w:val="fr-FR"/>
        </w:rPr>
        <w:t xml:space="preserve"> </w:t>
      </w:r>
      <w:r>
        <w:rPr>
          <w:rFonts w:eastAsia="Times New Roman"/>
          <w:lang w:val="fr-FR"/>
        </w:rPr>
        <w:br/>
      </w:r>
      <w:bookmarkStart w:id="66" w:name="_Hlk175323479"/>
      <w:r w:rsidRPr="005B4699">
        <w:rPr>
          <w:rFonts w:eastAsia="Times New Roman"/>
          <w:lang w:val="fr-FR"/>
        </w:rPr>
        <w:t>Absence de précédents juridiquement contraignants en droit international</w:t>
      </w:r>
      <w:bookmarkEnd w:id="66"/>
    </w:p>
    <w:p w14:paraId="31E82484" w14:textId="01AC2E62" w:rsidR="004C5E26" w:rsidRPr="005B4699" w:rsidRDefault="004C5E26" w:rsidP="004C5E26">
      <w:pPr>
        <w:pStyle w:val="SingleTxtG"/>
        <w:ind w:left="1701" w:firstLine="567"/>
        <w:rPr>
          <w:rFonts w:eastAsia="Times New Roman"/>
          <w:lang w:val="fr-FR"/>
        </w:rPr>
      </w:pPr>
      <w:r w:rsidRPr="005B4699">
        <w:rPr>
          <w:lang w:val="fr-FR"/>
        </w:rPr>
        <w:t>Les décisions des juridictions internationales peuvent être suivies sur des points de droit lorsque ces décisions traitent de questions identiques ou similaires à celles qui sont à l</w:t>
      </w:r>
      <w:r>
        <w:rPr>
          <w:lang w:val="fr-FR"/>
        </w:rPr>
        <w:t>’</w:t>
      </w:r>
      <w:r w:rsidRPr="005B4699">
        <w:rPr>
          <w:lang w:val="fr-FR"/>
        </w:rPr>
        <w:t>examen. Ces décisions ne constituent pas des précédents juridiquement contraignants, à</w:t>
      </w:r>
      <w:r>
        <w:rPr>
          <w:lang w:val="fr-FR"/>
        </w:rPr>
        <w:t xml:space="preserve"> </w:t>
      </w:r>
      <w:r w:rsidRPr="005B4699">
        <w:rPr>
          <w:lang w:val="fr-FR"/>
        </w:rPr>
        <w:t>moins qu</w:t>
      </w:r>
      <w:r>
        <w:rPr>
          <w:lang w:val="fr-FR"/>
        </w:rPr>
        <w:t>’</w:t>
      </w:r>
      <w:r w:rsidRPr="005B4699">
        <w:rPr>
          <w:lang w:val="fr-FR"/>
        </w:rPr>
        <w:t>un instrument ou une règle spécifique de droit international n</w:t>
      </w:r>
      <w:r>
        <w:rPr>
          <w:lang w:val="fr-FR"/>
        </w:rPr>
        <w:t>’</w:t>
      </w:r>
      <w:r w:rsidRPr="005B4699">
        <w:rPr>
          <w:lang w:val="fr-FR"/>
        </w:rPr>
        <w:t>en dispose autrement</w:t>
      </w:r>
      <w:r w:rsidRPr="005B4699">
        <w:rPr>
          <w:rFonts w:eastAsia="Times New Roman"/>
          <w:lang w:val="fr-FR"/>
        </w:rPr>
        <w:t>.</w:t>
      </w:r>
    </w:p>
    <w:p w14:paraId="31CDA4B6" w14:textId="77777777" w:rsidR="004C5E26" w:rsidRPr="005B4699" w:rsidRDefault="004C5E26" w:rsidP="004C5E26">
      <w:pPr>
        <w:pStyle w:val="H23G"/>
        <w:rPr>
          <w:rFonts w:eastAsia="Times New Roman"/>
          <w:lang w:val="fr-FR"/>
        </w:rPr>
      </w:pPr>
      <w:r>
        <w:rPr>
          <w:shd w:val="clear" w:color="000000" w:fill="FFFFFF"/>
          <w:lang w:val="fr-FR"/>
        </w:rPr>
        <w:tab/>
      </w:r>
      <w:r>
        <w:rPr>
          <w:shd w:val="clear" w:color="000000" w:fill="FFFFFF"/>
          <w:lang w:val="fr-FR"/>
        </w:rPr>
        <w:tab/>
      </w:r>
      <w:r w:rsidRPr="0094761A">
        <w:rPr>
          <w:shd w:val="clear" w:color="000000" w:fill="FFFFFF"/>
          <w:lang w:val="fr-FR"/>
        </w:rPr>
        <w:t>Commentaire</w:t>
      </w:r>
    </w:p>
    <w:p w14:paraId="39349BE8" w14:textId="3C5B8F94" w:rsidR="004C5E26" w:rsidRPr="005B4699" w:rsidRDefault="004C5E26" w:rsidP="004C5E26">
      <w:pPr>
        <w:pStyle w:val="SingleTxtG"/>
        <w:rPr>
          <w:rFonts w:eastAsia="Times New Roman"/>
          <w:lang w:val="fr-FR"/>
        </w:rPr>
      </w:pPr>
      <w:r w:rsidRPr="005B4699">
        <w:rPr>
          <w:rFonts w:eastAsia="Times New Roman"/>
          <w:lang w:val="fr-FR"/>
        </w:rPr>
        <w:t>1)</w:t>
      </w:r>
      <w:r w:rsidRPr="005B4699">
        <w:rPr>
          <w:rFonts w:eastAsia="Times New Roman"/>
          <w:lang w:val="fr-FR"/>
        </w:rPr>
        <w:tab/>
        <w:t xml:space="preserve">Le </w:t>
      </w:r>
      <w:r w:rsidRPr="005B4699">
        <w:rPr>
          <w:rFonts w:eastAsia="Times New Roman"/>
          <w:color w:val="000000"/>
          <w:lang w:val="fr-FR"/>
        </w:rPr>
        <w:t>projet de conclusion</w:t>
      </w:r>
      <w:r w:rsidRPr="005B4699">
        <w:rPr>
          <w:rFonts w:eastAsia="Times New Roman"/>
          <w:lang w:val="fr-FR"/>
        </w:rPr>
        <w:t xml:space="preserve"> 7 traite de la question du précédent en droit international. Il</w:t>
      </w:r>
      <w:r>
        <w:rPr>
          <w:rFonts w:eastAsia="Times New Roman"/>
          <w:lang w:val="fr-FR"/>
        </w:rPr>
        <w:t> </w:t>
      </w:r>
      <w:r w:rsidRPr="005B4699">
        <w:rPr>
          <w:rFonts w:eastAsia="Times New Roman"/>
          <w:lang w:val="fr-FR"/>
        </w:rPr>
        <w:t>confirme l</w:t>
      </w:r>
      <w:r>
        <w:rPr>
          <w:rFonts w:eastAsia="Times New Roman"/>
          <w:lang w:val="fr-FR"/>
        </w:rPr>
        <w:t>’</w:t>
      </w:r>
      <w:r w:rsidRPr="005B4699">
        <w:rPr>
          <w:rFonts w:eastAsia="Times New Roman"/>
          <w:lang w:val="fr-FR"/>
        </w:rPr>
        <w:t>existence d</w:t>
      </w:r>
      <w:r>
        <w:rPr>
          <w:rFonts w:eastAsia="Times New Roman"/>
          <w:lang w:val="fr-FR"/>
        </w:rPr>
        <w:t>’</w:t>
      </w:r>
      <w:r w:rsidRPr="005B4699">
        <w:rPr>
          <w:rFonts w:eastAsia="Times New Roman"/>
          <w:lang w:val="fr-FR"/>
        </w:rPr>
        <w:t xml:space="preserve">une abondante pratique dont la Commission a déduit </w:t>
      </w:r>
      <w:r>
        <w:rPr>
          <w:rFonts w:eastAsia="Times New Roman"/>
          <w:lang w:val="fr-FR"/>
        </w:rPr>
        <w:t>qu’en règle générale</w:t>
      </w:r>
      <w:r w:rsidRPr="005B4699">
        <w:rPr>
          <w:rFonts w:eastAsia="Times New Roman"/>
          <w:lang w:val="fr-FR"/>
        </w:rPr>
        <w:t>, il n</w:t>
      </w:r>
      <w:r>
        <w:rPr>
          <w:rFonts w:eastAsia="Times New Roman"/>
          <w:lang w:val="fr-FR"/>
        </w:rPr>
        <w:t>’</w:t>
      </w:r>
      <w:r w:rsidRPr="005B4699">
        <w:rPr>
          <w:rFonts w:eastAsia="Times New Roman"/>
          <w:lang w:val="fr-FR"/>
        </w:rPr>
        <w:t xml:space="preserve">existe pas, en droit international, de système de précédents juridiquement </w:t>
      </w:r>
      <w:r w:rsidRPr="005B4699">
        <w:rPr>
          <w:rFonts w:eastAsia="Times New Roman"/>
          <w:lang w:val="fr-FR"/>
        </w:rPr>
        <w:lastRenderedPageBreak/>
        <w:t xml:space="preserve">contraignants, ou </w:t>
      </w:r>
      <w:proofErr w:type="spellStart"/>
      <w:r w:rsidRPr="005B4699">
        <w:rPr>
          <w:rFonts w:eastAsia="Times New Roman"/>
          <w:i/>
          <w:lang w:val="fr-FR"/>
        </w:rPr>
        <w:t>stare</w:t>
      </w:r>
      <w:proofErr w:type="spellEnd"/>
      <w:r w:rsidRPr="005B4699">
        <w:rPr>
          <w:rFonts w:eastAsia="Times New Roman"/>
          <w:i/>
          <w:lang w:val="fr-FR"/>
        </w:rPr>
        <w:t xml:space="preserve"> </w:t>
      </w:r>
      <w:proofErr w:type="spellStart"/>
      <w:r w:rsidRPr="005B4699">
        <w:rPr>
          <w:rFonts w:eastAsia="Times New Roman"/>
          <w:i/>
          <w:lang w:val="fr-FR"/>
        </w:rPr>
        <w:t>decisis</w:t>
      </w:r>
      <w:proofErr w:type="spellEnd"/>
      <w:r w:rsidRPr="005B4699">
        <w:rPr>
          <w:rFonts w:eastAsia="Times New Roman"/>
          <w:lang w:val="fr-FR"/>
        </w:rPr>
        <w:t>, devant les juridictions internationales</w:t>
      </w:r>
      <w:bookmarkStart w:id="67" w:name="_Ref170130436"/>
      <w:r w:rsidRPr="0053774D">
        <w:rPr>
          <w:rStyle w:val="Appelnotedebasdep"/>
        </w:rPr>
        <w:footnoteReference w:id="136"/>
      </w:r>
      <w:bookmarkEnd w:id="67"/>
      <w:r>
        <w:rPr>
          <w:rFonts w:eastAsia="Times New Roman"/>
          <w:lang w:val="fr-FR"/>
        </w:rPr>
        <w:t>.</w:t>
      </w:r>
      <w:r w:rsidRPr="005B4699">
        <w:rPr>
          <w:rFonts w:eastAsia="Times New Roman"/>
          <w:lang w:val="fr-FR"/>
        </w:rPr>
        <w:t xml:space="preserve"> Toutefois, pour des raisons </w:t>
      </w:r>
      <w:r>
        <w:rPr>
          <w:rFonts w:eastAsia="Times New Roman"/>
          <w:lang w:val="fr-FR"/>
        </w:rPr>
        <w:t>liées à la</w:t>
      </w:r>
      <w:r w:rsidRPr="005B4699">
        <w:rPr>
          <w:rFonts w:eastAsia="Times New Roman"/>
          <w:lang w:val="fr-FR"/>
        </w:rPr>
        <w:t xml:space="preserve"> sécurité</w:t>
      </w:r>
      <w:r>
        <w:rPr>
          <w:rFonts w:eastAsia="Times New Roman"/>
          <w:lang w:val="fr-FR"/>
        </w:rPr>
        <w:t>, la</w:t>
      </w:r>
      <w:r w:rsidRPr="005B4699">
        <w:rPr>
          <w:rFonts w:eastAsia="Times New Roman"/>
          <w:lang w:val="fr-FR"/>
        </w:rPr>
        <w:t xml:space="preserve"> stabilité </w:t>
      </w:r>
      <w:r>
        <w:rPr>
          <w:rFonts w:eastAsia="Times New Roman"/>
          <w:lang w:val="fr-FR"/>
        </w:rPr>
        <w:t xml:space="preserve">et la cohérence </w:t>
      </w:r>
      <w:r w:rsidRPr="005B4699">
        <w:rPr>
          <w:rFonts w:eastAsia="Times New Roman"/>
          <w:lang w:val="fr-FR"/>
        </w:rPr>
        <w:t xml:space="preserve">juridiques, </w:t>
      </w:r>
      <w:r>
        <w:rPr>
          <w:rFonts w:eastAsia="Times New Roman"/>
          <w:lang w:val="fr-FR"/>
        </w:rPr>
        <w:t>qui</w:t>
      </w:r>
      <w:r w:rsidRPr="006E08BB">
        <w:rPr>
          <w:rFonts w:eastAsia="Times New Roman"/>
          <w:lang w:val="fr-FR"/>
        </w:rPr>
        <w:t xml:space="preserve"> sont l</w:t>
      </w:r>
      <w:r>
        <w:rPr>
          <w:rFonts w:eastAsia="Times New Roman"/>
          <w:lang w:val="fr-FR"/>
        </w:rPr>
        <w:t>’</w:t>
      </w:r>
      <w:r w:rsidRPr="006E08BB">
        <w:rPr>
          <w:rFonts w:eastAsia="Times New Roman"/>
          <w:lang w:val="fr-FR"/>
        </w:rPr>
        <w:t xml:space="preserve">essence de toute règle </w:t>
      </w:r>
      <w:r w:rsidRPr="001030F0">
        <w:rPr>
          <w:rFonts w:eastAsia="Times New Roman"/>
          <w:lang w:val="fr-FR"/>
        </w:rPr>
        <w:t>d</w:t>
      </w:r>
      <w:r>
        <w:rPr>
          <w:rFonts w:eastAsia="Times New Roman"/>
          <w:lang w:val="fr-FR"/>
        </w:rPr>
        <w:t>’</w:t>
      </w:r>
      <w:r w:rsidRPr="001030F0">
        <w:rPr>
          <w:rFonts w:eastAsia="Times New Roman"/>
          <w:lang w:val="fr-FR"/>
        </w:rPr>
        <w:t>un système juridique fondé sur le droit</w:t>
      </w:r>
      <w:r w:rsidRPr="005B4699">
        <w:rPr>
          <w:rFonts w:eastAsia="Times New Roman"/>
          <w:lang w:val="fr-FR"/>
        </w:rPr>
        <w:t>, les juridictions internationales tiennent normalement compte du raisonnement juridique suivi dans les décisions d</w:t>
      </w:r>
      <w:r>
        <w:rPr>
          <w:rFonts w:eastAsia="Times New Roman"/>
          <w:lang w:val="fr-FR"/>
        </w:rPr>
        <w:t>’</w:t>
      </w:r>
      <w:r w:rsidRPr="005B4699">
        <w:rPr>
          <w:rFonts w:eastAsia="Times New Roman"/>
          <w:lang w:val="fr-FR"/>
        </w:rPr>
        <w:t>autres juridictions bien qu</w:t>
      </w:r>
      <w:r>
        <w:rPr>
          <w:rFonts w:eastAsia="Times New Roman"/>
          <w:lang w:val="fr-FR"/>
        </w:rPr>
        <w:t>’</w:t>
      </w:r>
      <w:r w:rsidRPr="005B4699">
        <w:rPr>
          <w:rFonts w:eastAsia="Times New Roman"/>
          <w:lang w:val="fr-FR"/>
        </w:rPr>
        <w:t>elles ne soient pas tenues d</w:t>
      </w:r>
      <w:r>
        <w:rPr>
          <w:rFonts w:eastAsia="Times New Roman"/>
          <w:lang w:val="fr-FR"/>
        </w:rPr>
        <w:t>’</w:t>
      </w:r>
      <w:r w:rsidRPr="005B4699">
        <w:rPr>
          <w:rFonts w:eastAsia="Times New Roman"/>
          <w:lang w:val="fr-FR"/>
        </w:rPr>
        <w:t>appliquer celles-ci. La</w:t>
      </w:r>
      <w:r>
        <w:rPr>
          <w:rFonts w:eastAsia="Times New Roman"/>
          <w:lang w:val="fr-FR"/>
        </w:rPr>
        <w:t> </w:t>
      </w:r>
      <w:r w:rsidRPr="005B4699">
        <w:rPr>
          <w:rFonts w:eastAsia="Times New Roman"/>
          <w:lang w:val="fr-FR"/>
        </w:rPr>
        <w:t>règle générale, en matière de justice internationale</w:t>
      </w:r>
      <w:r>
        <w:rPr>
          <w:rFonts w:eastAsia="Times New Roman"/>
          <w:lang w:val="fr-FR"/>
        </w:rPr>
        <w:t xml:space="preserve"> faisant intervenir des États</w:t>
      </w:r>
      <w:r w:rsidRPr="005B4699">
        <w:rPr>
          <w:rFonts w:eastAsia="Times New Roman"/>
          <w:lang w:val="fr-FR"/>
        </w:rPr>
        <w:t xml:space="preserve">, est que les décisions des juridictions ne sont obligatoires que pour les parties en litige </w:t>
      </w:r>
      <w:r>
        <w:rPr>
          <w:rFonts w:eastAsia="Times New Roman"/>
          <w:lang w:val="fr-FR"/>
        </w:rPr>
        <w:t>−</w:t>
      </w:r>
      <w:r w:rsidRPr="005B4699">
        <w:rPr>
          <w:rFonts w:eastAsia="Times New Roman"/>
          <w:lang w:val="fr-FR"/>
        </w:rPr>
        <w:t xml:space="preserve"> comme en dispose l</w:t>
      </w:r>
      <w:r>
        <w:rPr>
          <w:rFonts w:eastAsia="Times New Roman"/>
          <w:lang w:val="fr-FR"/>
        </w:rPr>
        <w:t>’</w:t>
      </w:r>
      <w:r w:rsidRPr="005B4699">
        <w:rPr>
          <w:rFonts w:eastAsia="Times New Roman"/>
          <w:lang w:val="fr-FR"/>
        </w:rPr>
        <w:t>Article</w:t>
      </w:r>
      <w:r>
        <w:rPr>
          <w:rFonts w:eastAsia="Times New Roman"/>
          <w:lang w:val="fr-FR"/>
        </w:rPr>
        <w:t> </w:t>
      </w:r>
      <w:r w:rsidRPr="005B4699">
        <w:rPr>
          <w:rFonts w:eastAsia="Times New Roman"/>
          <w:lang w:val="fr-FR"/>
        </w:rPr>
        <w:t xml:space="preserve">59 </w:t>
      </w:r>
      <w:r w:rsidRPr="005B4699">
        <w:rPr>
          <w:rFonts w:eastAsia="Times New Roman"/>
          <w:color w:val="000000"/>
          <w:lang w:val="fr-FR"/>
        </w:rPr>
        <w:t>du Statut de la Cour internationale de Justice</w:t>
      </w:r>
      <w:r w:rsidRPr="005B4699">
        <w:rPr>
          <w:rFonts w:eastAsia="Times New Roman"/>
          <w:lang w:val="fr-FR"/>
        </w:rPr>
        <w:t xml:space="preserve">. </w:t>
      </w:r>
    </w:p>
    <w:p w14:paraId="324DD931" w14:textId="745C3EFC" w:rsidR="004C5E26" w:rsidRPr="005B4699" w:rsidRDefault="004C5E26" w:rsidP="004C5E26">
      <w:pPr>
        <w:pStyle w:val="SingleTxtG"/>
        <w:rPr>
          <w:rFonts w:eastAsia="Times New Roman"/>
          <w:lang w:val="fr-FR"/>
        </w:rPr>
      </w:pPr>
      <w:r w:rsidRPr="005B4699">
        <w:rPr>
          <w:rFonts w:eastAsia="Times New Roman"/>
          <w:lang w:val="fr-FR"/>
        </w:rPr>
        <w:t>2)</w:t>
      </w:r>
      <w:r w:rsidRPr="005B4699">
        <w:rPr>
          <w:rFonts w:eastAsia="Times New Roman"/>
          <w:lang w:val="fr-FR"/>
        </w:rPr>
        <w:tab/>
        <w:t xml:space="preserve">Le présent projet de conclusion comprend deux phrases liées entre elles. La première dispose que </w:t>
      </w:r>
      <w:r w:rsidRPr="005B4699">
        <w:rPr>
          <w:rFonts w:eastAsia="Times New Roman"/>
          <w:color w:val="000000"/>
          <w:lang w:val="fr-FR"/>
        </w:rPr>
        <w:t>« </w:t>
      </w:r>
      <w:r w:rsidRPr="005B4699">
        <w:rPr>
          <w:rFonts w:eastAsia="Times New Roman"/>
          <w:lang w:val="fr-FR"/>
        </w:rPr>
        <w:t>[l]es décisions des juridictions internationales peuvent être suivies sur des points de droit lorsque ces décisions traitent de questions identiques ou similaires à celles qui sont à l</w:t>
      </w:r>
      <w:r>
        <w:rPr>
          <w:rFonts w:eastAsia="Times New Roman"/>
          <w:lang w:val="fr-FR"/>
        </w:rPr>
        <w:t>’</w:t>
      </w:r>
      <w:r w:rsidRPr="005B4699">
        <w:rPr>
          <w:rFonts w:eastAsia="Times New Roman"/>
          <w:lang w:val="fr-FR"/>
        </w:rPr>
        <w:t>examen</w:t>
      </w:r>
      <w:r w:rsidRPr="005B4699">
        <w:rPr>
          <w:rFonts w:eastAsia="Times New Roman"/>
          <w:color w:val="000000"/>
          <w:lang w:val="fr-FR"/>
        </w:rPr>
        <w:t> »</w:t>
      </w:r>
      <w:r w:rsidRPr="005B4699">
        <w:rPr>
          <w:rFonts w:eastAsia="Times New Roman"/>
          <w:lang w:val="fr-FR"/>
        </w:rPr>
        <w:t xml:space="preserve">. La Commission considère que le terme </w:t>
      </w:r>
      <w:r w:rsidRPr="005B4699">
        <w:rPr>
          <w:rFonts w:eastAsia="Times New Roman"/>
          <w:color w:val="000000"/>
          <w:lang w:val="fr-FR"/>
        </w:rPr>
        <w:t>« décisions »</w:t>
      </w:r>
      <w:r w:rsidRPr="005B4699">
        <w:rPr>
          <w:rFonts w:eastAsia="Times New Roman"/>
          <w:lang w:val="fr-FR"/>
        </w:rPr>
        <w:t>, ainsi que l</w:t>
      </w:r>
      <w:r>
        <w:rPr>
          <w:rFonts w:eastAsia="Times New Roman"/>
          <w:lang w:val="fr-FR"/>
        </w:rPr>
        <w:t>’</w:t>
      </w:r>
      <w:r w:rsidRPr="005B4699">
        <w:rPr>
          <w:rFonts w:eastAsia="Times New Roman"/>
          <w:lang w:val="fr-FR"/>
        </w:rPr>
        <w:t xml:space="preserve">expression </w:t>
      </w:r>
      <w:r w:rsidRPr="005B4699">
        <w:rPr>
          <w:rFonts w:eastAsia="Times New Roman"/>
          <w:color w:val="000000"/>
          <w:lang w:val="fr-FR"/>
        </w:rPr>
        <w:t xml:space="preserve">« juridictions </w:t>
      </w:r>
      <w:r w:rsidRPr="005B4699">
        <w:rPr>
          <w:rFonts w:eastAsia="Times New Roman"/>
          <w:lang w:val="fr-FR"/>
        </w:rPr>
        <w:t>internationales</w:t>
      </w:r>
      <w:r w:rsidRPr="005B4699">
        <w:rPr>
          <w:rFonts w:eastAsia="Times New Roman"/>
          <w:color w:val="000000"/>
          <w:lang w:val="fr-FR"/>
        </w:rPr>
        <w:t> »</w:t>
      </w:r>
      <w:r w:rsidRPr="005B4699">
        <w:rPr>
          <w:rFonts w:eastAsia="Times New Roman"/>
          <w:lang w:val="fr-FR"/>
        </w:rPr>
        <w:t>, doivent s</w:t>
      </w:r>
      <w:r>
        <w:rPr>
          <w:rFonts w:eastAsia="Times New Roman"/>
          <w:lang w:val="fr-FR"/>
        </w:rPr>
        <w:t>’</w:t>
      </w:r>
      <w:r w:rsidRPr="005B4699">
        <w:rPr>
          <w:rFonts w:eastAsia="Times New Roman"/>
          <w:lang w:val="fr-FR"/>
        </w:rPr>
        <w:t xml:space="preserve">entendre de la même manière que dans le projet de conclusion 4. La proposition générale selon laquelle les décisions des juridictions internationales </w:t>
      </w:r>
      <w:r w:rsidRPr="005B4699">
        <w:rPr>
          <w:rFonts w:eastAsia="Times New Roman"/>
          <w:color w:val="000000"/>
          <w:lang w:val="fr-FR"/>
        </w:rPr>
        <w:t>« peuvent être suivies sur des points de droit »</w:t>
      </w:r>
      <w:r w:rsidRPr="005B4699">
        <w:rPr>
          <w:rFonts w:eastAsia="Times New Roman"/>
          <w:lang w:val="fr-FR"/>
        </w:rPr>
        <w:t xml:space="preserve"> n</w:t>
      </w:r>
      <w:r>
        <w:rPr>
          <w:rFonts w:eastAsia="Times New Roman"/>
          <w:lang w:val="fr-FR"/>
        </w:rPr>
        <w:t>’</w:t>
      </w:r>
      <w:r w:rsidRPr="005B4699">
        <w:rPr>
          <w:rFonts w:eastAsia="Times New Roman"/>
          <w:lang w:val="fr-FR"/>
        </w:rPr>
        <w:t>est applicable que si une condition préalable est remplie, à savoir que « ces décisions traitent de questions identiques ou similaires à celles qui sont à l</w:t>
      </w:r>
      <w:r>
        <w:rPr>
          <w:rFonts w:eastAsia="Times New Roman"/>
          <w:lang w:val="fr-FR"/>
        </w:rPr>
        <w:t>’</w:t>
      </w:r>
      <w:r w:rsidRPr="005B4699">
        <w:rPr>
          <w:rFonts w:eastAsia="Times New Roman"/>
          <w:lang w:val="fr-FR"/>
        </w:rPr>
        <w:t>examen »</w:t>
      </w:r>
      <w:r>
        <w:rPr>
          <w:rStyle w:val="Appelnotedebasdep"/>
          <w:rFonts w:eastAsia="Times New Roman"/>
        </w:rPr>
        <w:footnoteReference w:id="137"/>
      </w:r>
      <w:r w:rsidRPr="005B4699">
        <w:rPr>
          <w:rFonts w:eastAsia="Times New Roman"/>
          <w:lang w:val="fr-FR"/>
        </w:rPr>
        <w:t>.</w:t>
      </w:r>
    </w:p>
    <w:p w14:paraId="6F91F255" w14:textId="13996E00" w:rsidR="004C5E26" w:rsidRPr="005B4699" w:rsidRDefault="004C5E26" w:rsidP="004C5E26">
      <w:pPr>
        <w:pStyle w:val="SingleTxtG"/>
        <w:rPr>
          <w:rFonts w:eastAsia="Times New Roman"/>
          <w:lang w:val="fr-FR"/>
        </w:rPr>
      </w:pPr>
      <w:r w:rsidRPr="005B4699">
        <w:rPr>
          <w:rFonts w:eastAsia="Times New Roman"/>
          <w:lang w:val="fr-FR"/>
        </w:rPr>
        <w:t>3)</w:t>
      </w:r>
      <w:r w:rsidRPr="005B4699">
        <w:rPr>
          <w:rFonts w:eastAsia="Times New Roman"/>
          <w:lang w:val="fr-FR"/>
        </w:rPr>
        <w:tab/>
        <w:t>Premièrement, s</w:t>
      </w:r>
      <w:r>
        <w:rPr>
          <w:rFonts w:eastAsia="Times New Roman"/>
          <w:lang w:val="fr-FR"/>
        </w:rPr>
        <w:t>’</w:t>
      </w:r>
      <w:r w:rsidRPr="005B4699">
        <w:rPr>
          <w:rFonts w:eastAsia="Times New Roman"/>
          <w:lang w:val="fr-FR"/>
        </w:rPr>
        <w:t>agissant de la formulation des éléments cl</w:t>
      </w:r>
      <w:r w:rsidR="007339B9">
        <w:rPr>
          <w:rFonts w:eastAsia="Times New Roman"/>
          <w:lang w:val="fr-FR"/>
        </w:rPr>
        <w:t>ef</w:t>
      </w:r>
      <w:r w:rsidRPr="005B4699">
        <w:rPr>
          <w:rFonts w:eastAsia="Times New Roman"/>
          <w:lang w:val="fr-FR"/>
        </w:rPr>
        <w:t>s de la première phrase du projet de conclusion 7, la Commission a utilisé le verbe « peuvent ». L</w:t>
      </w:r>
      <w:r>
        <w:rPr>
          <w:rFonts w:eastAsia="Times New Roman"/>
          <w:lang w:val="fr-FR"/>
        </w:rPr>
        <w:t>’</w:t>
      </w:r>
      <w:r w:rsidRPr="005B4699">
        <w:rPr>
          <w:rFonts w:eastAsia="Times New Roman"/>
          <w:lang w:val="fr-FR"/>
        </w:rPr>
        <w:t>idée exprimée est qu</w:t>
      </w:r>
      <w:r>
        <w:rPr>
          <w:rFonts w:eastAsia="Times New Roman"/>
          <w:lang w:val="fr-FR"/>
        </w:rPr>
        <w:t>’</w:t>
      </w:r>
      <w:r w:rsidRPr="005B4699">
        <w:rPr>
          <w:rFonts w:eastAsia="Times New Roman"/>
          <w:lang w:val="fr-FR"/>
        </w:rPr>
        <w:t>une juridiction internationale peut suivre d</w:t>
      </w:r>
      <w:r>
        <w:rPr>
          <w:rFonts w:eastAsia="Times New Roman"/>
          <w:lang w:val="fr-FR"/>
        </w:rPr>
        <w:t>’</w:t>
      </w:r>
      <w:r w:rsidRPr="005B4699">
        <w:rPr>
          <w:rFonts w:eastAsia="Times New Roman"/>
          <w:lang w:val="fr-FR"/>
        </w:rPr>
        <w:t>autres décisions sur des points de droit mais qu</w:t>
      </w:r>
      <w:r>
        <w:rPr>
          <w:rFonts w:eastAsia="Times New Roman"/>
          <w:lang w:val="fr-FR"/>
        </w:rPr>
        <w:t>’</w:t>
      </w:r>
      <w:r w:rsidRPr="005B4699">
        <w:rPr>
          <w:rFonts w:eastAsia="Times New Roman"/>
          <w:lang w:val="fr-FR"/>
        </w:rPr>
        <w:t>elle n</w:t>
      </w:r>
      <w:r>
        <w:rPr>
          <w:rFonts w:eastAsia="Times New Roman"/>
          <w:lang w:val="fr-FR"/>
        </w:rPr>
        <w:t>’</w:t>
      </w:r>
      <w:r w:rsidRPr="005B4699">
        <w:rPr>
          <w:rFonts w:eastAsia="Times New Roman"/>
          <w:lang w:val="fr-FR"/>
        </w:rPr>
        <w:t xml:space="preserve">est pas tenue de le faire. Deuxièmement, </w:t>
      </w:r>
      <w:r>
        <w:rPr>
          <w:rFonts w:eastAsia="Times New Roman"/>
          <w:lang w:val="fr-FR"/>
        </w:rPr>
        <w:t>l’expression</w:t>
      </w:r>
      <w:r w:rsidRPr="005B4699">
        <w:rPr>
          <w:rFonts w:eastAsia="Times New Roman"/>
          <w:lang w:val="fr-FR"/>
        </w:rPr>
        <w:t xml:space="preserve"> « points de </w:t>
      </w:r>
      <w:r w:rsidRPr="0094761A">
        <w:rPr>
          <w:rFonts w:eastAsia="Times New Roman"/>
          <w:color w:val="000000"/>
          <w:lang w:val="fr-FR"/>
        </w:rPr>
        <w:t>droit</w:t>
      </w:r>
      <w:r w:rsidRPr="005B4699">
        <w:rPr>
          <w:rFonts w:eastAsia="Times New Roman"/>
          <w:lang w:val="fr-FR"/>
        </w:rPr>
        <w:t> », qui renvoie au raisonnement juridique</w:t>
      </w:r>
      <w:r>
        <w:rPr>
          <w:rFonts w:eastAsia="Times New Roman"/>
          <w:lang w:val="fr-FR"/>
        </w:rPr>
        <w:t xml:space="preserve"> et aux conclusions juridiques</w:t>
      </w:r>
      <w:r w:rsidRPr="005B4699">
        <w:rPr>
          <w:rFonts w:eastAsia="Times New Roman"/>
          <w:lang w:val="fr-FR"/>
        </w:rPr>
        <w:t>, est utilisé</w:t>
      </w:r>
      <w:r>
        <w:rPr>
          <w:rFonts w:eastAsia="Times New Roman"/>
          <w:lang w:val="fr-FR"/>
        </w:rPr>
        <w:t>e</w:t>
      </w:r>
      <w:r w:rsidRPr="005B4699">
        <w:rPr>
          <w:rFonts w:eastAsia="Times New Roman"/>
          <w:lang w:val="fr-FR"/>
        </w:rPr>
        <w:t xml:space="preserve"> pour désigner ce qu</w:t>
      </w:r>
      <w:r>
        <w:rPr>
          <w:rFonts w:eastAsia="Times New Roman"/>
          <w:lang w:val="fr-FR"/>
        </w:rPr>
        <w:t>’il</w:t>
      </w:r>
      <w:r w:rsidRPr="005B4699">
        <w:rPr>
          <w:rFonts w:eastAsia="Times New Roman"/>
          <w:lang w:val="fr-FR"/>
        </w:rPr>
        <w:t xml:space="preserve"> peut </w:t>
      </w:r>
      <w:r>
        <w:rPr>
          <w:rFonts w:eastAsia="Times New Roman"/>
          <w:lang w:val="fr-FR"/>
        </w:rPr>
        <w:t>être possible de suivre</w:t>
      </w:r>
      <w:r w:rsidRPr="005B4699">
        <w:rPr>
          <w:rFonts w:eastAsia="Times New Roman"/>
          <w:lang w:val="fr-FR"/>
        </w:rPr>
        <w:t>. L</w:t>
      </w:r>
      <w:r>
        <w:rPr>
          <w:rFonts w:eastAsia="Times New Roman"/>
          <w:lang w:val="fr-FR"/>
        </w:rPr>
        <w:t>’</w:t>
      </w:r>
      <w:r w:rsidRPr="005B4699">
        <w:rPr>
          <w:rFonts w:eastAsia="Times New Roman"/>
          <w:lang w:val="fr-FR"/>
        </w:rPr>
        <w:t>expression « points de droit » explique que l</w:t>
      </w:r>
      <w:r>
        <w:rPr>
          <w:rFonts w:eastAsia="Times New Roman"/>
          <w:lang w:val="fr-FR"/>
        </w:rPr>
        <w:t>’</w:t>
      </w:r>
      <w:r w:rsidRPr="005B4699">
        <w:rPr>
          <w:rFonts w:eastAsia="Times New Roman"/>
          <w:lang w:val="fr-FR"/>
        </w:rPr>
        <w:t xml:space="preserve">objet est </w:t>
      </w:r>
      <w:r>
        <w:rPr>
          <w:rFonts w:eastAsia="Times New Roman"/>
          <w:lang w:val="fr-FR"/>
        </w:rPr>
        <w:t xml:space="preserve">non </w:t>
      </w:r>
      <w:r w:rsidRPr="005B4699">
        <w:rPr>
          <w:rFonts w:eastAsia="Times New Roman"/>
          <w:lang w:val="fr-FR"/>
        </w:rPr>
        <w:t>pas la décision en tant que telle</w:t>
      </w:r>
      <w:r>
        <w:rPr>
          <w:rFonts w:eastAsia="Times New Roman"/>
          <w:lang w:val="fr-FR"/>
        </w:rPr>
        <w:t>,</w:t>
      </w:r>
      <w:r w:rsidRPr="005B4699">
        <w:rPr>
          <w:rFonts w:eastAsia="Times New Roman"/>
          <w:lang w:val="fr-FR"/>
        </w:rPr>
        <w:t xml:space="preserve"> mais les motifs qui l</w:t>
      </w:r>
      <w:r>
        <w:rPr>
          <w:rFonts w:eastAsia="Times New Roman"/>
          <w:lang w:val="fr-FR"/>
        </w:rPr>
        <w:t>’</w:t>
      </w:r>
      <w:r w:rsidRPr="005B4699">
        <w:rPr>
          <w:rFonts w:eastAsia="Times New Roman"/>
          <w:lang w:val="fr-FR"/>
        </w:rPr>
        <w:t xml:space="preserve">étayent. </w:t>
      </w:r>
    </w:p>
    <w:p w14:paraId="4D0A964C" w14:textId="51CD3F3C" w:rsidR="004C5E26" w:rsidRPr="005B4699" w:rsidRDefault="004C5E26" w:rsidP="004C5E26">
      <w:pPr>
        <w:pStyle w:val="SingleTxtG"/>
        <w:rPr>
          <w:rFonts w:eastAsia="Times New Roman"/>
          <w:lang w:val="fr-FR"/>
        </w:rPr>
      </w:pPr>
      <w:r w:rsidRPr="005B4699">
        <w:rPr>
          <w:rFonts w:eastAsia="Times New Roman"/>
          <w:lang w:val="fr-FR"/>
        </w:rPr>
        <w:t>4)</w:t>
      </w:r>
      <w:r w:rsidRPr="005B4699">
        <w:rPr>
          <w:rFonts w:eastAsia="Times New Roman"/>
          <w:lang w:val="fr-FR"/>
        </w:rPr>
        <w:tab/>
        <w:t>La distinction entre la décision constituant le dispositif de l</w:t>
      </w:r>
      <w:r>
        <w:rPr>
          <w:rFonts w:eastAsia="Times New Roman"/>
          <w:lang w:val="fr-FR"/>
        </w:rPr>
        <w:t>’</w:t>
      </w:r>
      <w:r w:rsidRPr="005B4699">
        <w:rPr>
          <w:rFonts w:eastAsia="Times New Roman"/>
          <w:lang w:val="fr-FR"/>
        </w:rPr>
        <w:t xml:space="preserve">arrêt et les motifs est bien établie dans la jurisprudence de la Cour permanente de Justice internationale </w:t>
      </w:r>
      <w:r>
        <w:rPr>
          <w:rFonts w:eastAsia="Times New Roman"/>
          <w:lang w:val="fr-FR"/>
        </w:rPr>
        <w:t>et</w:t>
      </w:r>
      <w:r w:rsidRPr="005B4699">
        <w:rPr>
          <w:rFonts w:eastAsia="Times New Roman"/>
          <w:lang w:val="fr-FR"/>
        </w:rPr>
        <w:t xml:space="preserve"> de la Cour internationale de Justice. </w:t>
      </w:r>
      <w:r>
        <w:rPr>
          <w:rFonts w:eastAsia="Times New Roman"/>
          <w:lang w:val="fr-FR"/>
        </w:rPr>
        <w:t>D</w:t>
      </w:r>
      <w:r w:rsidRPr="005B4699">
        <w:rPr>
          <w:rFonts w:eastAsia="Times New Roman"/>
          <w:lang w:val="fr-FR"/>
        </w:rPr>
        <w:t>ans l</w:t>
      </w:r>
      <w:r>
        <w:rPr>
          <w:rFonts w:eastAsia="Times New Roman"/>
          <w:lang w:val="fr-FR"/>
        </w:rPr>
        <w:t>’</w:t>
      </w:r>
      <w:r w:rsidRPr="005B4699">
        <w:rPr>
          <w:rFonts w:eastAsia="Times New Roman"/>
          <w:lang w:val="fr-FR"/>
        </w:rPr>
        <w:t xml:space="preserve">affaire du </w:t>
      </w:r>
      <w:r w:rsidRPr="005B4699">
        <w:rPr>
          <w:rFonts w:eastAsia="Times New Roman"/>
          <w:i/>
          <w:lang w:val="fr-FR"/>
        </w:rPr>
        <w:t>Service postal polonais à Dantzig</w:t>
      </w:r>
      <w:r>
        <w:rPr>
          <w:rFonts w:eastAsia="Times New Roman"/>
          <w:lang w:val="fr-FR"/>
        </w:rPr>
        <w:t>, la Cour permanente de Justice internationale a expliqué :</w:t>
      </w:r>
      <w:r w:rsidRPr="005B4699">
        <w:rPr>
          <w:rFonts w:eastAsia="Times New Roman"/>
          <w:lang w:val="fr-FR"/>
        </w:rPr>
        <w:t xml:space="preserve"> « il est certain que les motifs contenus dans une décision, tout au moins dans la mesure où ils dépassent la portée du dispositif, n</w:t>
      </w:r>
      <w:r>
        <w:rPr>
          <w:rFonts w:eastAsia="Times New Roman"/>
          <w:lang w:val="fr-FR"/>
        </w:rPr>
        <w:t>’</w:t>
      </w:r>
      <w:r w:rsidRPr="005B4699">
        <w:rPr>
          <w:rFonts w:eastAsia="Times New Roman"/>
          <w:lang w:val="fr-FR"/>
        </w:rPr>
        <w:t>ont pas force obligatoire entre les Parties intéressées</w:t>
      </w:r>
      <w:r w:rsidRPr="0053774D">
        <w:rPr>
          <w:rStyle w:val="Appelnotedebasdep"/>
        </w:rPr>
        <w:footnoteReference w:id="138"/>
      </w:r>
      <w:r w:rsidRPr="005B4699">
        <w:rPr>
          <w:rFonts w:eastAsia="Times New Roman"/>
          <w:lang w:val="fr-FR"/>
        </w:rPr>
        <w:t>. »</w:t>
      </w:r>
      <w:r>
        <w:rPr>
          <w:rFonts w:eastAsia="Times New Roman"/>
          <w:lang w:val="fr-FR"/>
        </w:rPr>
        <w:t>.</w:t>
      </w:r>
      <w:r w:rsidRPr="005B4699">
        <w:rPr>
          <w:rFonts w:eastAsia="Times New Roman"/>
          <w:lang w:val="fr-FR"/>
        </w:rPr>
        <w:t xml:space="preserve"> Dans l</w:t>
      </w:r>
      <w:r>
        <w:rPr>
          <w:rFonts w:eastAsia="Times New Roman"/>
          <w:lang w:val="fr-FR"/>
        </w:rPr>
        <w:t>’</w:t>
      </w:r>
      <w:r w:rsidRPr="005B4699">
        <w:rPr>
          <w:rFonts w:eastAsia="Times New Roman"/>
          <w:lang w:val="fr-FR"/>
        </w:rPr>
        <w:t xml:space="preserve">affaire des </w:t>
      </w:r>
      <w:r w:rsidRPr="005B4699">
        <w:rPr>
          <w:rFonts w:eastAsia="Times New Roman"/>
          <w:i/>
          <w:lang w:val="fr-FR"/>
        </w:rPr>
        <w:t>Concessions Mavrommatis à Jérusalem (réadaptation)</w:t>
      </w:r>
      <w:r w:rsidRPr="005B4699">
        <w:rPr>
          <w:rFonts w:eastAsia="Times New Roman"/>
          <w:lang w:val="fr-FR"/>
        </w:rPr>
        <w:t>, l</w:t>
      </w:r>
      <w:r>
        <w:rPr>
          <w:rFonts w:eastAsia="Times New Roman"/>
          <w:lang w:val="fr-FR"/>
        </w:rPr>
        <w:t>’</w:t>
      </w:r>
      <w:r w:rsidRPr="005B4699">
        <w:rPr>
          <w:rFonts w:eastAsia="Times New Roman"/>
          <w:lang w:val="fr-FR"/>
        </w:rPr>
        <w:t xml:space="preserve">État défendeur a contesté la compétence de la Cour permanente de Justice internationale. Or, dans des décisions adoptées </w:t>
      </w:r>
      <w:r w:rsidRPr="0094761A">
        <w:rPr>
          <w:rFonts w:eastAsia="Times New Roman"/>
          <w:color w:val="000000"/>
          <w:lang w:val="fr-FR"/>
        </w:rPr>
        <w:t>antérieurement</w:t>
      </w:r>
      <w:r w:rsidRPr="005B4699">
        <w:rPr>
          <w:rFonts w:eastAsia="Times New Roman"/>
          <w:lang w:val="fr-FR"/>
        </w:rPr>
        <w:t>, il avait été décidé que la Cour était compétente. Celle-ci a jugé qu</w:t>
      </w:r>
      <w:r>
        <w:rPr>
          <w:rFonts w:eastAsia="Times New Roman"/>
          <w:lang w:val="fr-FR"/>
        </w:rPr>
        <w:t>’</w:t>
      </w:r>
      <w:r w:rsidRPr="005B4699">
        <w:rPr>
          <w:rFonts w:eastAsia="Times New Roman"/>
          <w:lang w:val="fr-FR"/>
        </w:rPr>
        <w:t>il n</w:t>
      </w:r>
      <w:r>
        <w:rPr>
          <w:rFonts w:eastAsia="Times New Roman"/>
          <w:lang w:val="fr-FR"/>
        </w:rPr>
        <w:t>’</w:t>
      </w:r>
      <w:r w:rsidRPr="005B4699">
        <w:rPr>
          <w:rFonts w:eastAsia="Times New Roman"/>
          <w:lang w:val="fr-FR"/>
        </w:rPr>
        <w:t>y avait « aucune raison pour se départir d</w:t>
      </w:r>
      <w:r>
        <w:rPr>
          <w:rFonts w:eastAsia="Times New Roman"/>
          <w:lang w:val="fr-FR"/>
        </w:rPr>
        <w:t>’</w:t>
      </w:r>
      <w:r w:rsidRPr="005B4699">
        <w:rPr>
          <w:rFonts w:eastAsia="Times New Roman"/>
          <w:lang w:val="fr-FR"/>
        </w:rPr>
        <w:t xml:space="preserve">une interprétation découlant nettement de deux arrêts précédents </w:t>
      </w:r>
      <w:r w:rsidRPr="00F80FC3">
        <w:rPr>
          <w:rFonts w:eastAsia="Times New Roman"/>
          <w:i/>
          <w:iCs/>
          <w:lang w:val="fr-FR"/>
        </w:rPr>
        <w:t>dont l</w:t>
      </w:r>
      <w:r>
        <w:rPr>
          <w:rFonts w:eastAsia="Times New Roman"/>
          <w:i/>
          <w:iCs/>
          <w:lang w:val="fr-FR"/>
        </w:rPr>
        <w:t>’</w:t>
      </w:r>
      <w:r w:rsidRPr="00F80FC3">
        <w:rPr>
          <w:rFonts w:eastAsia="Times New Roman"/>
          <w:i/>
          <w:iCs/>
          <w:lang w:val="fr-FR"/>
        </w:rPr>
        <w:t>argumentation lui parai[</w:t>
      </w:r>
      <w:proofErr w:type="spellStart"/>
      <w:r w:rsidRPr="00F80FC3">
        <w:rPr>
          <w:rFonts w:eastAsia="Times New Roman"/>
          <w:i/>
          <w:iCs/>
          <w:lang w:val="fr-FR"/>
        </w:rPr>
        <w:t>ssait</w:t>
      </w:r>
      <w:proofErr w:type="spellEnd"/>
      <w:r w:rsidRPr="00F80FC3">
        <w:rPr>
          <w:rFonts w:eastAsia="Times New Roman"/>
          <w:i/>
          <w:iCs/>
          <w:lang w:val="fr-FR"/>
        </w:rPr>
        <w:t>] toujours bien fondée</w:t>
      </w:r>
      <w:r w:rsidRPr="0053774D">
        <w:rPr>
          <w:rStyle w:val="Appelnotedebasdep"/>
        </w:rPr>
        <w:footnoteReference w:id="139"/>
      </w:r>
      <w:r w:rsidRPr="005B4699">
        <w:rPr>
          <w:rFonts w:eastAsia="Times New Roman"/>
          <w:lang w:val="fr-FR"/>
        </w:rPr>
        <w:t> »</w:t>
      </w:r>
      <w:r>
        <w:rPr>
          <w:rFonts w:eastAsia="Times New Roman"/>
          <w:lang w:val="fr-FR"/>
        </w:rPr>
        <w:t>.</w:t>
      </w:r>
    </w:p>
    <w:p w14:paraId="2A34BF59" w14:textId="72002845" w:rsidR="004C5E26" w:rsidRPr="005B4699" w:rsidRDefault="004C5E26" w:rsidP="004C5E26">
      <w:pPr>
        <w:pStyle w:val="SingleTxtG"/>
        <w:rPr>
          <w:rFonts w:eastAsia="Times New Roman"/>
          <w:lang w:val="fr-FR"/>
        </w:rPr>
      </w:pPr>
      <w:r>
        <w:rPr>
          <w:rFonts w:eastAsia="Times New Roman"/>
          <w:lang w:val="fr-FR"/>
        </w:rPr>
        <w:t>5</w:t>
      </w:r>
      <w:r w:rsidRPr="005B4699">
        <w:rPr>
          <w:rFonts w:eastAsia="Times New Roman"/>
          <w:lang w:val="fr-FR"/>
        </w:rPr>
        <w:t>)</w:t>
      </w:r>
      <w:r w:rsidRPr="005B4699">
        <w:rPr>
          <w:rFonts w:eastAsia="Times New Roman"/>
          <w:lang w:val="fr-FR"/>
        </w:rPr>
        <w:tab/>
      </w:r>
      <w:r>
        <w:rPr>
          <w:rFonts w:eastAsia="Times New Roman"/>
          <w:lang w:val="fr-FR"/>
        </w:rPr>
        <w:t>La Cour internationale de Justice a adopté une position semblable dans plusieurs affaires. Par exemple, dans</w:t>
      </w:r>
      <w:r w:rsidRPr="005B4699">
        <w:rPr>
          <w:rFonts w:eastAsia="Times New Roman"/>
          <w:lang w:val="fr-FR"/>
        </w:rPr>
        <w:t xml:space="preserve"> celle de la </w:t>
      </w:r>
      <w:r w:rsidRPr="005B4699">
        <w:rPr>
          <w:rFonts w:eastAsia="Times New Roman"/>
          <w:i/>
          <w:lang w:val="fr-FR"/>
        </w:rPr>
        <w:t>Frontière terrestre et maritime entre le Cameroun et le Nigéria</w:t>
      </w:r>
      <w:r w:rsidRPr="005B4699">
        <w:rPr>
          <w:rFonts w:eastAsia="Times New Roman"/>
          <w:iCs/>
          <w:lang w:val="fr-FR"/>
        </w:rPr>
        <w:t xml:space="preserve">, </w:t>
      </w:r>
      <w:r>
        <w:rPr>
          <w:rFonts w:eastAsia="Times New Roman"/>
          <w:lang w:val="fr-FR"/>
        </w:rPr>
        <w:t>elle</w:t>
      </w:r>
      <w:r w:rsidRPr="005B4699">
        <w:rPr>
          <w:rFonts w:eastAsia="Times New Roman"/>
          <w:lang w:val="fr-FR"/>
        </w:rPr>
        <w:t xml:space="preserve"> a déclaré ce qui suit : « Il est vrai que, conformément à l</w:t>
      </w:r>
      <w:r>
        <w:rPr>
          <w:rFonts w:eastAsia="Times New Roman"/>
          <w:lang w:val="fr-FR"/>
        </w:rPr>
        <w:t>’</w:t>
      </w:r>
      <w:r w:rsidRPr="005B4699">
        <w:rPr>
          <w:rFonts w:eastAsia="Times New Roman"/>
          <w:lang w:val="fr-FR"/>
        </w:rPr>
        <w:t xml:space="preserve">article 59, les arrêts de la Cour ne sont obligatoires que pour les parties en litige et dans le cas qui a été décidé. Il </w:t>
      </w:r>
      <w:r w:rsidRPr="005B4699">
        <w:rPr>
          <w:rFonts w:eastAsia="Times New Roman"/>
          <w:lang w:val="fr-FR"/>
        </w:rPr>
        <w:lastRenderedPageBreak/>
        <w:t>ne saurait être question d</w:t>
      </w:r>
      <w:r>
        <w:rPr>
          <w:rFonts w:eastAsia="Times New Roman"/>
          <w:lang w:val="fr-FR"/>
        </w:rPr>
        <w:t>’</w:t>
      </w:r>
      <w:r w:rsidRPr="005B4699">
        <w:rPr>
          <w:rFonts w:eastAsia="Times New Roman"/>
          <w:lang w:val="fr-FR"/>
        </w:rPr>
        <w:t>imposer au Nigéria les décisions prises par la Cour dans des affaires antérieures. La question est en réalité de savoir si, dans la présente espèce, il existe pour la Cour des raisons de s</w:t>
      </w:r>
      <w:r>
        <w:rPr>
          <w:rFonts w:eastAsia="Times New Roman"/>
          <w:lang w:val="fr-FR"/>
        </w:rPr>
        <w:t>’</w:t>
      </w:r>
      <w:r w:rsidRPr="005B4699">
        <w:rPr>
          <w:rFonts w:eastAsia="Times New Roman"/>
          <w:lang w:val="fr-FR"/>
        </w:rPr>
        <w:t>écarter des motifs et des conclusions adoptés dans ces précédents</w:t>
      </w:r>
      <w:r w:rsidRPr="0053774D">
        <w:rPr>
          <w:rStyle w:val="Appelnotedebasdep"/>
        </w:rPr>
        <w:footnoteReference w:id="140"/>
      </w:r>
      <w:r>
        <w:rPr>
          <w:rFonts w:eastAsia="Times New Roman"/>
          <w:lang w:val="fr-FR"/>
        </w:rPr>
        <w:t>.</w:t>
      </w:r>
      <w:r w:rsidRPr="005B4699">
        <w:rPr>
          <w:rFonts w:eastAsia="Times New Roman"/>
          <w:lang w:val="fr-FR"/>
        </w:rPr>
        <w:t> »</w:t>
      </w:r>
      <w:r w:rsidR="00A45801">
        <w:rPr>
          <w:rFonts w:eastAsia="Times New Roman"/>
          <w:lang w:val="fr-FR"/>
        </w:rPr>
        <w:t>.</w:t>
      </w:r>
      <w:r w:rsidRPr="005B4699">
        <w:rPr>
          <w:rFonts w:eastAsia="Times New Roman"/>
          <w:lang w:val="fr-FR"/>
        </w:rPr>
        <w:t xml:space="preserve"> La Cour a ainsi indiqué </w:t>
      </w:r>
      <w:r>
        <w:rPr>
          <w:rFonts w:eastAsia="Times New Roman"/>
          <w:lang w:val="fr-FR"/>
        </w:rPr>
        <w:t>que, sauf raisons impérieuses,</w:t>
      </w:r>
      <w:r w:rsidRPr="005B4699">
        <w:rPr>
          <w:rFonts w:eastAsia="Times New Roman"/>
          <w:lang w:val="fr-FR"/>
        </w:rPr>
        <w:t xml:space="preserve"> son point de départ général serait le raisonnement </w:t>
      </w:r>
      <w:r>
        <w:rPr>
          <w:rFonts w:eastAsia="Times New Roman"/>
          <w:lang w:val="fr-FR"/>
        </w:rPr>
        <w:t xml:space="preserve">et les conclusions relatives à des points de droit adoptés </w:t>
      </w:r>
      <w:r w:rsidRPr="005B4699">
        <w:rPr>
          <w:rFonts w:eastAsia="Times New Roman"/>
          <w:lang w:val="fr-FR"/>
        </w:rPr>
        <w:t xml:space="preserve">dans des affaires antérieures. </w:t>
      </w:r>
    </w:p>
    <w:p w14:paraId="449D75B9" w14:textId="5D99B479" w:rsidR="004C5E26" w:rsidRDefault="004C5E26" w:rsidP="004C5E26">
      <w:pPr>
        <w:pStyle w:val="SingleTxtG"/>
        <w:rPr>
          <w:rFonts w:eastAsia="Times New Roman"/>
          <w:lang w:val="fr-FR"/>
        </w:rPr>
      </w:pPr>
      <w:r>
        <w:rPr>
          <w:rFonts w:eastAsia="Times New Roman"/>
          <w:lang w:val="fr-FR"/>
        </w:rPr>
        <w:t>6</w:t>
      </w:r>
      <w:r w:rsidRPr="005B4699">
        <w:rPr>
          <w:rFonts w:eastAsia="Times New Roman"/>
          <w:lang w:val="fr-FR"/>
        </w:rPr>
        <w:t>)</w:t>
      </w:r>
      <w:r w:rsidRPr="005B4699">
        <w:rPr>
          <w:rFonts w:eastAsia="Times New Roman"/>
          <w:lang w:val="fr-FR"/>
        </w:rPr>
        <w:tab/>
        <w:t xml:space="preserve">Une </w:t>
      </w:r>
      <w:r>
        <w:rPr>
          <w:rFonts w:eastAsia="Times New Roman"/>
          <w:lang w:val="fr-FR"/>
        </w:rPr>
        <w:t>dernière</w:t>
      </w:r>
      <w:r w:rsidRPr="005B4699">
        <w:rPr>
          <w:rFonts w:eastAsia="Times New Roman"/>
          <w:lang w:val="fr-FR"/>
        </w:rPr>
        <w:t xml:space="preserve"> considération importante pour la Commission lorsqu</w:t>
      </w:r>
      <w:r>
        <w:rPr>
          <w:rFonts w:eastAsia="Times New Roman"/>
          <w:lang w:val="fr-FR"/>
        </w:rPr>
        <w:t>’</w:t>
      </w:r>
      <w:r w:rsidRPr="005B4699">
        <w:rPr>
          <w:rFonts w:eastAsia="Times New Roman"/>
          <w:lang w:val="fr-FR"/>
        </w:rPr>
        <w:t>elle a formulé la première phrase du projet de conclusion 7 sur l</w:t>
      </w:r>
      <w:r>
        <w:rPr>
          <w:rFonts w:eastAsia="Times New Roman"/>
          <w:lang w:val="fr-FR"/>
        </w:rPr>
        <w:t>’</w:t>
      </w:r>
      <w:r w:rsidRPr="005B4699">
        <w:rPr>
          <w:rFonts w:eastAsia="Times New Roman"/>
          <w:lang w:val="fr-FR"/>
        </w:rPr>
        <w:t>absence de précédents juridiquement contraignants en droit international était l</w:t>
      </w:r>
      <w:r>
        <w:rPr>
          <w:rFonts w:eastAsia="Times New Roman"/>
          <w:lang w:val="fr-FR"/>
        </w:rPr>
        <w:t>’</w:t>
      </w:r>
      <w:r w:rsidRPr="005B4699">
        <w:rPr>
          <w:rFonts w:eastAsia="Times New Roman"/>
          <w:lang w:val="fr-FR"/>
        </w:rPr>
        <w:t>idée que les décisions des juridictions pertinentes devant être suivies sur des points de droit devaient traiter « de questions identiques ou similaires à celles qui [étaient] à l</w:t>
      </w:r>
      <w:r>
        <w:rPr>
          <w:rFonts w:eastAsia="Times New Roman"/>
          <w:lang w:val="fr-FR"/>
        </w:rPr>
        <w:t>’</w:t>
      </w:r>
      <w:r w:rsidRPr="005B4699">
        <w:rPr>
          <w:rFonts w:eastAsia="Times New Roman"/>
          <w:lang w:val="fr-FR"/>
        </w:rPr>
        <w:t>examen ». Ce membre de phrase indique que, selon une jurisprudence bien établie, l</w:t>
      </w:r>
      <w:r>
        <w:rPr>
          <w:rFonts w:eastAsia="Times New Roman"/>
          <w:lang w:val="fr-FR"/>
        </w:rPr>
        <w:t>’</w:t>
      </w:r>
      <w:r w:rsidRPr="005B4699">
        <w:rPr>
          <w:rFonts w:eastAsia="Times New Roman"/>
          <w:lang w:val="fr-FR"/>
        </w:rPr>
        <w:t>affaire à l</w:t>
      </w:r>
      <w:r>
        <w:rPr>
          <w:rFonts w:eastAsia="Times New Roman"/>
          <w:lang w:val="fr-FR"/>
        </w:rPr>
        <w:t>’</w:t>
      </w:r>
      <w:r w:rsidRPr="005B4699">
        <w:rPr>
          <w:rFonts w:eastAsia="Times New Roman"/>
          <w:lang w:val="fr-FR"/>
        </w:rPr>
        <w:t xml:space="preserve">examen doit être dans une certaine mesure comparable </w:t>
      </w:r>
      <w:r>
        <w:rPr>
          <w:rFonts w:eastAsia="Times New Roman"/>
          <w:lang w:val="fr-FR"/>
        </w:rPr>
        <w:t>aux</w:t>
      </w:r>
      <w:r w:rsidRPr="005B4699">
        <w:rPr>
          <w:rFonts w:eastAsia="Times New Roman"/>
          <w:lang w:val="fr-FR"/>
        </w:rPr>
        <w:t xml:space="preserve"> affaires </w:t>
      </w:r>
      <w:r w:rsidRPr="001030F0">
        <w:rPr>
          <w:rFonts w:eastAsia="Times New Roman"/>
          <w:lang w:val="fr-FR"/>
        </w:rPr>
        <w:t>ultérieures</w:t>
      </w:r>
      <w:r w:rsidRPr="0053774D">
        <w:rPr>
          <w:rStyle w:val="Appelnotedebasdep"/>
        </w:rPr>
        <w:footnoteReference w:id="141"/>
      </w:r>
      <w:r>
        <w:rPr>
          <w:rFonts w:eastAsia="Times New Roman"/>
          <w:lang w:val="fr-FR"/>
        </w:rPr>
        <w:t>.</w:t>
      </w:r>
      <w:r w:rsidRPr="005B4699">
        <w:rPr>
          <w:rFonts w:eastAsia="Times New Roman"/>
          <w:lang w:val="fr-FR"/>
        </w:rPr>
        <w:t xml:space="preserve"> Pour que la décision antérieure puisse être suivie sur des points de droit dans l</w:t>
      </w:r>
      <w:r>
        <w:rPr>
          <w:rFonts w:eastAsia="Times New Roman"/>
          <w:lang w:val="fr-FR"/>
        </w:rPr>
        <w:t>’</w:t>
      </w:r>
      <w:r w:rsidRPr="005B4699">
        <w:rPr>
          <w:rFonts w:eastAsia="Times New Roman"/>
          <w:lang w:val="fr-FR"/>
        </w:rPr>
        <w:t>affaire à l</w:t>
      </w:r>
      <w:r>
        <w:rPr>
          <w:rFonts w:eastAsia="Times New Roman"/>
          <w:lang w:val="fr-FR"/>
        </w:rPr>
        <w:t>’</w:t>
      </w:r>
      <w:r w:rsidRPr="005B4699">
        <w:rPr>
          <w:rFonts w:eastAsia="Times New Roman"/>
          <w:lang w:val="fr-FR"/>
        </w:rPr>
        <w:t xml:space="preserve">examen, il faut encore apprécier si elle </w:t>
      </w:r>
      <w:r>
        <w:rPr>
          <w:rFonts w:eastAsia="Times New Roman"/>
          <w:lang w:val="fr-FR"/>
        </w:rPr>
        <w:t>porte sur</w:t>
      </w:r>
      <w:r w:rsidRPr="005B4699">
        <w:rPr>
          <w:rFonts w:eastAsia="Times New Roman"/>
          <w:lang w:val="fr-FR"/>
        </w:rPr>
        <w:t xml:space="preserve"> une question identique ou similaire. À l</w:t>
      </w:r>
      <w:r>
        <w:rPr>
          <w:rFonts w:eastAsia="Times New Roman"/>
          <w:lang w:val="fr-FR"/>
        </w:rPr>
        <w:t>’</w:t>
      </w:r>
      <w:r w:rsidRPr="005B4699">
        <w:rPr>
          <w:rFonts w:eastAsia="Times New Roman"/>
          <w:lang w:val="fr-FR"/>
        </w:rPr>
        <w:t>évidence, la décision antérieure ne s</w:t>
      </w:r>
      <w:r>
        <w:rPr>
          <w:rFonts w:eastAsia="Times New Roman"/>
          <w:lang w:val="fr-FR"/>
        </w:rPr>
        <w:t>’</w:t>
      </w:r>
      <w:r w:rsidRPr="005B4699">
        <w:rPr>
          <w:rFonts w:eastAsia="Times New Roman"/>
          <w:lang w:val="fr-FR"/>
        </w:rPr>
        <w:t>applique qu</w:t>
      </w:r>
      <w:r>
        <w:rPr>
          <w:rFonts w:eastAsia="Times New Roman"/>
          <w:lang w:val="fr-FR"/>
        </w:rPr>
        <w:t>’</w:t>
      </w:r>
      <w:r w:rsidRPr="005B4699">
        <w:rPr>
          <w:rFonts w:eastAsia="Times New Roman"/>
          <w:lang w:val="fr-FR"/>
        </w:rPr>
        <w:t>aux affaires analogues. En pratique, cela « revient moins à dire que les faits sont similaires ou significativement similaires qu</w:t>
      </w:r>
      <w:r>
        <w:rPr>
          <w:rFonts w:eastAsia="Times New Roman"/>
          <w:lang w:val="fr-FR"/>
        </w:rPr>
        <w:t>’</w:t>
      </w:r>
      <w:r w:rsidRPr="005B4699">
        <w:rPr>
          <w:rFonts w:eastAsia="Times New Roman"/>
          <w:lang w:val="fr-FR"/>
        </w:rPr>
        <w:t>à dire que la question soulevée par les faits de la deuxième affaire doit être la même que celle tranchée à l</w:t>
      </w:r>
      <w:r>
        <w:rPr>
          <w:rFonts w:eastAsia="Times New Roman"/>
          <w:lang w:val="fr-FR"/>
        </w:rPr>
        <w:t>’</w:t>
      </w:r>
      <w:r w:rsidRPr="005B4699">
        <w:rPr>
          <w:rFonts w:eastAsia="Times New Roman"/>
          <w:lang w:val="fr-FR"/>
        </w:rPr>
        <w:t>aide du principe juridique lors de la première décision</w:t>
      </w:r>
      <w:bookmarkStart w:id="68" w:name="_Ref175315761"/>
      <w:r w:rsidRPr="0053774D">
        <w:rPr>
          <w:rStyle w:val="Appelnotedebasdep"/>
        </w:rPr>
        <w:footnoteReference w:id="142"/>
      </w:r>
      <w:bookmarkEnd w:id="68"/>
      <w:r w:rsidRPr="005B4699">
        <w:rPr>
          <w:rFonts w:eastAsia="Times New Roman"/>
          <w:lang w:val="fr-FR"/>
        </w:rPr>
        <w:t> »</w:t>
      </w:r>
      <w:r>
        <w:rPr>
          <w:rFonts w:eastAsia="Times New Roman"/>
          <w:lang w:val="fr-FR"/>
        </w:rPr>
        <w:t>.</w:t>
      </w:r>
      <w:r w:rsidRPr="005B4699">
        <w:rPr>
          <w:rFonts w:eastAsia="Times New Roman"/>
          <w:lang w:val="fr-FR"/>
        </w:rPr>
        <w:t xml:space="preserve"> La décision antérieure doit aussi pouvoir être généralisée, </w:t>
      </w:r>
      <w:r>
        <w:rPr>
          <w:rFonts w:eastAsia="Times New Roman"/>
          <w:lang w:val="fr-FR"/>
        </w:rPr>
        <w:t>sachant que</w:t>
      </w:r>
      <w:r w:rsidRPr="005B4699">
        <w:rPr>
          <w:rFonts w:eastAsia="Times New Roman"/>
          <w:lang w:val="fr-FR"/>
        </w:rPr>
        <w:t xml:space="preserve"> la Cour internationale de Justice </w:t>
      </w:r>
      <w:r>
        <w:rPr>
          <w:rFonts w:eastAsia="Times New Roman"/>
          <w:lang w:val="fr-FR"/>
        </w:rPr>
        <w:t xml:space="preserve">a expliqué </w:t>
      </w:r>
      <w:r w:rsidRPr="005B4699">
        <w:rPr>
          <w:rFonts w:eastAsia="Times New Roman"/>
          <w:lang w:val="fr-FR"/>
        </w:rPr>
        <w:t xml:space="preserve">dans </w:t>
      </w:r>
      <w:r>
        <w:rPr>
          <w:rFonts w:eastAsia="Times New Roman"/>
          <w:lang w:val="fr-FR"/>
        </w:rPr>
        <w:t>l’</w:t>
      </w:r>
      <w:r w:rsidRPr="005B4699">
        <w:rPr>
          <w:rFonts w:eastAsia="Times New Roman"/>
          <w:lang w:val="fr-FR"/>
        </w:rPr>
        <w:t xml:space="preserve">arrêt </w:t>
      </w:r>
      <w:r w:rsidRPr="005B4699">
        <w:rPr>
          <w:rFonts w:eastAsia="Times New Roman"/>
          <w:i/>
          <w:lang w:val="fr-FR"/>
        </w:rPr>
        <w:t>Barcelona Traction</w:t>
      </w:r>
      <w:r>
        <w:rPr>
          <w:rFonts w:eastAsia="Times New Roman"/>
          <w:i/>
          <w:lang w:val="fr-FR"/>
        </w:rPr>
        <w:t xml:space="preserve"> </w:t>
      </w:r>
      <w:r w:rsidRPr="00F80FC3">
        <w:rPr>
          <w:rFonts w:eastAsia="Times New Roman"/>
          <w:iCs/>
          <w:lang w:val="fr-FR"/>
        </w:rPr>
        <w:t>que pour</w:t>
      </w:r>
      <w:r w:rsidRPr="005B4699">
        <w:rPr>
          <w:rFonts w:eastAsia="Times New Roman"/>
          <w:lang w:val="fr-FR"/>
        </w:rPr>
        <w:t xml:space="preserve"> que la jurisprudence arbitrale générale invoquée par les parties dans cette affaire puisse être suivie, les décisions citées devaient pouvoir « faire l</w:t>
      </w:r>
      <w:r>
        <w:rPr>
          <w:rFonts w:eastAsia="Times New Roman"/>
          <w:lang w:val="fr-FR"/>
        </w:rPr>
        <w:t>’</w:t>
      </w:r>
      <w:r w:rsidRPr="005B4699">
        <w:rPr>
          <w:rFonts w:eastAsia="Times New Roman"/>
          <w:lang w:val="fr-FR"/>
        </w:rPr>
        <w:t>objet de généralisations dépassant les circonstances particulières de l</w:t>
      </w:r>
      <w:r>
        <w:rPr>
          <w:rFonts w:eastAsia="Times New Roman"/>
          <w:lang w:val="fr-FR"/>
        </w:rPr>
        <w:t>’</w:t>
      </w:r>
      <w:r w:rsidRPr="005B4699">
        <w:rPr>
          <w:rFonts w:eastAsia="Times New Roman"/>
          <w:lang w:val="fr-FR"/>
        </w:rPr>
        <w:t>espèce »</w:t>
      </w:r>
      <w:r w:rsidRPr="0053774D">
        <w:rPr>
          <w:rStyle w:val="Appelnotedebasdep"/>
        </w:rPr>
        <w:footnoteReference w:id="143"/>
      </w:r>
      <w:r>
        <w:rPr>
          <w:rFonts w:eastAsia="Times New Roman"/>
          <w:lang w:val="fr-FR"/>
        </w:rPr>
        <w:t>.</w:t>
      </w:r>
    </w:p>
    <w:p w14:paraId="67BA237B" w14:textId="5700D013" w:rsidR="004C5E26" w:rsidRPr="005B4699" w:rsidRDefault="004C5E26" w:rsidP="004C5E26">
      <w:pPr>
        <w:pStyle w:val="SingleTxtG"/>
        <w:rPr>
          <w:rFonts w:eastAsia="Times New Roman"/>
          <w:lang w:val="fr-FR"/>
        </w:rPr>
      </w:pPr>
      <w:r>
        <w:rPr>
          <w:rFonts w:eastAsia="Times New Roman"/>
          <w:lang w:val="fr-FR"/>
        </w:rPr>
        <w:lastRenderedPageBreak/>
        <w:t>7)</w:t>
      </w:r>
      <w:r>
        <w:rPr>
          <w:rFonts w:eastAsia="Times New Roman"/>
          <w:lang w:val="fr-FR"/>
        </w:rPr>
        <w:tab/>
        <w:t>Certaines juridictions internationales ont pour pratique de suivre les décisions antérieures à moins que des « raisons convaincantes</w:t>
      </w:r>
      <w:r>
        <w:rPr>
          <w:rStyle w:val="Appelnotedebasdep"/>
          <w:rFonts w:eastAsia="Times New Roman"/>
        </w:rPr>
        <w:footnoteReference w:id="144"/>
      </w:r>
      <w:r>
        <w:rPr>
          <w:rFonts w:eastAsia="Times New Roman"/>
          <w:lang w:val="fr-FR"/>
        </w:rPr>
        <w:t> » ou des « raisons impérieuses</w:t>
      </w:r>
      <w:r>
        <w:rPr>
          <w:rStyle w:val="Appelnotedebasdep"/>
          <w:rFonts w:eastAsia="Times New Roman"/>
        </w:rPr>
        <w:footnoteReference w:id="145"/>
      </w:r>
      <w:r>
        <w:rPr>
          <w:rFonts w:eastAsia="Times New Roman"/>
          <w:lang w:val="fr-FR"/>
        </w:rPr>
        <w:t> » s’y opposent ou lorsqu’une disposition prévoit qu’elles « se laissent guider par » leurs propres décisions antérieures, comme c’est le cas dans le statut du Tribunal spécial pour la Sierra</w:t>
      </w:r>
      <w:r w:rsidR="00A45801">
        <w:rPr>
          <w:rFonts w:eastAsia="Times New Roman"/>
          <w:lang w:val="fr-FR"/>
        </w:rPr>
        <w:t> </w:t>
      </w:r>
      <w:r>
        <w:rPr>
          <w:rFonts w:eastAsia="Times New Roman"/>
          <w:lang w:val="fr-FR"/>
        </w:rPr>
        <w:t>Leone, ou celles d’une autre juridiction internationale</w:t>
      </w:r>
      <w:r>
        <w:rPr>
          <w:rStyle w:val="Appelnotedebasdep"/>
          <w:rFonts w:eastAsia="Times New Roman"/>
        </w:rPr>
        <w:footnoteReference w:id="146"/>
      </w:r>
      <w:r>
        <w:rPr>
          <w:rFonts w:eastAsia="Times New Roman"/>
          <w:lang w:val="fr-FR"/>
        </w:rPr>
        <w:t>. Cette pratique de certaines juridictions internationales pourrait être considérée dans une certaine mesure comme l’équivalent fonctionnel d’une règle du précédent contraignant. Toutefois, dans ce type de situation, le droit international ne fait aucunement obligation aux juridictions internationales de suivre les décisions antérieures comme si elles étaient des précédents contraignants. Pour que pareille obligation existe, il faudrait qu’elle soit consacrée par un instrument ou une règle spécifique, comme indiqué dans la deuxième phrase du projet de conclusion 7.</w:t>
      </w:r>
    </w:p>
    <w:p w14:paraId="6AF00763" w14:textId="236ADE48" w:rsidR="004C5E26" w:rsidRPr="005B4699" w:rsidRDefault="004C5E26" w:rsidP="004C5E26">
      <w:pPr>
        <w:pStyle w:val="SingleTxtG"/>
        <w:rPr>
          <w:rFonts w:eastAsia="Times New Roman"/>
          <w:lang w:val="fr-FR"/>
        </w:rPr>
      </w:pPr>
      <w:r w:rsidRPr="005B4699">
        <w:rPr>
          <w:rFonts w:eastAsia="Times New Roman"/>
          <w:lang w:val="fr-FR"/>
        </w:rPr>
        <w:t>8)</w:t>
      </w:r>
      <w:r w:rsidRPr="005B4699">
        <w:rPr>
          <w:rFonts w:eastAsia="Times New Roman"/>
          <w:lang w:val="fr-FR"/>
        </w:rPr>
        <w:tab/>
        <w:t>Dans la deuxième phrase du projet de conclusion 7, la Commission vise à préciser les conséquences juridiques de la première phrase. Elle indique donc expressément que le fait que « [c]es décisions » (c</w:t>
      </w:r>
      <w:r>
        <w:rPr>
          <w:rFonts w:eastAsia="Times New Roman"/>
          <w:lang w:val="fr-FR"/>
        </w:rPr>
        <w:t>’</w:t>
      </w:r>
      <w:r w:rsidRPr="005B4699">
        <w:rPr>
          <w:rFonts w:eastAsia="Times New Roman"/>
          <w:lang w:val="fr-FR"/>
        </w:rPr>
        <w:t xml:space="preserve">est-à-dire celles des juridictions internationales) peuvent dans certaines circonstances être suivies sur des points de droit (comme indiqué dans la première </w:t>
      </w:r>
      <w:r w:rsidRPr="005B4699">
        <w:rPr>
          <w:rFonts w:eastAsia="Times New Roman"/>
          <w:lang w:val="fr-FR"/>
        </w:rPr>
        <w:lastRenderedPageBreak/>
        <w:t>phrase) ne signifie pas qu</w:t>
      </w:r>
      <w:r>
        <w:rPr>
          <w:rFonts w:eastAsia="Times New Roman"/>
          <w:lang w:val="fr-FR"/>
        </w:rPr>
        <w:t>’</w:t>
      </w:r>
      <w:r w:rsidRPr="005B4699">
        <w:rPr>
          <w:rFonts w:eastAsia="Times New Roman"/>
          <w:lang w:val="fr-FR"/>
        </w:rPr>
        <w:t>elles « constituent […] des précédents juridiquement contraignants ». Les seules exceptions à la règle générale qui veut que ces décisions ne constituent pas des précédents juridiquement contraignants sont introduites par les mots « à moins qu</w:t>
      </w:r>
      <w:r>
        <w:rPr>
          <w:rFonts w:eastAsia="Times New Roman"/>
          <w:lang w:val="fr-FR"/>
        </w:rPr>
        <w:t>’</w:t>
      </w:r>
      <w:r w:rsidRPr="005B4699">
        <w:rPr>
          <w:rFonts w:eastAsia="Times New Roman"/>
          <w:lang w:val="fr-FR"/>
        </w:rPr>
        <w:t xml:space="preserve"> ». Deux situations sont </w:t>
      </w:r>
      <w:r>
        <w:rPr>
          <w:rFonts w:eastAsia="Times New Roman"/>
          <w:lang w:val="fr-FR"/>
        </w:rPr>
        <w:t>vis</w:t>
      </w:r>
      <w:r w:rsidRPr="005B4699">
        <w:rPr>
          <w:rFonts w:eastAsia="Times New Roman"/>
          <w:lang w:val="fr-FR"/>
        </w:rPr>
        <w:t>ées. Premièrement, lorsque cette possibilité est envisagée dans « un instrument</w:t>
      </w:r>
      <w:r>
        <w:rPr>
          <w:rFonts w:eastAsia="Times New Roman"/>
          <w:lang w:val="fr-FR"/>
        </w:rPr>
        <w:t> »</w:t>
      </w:r>
      <w:r w:rsidRPr="005B4699">
        <w:rPr>
          <w:rFonts w:eastAsia="Times New Roman"/>
          <w:lang w:val="fr-FR"/>
        </w:rPr>
        <w:t xml:space="preserve"> </w:t>
      </w:r>
      <w:r>
        <w:rPr>
          <w:rFonts w:eastAsia="Times New Roman"/>
          <w:lang w:val="fr-FR"/>
        </w:rPr>
        <w:t>« </w:t>
      </w:r>
      <w:r w:rsidRPr="001030F0">
        <w:rPr>
          <w:rFonts w:eastAsia="Times New Roman"/>
          <w:lang w:val="fr-FR"/>
        </w:rPr>
        <w:t>spécifique</w:t>
      </w:r>
      <w:r w:rsidRPr="005B4699">
        <w:rPr>
          <w:rFonts w:eastAsia="Times New Roman"/>
          <w:lang w:val="fr-FR"/>
        </w:rPr>
        <w:t> » et, deuxièmement, lorsqu</w:t>
      </w:r>
      <w:r>
        <w:rPr>
          <w:rFonts w:eastAsia="Times New Roman"/>
          <w:lang w:val="fr-FR"/>
        </w:rPr>
        <w:t>’</w:t>
      </w:r>
      <w:r w:rsidRPr="005B4699">
        <w:rPr>
          <w:rFonts w:eastAsia="Times New Roman"/>
          <w:lang w:val="fr-FR"/>
        </w:rPr>
        <w:t>elle est prévue par « une règle spécifique de droit international »</w:t>
      </w:r>
      <w:r>
        <w:rPr>
          <w:rFonts w:eastAsia="Times New Roman"/>
          <w:lang w:val="fr-FR"/>
        </w:rPr>
        <w:t>.</w:t>
      </w:r>
      <w:r w:rsidRPr="005B4699">
        <w:rPr>
          <w:rFonts w:eastAsia="Times New Roman"/>
          <w:lang w:val="fr-FR"/>
        </w:rPr>
        <w:t xml:space="preserve"> Lus ensemble, ces termes reflètent l</w:t>
      </w:r>
      <w:r>
        <w:rPr>
          <w:rFonts w:eastAsia="Times New Roman"/>
          <w:lang w:val="fr-FR"/>
        </w:rPr>
        <w:t>’</w:t>
      </w:r>
      <w:r w:rsidRPr="005B4699">
        <w:rPr>
          <w:rFonts w:eastAsia="Times New Roman"/>
          <w:lang w:val="fr-FR"/>
        </w:rPr>
        <w:t>intention de la Commission d</w:t>
      </w:r>
      <w:r>
        <w:rPr>
          <w:rFonts w:eastAsia="Times New Roman"/>
          <w:lang w:val="fr-FR"/>
        </w:rPr>
        <w:t>’</w:t>
      </w:r>
      <w:r w:rsidRPr="005B4699">
        <w:rPr>
          <w:rFonts w:eastAsia="Times New Roman"/>
          <w:lang w:val="fr-FR"/>
        </w:rPr>
        <w:t xml:space="preserve">envisager </w:t>
      </w:r>
      <w:r>
        <w:rPr>
          <w:rFonts w:eastAsia="Times New Roman"/>
          <w:lang w:val="fr-FR"/>
        </w:rPr>
        <w:t>l’ensemble des</w:t>
      </w:r>
      <w:r w:rsidRPr="005B4699">
        <w:rPr>
          <w:rFonts w:eastAsia="Times New Roman"/>
          <w:lang w:val="fr-FR"/>
        </w:rPr>
        <w:t xml:space="preserve"> situations dans lesquelles le caractère contraignant des précédents devant une juridiction internationale est prévu dans un instrument, par exemple </w:t>
      </w:r>
      <w:r>
        <w:rPr>
          <w:rFonts w:eastAsia="Times New Roman"/>
          <w:lang w:val="fr-FR"/>
        </w:rPr>
        <w:t xml:space="preserve">un </w:t>
      </w:r>
      <w:r w:rsidRPr="005B4699">
        <w:rPr>
          <w:rFonts w:eastAsia="Times New Roman"/>
          <w:lang w:val="fr-FR"/>
        </w:rPr>
        <w:t xml:space="preserve">traité, </w:t>
      </w:r>
      <w:r>
        <w:rPr>
          <w:rFonts w:eastAsia="Times New Roman"/>
          <w:lang w:val="fr-FR"/>
        </w:rPr>
        <w:t xml:space="preserve">un </w:t>
      </w:r>
      <w:r w:rsidRPr="005B4699">
        <w:rPr>
          <w:rFonts w:eastAsia="Times New Roman"/>
          <w:lang w:val="fr-FR"/>
        </w:rPr>
        <w:t>statut ou</w:t>
      </w:r>
      <w:r>
        <w:rPr>
          <w:rFonts w:eastAsia="Times New Roman"/>
          <w:lang w:val="fr-FR"/>
        </w:rPr>
        <w:t xml:space="preserve"> un</w:t>
      </w:r>
      <w:r w:rsidRPr="005B4699">
        <w:rPr>
          <w:rFonts w:eastAsia="Times New Roman"/>
          <w:lang w:val="fr-FR"/>
        </w:rPr>
        <w:t xml:space="preserve"> autre document constitutif ou fondateur d</w:t>
      </w:r>
      <w:r>
        <w:rPr>
          <w:rFonts w:eastAsia="Times New Roman"/>
          <w:lang w:val="fr-FR"/>
        </w:rPr>
        <w:t>’</w:t>
      </w:r>
      <w:r w:rsidRPr="005B4699">
        <w:rPr>
          <w:rFonts w:eastAsia="Times New Roman"/>
          <w:lang w:val="fr-FR"/>
        </w:rPr>
        <w:t xml:space="preserve">une juridiction. </w:t>
      </w:r>
    </w:p>
    <w:p w14:paraId="15585BC6" w14:textId="1E65497D" w:rsidR="004C5E26" w:rsidRPr="005B4699" w:rsidRDefault="004C5E26" w:rsidP="004C5E26">
      <w:pPr>
        <w:pStyle w:val="SingleTxtG"/>
        <w:rPr>
          <w:rFonts w:eastAsia="Times New Roman"/>
          <w:lang w:val="fr-FR"/>
        </w:rPr>
      </w:pPr>
      <w:r w:rsidRPr="005B4699">
        <w:rPr>
          <w:rFonts w:eastAsia="Times New Roman"/>
          <w:lang w:val="fr-FR"/>
        </w:rPr>
        <w:t>9)</w:t>
      </w:r>
      <w:r w:rsidRPr="005B4699">
        <w:rPr>
          <w:rFonts w:eastAsia="Times New Roman"/>
          <w:lang w:val="fr-FR"/>
        </w:rPr>
        <w:tab/>
        <w:t>Aux termes de l</w:t>
      </w:r>
      <w:r>
        <w:rPr>
          <w:rFonts w:eastAsia="Times New Roman"/>
          <w:lang w:val="fr-FR"/>
        </w:rPr>
        <w:t>’</w:t>
      </w:r>
      <w:r w:rsidRPr="005B4699">
        <w:rPr>
          <w:rFonts w:eastAsia="Times New Roman"/>
          <w:lang w:val="fr-FR"/>
        </w:rPr>
        <w:t xml:space="preserve">article 221 du Traité révisé de </w:t>
      </w:r>
      <w:proofErr w:type="spellStart"/>
      <w:r w:rsidRPr="005B4699">
        <w:rPr>
          <w:rFonts w:eastAsia="Times New Roman"/>
          <w:lang w:val="fr-FR"/>
        </w:rPr>
        <w:t>Chaguaramas</w:t>
      </w:r>
      <w:proofErr w:type="spellEnd"/>
      <w:r w:rsidRPr="005B4699">
        <w:rPr>
          <w:rFonts w:eastAsia="Times New Roman"/>
          <w:lang w:val="fr-FR"/>
        </w:rPr>
        <w:t xml:space="preserve"> établissant la Communauté des Caraïbes, y compris le marché unique de la CARICOM, « [l]es décisions rendues par la Cour </w:t>
      </w:r>
      <w:r>
        <w:rPr>
          <w:rFonts w:eastAsia="Times New Roman"/>
          <w:lang w:val="fr-FR"/>
        </w:rPr>
        <w:t>[de justice des Cara</w:t>
      </w:r>
      <w:r w:rsidRPr="005B4699">
        <w:rPr>
          <w:rFonts w:eastAsia="Times New Roman"/>
          <w:lang w:val="fr-FR"/>
        </w:rPr>
        <w:t>ï</w:t>
      </w:r>
      <w:r>
        <w:rPr>
          <w:rFonts w:eastAsia="Times New Roman"/>
          <w:lang w:val="fr-FR"/>
        </w:rPr>
        <w:t xml:space="preserve">bes] </w:t>
      </w:r>
      <w:r w:rsidRPr="005B4699">
        <w:rPr>
          <w:rFonts w:eastAsia="Times New Roman"/>
          <w:lang w:val="fr-FR"/>
        </w:rPr>
        <w:t>constitueront des précédents qui lieront les parties à la procédure devant la Cour à moins que les décisions ne soient révisées conformément à l</w:t>
      </w:r>
      <w:r>
        <w:rPr>
          <w:rFonts w:eastAsia="Times New Roman"/>
          <w:lang w:val="fr-FR"/>
        </w:rPr>
        <w:t>’</w:t>
      </w:r>
      <w:r w:rsidRPr="005B4699">
        <w:rPr>
          <w:rFonts w:eastAsia="Times New Roman"/>
          <w:lang w:val="fr-FR"/>
        </w:rPr>
        <w:t>article 219 ».</w:t>
      </w:r>
      <w:r>
        <w:rPr>
          <w:rFonts w:eastAsia="Times New Roman"/>
          <w:lang w:val="fr-FR"/>
        </w:rPr>
        <w:t xml:space="preserve"> L’article 221 s’intitule « Les décisions de la Cour constituent des précédents jurisprudentiels ».</w:t>
      </w:r>
    </w:p>
    <w:p w14:paraId="79C589AD" w14:textId="2244DFA5" w:rsidR="004C5E26" w:rsidRPr="005B4699" w:rsidRDefault="004C5E26" w:rsidP="000B2AF5">
      <w:pPr>
        <w:pStyle w:val="SingleTxtG"/>
      </w:pPr>
      <w:r w:rsidRPr="005B4699">
        <w:t>10)</w:t>
      </w:r>
      <w:r w:rsidRPr="005B4699">
        <w:tab/>
        <w:t>Un second exemple est fourni par la Cour de justice de l</w:t>
      </w:r>
      <w:r>
        <w:t>’</w:t>
      </w:r>
      <w:r w:rsidRPr="005B4699">
        <w:t xml:space="preserve">Union européenne qui, dans au moins deux situations prévues </w:t>
      </w:r>
      <w:r>
        <w:t>dans</w:t>
      </w:r>
      <w:r w:rsidRPr="005B4699">
        <w:t xml:space="preserve"> son statut en ce qui concerne les pourvois et les réexamens, est habilitée à annuler la décision du </w:t>
      </w:r>
      <w:r>
        <w:t>t</w:t>
      </w:r>
      <w:r w:rsidRPr="005B4699">
        <w:t>ribunal ayant fait l</w:t>
      </w:r>
      <w:r>
        <w:t>’</w:t>
      </w:r>
      <w:r w:rsidRPr="005B4699">
        <w:t>objet d</w:t>
      </w:r>
      <w:r>
        <w:t>’</w:t>
      </w:r>
      <w:r w:rsidRPr="005B4699">
        <w:t>un pourvoi et même à statuer définitivement sur le litige ou à renvoyer l</w:t>
      </w:r>
      <w:r>
        <w:t>’</w:t>
      </w:r>
      <w:r w:rsidRPr="005B4699">
        <w:t xml:space="preserve">affaire devant le Tribunal, auquel cas celui-ci « est lié par les points de droit tranchés par la </w:t>
      </w:r>
      <w:r>
        <w:t xml:space="preserve">décision de la </w:t>
      </w:r>
      <w:r w:rsidRPr="005B4699">
        <w:t>Cour »</w:t>
      </w:r>
      <w:r w:rsidRPr="0053774D">
        <w:rPr>
          <w:rStyle w:val="Appelnotedebasdep"/>
        </w:rPr>
        <w:footnoteReference w:id="147"/>
      </w:r>
      <w:r>
        <w:t xml:space="preserve">. Un troisième exemple est fourni par la </w:t>
      </w:r>
      <w:r>
        <w:rPr>
          <w:rStyle w:val="preferred"/>
        </w:rPr>
        <w:t>Cour de justice de l’Association européenne de libre</w:t>
      </w:r>
      <w:r w:rsidR="000B2AF5">
        <w:rPr>
          <w:rStyle w:val="preferred"/>
        </w:rPr>
        <w:noBreakHyphen/>
      </w:r>
      <w:r>
        <w:rPr>
          <w:rStyle w:val="preferred"/>
        </w:rPr>
        <w:t>échange, à laquelle l’Accord sur l’Espace économique européen fait obligation d’interpréter ses dispositions</w:t>
      </w:r>
      <w:r>
        <w:t xml:space="preserve"> « conformément à la jurisprudence pertinente de la Cour de justice des Communautés européennes antérieure à la date de [sa] signature […]</w:t>
      </w:r>
      <w:r>
        <w:rPr>
          <w:rStyle w:val="Appelnotedebasdep"/>
        </w:rPr>
        <w:footnoteReference w:id="148"/>
      </w:r>
      <w:r>
        <w:t> »</w:t>
      </w:r>
      <w:r>
        <w:rPr>
          <w:rStyle w:val="preferred"/>
        </w:rPr>
        <w:t>.</w:t>
      </w:r>
    </w:p>
    <w:p w14:paraId="2A3FAE61" w14:textId="570D3C30" w:rsidR="004C5E26" w:rsidRPr="00722464" w:rsidRDefault="004C5E26" w:rsidP="004C5E26">
      <w:pPr>
        <w:pStyle w:val="SingleTxtG"/>
        <w:rPr>
          <w:rFonts w:eastAsia="Times New Roman"/>
          <w:color w:val="000000" w:themeColor="text1"/>
          <w:sz w:val="18"/>
          <w:szCs w:val="18"/>
          <w:lang w:val="fr-FR"/>
        </w:rPr>
      </w:pPr>
      <w:r w:rsidRPr="005B4699">
        <w:rPr>
          <w:rFonts w:eastAsia="Times New Roman"/>
          <w:color w:val="000000" w:themeColor="text1"/>
          <w:sz w:val="18"/>
          <w:szCs w:val="18"/>
          <w:lang w:val="fr-FR"/>
        </w:rPr>
        <w:t>11)</w:t>
      </w:r>
      <w:r w:rsidRPr="005B4699">
        <w:rPr>
          <w:rFonts w:eastAsia="Times New Roman"/>
          <w:color w:val="000000" w:themeColor="text1"/>
          <w:sz w:val="18"/>
          <w:szCs w:val="18"/>
          <w:lang w:val="fr-FR"/>
        </w:rPr>
        <w:tab/>
      </w:r>
      <w:r w:rsidRPr="005B4699">
        <w:rPr>
          <w:rFonts w:eastAsia="Times New Roman"/>
          <w:color w:val="000000" w:themeColor="text1"/>
          <w:lang w:val="fr-FR"/>
        </w:rPr>
        <w:t xml:space="preserve">Une </w:t>
      </w:r>
      <w:r>
        <w:rPr>
          <w:rFonts w:eastAsia="Times New Roman"/>
          <w:color w:val="000000" w:themeColor="text1"/>
          <w:lang w:val="fr-FR"/>
        </w:rPr>
        <w:t>quatrième</w:t>
      </w:r>
      <w:r w:rsidRPr="005B4699">
        <w:rPr>
          <w:rFonts w:eastAsia="Times New Roman"/>
          <w:color w:val="000000" w:themeColor="text1"/>
          <w:lang w:val="fr-FR"/>
        </w:rPr>
        <w:t xml:space="preserve"> illustration</w:t>
      </w:r>
      <w:r>
        <w:rPr>
          <w:rFonts w:eastAsia="Times New Roman"/>
          <w:color w:val="000000" w:themeColor="text1"/>
          <w:lang w:val="fr-FR"/>
        </w:rPr>
        <w:t xml:space="preserve"> pourrait être</w:t>
      </w:r>
      <w:r w:rsidRPr="005B4699">
        <w:rPr>
          <w:rFonts w:eastAsia="Times New Roman"/>
          <w:color w:val="000000" w:themeColor="text1"/>
          <w:lang w:val="fr-FR"/>
        </w:rPr>
        <w:t xml:space="preserve"> fournie par la Cour interaméricaine des droits de l</w:t>
      </w:r>
      <w:r>
        <w:rPr>
          <w:rFonts w:eastAsia="Times New Roman"/>
          <w:color w:val="000000" w:themeColor="text1"/>
          <w:lang w:val="fr-FR"/>
        </w:rPr>
        <w:t>’</w:t>
      </w:r>
      <w:r w:rsidRPr="005B4699">
        <w:rPr>
          <w:rFonts w:eastAsia="Times New Roman"/>
          <w:color w:val="000000" w:themeColor="text1"/>
          <w:lang w:val="fr-FR"/>
        </w:rPr>
        <w:t>homme. Bien que les traités qui l</w:t>
      </w:r>
      <w:r>
        <w:rPr>
          <w:rFonts w:eastAsia="Times New Roman"/>
          <w:color w:val="000000" w:themeColor="text1"/>
          <w:lang w:val="fr-FR"/>
        </w:rPr>
        <w:t>’</w:t>
      </w:r>
      <w:r w:rsidRPr="005B4699">
        <w:rPr>
          <w:rFonts w:eastAsia="Times New Roman"/>
          <w:color w:val="000000" w:themeColor="text1"/>
          <w:lang w:val="fr-FR"/>
        </w:rPr>
        <w:t>ont fondée et ses règles ne le prévoient pas expressément, dans une abondante jurisprudence qui s</w:t>
      </w:r>
      <w:r>
        <w:rPr>
          <w:rFonts w:eastAsia="Times New Roman"/>
          <w:color w:val="000000" w:themeColor="text1"/>
          <w:lang w:val="fr-FR"/>
        </w:rPr>
        <w:t>’</w:t>
      </w:r>
      <w:r w:rsidRPr="005B4699">
        <w:rPr>
          <w:rFonts w:eastAsia="Times New Roman"/>
          <w:color w:val="000000" w:themeColor="text1"/>
          <w:lang w:val="fr-FR"/>
        </w:rPr>
        <w:t xml:space="preserve">est accumulée et renforcée au fil des ans, la </w:t>
      </w:r>
      <w:r w:rsidRPr="00722464">
        <w:rPr>
          <w:rFonts w:eastAsia="Times New Roman"/>
          <w:lang w:val="fr-FR"/>
        </w:rPr>
        <w:t>Cour</w:t>
      </w:r>
      <w:r w:rsidRPr="005B4699">
        <w:rPr>
          <w:rFonts w:eastAsia="Times New Roman"/>
          <w:color w:val="000000" w:themeColor="text1"/>
          <w:lang w:val="fr-FR"/>
        </w:rPr>
        <w:t xml:space="preserve"> interaméricaine a déclaré ce qui suit</w:t>
      </w:r>
      <w:r>
        <w:rPr>
          <w:rFonts w:eastAsia="Times New Roman"/>
          <w:color w:val="000000" w:themeColor="text1"/>
          <w:lang w:val="fr-FR"/>
        </w:rPr>
        <w:t xml:space="preserve"> sur la base de l’interprétation qu’elle a faite de ses documents constitutifs</w:t>
      </w:r>
      <w:r w:rsidRPr="005B4699">
        <w:rPr>
          <w:rFonts w:eastAsia="Times New Roman"/>
          <w:color w:val="000000" w:themeColor="text1"/>
          <w:lang w:val="fr-FR"/>
        </w:rPr>
        <w:t xml:space="preserve"> : </w:t>
      </w:r>
    </w:p>
    <w:p w14:paraId="681194E1" w14:textId="2C0B0F95" w:rsidR="004C5E26" w:rsidRPr="005B4699" w:rsidRDefault="000B2AF5" w:rsidP="004C5E26">
      <w:pPr>
        <w:pStyle w:val="SingleTxtG"/>
        <w:ind w:left="1701"/>
        <w:rPr>
          <w:color w:val="000000" w:themeColor="text1"/>
          <w:shd w:val="clear" w:color="auto" w:fill="FFFFFF"/>
          <w:lang w:val="fr-FR"/>
        </w:rPr>
      </w:pPr>
      <w:r>
        <w:rPr>
          <w:color w:val="000000" w:themeColor="text1"/>
          <w:shd w:val="clear" w:color="auto" w:fill="FFFFFF"/>
          <w:lang w:val="fr-FR"/>
        </w:rPr>
        <w:tab/>
      </w:r>
      <w:r w:rsidR="004C5E26" w:rsidRPr="005B4699">
        <w:rPr>
          <w:color w:val="000000" w:themeColor="text1"/>
          <w:shd w:val="clear" w:color="auto" w:fill="FFFFFF"/>
          <w:lang w:val="fr-FR"/>
        </w:rPr>
        <w:t>[L]e pouvoir judiciaire doit exercer une espèce de « contrôle de conventionnalité » entre les normes du droit interne qui s</w:t>
      </w:r>
      <w:r w:rsidR="004C5E26">
        <w:rPr>
          <w:color w:val="000000" w:themeColor="text1"/>
          <w:shd w:val="clear" w:color="auto" w:fill="FFFFFF"/>
          <w:lang w:val="fr-FR"/>
        </w:rPr>
        <w:t>’</w:t>
      </w:r>
      <w:r w:rsidR="004C5E26" w:rsidRPr="005B4699">
        <w:rPr>
          <w:color w:val="000000" w:themeColor="text1"/>
          <w:shd w:val="clear" w:color="auto" w:fill="FFFFFF"/>
          <w:lang w:val="fr-FR"/>
        </w:rPr>
        <w:t xml:space="preserve">appliquent dans des affaires </w:t>
      </w:r>
      <w:r w:rsidR="004C5E26" w:rsidRPr="00722464">
        <w:rPr>
          <w:rFonts w:eastAsia="Times New Roman"/>
          <w:lang w:val="fr-FR"/>
        </w:rPr>
        <w:t>concrètes</w:t>
      </w:r>
      <w:r w:rsidR="004C5E26" w:rsidRPr="005B4699">
        <w:rPr>
          <w:color w:val="000000" w:themeColor="text1"/>
          <w:shd w:val="clear" w:color="auto" w:fill="FFFFFF"/>
          <w:lang w:val="fr-FR"/>
        </w:rPr>
        <w:t xml:space="preserve"> et la Convention américaine relative aux droits de l</w:t>
      </w:r>
      <w:r w:rsidR="004C5E26">
        <w:rPr>
          <w:color w:val="000000" w:themeColor="text1"/>
          <w:shd w:val="clear" w:color="auto" w:fill="FFFFFF"/>
          <w:lang w:val="fr-FR"/>
        </w:rPr>
        <w:t>’</w:t>
      </w:r>
      <w:r w:rsidR="004C5E26" w:rsidRPr="005B4699">
        <w:rPr>
          <w:color w:val="000000" w:themeColor="text1"/>
          <w:shd w:val="clear" w:color="auto" w:fill="FFFFFF"/>
          <w:lang w:val="fr-FR"/>
        </w:rPr>
        <w:t>homme. Pour ce faire, le pouvoir judiciaire doit tenir compte non seulement du traité mais également de l</w:t>
      </w:r>
      <w:r w:rsidR="004C5E26">
        <w:rPr>
          <w:color w:val="000000" w:themeColor="text1"/>
          <w:shd w:val="clear" w:color="auto" w:fill="FFFFFF"/>
          <w:lang w:val="fr-FR"/>
        </w:rPr>
        <w:t>’</w:t>
      </w:r>
      <w:r w:rsidR="004C5E26" w:rsidRPr="005B4699">
        <w:rPr>
          <w:color w:val="000000" w:themeColor="text1"/>
          <w:shd w:val="clear" w:color="auto" w:fill="FFFFFF"/>
          <w:lang w:val="fr-FR"/>
        </w:rPr>
        <w:t>interprétation qu</w:t>
      </w:r>
      <w:r w:rsidR="004C5E26">
        <w:rPr>
          <w:color w:val="000000" w:themeColor="text1"/>
          <w:shd w:val="clear" w:color="auto" w:fill="FFFFFF"/>
          <w:lang w:val="fr-FR"/>
        </w:rPr>
        <w:t>’</w:t>
      </w:r>
      <w:r w:rsidR="004C5E26" w:rsidRPr="005B4699">
        <w:rPr>
          <w:color w:val="000000" w:themeColor="text1"/>
          <w:shd w:val="clear" w:color="auto" w:fill="FFFFFF"/>
          <w:lang w:val="fr-FR"/>
        </w:rPr>
        <w:t>en a donnée la Cour interaméricaine, interprète ultime de la Convention américaine</w:t>
      </w:r>
      <w:r w:rsidR="004C5E26" w:rsidRPr="0069529C">
        <w:rPr>
          <w:rStyle w:val="Appelnotedebasdep"/>
        </w:rPr>
        <w:footnoteReference w:id="149"/>
      </w:r>
      <w:r w:rsidR="004C5E26" w:rsidRPr="0069529C">
        <w:rPr>
          <w:color w:val="000000" w:themeColor="text1"/>
          <w:shd w:val="clear" w:color="auto" w:fill="FFFFFF"/>
          <w:lang w:val="fr-FR"/>
        </w:rPr>
        <w:t>. [</w:t>
      </w:r>
      <w:r w:rsidR="004C5E26">
        <w:rPr>
          <w:color w:val="000000" w:themeColor="text1"/>
          <w:shd w:val="clear" w:color="auto" w:fill="FFFFFF"/>
          <w:lang w:val="fr-FR"/>
        </w:rPr>
        <w:t>t</w:t>
      </w:r>
      <w:r w:rsidR="004C5E26" w:rsidRPr="0069529C">
        <w:rPr>
          <w:color w:val="000000" w:themeColor="text1"/>
          <w:shd w:val="clear" w:color="auto" w:fill="FFFFFF"/>
          <w:lang w:val="fr-FR"/>
        </w:rPr>
        <w:t>raduction non officielle]</w:t>
      </w:r>
    </w:p>
    <w:p w14:paraId="05896D2F" w14:textId="3DE3839A" w:rsidR="004C5E26" w:rsidRDefault="004C5E26" w:rsidP="004C5E26">
      <w:pPr>
        <w:pStyle w:val="SingleTxtG"/>
        <w:rPr>
          <w:rFonts w:eastAsia="Times New Roman"/>
          <w:color w:val="000000" w:themeColor="text1"/>
          <w:sz w:val="18"/>
          <w:szCs w:val="18"/>
          <w:lang w:val="fr-FR"/>
        </w:rPr>
      </w:pPr>
      <w:r w:rsidRPr="00F80FC3">
        <w:rPr>
          <w:rFonts w:eastAsia="Times New Roman"/>
          <w:color w:val="000000" w:themeColor="text1"/>
          <w:lang w:val="fr-FR"/>
        </w:rPr>
        <w:lastRenderedPageBreak/>
        <w:t>Selon</w:t>
      </w:r>
      <w:r w:rsidRPr="005B4699">
        <w:rPr>
          <w:color w:val="000000" w:themeColor="text1"/>
          <w:shd w:val="clear" w:color="auto" w:fill="FFFFFF"/>
          <w:lang w:val="fr-FR"/>
        </w:rPr>
        <w:t xml:space="preserve"> </w:t>
      </w:r>
      <w:r>
        <w:rPr>
          <w:color w:val="000000" w:themeColor="text1"/>
          <w:shd w:val="clear" w:color="auto" w:fill="FFFFFF"/>
          <w:lang w:val="fr-FR"/>
        </w:rPr>
        <w:t>des décisions</w:t>
      </w:r>
      <w:r w:rsidRPr="005B4699">
        <w:rPr>
          <w:color w:val="000000" w:themeColor="text1"/>
          <w:shd w:val="clear" w:color="auto" w:fill="FFFFFF"/>
          <w:lang w:val="fr-FR"/>
        </w:rPr>
        <w:t xml:space="preserve"> ultérieure</w:t>
      </w:r>
      <w:r>
        <w:rPr>
          <w:color w:val="000000" w:themeColor="text1"/>
          <w:shd w:val="clear" w:color="auto" w:fill="FFFFFF"/>
          <w:lang w:val="fr-FR"/>
        </w:rPr>
        <w:t>s</w:t>
      </w:r>
      <w:r w:rsidRPr="005B4699">
        <w:rPr>
          <w:color w:val="000000" w:themeColor="text1"/>
          <w:shd w:val="clear" w:color="auto" w:fill="FFFFFF"/>
          <w:lang w:val="fr-FR"/>
        </w:rPr>
        <w:t xml:space="preserve">, les </w:t>
      </w:r>
      <w:r w:rsidRPr="00722464">
        <w:rPr>
          <w:rFonts w:eastAsia="Times New Roman"/>
          <w:lang w:val="fr-FR"/>
        </w:rPr>
        <w:t>tribunaux</w:t>
      </w:r>
      <w:r w:rsidRPr="005B4699">
        <w:rPr>
          <w:color w:val="000000" w:themeColor="text1"/>
          <w:shd w:val="clear" w:color="auto" w:fill="FFFFFF"/>
          <w:lang w:val="fr-FR"/>
        </w:rPr>
        <w:t xml:space="preserve"> internes sont tenus d</w:t>
      </w:r>
      <w:r>
        <w:rPr>
          <w:color w:val="000000" w:themeColor="text1"/>
          <w:shd w:val="clear" w:color="auto" w:fill="FFFFFF"/>
          <w:lang w:val="fr-FR"/>
        </w:rPr>
        <w:t>’</w:t>
      </w:r>
      <w:r w:rsidRPr="005B4699">
        <w:rPr>
          <w:color w:val="000000" w:themeColor="text1"/>
          <w:shd w:val="clear" w:color="auto" w:fill="FFFFFF"/>
          <w:lang w:val="fr-FR"/>
        </w:rPr>
        <w:t xml:space="preserve">appliquer les décisions de la </w:t>
      </w:r>
      <w:r w:rsidRPr="005B4699">
        <w:rPr>
          <w:rFonts w:eastAsia="Times New Roman"/>
          <w:color w:val="000000" w:themeColor="text1"/>
          <w:lang w:val="fr-FR"/>
        </w:rPr>
        <w:t>Cour interaméricaine</w:t>
      </w:r>
      <w:r w:rsidRPr="005B4699">
        <w:rPr>
          <w:color w:val="000000" w:themeColor="text1"/>
          <w:shd w:val="clear" w:color="auto" w:fill="FFFFFF"/>
          <w:lang w:val="fr-FR"/>
        </w:rPr>
        <w:t xml:space="preserve">. Cela implique que le caractère </w:t>
      </w:r>
      <w:r>
        <w:rPr>
          <w:color w:val="000000" w:themeColor="text1"/>
          <w:shd w:val="clear" w:color="auto" w:fill="FFFFFF"/>
          <w:lang w:val="fr-FR"/>
        </w:rPr>
        <w:t>contraignant</w:t>
      </w:r>
      <w:r w:rsidRPr="005B4699">
        <w:rPr>
          <w:color w:val="000000" w:themeColor="text1"/>
          <w:shd w:val="clear" w:color="auto" w:fill="FFFFFF"/>
          <w:lang w:val="fr-FR"/>
        </w:rPr>
        <w:t xml:space="preserve"> de ces décisions</w:t>
      </w:r>
      <w:r>
        <w:rPr>
          <w:color w:val="000000" w:themeColor="text1"/>
          <w:shd w:val="clear" w:color="auto" w:fill="FFFFFF"/>
          <w:lang w:val="fr-FR"/>
        </w:rPr>
        <w:t xml:space="preserve"> n’est</w:t>
      </w:r>
      <w:r w:rsidRPr="005B4699">
        <w:rPr>
          <w:color w:val="000000" w:themeColor="text1"/>
          <w:shd w:val="clear" w:color="auto" w:fill="FFFFFF"/>
          <w:lang w:val="fr-FR"/>
        </w:rPr>
        <w:t xml:space="preserve"> peut</w:t>
      </w:r>
      <w:r>
        <w:rPr>
          <w:color w:val="000000" w:themeColor="text1"/>
          <w:shd w:val="clear" w:color="auto" w:fill="FFFFFF"/>
          <w:lang w:val="fr-FR"/>
        </w:rPr>
        <w:t>-</w:t>
      </w:r>
      <w:r w:rsidRPr="005B4699">
        <w:rPr>
          <w:color w:val="000000" w:themeColor="text1"/>
          <w:shd w:val="clear" w:color="auto" w:fill="FFFFFF"/>
          <w:lang w:val="fr-FR"/>
        </w:rPr>
        <w:t xml:space="preserve">être pas limité aux parties en litige. Si cette interprétation a suscité un débat </w:t>
      </w:r>
      <w:r>
        <w:rPr>
          <w:color w:val="000000" w:themeColor="text1"/>
          <w:shd w:val="clear" w:color="auto" w:fill="FFFFFF"/>
          <w:lang w:val="fr-FR"/>
        </w:rPr>
        <w:t xml:space="preserve">doctrinal </w:t>
      </w:r>
      <w:r w:rsidRPr="005B4699">
        <w:rPr>
          <w:color w:val="000000" w:themeColor="text1"/>
          <w:shd w:val="clear" w:color="auto" w:fill="FFFFFF"/>
          <w:lang w:val="fr-FR"/>
        </w:rPr>
        <w:t>animé</w:t>
      </w:r>
      <w:r w:rsidRPr="0053774D">
        <w:rPr>
          <w:rStyle w:val="Appelnotedebasdep"/>
        </w:rPr>
        <w:footnoteReference w:id="150"/>
      </w:r>
      <w:r>
        <w:rPr>
          <w:color w:val="000000" w:themeColor="text1"/>
          <w:shd w:val="clear" w:color="auto" w:fill="FFFFFF"/>
          <w:lang w:val="fr-FR"/>
        </w:rPr>
        <w:t>,</w:t>
      </w:r>
      <w:r w:rsidRPr="005B4699">
        <w:rPr>
          <w:color w:val="000000" w:themeColor="text1"/>
          <w:shd w:val="clear" w:color="auto" w:fill="FFFFFF"/>
          <w:lang w:val="fr-FR"/>
        </w:rPr>
        <w:t xml:space="preserve"> dans lequel la Commission n</w:t>
      </w:r>
      <w:r>
        <w:rPr>
          <w:color w:val="000000" w:themeColor="text1"/>
          <w:shd w:val="clear" w:color="auto" w:fill="FFFFFF"/>
          <w:lang w:val="fr-FR"/>
        </w:rPr>
        <w:t>’</w:t>
      </w:r>
      <w:r w:rsidRPr="005B4699">
        <w:rPr>
          <w:color w:val="000000" w:themeColor="text1"/>
          <w:shd w:val="clear" w:color="auto" w:fill="FFFFFF"/>
          <w:lang w:val="fr-FR"/>
        </w:rPr>
        <w:t>a pas à intervenir pour donner cet exemple d</w:t>
      </w:r>
      <w:r>
        <w:rPr>
          <w:color w:val="000000" w:themeColor="text1"/>
          <w:shd w:val="clear" w:color="auto" w:fill="FFFFFF"/>
          <w:lang w:val="fr-FR"/>
        </w:rPr>
        <w:t>’</w:t>
      </w:r>
      <w:r w:rsidRPr="005B4699">
        <w:rPr>
          <w:color w:val="000000" w:themeColor="text1"/>
          <w:shd w:val="clear" w:color="auto" w:fill="FFFFFF"/>
          <w:lang w:val="fr-FR"/>
        </w:rPr>
        <w:t xml:space="preserve">une juridiction régionale dont </w:t>
      </w:r>
      <w:r>
        <w:rPr>
          <w:color w:val="000000" w:themeColor="text1"/>
          <w:shd w:val="clear" w:color="auto" w:fill="FFFFFF"/>
          <w:lang w:val="fr-FR"/>
        </w:rPr>
        <w:t>les décisions ont</w:t>
      </w:r>
      <w:r w:rsidRPr="005B4699">
        <w:rPr>
          <w:color w:val="000000" w:themeColor="text1"/>
          <w:shd w:val="clear" w:color="auto" w:fill="FFFFFF"/>
          <w:lang w:val="fr-FR"/>
        </w:rPr>
        <w:t xml:space="preserve"> donné naissance à une règle spécifique </w:t>
      </w:r>
      <w:r>
        <w:rPr>
          <w:color w:val="000000" w:themeColor="text1"/>
          <w:shd w:val="clear" w:color="auto" w:fill="FFFFFF"/>
          <w:lang w:val="fr-FR"/>
        </w:rPr>
        <w:t>conférant à</w:t>
      </w:r>
      <w:r w:rsidRPr="005B4699">
        <w:rPr>
          <w:color w:val="000000" w:themeColor="text1"/>
          <w:shd w:val="clear" w:color="auto" w:fill="FFFFFF"/>
          <w:lang w:val="fr-FR"/>
        </w:rPr>
        <w:t xml:space="preserve"> ses décisions </w:t>
      </w:r>
      <w:r>
        <w:rPr>
          <w:color w:val="000000" w:themeColor="text1"/>
          <w:shd w:val="clear" w:color="auto" w:fill="FFFFFF"/>
          <w:lang w:val="fr-FR"/>
        </w:rPr>
        <w:t>un caractère contraignant</w:t>
      </w:r>
      <w:r w:rsidRPr="005B4699">
        <w:rPr>
          <w:color w:val="000000" w:themeColor="text1"/>
          <w:shd w:val="clear" w:color="auto" w:fill="FFFFFF"/>
          <w:lang w:val="fr-FR"/>
        </w:rPr>
        <w:t>, on notera que certains États des Amériques ont accepté l</w:t>
      </w:r>
      <w:r>
        <w:rPr>
          <w:color w:val="000000" w:themeColor="text1"/>
          <w:shd w:val="clear" w:color="auto" w:fill="FFFFFF"/>
          <w:lang w:val="fr-FR"/>
        </w:rPr>
        <w:t>’</w:t>
      </w:r>
      <w:r w:rsidRPr="005B4699">
        <w:rPr>
          <w:color w:val="000000" w:themeColor="text1"/>
          <w:shd w:val="clear" w:color="auto" w:fill="FFFFFF"/>
          <w:lang w:val="fr-FR"/>
        </w:rPr>
        <w:t>interprétation judiciaire donnée par la Cour interaméricaine ou y ont acquiescé</w:t>
      </w:r>
      <w:r>
        <w:rPr>
          <w:color w:val="000000" w:themeColor="text1"/>
          <w:shd w:val="clear" w:color="auto" w:fill="FFFFFF"/>
          <w:lang w:val="fr-FR"/>
        </w:rPr>
        <w:t xml:space="preserve"> mais</w:t>
      </w:r>
      <w:r w:rsidRPr="005B4699">
        <w:rPr>
          <w:color w:val="000000" w:themeColor="text1"/>
          <w:shd w:val="clear" w:color="auto" w:fill="FFFFFF"/>
          <w:lang w:val="fr-FR"/>
        </w:rPr>
        <w:t xml:space="preserve"> que plusieurs</w:t>
      </w:r>
      <w:r w:rsidRPr="0053774D">
        <w:rPr>
          <w:rStyle w:val="Appelnotedebasdep"/>
        </w:rPr>
        <w:footnoteReference w:id="151"/>
      </w:r>
      <w:r w:rsidRPr="005B4699">
        <w:rPr>
          <w:color w:val="000000" w:themeColor="text1"/>
          <w:shd w:val="clear" w:color="auto" w:fill="FFFFFF"/>
          <w:lang w:val="fr-FR"/>
        </w:rPr>
        <w:t xml:space="preserve"> autres ont exprimé des doutes.</w:t>
      </w:r>
    </w:p>
    <w:p w14:paraId="042E57B4" w14:textId="6FD91CE8"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2</w:t>
      </w:r>
      <w:r w:rsidRPr="005B4699">
        <w:rPr>
          <w:rFonts w:eastAsia="Times New Roman"/>
          <w:lang w:val="fr-FR"/>
        </w:rPr>
        <w:t>)</w:t>
      </w:r>
      <w:r w:rsidRPr="005B4699">
        <w:rPr>
          <w:rFonts w:eastAsia="Times New Roman"/>
          <w:lang w:val="fr-FR"/>
        </w:rPr>
        <w:tab/>
        <w:t>De l</w:t>
      </w:r>
      <w:r>
        <w:rPr>
          <w:rFonts w:eastAsia="Times New Roman"/>
          <w:lang w:val="fr-FR"/>
        </w:rPr>
        <w:t>’</w:t>
      </w:r>
      <w:r w:rsidRPr="005B4699">
        <w:rPr>
          <w:rFonts w:eastAsia="Times New Roman"/>
          <w:lang w:val="fr-FR"/>
        </w:rPr>
        <w:t>avis de la Commission, étant donné la pratique susvisée, la p</w:t>
      </w:r>
      <w:r>
        <w:rPr>
          <w:rFonts w:eastAsia="Times New Roman"/>
          <w:lang w:val="fr-FR"/>
        </w:rPr>
        <w:t>rop</w:t>
      </w:r>
      <w:r w:rsidRPr="005B4699">
        <w:rPr>
          <w:rFonts w:eastAsia="Times New Roman"/>
          <w:lang w:val="fr-FR"/>
        </w:rPr>
        <w:t>osition générale énoncée dans le projet de conclusion 7, à savoir qu</w:t>
      </w:r>
      <w:r>
        <w:rPr>
          <w:rFonts w:eastAsia="Times New Roman"/>
          <w:lang w:val="fr-FR"/>
        </w:rPr>
        <w:t>’</w:t>
      </w:r>
      <w:r w:rsidRPr="005B4699">
        <w:rPr>
          <w:rFonts w:eastAsia="Times New Roman"/>
          <w:lang w:val="fr-FR"/>
        </w:rPr>
        <w:t>il n</w:t>
      </w:r>
      <w:r>
        <w:rPr>
          <w:rFonts w:eastAsia="Times New Roman"/>
          <w:lang w:val="fr-FR"/>
        </w:rPr>
        <w:t>’</w:t>
      </w:r>
      <w:r w:rsidRPr="005B4699">
        <w:rPr>
          <w:rFonts w:eastAsia="Times New Roman"/>
          <w:lang w:val="fr-FR"/>
        </w:rPr>
        <w:t xml:space="preserve">y a pas de système de précédents juridiquement contraignants en droit international, demeure valide. Toutefois, dans certaines circonstances telles que </w:t>
      </w:r>
      <w:r>
        <w:rPr>
          <w:rFonts w:eastAsia="Times New Roman"/>
          <w:lang w:val="fr-FR"/>
        </w:rPr>
        <w:t>celles</w:t>
      </w:r>
      <w:r w:rsidRPr="005B4699">
        <w:rPr>
          <w:rFonts w:eastAsia="Times New Roman"/>
          <w:lang w:val="fr-FR"/>
        </w:rPr>
        <w:t xml:space="preserve"> mentionnées dans les paragraphes qui précèdent, l</w:t>
      </w:r>
      <w:r>
        <w:rPr>
          <w:rFonts w:eastAsia="Times New Roman"/>
          <w:lang w:val="fr-FR"/>
        </w:rPr>
        <w:t>’</w:t>
      </w:r>
      <w:r w:rsidRPr="005B4699">
        <w:rPr>
          <w:rFonts w:eastAsia="Times New Roman"/>
          <w:lang w:val="fr-FR"/>
        </w:rPr>
        <w:t xml:space="preserve">obligation de suivre les décisions antérieures est établie soit dans un instrument spécifique soit dans une règle spécifique du droit international. </w:t>
      </w:r>
    </w:p>
    <w:p w14:paraId="00E74DA4" w14:textId="77777777" w:rsidR="004C5E26" w:rsidRPr="005B4699" w:rsidRDefault="004C5E26" w:rsidP="00AF4E47">
      <w:pPr>
        <w:pStyle w:val="H23G"/>
        <w:ind w:left="1701" w:firstLine="0"/>
        <w:rPr>
          <w:rFonts w:eastAsia="Times New Roman"/>
          <w:lang w:val="fr-FR"/>
        </w:rPr>
      </w:pPr>
      <w:r w:rsidRPr="007B5371">
        <w:rPr>
          <w:bCs/>
          <w:lang w:val="fr-FR"/>
        </w:rPr>
        <w:t>Conclusion</w:t>
      </w:r>
      <w:r w:rsidRPr="005B4699">
        <w:rPr>
          <w:rFonts w:eastAsia="Times New Roman"/>
          <w:lang w:val="fr-FR"/>
        </w:rPr>
        <w:t xml:space="preserve"> 8</w:t>
      </w:r>
      <w:r>
        <w:rPr>
          <w:rFonts w:eastAsia="Times New Roman"/>
          <w:lang w:val="fr-FR"/>
        </w:rPr>
        <w:t xml:space="preserve"> </w:t>
      </w:r>
      <w:r>
        <w:rPr>
          <w:rFonts w:eastAsia="Times New Roman"/>
          <w:lang w:val="fr-FR"/>
        </w:rPr>
        <w:br/>
      </w:r>
      <w:bookmarkStart w:id="69" w:name="_Hlk175323493"/>
      <w:r w:rsidRPr="005B4699">
        <w:rPr>
          <w:rFonts w:eastAsia="Times New Roman"/>
          <w:lang w:val="fr-FR"/>
        </w:rPr>
        <w:t xml:space="preserve">Poids des décisions des juridictions </w:t>
      </w:r>
      <w:bookmarkEnd w:id="69"/>
    </w:p>
    <w:p w14:paraId="449A375D" w14:textId="70B6481D" w:rsidR="004C5E26" w:rsidRPr="005B4699" w:rsidRDefault="0038638C" w:rsidP="004C5E26">
      <w:pPr>
        <w:pStyle w:val="SingleTxtG"/>
        <w:ind w:left="1701"/>
        <w:rPr>
          <w:lang w:val="fr-FR"/>
        </w:rPr>
      </w:pPr>
      <w:r>
        <w:rPr>
          <w:lang w:val="fr-FR"/>
        </w:rPr>
        <w:tab/>
      </w:r>
      <w:r w:rsidR="004C5E26" w:rsidRPr="005B4699">
        <w:rPr>
          <w:lang w:val="fr-FR"/>
        </w:rPr>
        <w:t>Aux fins de l</w:t>
      </w:r>
      <w:r w:rsidR="004C5E26">
        <w:rPr>
          <w:lang w:val="fr-FR"/>
        </w:rPr>
        <w:t>’</w:t>
      </w:r>
      <w:r w:rsidR="004C5E26" w:rsidRPr="005B4699">
        <w:rPr>
          <w:lang w:val="fr-FR"/>
        </w:rPr>
        <w:t>appréciation du poids à accorder aux décisions des juridictions et en sus des critères énoncés au projet de conclusion 3, une attention devrait être portée, entre autres, à</w:t>
      </w:r>
      <w:r w:rsidR="004C5E26">
        <w:rPr>
          <w:lang w:val="fr-FR"/>
        </w:rPr>
        <w:t> </w:t>
      </w:r>
      <w:r w:rsidR="004C5E26" w:rsidRPr="005B4699">
        <w:rPr>
          <w:lang w:val="fr-FR"/>
        </w:rPr>
        <w:t>:</w:t>
      </w:r>
    </w:p>
    <w:p w14:paraId="6B4AB9C2" w14:textId="3A09CF80" w:rsidR="004C5E26" w:rsidRPr="005B4699" w:rsidRDefault="004C5E26" w:rsidP="004C5E26">
      <w:pPr>
        <w:pStyle w:val="SingleTxtG"/>
        <w:ind w:left="1701" w:firstLine="567"/>
        <w:rPr>
          <w:rFonts w:eastAsia="Times New Roman"/>
          <w:bCs/>
          <w:lang w:val="fr-FR"/>
        </w:rPr>
      </w:pPr>
      <w:r w:rsidRPr="005B4699">
        <w:rPr>
          <w:rFonts w:eastAsia="Times New Roman"/>
          <w:bCs/>
          <w:lang w:val="fr-FR"/>
        </w:rPr>
        <w:t>a)</w:t>
      </w:r>
      <w:r w:rsidRPr="005B4699">
        <w:rPr>
          <w:rFonts w:eastAsia="Times New Roman"/>
          <w:bCs/>
          <w:lang w:val="fr-FR"/>
        </w:rPr>
        <w:tab/>
        <w:t xml:space="preserve">La question de savoir si la </w:t>
      </w:r>
      <w:r w:rsidRPr="007B5371">
        <w:rPr>
          <w:lang w:val="fr-FR"/>
        </w:rPr>
        <w:t>juridiction</w:t>
      </w:r>
      <w:r w:rsidRPr="005B4699">
        <w:rPr>
          <w:rFonts w:eastAsia="Times New Roman"/>
          <w:bCs/>
          <w:lang w:val="fr-FR"/>
        </w:rPr>
        <w:t xml:space="preserve"> s</w:t>
      </w:r>
      <w:r>
        <w:rPr>
          <w:rFonts w:eastAsia="Times New Roman"/>
          <w:bCs/>
          <w:lang w:val="fr-FR"/>
        </w:rPr>
        <w:t>’</w:t>
      </w:r>
      <w:r w:rsidRPr="005B4699">
        <w:rPr>
          <w:rFonts w:eastAsia="Times New Roman"/>
          <w:bCs/>
          <w:lang w:val="fr-FR"/>
        </w:rPr>
        <w:t>est vu conférer une compétence spécifique à l</w:t>
      </w:r>
      <w:r>
        <w:rPr>
          <w:rFonts w:eastAsia="Times New Roman"/>
          <w:bCs/>
          <w:lang w:val="fr-FR"/>
        </w:rPr>
        <w:t>’</w:t>
      </w:r>
      <w:r w:rsidRPr="005B4699">
        <w:rPr>
          <w:rFonts w:eastAsia="Times New Roman"/>
          <w:bCs/>
          <w:lang w:val="fr-FR"/>
        </w:rPr>
        <w:t>égard de l</w:t>
      </w:r>
      <w:r>
        <w:rPr>
          <w:rFonts w:eastAsia="Times New Roman"/>
          <w:bCs/>
          <w:lang w:val="fr-FR"/>
        </w:rPr>
        <w:t>’</w:t>
      </w:r>
      <w:r w:rsidRPr="005B4699">
        <w:rPr>
          <w:rFonts w:eastAsia="Times New Roman"/>
          <w:bCs/>
          <w:lang w:val="fr-FR"/>
        </w:rPr>
        <w:t>application de la règle en question</w:t>
      </w:r>
      <w:r>
        <w:rPr>
          <w:rFonts w:eastAsia="Times New Roman"/>
          <w:bCs/>
          <w:lang w:val="fr-FR"/>
        </w:rPr>
        <w:t> </w:t>
      </w:r>
      <w:r w:rsidRPr="005B4699">
        <w:rPr>
          <w:rFonts w:eastAsia="Times New Roman"/>
          <w:bCs/>
          <w:lang w:val="fr-FR"/>
        </w:rPr>
        <w:t>;</w:t>
      </w:r>
    </w:p>
    <w:p w14:paraId="2CC53E04" w14:textId="74FAE6BA" w:rsidR="004C5E26" w:rsidRPr="005B4699" w:rsidRDefault="004C5E26" w:rsidP="004C5E26">
      <w:pPr>
        <w:pStyle w:val="SingleTxtG"/>
        <w:ind w:left="1701" w:firstLine="567"/>
        <w:rPr>
          <w:rFonts w:eastAsia="Times New Roman"/>
          <w:bCs/>
          <w:lang w:val="fr-FR"/>
        </w:rPr>
      </w:pPr>
      <w:r w:rsidRPr="005B4699">
        <w:rPr>
          <w:rFonts w:eastAsia="Times New Roman"/>
          <w:bCs/>
          <w:lang w:val="fr-FR"/>
        </w:rPr>
        <w:t>b)</w:t>
      </w:r>
      <w:r w:rsidRPr="005B4699">
        <w:rPr>
          <w:rFonts w:eastAsia="Times New Roman"/>
          <w:bCs/>
          <w:lang w:val="fr-FR"/>
        </w:rPr>
        <w:tab/>
        <w:t xml:space="preserve">La mesure dans laquelle la décision </w:t>
      </w:r>
      <w:r w:rsidRPr="005B4699">
        <w:rPr>
          <w:lang w:val="fr-FR"/>
        </w:rPr>
        <w:t>fait</w:t>
      </w:r>
      <w:r w:rsidRPr="005B4699">
        <w:rPr>
          <w:rFonts w:eastAsia="Times New Roman"/>
          <w:bCs/>
          <w:lang w:val="fr-FR"/>
        </w:rPr>
        <w:t xml:space="preserve"> partie d</w:t>
      </w:r>
      <w:r>
        <w:rPr>
          <w:rFonts w:eastAsia="Times New Roman"/>
          <w:bCs/>
          <w:lang w:val="fr-FR"/>
        </w:rPr>
        <w:t>’</w:t>
      </w:r>
      <w:r w:rsidRPr="005B4699">
        <w:rPr>
          <w:rFonts w:eastAsia="Times New Roman"/>
          <w:bCs/>
          <w:lang w:val="fr-FR"/>
        </w:rPr>
        <w:t xml:space="preserve">un ensemble de décisions concordantes ; et </w:t>
      </w:r>
    </w:p>
    <w:p w14:paraId="25E8E0B8" w14:textId="77777777" w:rsidR="004C5E26" w:rsidRPr="005B4699" w:rsidRDefault="004C5E26" w:rsidP="004C5E26">
      <w:pPr>
        <w:pStyle w:val="SingleTxtG"/>
        <w:ind w:left="1701" w:firstLine="567"/>
        <w:rPr>
          <w:rFonts w:eastAsia="Times New Roman"/>
          <w:bCs/>
          <w:lang w:val="fr-FR"/>
        </w:rPr>
      </w:pPr>
      <w:r w:rsidRPr="005B4699">
        <w:rPr>
          <w:rFonts w:eastAsia="Times New Roman"/>
          <w:bCs/>
          <w:lang w:val="fr-FR"/>
        </w:rPr>
        <w:t>c)</w:t>
      </w:r>
      <w:r w:rsidRPr="005B4699">
        <w:rPr>
          <w:rFonts w:eastAsia="Times New Roman"/>
          <w:bCs/>
          <w:lang w:val="fr-FR"/>
        </w:rPr>
        <w:tab/>
        <w:t xml:space="preserve">La mesure dans laquelle le raisonnement reste pertinent au regard des développements ultérieurs. </w:t>
      </w:r>
    </w:p>
    <w:p w14:paraId="7201AE56" w14:textId="77777777" w:rsidR="004C5E26" w:rsidRPr="005B4699" w:rsidRDefault="004C5E26" w:rsidP="004C5E26">
      <w:pPr>
        <w:pStyle w:val="H23G"/>
        <w:rPr>
          <w:rFonts w:eastAsia="Times New Roman"/>
          <w:lang w:val="fr-FR"/>
        </w:rPr>
      </w:pPr>
      <w:r>
        <w:rPr>
          <w:shd w:val="clear" w:color="000000" w:fill="FFFFFF"/>
          <w:lang w:val="fr-FR"/>
        </w:rPr>
        <w:tab/>
      </w:r>
      <w:r>
        <w:rPr>
          <w:shd w:val="clear" w:color="000000" w:fill="FFFFFF"/>
          <w:lang w:val="fr-FR"/>
        </w:rPr>
        <w:tab/>
      </w:r>
      <w:r w:rsidRPr="007B5371">
        <w:rPr>
          <w:shd w:val="clear" w:color="000000" w:fill="FFFFFF"/>
          <w:lang w:val="fr-FR"/>
        </w:rPr>
        <w:t>Commentaire</w:t>
      </w:r>
    </w:p>
    <w:p w14:paraId="4589FB9F" w14:textId="32D6681B" w:rsidR="004C5E26" w:rsidRDefault="004C5E26" w:rsidP="004C5E26">
      <w:pPr>
        <w:pStyle w:val="SingleTxtG"/>
        <w:rPr>
          <w:rFonts w:eastAsia="Times New Roman"/>
          <w:lang w:val="fr-FR"/>
        </w:rPr>
      </w:pPr>
      <w:r w:rsidRPr="005B4699">
        <w:rPr>
          <w:rFonts w:eastAsia="Times New Roman"/>
          <w:lang w:val="fr-FR"/>
        </w:rPr>
        <w:t>1)</w:t>
      </w:r>
      <w:r w:rsidRPr="005B4699">
        <w:rPr>
          <w:rFonts w:eastAsia="Times New Roman"/>
          <w:lang w:val="fr-FR"/>
        </w:rPr>
        <w:tab/>
        <w:t>Le projet de conclusion 8 énonce des critères plus spécifiques pour guider ceux qui utilisent les décisions des juridictions pour déterminer l</w:t>
      </w:r>
      <w:r>
        <w:rPr>
          <w:rFonts w:eastAsia="Times New Roman"/>
          <w:lang w:val="fr-FR"/>
        </w:rPr>
        <w:t>’</w:t>
      </w:r>
      <w:r w:rsidRPr="005B4699">
        <w:rPr>
          <w:rFonts w:eastAsia="Times New Roman"/>
          <w:lang w:val="fr-FR"/>
        </w:rPr>
        <w:t>existence et le contenu des règles de droit international. Il développe les critères généraux d</w:t>
      </w:r>
      <w:r>
        <w:rPr>
          <w:rFonts w:eastAsia="Times New Roman"/>
          <w:lang w:val="fr-FR"/>
        </w:rPr>
        <w:t>’</w:t>
      </w:r>
      <w:r w:rsidRPr="005B4699">
        <w:rPr>
          <w:rFonts w:eastAsia="Times New Roman"/>
          <w:lang w:val="fr-FR"/>
        </w:rPr>
        <w:t>appréciation des moyens auxiliaires aux fins de la détermination des règles de droit international énoncés dans le projet de conclusion</w:t>
      </w:r>
      <w:r w:rsidR="00E46585">
        <w:rPr>
          <w:rFonts w:eastAsia="Times New Roman"/>
          <w:lang w:val="fr-FR"/>
        </w:rPr>
        <w:t> </w:t>
      </w:r>
      <w:r w:rsidRPr="005B4699">
        <w:rPr>
          <w:rFonts w:eastAsia="Times New Roman"/>
          <w:lang w:val="fr-FR"/>
        </w:rPr>
        <w:t>3. En d</w:t>
      </w:r>
      <w:r>
        <w:rPr>
          <w:rFonts w:eastAsia="Times New Roman"/>
          <w:lang w:val="fr-FR"/>
        </w:rPr>
        <w:t>’</w:t>
      </w:r>
      <w:r w:rsidRPr="005B4699">
        <w:rPr>
          <w:rFonts w:eastAsia="Times New Roman"/>
          <w:lang w:val="fr-FR"/>
        </w:rPr>
        <w:t>autres termes, alors que le projet de conclusion 3 concerne les critères généraux d</w:t>
      </w:r>
      <w:r>
        <w:rPr>
          <w:rFonts w:eastAsia="Times New Roman"/>
          <w:lang w:val="fr-FR"/>
        </w:rPr>
        <w:t>’</w:t>
      </w:r>
      <w:r w:rsidRPr="005B4699">
        <w:rPr>
          <w:rFonts w:eastAsia="Times New Roman"/>
          <w:lang w:val="fr-FR"/>
        </w:rPr>
        <w:t>appréciation du poids à accorder aux moyens auxiliaires, le projet de conclusion</w:t>
      </w:r>
      <w:r w:rsidR="00E46585">
        <w:rPr>
          <w:rFonts w:eastAsia="Times New Roman"/>
          <w:lang w:val="fr-FR"/>
        </w:rPr>
        <w:t> </w:t>
      </w:r>
      <w:r w:rsidRPr="005B4699">
        <w:rPr>
          <w:rFonts w:eastAsia="Times New Roman"/>
          <w:lang w:val="fr-FR"/>
        </w:rPr>
        <w:t>8</w:t>
      </w:r>
      <w:r>
        <w:rPr>
          <w:rStyle w:val="Appelnotedebasdep"/>
          <w:rFonts w:eastAsia="Times New Roman"/>
        </w:rPr>
        <w:footnoteReference w:id="152"/>
      </w:r>
      <w:r w:rsidRPr="005B4699">
        <w:rPr>
          <w:rFonts w:eastAsia="Times New Roman"/>
          <w:lang w:val="fr-FR"/>
        </w:rPr>
        <w:t xml:space="preserve"> a pour objet spécifique de clarifier comment les décisions des juridictions doivent être appréciées en énonçant les critères pertinents additionnels à prendre en compte pour procéder à une appréciation appropriée.</w:t>
      </w:r>
    </w:p>
    <w:p w14:paraId="5986EFA2" w14:textId="3F63AB1B" w:rsidR="004C5E26" w:rsidRPr="005B4699" w:rsidRDefault="004C5E26" w:rsidP="004C5E26">
      <w:pPr>
        <w:pStyle w:val="SingleTxtG"/>
        <w:rPr>
          <w:rFonts w:eastAsia="Times New Roman"/>
          <w:lang w:val="fr-FR"/>
        </w:rPr>
      </w:pPr>
      <w:r>
        <w:rPr>
          <w:rFonts w:eastAsia="Times New Roman"/>
          <w:lang w:val="fr-FR"/>
        </w:rPr>
        <w:t>2</w:t>
      </w:r>
      <w:r w:rsidRPr="005B4699">
        <w:rPr>
          <w:rFonts w:eastAsia="Times New Roman"/>
          <w:lang w:val="fr-FR"/>
        </w:rPr>
        <w:t>)</w:t>
      </w:r>
      <w:r w:rsidRPr="005B4699">
        <w:rPr>
          <w:rFonts w:eastAsia="Times New Roman"/>
          <w:lang w:val="fr-FR"/>
        </w:rPr>
        <w:tab/>
        <w:t xml:space="preserve">Les critères généraux </w:t>
      </w:r>
      <w:r>
        <w:rPr>
          <w:rFonts w:eastAsia="Times New Roman"/>
          <w:lang w:val="fr-FR"/>
        </w:rPr>
        <w:t>recommandaient</w:t>
      </w:r>
      <w:r w:rsidRPr="005B4699">
        <w:rPr>
          <w:rFonts w:eastAsia="Times New Roman"/>
          <w:lang w:val="fr-FR"/>
        </w:rPr>
        <w:t xml:space="preserve"> une appréciation du degré de représentativité des éléments utilisés comme moyens auxiliaires, de la qualité du raisonnement, de la </w:t>
      </w:r>
      <w:r w:rsidRPr="005B4699">
        <w:rPr>
          <w:rFonts w:eastAsia="Times New Roman"/>
          <w:lang w:val="fr-FR"/>
        </w:rPr>
        <w:lastRenderedPageBreak/>
        <w:t>compétence des personnes concernées, du degré d</w:t>
      </w:r>
      <w:r>
        <w:rPr>
          <w:rFonts w:eastAsia="Times New Roman"/>
          <w:lang w:val="fr-FR"/>
        </w:rPr>
        <w:t>’</w:t>
      </w:r>
      <w:r w:rsidRPr="005B4699">
        <w:rPr>
          <w:rFonts w:eastAsia="Times New Roman"/>
          <w:lang w:val="fr-FR"/>
        </w:rPr>
        <w:t>accord entre ces personnes, de l</w:t>
      </w:r>
      <w:r>
        <w:rPr>
          <w:rFonts w:eastAsia="Times New Roman"/>
          <w:lang w:val="fr-FR"/>
        </w:rPr>
        <w:t>’</w:t>
      </w:r>
      <w:r w:rsidRPr="005B4699">
        <w:rPr>
          <w:rFonts w:eastAsia="Times New Roman"/>
          <w:lang w:val="fr-FR"/>
        </w:rPr>
        <w:t>accueil reçu de la part des États et autres entités et, s</w:t>
      </w:r>
      <w:r>
        <w:rPr>
          <w:rFonts w:eastAsia="Times New Roman"/>
          <w:lang w:val="fr-FR"/>
        </w:rPr>
        <w:t>’</w:t>
      </w:r>
      <w:r w:rsidRPr="005B4699">
        <w:rPr>
          <w:rFonts w:eastAsia="Times New Roman"/>
          <w:lang w:val="fr-FR"/>
        </w:rPr>
        <w:t>il y a lieu, du mandat conféré à l</w:t>
      </w:r>
      <w:r>
        <w:rPr>
          <w:rFonts w:eastAsia="Times New Roman"/>
          <w:lang w:val="fr-FR"/>
        </w:rPr>
        <w:t>’</w:t>
      </w:r>
      <w:r w:rsidRPr="005B4699">
        <w:rPr>
          <w:rFonts w:eastAsia="Times New Roman"/>
          <w:lang w:val="fr-FR"/>
        </w:rPr>
        <w:t>organe. La Commission considère que, dans le contexte spécifique de l</w:t>
      </w:r>
      <w:r>
        <w:rPr>
          <w:rFonts w:eastAsia="Times New Roman"/>
          <w:lang w:val="fr-FR"/>
        </w:rPr>
        <w:t>’</w:t>
      </w:r>
      <w:r w:rsidRPr="005B4699">
        <w:rPr>
          <w:rFonts w:eastAsia="Times New Roman"/>
          <w:lang w:val="fr-FR"/>
        </w:rPr>
        <w:t>utilisation des décisions des juridictions, un poids ne devrait être accordé qu</w:t>
      </w:r>
      <w:r>
        <w:rPr>
          <w:rFonts w:eastAsia="Times New Roman"/>
          <w:lang w:val="fr-FR"/>
        </w:rPr>
        <w:t>’</w:t>
      </w:r>
      <w:r w:rsidRPr="005B4699">
        <w:rPr>
          <w:rFonts w:eastAsia="Times New Roman"/>
          <w:lang w:val="fr-FR"/>
        </w:rPr>
        <w:t xml:space="preserve">à certains seulement de ces critères généraux. De fait, le commentaire du projet de conclusion 3 énonçant les critères généraux anticipait ce point en </w:t>
      </w:r>
      <w:r>
        <w:rPr>
          <w:rFonts w:eastAsia="Times New Roman"/>
          <w:lang w:val="fr-FR"/>
        </w:rPr>
        <w:t>clarifi</w:t>
      </w:r>
      <w:r w:rsidRPr="005B4699">
        <w:rPr>
          <w:rFonts w:eastAsia="Times New Roman"/>
          <w:lang w:val="fr-FR"/>
        </w:rPr>
        <w:t xml:space="preserve">ant </w:t>
      </w:r>
      <w:r>
        <w:rPr>
          <w:rFonts w:eastAsia="Times New Roman"/>
          <w:lang w:val="fr-FR"/>
        </w:rPr>
        <w:t xml:space="preserve">ce qui suit : </w:t>
      </w:r>
      <w:r w:rsidRPr="005B4699">
        <w:rPr>
          <w:rFonts w:eastAsia="Times New Roman"/>
          <w:lang w:val="fr-FR"/>
        </w:rPr>
        <w:t>« quels facteurs sont pertinents, et dans quelle mesure, dépendra du moyen auxiliaire en question et des circonstances »</w:t>
      </w:r>
      <w:r w:rsidRPr="0053774D">
        <w:rPr>
          <w:rStyle w:val="Appelnotedebasdep"/>
        </w:rPr>
        <w:footnoteReference w:id="153"/>
      </w:r>
      <w:r>
        <w:rPr>
          <w:rFonts w:eastAsia="Times New Roman"/>
          <w:lang w:val="fr-FR"/>
        </w:rPr>
        <w:t>.</w:t>
      </w:r>
      <w:r w:rsidRPr="005B4699">
        <w:rPr>
          <w:rFonts w:eastAsia="Times New Roman"/>
          <w:lang w:val="fr-FR"/>
        </w:rPr>
        <w:t xml:space="preserve"> </w:t>
      </w:r>
      <w:r>
        <w:rPr>
          <w:rFonts w:eastAsia="Times New Roman"/>
          <w:lang w:val="fr-FR"/>
        </w:rPr>
        <w:t>Le</w:t>
      </w:r>
      <w:r w:rsidRPr="005B4699">
        <w:rPr>
          <w:rFonts w:eastAsia="Times New Roman"/>
          <w:lang w:val="fr-FR"/>
        </w:rPr>
        <w:t xml:space="preserve"> présent projet de conclusion vise à énoncer les critères</w:t>
      </w:r>
      <w:r>
        <w:rPr>
          <w:rFonts w:eastAsia="Times New Roman"/>
          <w:lang w:val="fr-FR"/>
        </w:rPr>
        <w:t xml:space="preserve"> supplémentaires</w:t>
      </w:r>
      <w:r w:rsidRPr="005B4699">
        <w:rPr>
          <w:rFonts w:eastAsia="Times New Roman"/>
          <w:lang w:val="fr-FR"/>
        </w:rPr>
        <w:t xml:space="preserve"> que la Commission considère comme particulièrement appropriés pour garantir que les décisions des juridictions se voient accorder le poids voulu en tant que moyen auxiliaire. </w:t>
      </w:r>
    </w:p>
    <w:p w14:paraId="28A3F0C5" w14:textId="77777777" w:rsidR="004C5E26" w:rsidRPr="005B4699" w:rsidRDefault="004C5E26" w:rsidP="004C5E26">
      <w:pPr>
        <w:pStyle w:val="H4G"/>
        <w:rPr>
          <w:lang w:val="fr-FR"/>
        </w:rPr>
      </w:pPr>
      <w:r>
        <w:rPr>
          <w:lang w:val="fr-FR"/>
        </w:rPr>
        <w:tab/>
      </w:r>
      <w:r>
        <w:rPr>
          <w:lang w:val="fr-FR"/>
        </w:rPr>
        <w:tab/>
      </w:r>
      <w:r w:rsidRPr="005B4699">
        <w:rPr>
          <w:lang w:val="fr-FR"/>
        </w:rPr>
        <w:t>Membre de phrase introductif du projet de conclusion 8</w:t>
      </w:r>
    </w:p>
    <w:p w14:paraId="34588404" w14:textId="7C873CA5" w:rsidR="004C5E26" w:rsidRPr="005B4699" w:rsidRDefault="004C5E26" w:rsidP="004C5E26">
      <w:pPr>
        <w:pStyle w:val="SingleTxtG"/>
        <w:rPr>
          <w:rFonts w:eastAsia="Times New Roman"/>
          <w:lang w:val="fr-FR"/>
        </w:rPr>
      </w:pPr>
      <w:r>
        <w:rPr>
          <w:rFonts w:eastAsia="Times New Roman"/>
          <w:lang w:val="fr-FR"/>
        </w:rPr>
        <w:t>3</w:t>
      </w:r>
      <w:r w:rsidRPr="005B4699">
        <w:rPr>
          <w:rFonts w:eastAsia="Times New Roman"/>
          <w:lang w:val="fr-FR"/>
        </w:rPr>
        <w:t>)</w:t>
      </w:r>
      <w:r w:rsidRPr="005B4699">
        <w:rPr>
          <w:rFonts w:eastAsia="Times New Roman"/>
          <w:lang w:val="fr-FR"/>
        </w:rPr>
        <w:tab/>
        <w:t>Le projet de conclusion 8 comprend un membre de phrase introductif suivi de trois alinéas. Pour des raisons de cohérence, le membre de phrase introductif du projet de conclusion</w:t>
      </w:r>
      <w:r w:rsidR="00E46585">
        <w:rPr>
          <w:rFonts w:eastAsia="Times New Roman"/>
          <w:lang w:val="fr-FR"/>
        </w:rPr>
        <w:t> </w:t>
      </w:r>
      <w:r w:rsidRPr="005B4699">
        <w:rPr>
          <w:rFonts w:eastAsia="Times New Roman"/>
          <w:lang w:val="fr-FR"/>
        </w:rPr>
        <w:t>8 est formulé de manière analogue au membre de phrase introductif du projet de conclusion</w:t>
      </w:r>
      <w:r w:rsidR="00E46585">
        <w:rPr>
          <w:rFonts w:eastAsia="Times New Roman"/>
          <w:lang w:val="fr-FR"/>
        </w:rPr>
        <w:t> </w:t>
      </w:r>
      <w:r w:rsidRPr="005B4699">
        <w:rPr>
          <w:rFonts w:eastAsia="Times New Roman"/>
          <w:lang w:val="fr-FR"/>
        </w:rPr>
        <w:t>3. Moyennant des ajustements textuels mineurs, le texte dispose que, « [a]</w:t>
      </w:r>
      <w:proofErr w:type="spellStart"/>
      <w:r w:rsidRPr="005B4699">
        <w:rPr>
          <w:rFonts w:eastAsia="Times New Roman"/>
          <w:lang w:val="fr-FR"/>
        </w:rPr>
        <w:t>ux</w:t>
      </w:r>
      <w:proofErr w:type="spellEnd"/>
      <w:r w:rsidRPr="005B4699">
        <w:rPr>
          <w:rFonts w:eastAsia="Times New Roman"/>
          <w:lang w:val="fr-FR"/>
        </w:rPr>
        <w:t xml:space="preserve"> fins de l</w:t>
      </w:r>
      <w:r>
        <w:rPr>
          <w:rFonts w:eastAsia="Times New Roman"/>
          <w:lang w:val="fr-FR"/>
        </w:rPr>
        <w:t>’</w:t>
      </w:r>
      <w:r w:rsidRPr="005B4699">
        <w:rPr>
          <w:rFonts w:eastAsia="Times New Roman"/>
          <w:lang w:val="fr-FR"/>
        </w:rPr>
        <w:t xml:space="preserve">appréciation du poids à accorder aux décisions des juridictions et en sus des critères énoncés au projet de conclusion 3, une attention devrait être portée, </w:t>
      </w:r>
      <w:r w:rsidRPr="005B4699">
        <w:rPr>
          <w:rFonts w:eastAsia="Times New Roman"/>
          <w:i/>
          <w:lang w:val="fr-FR"/>
        </w:rPr>
        <w:t>inter alia,</w:t>
      </w:r>
      <w:r w:rsidRPr="005B4699">
        <w:rPr>
          <w:rFonts w:eastAsia="Times New Roman"/>
          <w:lang w:val="fr-FR"/>
        </w:rPr>
        <w:t xml:space="preserve"> » </w:t>
      </w:r>
      <w:r w:rsidRPr="005B4699">
        <w:rPr>
          <w:rFonts w:eastAsia="Times New Roman"/>
          <w:iCs/>
          <w:lang w:val="fr-FR"/>
        </w:rPr>
        <w:t>à</w:t>
      </w:r>
      <w:r w:rsidRPr="005B4699">
        <w:rPr>
          <w:rFonts w:eastAsia="Times New Roman"/>
          <w:lang w:val="fr-FR"/>
        </w:rPr>
        <w:t xml:space="preserve"> trois facteurs énumérés aux alinéas a) à c), lorsque l</w:t>
      </w:r>
      <w:r>
        <w:rPr>
          <w:rFonts w:eastAsia="Times New Roman"/>
          <w:lang w:val="fr-FR"/>
        </w:rPr>
        <w:t>’</w:t>
      </w:r>
      <w:r w:rsidRPr="005B4699">
        <w:rPr>
          <w:rFonts w:eastAsia="Times New Roman"/>
          <w:lang w:val="fr-FR"/>
        </w:rPr>
        <w:t>on utilise ces décisions pour déterminer l</w:t>
      </w:r>
      <w:r>
        <w:rPr>
          <w:rFonts w:eastAsia="Times New Roman"/>
          <w:lang w:val="fr-FR"/>
        </w:rPr>
        <w:t>’</w:t>
      </w:r>
      <w:r w:rsidRPr="005B4699">
        <w:rPr>
          <w:rFonts w:eastAsia="Times New Roman"/>
          <w:lang w:val="fr-FR"/>
        </w:rPr>
        <w:t xml:space="preserve">existence et le contenu de règles du droit international. </w:t>
      </w:r>
    </w:p>
    <w:p w14:paraId="42CD6E1C" w14:textId="73054960" w:rsidR="004C5E26" w:rsidRPr="005B4699" w:rsidRDefault="004C5E26" w:rsidP="004C5E26">
      <w:pPr>
        <w:pStyle w:val="SingleTxtG"/>
        <w:rPr>
          <w:rFonts w:eastAsia="Times New Roman"/>
          <w:lang w:val="fr-FR"/>
        </w:rPr>
      </w:pPr>
      <w:r>
        <w:rPr>
          <w:rFonts w:eastAsia="Times New Roman"/>
          <w:lang w:val="fr-FR"/>
        </w:rPr>
        <w:t>4</w:t>
      </w:r>
      <w:r w:rsidRPr="005B4699">
        <w:rPr>
          <w:rFonts w:eastAsia="Times New Roman"/>
          <w:lang w:val="fr-FR"/>
        </w:rPr>
        <w:t>)</w:t>
      </w:r>
      <w:r w:rsidRPr="005B4699">
        <w:rPr>
          <w:rFonts w:eastAsia="Times New Roman"/>
          <w:lang w:val="fr-FR"/>
        </w:rPr>
        <w:tab/>
        <w:t>Parce qu</w:t>
      </w:r>
      <w:r>
        <w:rPr>
          <w:rFonts w:eastAsia="Times New Roman"/>
          <w:lang w:val="fr-FR"/>
        </w:rPr>
        <w:t>’</w:t>
      </w:r>
      <w:r w:rsidRPr="005B4699">
        <w:rPr>
          <w:rFonts w:eastAsia="Times New Roman"/>
          <w:lang w:val="fr-FR"/>
        </w:rPr>
        <w:t>il est formulé de manière analogue, bien qu</w:t>
      </w:r>
      <w:r>
        <w:rPr>
          <w:rFonts w:eastAsia="Times New Roman"/>
          <w:lang w:val="fr-FR"/>
        </w:rPr>
        <w:t>’</w:t>
      </w:r>
      <w:r w:rsidRPr="005B4699">
        <w:rPr>
          <w:rFonts w:eastAsia="Times New Roman"/>
          <w:lang w:val="fr-FR"/>
        </w:rPr>
        <w:t>en l</w:t>
      </w:r>
      <w:r>
        <w:rPr>
          <w:rFonts w:eastAsia="Times New Roman"/>
          <w:lang w:val="fr-FR"/>
        </w:rPr>
        <w:t>’</w:t>
      </w:r>
      <w:r w:rsidRPr="005B4699">
        <w:rPr>
          <w:rFonts w:eastAsia="Times New Roman"/>
          <w:lang w:val="fr-FR"/>
        </w:rPr>
        <w:t>espèce il vise spécifiquement les décisions des juridictions uniquement et non tous les moyens auxiliaires, le membre de phrase introductif incorpore les critères substantiels énoncés au projet de conclusion</w:t>
      </w:r>
      <w:r w:rsidR="00E46585">
        <w:rPr>
          <w:rFonts w:eastAsia="Times New Roman"/>
          <w:lang w:val="fr-FR"/>
        </w:rPr>
        <w:t> </w:t>
      </w:r>
      <w:r w:rsidRPr="005B4699">
        <w:rPr>
          <w:rFonts w:eastAsia="Times New Roman"/>
          <w:lang w:val="fr-FR"/>
        </w:rPr>
        <w:t>3. Pour éviter tout doute, le champ d</w:t>
      </w:r>
      <w:r>
        <w:rPr>
          <w:rFonts w:eastAsia="Times New Roman"/>
          <w:lang w:val="fr-FR"/>
        </w:rPr>
        <w:t>’</w:t>
      </w:r>
      <w:r w:rsidRPr="005B4699">
        <w:rPr>
          <w:rFonts w:eastAsia="Times New Roman"/>
          <w:lang w:val="fr-FR"/>
        </w:rPr>
        <w:t>application du terme « décisions des juridictions » est censé englober les décisions de tous types, qu</w:t>
      </w:r>
      <w:r>
        <w:rPr>
          <w:rFonts w:eastAsia="Times New Roman"/>
          <w:lang w:val="fr-FR"/>
        </w:rPr>
        <w:t>’</w:t>
      </w:r>
      <w:r w:rsidRPr="005B4699">
        <w:rPr>
          <w:rFonts w:eastAsia="Times New Roman"/>
          <w:lang w:val="fr-FR"/>
        </w:rPr>
        <w:t xml:space="preserve">elles émanent de juridictions internationales ou de juridictions nationales. </w:t>
      </w:r>
    </w:p>
    <w:p w14:paraId="5E060E26" w14:textId="3D66EBBC" w:rsidR="004C5E26" w:rsidRPr="00CB7F8D" w:rsidRDefault="004C5E26" w:rsidP="004C5E26">
      <w:pPr>
        <w:pStyle w:val="SingleTxtG"/>
        <w:rPr>
          <w:rFonts w:eastAsia="Times New Roman"/>
          <w:lang w:val="fr-FR"/>
        </w:rPr>
      </w:pPr>
      <w:r>
        <w:rPr>
          <w:rFonts w:eastAsia="Times New Roman"/>
          <w:lang w:val="fr-FR"/>
        </w:rPr>
        <w:t>5</w:t>
      </w:r>
      <w:r w:rsidRPr="00CB7F8D">
        <w:rPr>
          <w:rFonts w:eastAsia="Times New Roman"/>
          <w:lang w:val="fr-FR"/>
        </w:rPr>
        <w:t>)</w:t>
      </w:r>
      <w:r w:rsidRPr="00CB7F8D">
        <w:rPr>
          <w:rFonts w:eastAsia="Times New Roman"/>
          <w:lang w:val="fr-FR"/>
        </w:rPr>
        <w:tab/>
      </w:r>
      <w:r w:rsidRPr="005B4699">
        <w:rPr>
          <w:rFonts w:eastAsia="Times New Roman"/>
          <w:lang w:val="fr-FR"/>
        </w:rPr>
        <w:t>En indiquant expressément qu</w:t>
      </w:r>
      <w:r>
        <w:rPr>
          <w:rFonts w:eastAsia="Times New Roman"/>
          <w:lang w:val="fr-FR"/>
        </w:rPr>
        <w:t>’</w:t>
      </w:r>
      <w:r w:rsidRPr="005B4699">
        <w:rPr>
          <w:rFonts w:eastAsia="Times New Roman"/>
          <w:lang w:val="fr-FR"/>
        </w:rPr>
        <w:t>« une attention devrait être portée », la Commission indique que les trois facteurs spécifiques qui suivent dans ce projet de conclusion, bien qu</w:t>
      </w:r>
      <w:r>
        <w:rPr>
          <w:rFonts w:eastAsia="Times New Roman"/>
          <w:lang w:val="fr-FR"/>
        </w:rPr>
        <w:t>’</w:t>
      </w:r>
      <w:r w:rsidRPr="005B4699">
        <w:rPr>
          <w:rFonts w:eastAsia="Times New Roman"/>
          <w:lang w:val="fr-FR"/>
        </w:rPr>
        <w:t>ils soient souhaitables dans de nombreux cas, doivent s</w:t>
      </w:r>
      <w:r>
        <w:rPr>
          <w:rFonts w:eastAsia="Times New Roman"/>
          <w:lang w:val="fr-FR"/>
        </w:rPr>
        <w:t>’</w:t>
      </w:r>
      <w:r w:rsidRPr="005B4699">
        <w:rPr>
          <w:rFonts w:eastAsia="Times New Roman"/>
          <w:lang w:val="fr-FR"/>
        </w:rPr>
        <w:t>entendre comme une forme de directive et non comme des éléments contraignants. La formule « </w:t>
      </w:r>
      <w:r w:rsidRPr="005B4699">
        <w:rPr>
          <w:rFonts w:eastAsia="Times New Roman"/>
          <w:i/>
          <w:iCs/>
          <w:lang w:val="fr-FR"/>
        </w:rPr>
        <w:t>inter alia</w:t>
      </w:r>
      <w:r w:rsidRPr="005B4699">
        <w:rPr>
          <w:rFonts w:eastAsia="Times New Roman"/>
          <w:lang w:val="fr-FR"/>
        </w:rPr>
        <w:t> » confirme également que les critères énumérés ne font qu</w:t>
      </w:r>
      <w:r>
        <w:rPr>
          <w:rFonts w:eastAsia="Times New Roman"/>
          <w:lang w:val="fr-FR"/>
        </w:rPr>
        <w:t>’</w:t>
      </w:r>
      <w:r w:rsidRPr="005B4699">
        <w:rPr>
          <w:rFonts w:eastAsia="Times New Roman"/>
          <w:lang w:val="fr-FR"/>
        </w:rPr>
        <w:t xml:space="preserve">illustrer les cas de figure les plus probables. Elle vise aussi à rendre compte du fait que certains utilisateurs, par exemple des juridictions différentes, peuvent tenir compte de critères différents et leur accorder des poids différents. Par exemple, un tribunal peut accorder davantage de poids aux </w:t>
      </w:r>
      <w:r w:rsidRPr="00CB7F8D">
        <w:rPr>
          <w:rFonts w:eastAsia="Times New Roman"/>
          <w:lang w:val="fr-FR"/>
        </w:rPr>
        <w:t xml:space="preserve">décisions émanant </w:t>
      </w:r>
      <w:r>
        <w:rPr>
          <w:rFonts w:eastAsia="Times New Roman"/>
          <w:lang w:val="fr-FR"/>
        </w:rPr>
        <w:t>d’une</w:t>
      </w:r>
      <w:r w:rsidRPr="00CB7F8D">
        <w:rPr>
          <w:rFonts w:eastAsia="Times New Roman"/>
          <w:lang w:val="fr-FR"/>
        </w:rPr>
        <w:t xml:space="preserve"> même cour qu</w:t>
      </w:r>
      <w:r>
        <w:rPr>
          <w:rFonts w:eastAsia="Times New Roman"/>
          <w:lang w:val="fr-FR"/>
        </w:rPr>
        <w:t>’</w:t>
      </w:r>
      <w:r w:rsidRPr="00CB7F8D">
        <w:rPr>
          <w:rFonts w:eastAsia="Times New Roman"/>
          <w:lang w:val="fr-FR"/>
        </w:rPr>
        <w:t xml:space="preserve">à celles </w:t>
      </w:r>
      <w:r>
        <w:rPr>
          <w:rFonts w:eastAsia="Times New Roman"/>
          <w:lang w:val="fr-FR"/>
        </w:rPr>
        <w:t xml:space="preserve">adoptées par </w:t>
      </w:r>
      <w:r w:rsidRPr="00CB7F8D">
        <w:rPr>
          <w:rFonts w:eastAsia="Times New Roman"/>
          <w:lang w:val="fr-FR"/>
        </w:rPr>
        <w:t xml:space="preserve">une autre juridiction. </w:t>
      </w:r>
    </w:p>
    <w:p w14:paraId="2959A9D0" w14:textId="46BFE953" w:rsidR="004C5E26" w:rsidRPr="005B4699" w:rsidRDefault="004C5E26" w:rsidP="004C5E26">
      <w:pPr>
        <w:pStyle w:val="SingleTxtG"/>
        <w:rPr>
          <w:rFonts w:eastAsia="Times New Roman"/>
          <w:lang w:val="fr-FR"/>
        </w:rPr>
      </w:pPr>
      <w:r>
        <w:rPr>
          <w:rFonts w:eastAsia="Times New Roman"/>
          <w:lang w:val="fr-FR"/>
        </w:rPr>
        <w:t>6</w:t>
      </w:r>
      <w:r w:rsidRPr="005B4699">
        <w:rPr>
          <w:rFonts w:eastAsia="Times New Roman"/>
          <w:lang w:val="fr-FR"/>
        </w:rPr>
        <w:t>)</w:t>
      </w:r>
      <w:r w:rsidRPr="005B4699">
        <w:rPr>
          <w:rFonts w:eastAsia="Times New Roman"/>
          <w:lang w:val="fr-FR"/>
        </w:rPr>
        <w:tab/>
        <w:t>Enfin, tel qu</w:t>
      </w:r>
      <w:r>
        <w:rPr>
          <w:rFonts w:eastAsia="Times New Roman"/>
          <w:lang w:val="fr-FR"/>
        </w:rPr>
        <w:t>’</w:t>
      </w:r>
      <w:r w:rsidRPr="005B4699">
        <w:rPr>
          <w:rFonts w:eastAsia="Times New Roman"/>
          <w:lang w:val="fr-FR"/>
        </w:rPr>
        <w:t>il est formulé, le projet de conclusion 8 indique que les facteurs ou considérations qu</w:t>
      </w:r>
      <w:r>
        <w:rPr>
          <w:rFonts w:eastAsia="Times New Roman"/>
          <w:lang w:val="fr-FR"/>
        </w:rPr>
        <w:t>’</w:t>
      </w:r>
      <w:r w:rsidRPr="005B4699">
        <w:rPr>
          <w:rFonts w:eastAsia="Times New Roman"/>
          <w:lang w:val="fr-FR"/>
        </w:rPr>
        <w:t xml:space="preserve">il </w:t>
      </w:r>
      <w:r>
        <w:rPr>
          <w:rFonts w:eastAsia="Times New Roman"/>
          <w:lang w:val="fr-FR"/>
        </w:rPr>
        <w:t xml:space="preserve">énumère </w:t>
      </w:r>
      <w:r w:rsidRPr="005B4699">
        <w:rPr>
          <w:rFonts w:eastAsia="Times New Roman"/>
          <w:lang w:val="fr-FR"/>
        </w:rPr>
        <w:t xml:space="preserve">doivent être lus avec ceux </w:t>
      </w:r>
      <w:r>
        <w:rPr>
          <w:rFonts w:eastAsia="Times New Roman"/>
          <w:lang w:val="fr-FR"/>
        </w:rPr>
        <w:t>vis</w:t>
      </w:r>
      <w:r w:rsidRPr="005B4699">
        <w:rPr>
          <w:rFonts w:eastAsia="Times New Roman"/>
          <w:lang w:val="fr-FR"/>
        </w:rPr>
        <w:t>és dans le projet de conclusion 3. C</w:t>
      </w:r>
      <w:r>
        <w:rPr>
          <w:rFonts w:eastAsia="Times New Roman"/>
          <w:lang w:val="fr-FR"/>
        </w:rPr>
        <w:t>’</w:t>
      </w:r>
      <w:r w:rsidRPr="005B4699">
        <w:rPr>
          <w:rFonts w:eastAsia="Times New Roman"/>
          <w:lang w:val="fr-FR"/>
        </w:rPr>
        <w:t>est pourquoi la Commission indique qu</w:t>
      </w:r>
      <w:r>
        <w:rPr>
          <w:rFonts w:eastAsia="Times New Roman"/>
          <w:lang w:val="fr-FR"/>
        </w:rPr>
        <w:t>’</w:t>
      </w:r>
      <w:r w:rsidRPr="005B4699">
        <w:rPr>
          <w:rFonts w:eastAsia="Times New Roman"/>
          <w:lang w:val="fr-FR"/>
        </w:rPr>
        <w:t>il s</w:t>
      </w:r>
      <w:r>
        <w:rPr>
          <w:rFonts w:eastAsia="Times New Roman"/>
          <w:lang w:val="fr-FR"/>
        </w:rPr>
        <w:t>’</w:t>
      </w:r>
      <w:r w:rsidRPr="005B4699">
        <w:rPr>
          <w:rFonts w:eastAsia="Times New Roman"/>
          <w:lang w:val="fr-FR"/>
        </w:rPr>
        <w:t>agit de critères additionnels aux fins de l</w:t>
      </w:r>
      <w:r>
        <w:rPr>
          <w:rFonts w:eastAsia="Times New Roman"/>
          <w:lang w:val="fr-FR"/>
        </w:rPr>
        <w:t>’</w:t>
      </w:r>
      <w:r w:rsidRPr="005B4699">
        <w:rPr>
          <w:rFonts w:eastAsia="Times New Roman"/>
          <w:lang w:val="fr-FR"/>
        </w:rPr>
        <w:t>appréciation du poids à accorder aux décisions des juridictions. Ainsi, les facteurs spécifiques mentionnés dans le présent projet de conclusion visent à compléter les critères généraux d</w:t>
      </w:r>
      <w:r>
        <w:rPr>
          <w:rFonts w:eastAsia="Times New Roman"/>
          <w:lang w:val="fr-FR"/>
        </w:rPr>
        <w:t>’</w:t>
      </w:r>
      <w:r w:rsidRPr="005B4699">
        <w:rPr>
          <w:rFonts w:eastAsia="Times New Roman"/>
          <w:lang w:val="fr-FR"/>
        </w:rPr>
        <w:t>appréciation des moyens auxiliaires énoncés dans le projet de conclusion 3. Un</w:t>
      </w:r>
      <w:r>
        <w:rPr>
          <w:rFonts w:eastAsia="Times New Roman"/>
          <w:lang w:val="fr-FR"/>
        </w:rPr>
        <w:t> </w:t>
      </w:r>
      <w:r w:rsidRPr="005B4699">
        <w:rPr>
          <w:rFonts w:eastAsia="Times New Roman"/>
          <w:lang w:val="fr-FR"/>
        </w:rPr>
        <w:t>examen de chacun des trois critères spécifiques applicables à l</w:t>
      </w:r>
      <w:r>
        <w:rPr>
          <w:rFonts w:eastAsia="Times New Roman"/>
          <w:lang w:val="fr-FR"/>
        </w:rPr>
        <w:t>’</w:t>
      </w:r>
      <w:r w:rsidRPr="005B4699">
        <w:rPr>
          <w:rFonts w:eastAsia="Times New Roman"/>
          <w:lang w:val="fr-FR"/>
        </w:rPr>
        <w:t xml:space="preserve">appréciation du poids à accorder aux décisions des juridictions figure ci-après. </w:t>
      </w:r>
    </w:p>
    <w:p w14:paraId="6FD45A84" w14:textId="3E7EAB74" w:rsidR="004C5E26" w:rsidRPr="005B4699" w:rsidRDefault="004C5E26" w:rsidP="004C5E26">
      <w:pPr>
        <w:pStyle w:val="H4G"/>
        <w:rPr>
          <w:lang w:val="fr-FR"/>
        </w:rPr>
      </w:pPr>
      <w:r>
        <w:rPr>
          <w:lang w:val="fr-FR"/>
        </w:rPr>
        <w:tab/>
      </w:r>
      <w:r>
        <w:rPr>
          <w:lang w:val="fr-FR"/>
        </w:rPr>
        <w:tab/>
      </w:r>
      <w:r w:rsidRPr="005B4699">
        <w:rPr>
          <w:lang w:val="fr-FR"/>
        </w:rPr>
        <w:t xml:space="preserve">Alinéa a) </w:t>
      </w:r>
      <w:r>
        <w:rPr>
          <w:lang w:val="fr-FR"/>
        </w:rPr>
        <w:t>−</w:t>
      </w:r>
      <w:r w:rsidRPr="005B4699">
        <w:rPr>
          <w:lang w:val="fr-FR"/>
        </w:rPr>
        <w:t xml:space="preserve"> </w:t>
      </w:r>
      <w:r w:rsidR="00696ED1" w:rsidRPr="005B4699">
        <w:rPr>
          <w:lang w:val="fr-FR"/>
        </w:rPr>
        <w:t>Q</w:t>
      </w:r>
      <w:r w:rsidRPr="005B4699">
        <w:rPr>
          <w:lang w:val="fr-FR"/>
        </w:rPr>
        <w:t>uestion de savoir si la juridiction a une compétence spécifique</w:t>
      </w:r>
    </w:p>
    <w:p w14:paraId="40A15E82" w14:textId="78AC4F46" w:rsidR="004C5E26" w:rsidRDefault="004C5E26" w:rsidP="004C5E26">
      <w:pPr>
        <w:pStyle w:val="SingleTxtG"/>
        <w:rPr>
          <w:rFonts w:eastAsia="Times New Roman"/>
          <w:lang w:val="fr-FR"/>
        </w:rPr>
      </w:pPr>
      <w:r>
        <w:rPr>
          <w:rFonts w:eastAsia="Times New Roman"/>
          <w:lang w:val="fr-FR"/>
        </w:rPr>
        <w:t>7</w:t>
      </w:r>
      <w:r w:rsidRPr="005B4699">
        <w:rPr>
          <w:rFonts w:eastAsia="Times New Roman"/>
          <w:lang w:val="fr-FR"/>
        </w:rPr>
        <w:t>)</w:t>
      </w:r>
      <w:r w:rsidRPr="005B4699">
        <w:rPr>
          <w:rFonts w:eastAsia="Times New Roman"/>
          <w:lang w:val="fr-FR"/>
        </w:rPr>
        <w:tab/>
        <w:t>L</w:t>
      </w:r>
      <w:r>
        <w:rPr>
          <w:rFonts w:eastAsia="Times New Roman"/>
          <w:lang w:val="fr-FR"/>
        </w:rPr>
        <w:t>’</w:t>
      </w:r>
      <w:r w:rsidRPr="005B4699">
        <w:rPr>
          <w:rFonts w:eastAsia="Times New Roman"/>
          <w:lang w:val="fr-FR"/>
        </w:rPr>
        <w:t>alinéa a) du projet de conclusion 8 vise la question « de savoir si la juridiction s</w:t>
      </w:r>
      <w:r>
        <w:rPr>
          <w:rFonts w:eastAsia="Times New Roman"/>
          <w:lang w:val="fr-FR"/>
        </w:rPr>
        <w:t>’</w:t>
      </w:r>
      <w:r w:rsidRPr="005B4699">
        <w:rPr>
          <w:rFonts w:eastAsia="Times New Roman"/>
          <w:lang w:val="fr-FR"/>
        </w:rPr>
        <w:t>est vu conférer une compétence spécifique à l</w:t>
      </w:r>
      <w:r>
        <w:rPr>
          <w:rFonts w:eastAsia="Times New Roman"/>
          <w:lang w:val="fr-FR"/>
        </w:rPr>
        <w:t>’</w:t>
      </w:r>
      <w:r w:rsidRPr="005B4699">
        <w:rPr>
          <w:rFonts w:eastAsia="Times New Roman"/>
          <w:lang w:val="fr-FR"/>
        </w:rPr>
        <w:t>égard de l</w:t>
      </w:r>
      <w:r>
        <w:rPr>
          <w:rFonts w:eastAsia="Times New Roman"/>
          <w:lang w:val="fr-FR"/>
        </w:rPr>
        <w:t>’</w:t>
      </w:r>
      <w:r w:rsidRPr="005B4699">
        <w:rPr>
          <w:rFonts w:eastAsia="Times New Roman"/>
          <w:lang w:val="fr-FR"/>
        </w:rPr>
        <w:t>application de la règle en question ». Cette formulation est similaire au critère énoncé à l</w:t>
      </w:r>
      <w:r>
        <w:rPr>
          <w:rFonts w:eastAsia="Times New Roman"/>
          <w:lang w:val="fr-FR"/>
        </w:rPr>
        <w:t>’</w:t>
      </w:r>
      <w:r w:rsidRPr="005B4699">
        <w:rPr>
          <w:rFonts w:eastAsia="Times New Roman"/>
          <w:lang w:val="fr-FR"/>
        </w:rPr>
        <w:t>alinéa f) du projet de conclusion 3, qui vise le mandat spécifique conféré à un organe. Dans le contexte de cette disposition, le commentaire de la Commission a déjà expliqué qu</w:t>
      </w:r>
      <w:r>
        <w:rPr>
          <w:rFonts w:eastAsia="Times New Roman"/>
          <w:lang w:val="fr-FR"/>
        </w:rPr>
        <w:t>’</w:t>
      </w:r>
      <w:r w:rsidRPr="005B4699">
        <w:rPr>
          <w:rFonts w:eastAsia="Times New Roman"/>
          <w:lang w:val="fr-FR"/>
        </w:rPr>
        <w:t>une considération pertinente à prendre en compte était le point de savoir si un moyen auxiliaire particulier émanait d</w:t>
      </w:r>
      <w:r>
        <w:rPr>
          <w:rFonts w:eastAsia="Times New Roman"/>
          <w:lang w:val="fr-FR"/>
        </w:rPr>
        <w:t>’</w:t>
      </w:r>
      <w:r w:rsidRPr="005B4699">
        <w:rPr>
          <w:rFonts w:eastAsia="Times New Roman"/>
          <w:lang w:val="fr-FR"/>
        </w:rPr>
        <w:t>un organe opérant en vertu d</w:t>
      </w:r>
      <w:r>
        <w:rPr>
          <w:rFonts w:eastAsia="Times New Roman"/>
          <w:lang w:val="fr-FR"/>
        </w:rPr>
        <w:t>’</w:t>
      </w:r>
      <w:r w:rsidRPr="005B4699">
        <w:rPr>
          <w:rFonts w:eastAsia="Times New Roman"/>
          <w:lang w:val="fr-FR"/>
        </w:rPr>
        <w:t>un mandat officiel conféré par les États</w:t>
      </w:r>
      <w:r w:rsidRPr="0053774D">
        <w:rPr>
          <w:rStyle w:val="Appelnotedebasdep"/>
        </w:rPr>
        <w:footnoteReference w:id="154"/>
      </w:r>
      <w:r>
        <w:rPr>
          <w:rFonts w:eastAsia="Times New Roman"/>
          <w:lang w:val="fr-FR"/>
        </w:rPr>
        <w:t>.</w:t>
      </w:r>
      <w:r w:rsidRPr="005B4699">
        <w:rPr>
          <w:rFonts w:eastAsia="Times New Roman"/>
          <w:lang w:val="fr-FR"/>
        </w:rPr>
        <w:t xml:space="preserve"> Il était en outre expliqué que ce critère général devait être utilisé pour déterminer, par exemple, s</w:t>
      </w:r>
      <w:r>
        <w:rPr>
          <w:rFonts w:eastAsia="Times New Roman"/>
          <w:lang w:val="fr-FR"/>
        </w:rPr>
        <w:t>’</w:t>
      </w:r>
      <w:r w:rsidRPr="005B4699">
        <w:rPr>
          <w:rFonts w:eastAsia="Times New Roman"/>
          <w:lang w:val="fr-FR"/>
        </w:rPr>
        <w:t>il convenait d</w:t>
      </w:r>
      <w:r>
        <w:rPr>
          <w:rFonts w:eastAsia="Times New Roman"/>
          <w:lang w:val="fr-FR"/>
        </w:rPr>
        <w:t>’</w:t>
      </w:r>
      <w:r w:rsidRPr="005B4699">
        <w:rPr>
          <w:rFonts w:eastAsia="Times New Roman"/>
          <w:lang w:val="fr-FR"/>
        </w:rPr>
        <w:t xml:space="preserve">accorder une </w:t>
      </w:r>
      <w:r w:rsidRPr="005B4699">
        <w:rPr>
          <w:rFonts w:eastAsia="Times New Roman"/>
          <w:lang w:val="fr-FR"/>
        </w:rPr>
        <w:lastRenderedPageBreak/>
        <w:t>attention particulière aux décisions d</w:t>
      </w:r>
      <w:r>
        <w:rPr>
          <w:rFonts w:eastAsia="Times New Roman"/>
          <w:lang w:val="fr-FR"/>
        </w:rPr>
        <w:t>’</w:t>
      </w:r>
      <w:r w:rsidRPr="005B4699">
        <w:rPr>
          <w:rFonts w:eastAsia="Times New Roman"/>
          <w:lang w:val="fr-FR"/>
        </w:rPr>
        <w:t>une juridiction particulière et, dans l</w:t>
      </w:r>
      <w:r>
        <w:rPr>
          <w:rFonts w:eastAsia="Times New Roman"/>
          <w:lang w:val="fr-FR"/>
        </w:rPr>
        <w:t>’</w:t>
      </w:r>
      <w:r w:rsidRPr="005B4699">
        <w:rPr>
          <w:rFonts w:eastAsia="Times New Roman"/>
          <w:lang w:val="fr-FR"/>
        </w:rPr>
        <w:t>affirmative, d</w:t>
      </w:r>
      <w:r>
        <w:rPr>
          <w:rFonts w:eastAsia="Times New Roman"/>
          <w:lang w:val="fr-FR"/>
        </w:rPr>
        <w:t>’</w:t>
      </w:r>
      <w:r w:rsidRPr="005B4699">
        <w:rPr>
          <w:rFonts w:eastAsia="Times New Roman"/>
          <w:lang w:val="fr-FR"/>
        </w:rPr>
        <w:t>accorder à celle</w:t>
      </w:r>
      <w:r>
        <w:rPr>
          <w:rFonts w:eastAsia="Times New Roman"/>
          <w:lang w:val="fr-FR"/>
        </w:rPr>
        <w:t>s</w:t>
      </w:r>
      <w:r w:rsidRPr="005B4699">
        <w:rPr>
          <w:rFonts w:eastAsia="Times New Roman"/>
          <w:lang w:val="fr-FR"/>
        </w:rPr>
        <w:t>-ci un poids plus important</w:t>
      </w:r>
      <w:r w:rsidRPr="0053774D">
        <w:rPr>
          <w:rStyle w:val="Appelnotedebasdep"/>
        </w:rPr>
        <w:footnoteReference w:id="155"/>
      </w:r>
      <w:r>
        <w:rPr>
          <w:rFonts w:eastAsia="Times New Roman"/>
          <w:lang w:val="fr-FR"/>
        </w:rPr>
        <w:t>.</w:t>
      </w:r>
      <w:r w:rsidRPr="005B4699">
        <w:rPr>
          <w:rFonts w:eastAsia="Times New Roman"/>
          <w:lang w:val="fr-FR"/>
        </w:rPr>
        <w:t xml:space="preserve"> Plusieurs exemples étaient donnés de juridictions spécialisées dotées de compétences spécifiques en diverses matières, comme le droit de la mer (le Tribunal international du droit de la mer), le droit international pénal et humanitaire (les tribunaux pénaux internationaux ad hoc et la Cour pénale internationale) et le droit commercial international (l</w:t>
      </w:r>
      <w:r>
        <w:rPr>
          <w:rFonts w:eastAsia="Times New Roman"/>
          <w:lang w:val="fr-FR"/>
        </w:rPr>
        <w:t>’</w:t>
      </w:r>
      <w:r w:rsidRPr="005B4699">
        <w:rPr>
          <w:rFonts w:eastAsia="Times New Roman"/>
          <w:lang w:val="fr-FR"/>
        </w:rPr>
        <w:t>Organe de règlement des différends de l</w:t>
      </w:r>
      <w:r>
        <w:rPr>
          <w:rFonts w:eastAsia="Times New Roman"/>
          <w:lang w:val="fr-FR"/>
        </w:rPr>
        <w:t>’</w:t>
      </w:r>
      <w:r w:rsidRPr="005B4699">
        <w:rPr>
          <w:rFonts w:eastAsia="Times New Roman"/>
          <w:lang w:val="fr-FR"/>
        </w:rPr>
        <w:t>Organisation mondiale du commerce)</w:t>
      </w:r>
      <w:r w:rsidRPr="0053774D">
        <w:rPr>
          <w:rStyle w:val="Appelnotedebasdep"/>
        </w:rPr>
        <w:footnoteReference w:id="156"/>
      </w:r>
      <w:r>
        <w:rPr>
          <w:rFonts w:eastAsia="Times New Roman"/>
          <w:lang w:val="fr-FR"/>
        </w:rPr>
        <w:t>.</w:t>
      </w:r>
    </w:p>
    <w:p w14:paraId="09B37214" w14:textId="7F6EBCB4" w:rsidR="004C5E26" w:rsidRPr="005B4699" w:rsidRDefault="004C5E26" w:rsidP="004C5E26">
      <w:pPr>
        <w:pStyle w:val="SingleTxtG"/>
        <w:rPr>
          <w:rFonts w:eastAsia="Times New Roman"/>
          <w:lang w:val="fr-FR"/>
        </w:rPr>
      </w:pPr>
      <w:r>
        <w:rPr>
          <w:rFonts w:eastAsia="Times New Roman"/>
          <w:lang w:val="fr-FR"/>
        </w:rPr>
        <w:t>8</w:t>
      </w:r>
      <w:r w:rsidRPr="005B4699">
        <w:rPr>
          <w:rFonts w:eastAsia="Times New Roman"/>
          <w:lang w:val="fr-FR"/>
        </w:rPr>
        <w:t>)</w:t>
      </w:r>
      <w:r w:rsidRPr="005B4699">
        <w:rPr>
          <w:rFonts w:eastAsia="Times New Roman"/>
          <w:lang w:val="fr-FR"/>
        </w:rPr>
        <w:tab/>
        <w:t>Dans le cadre du projet de conclusion 8, qui porte spécifiquement sur le poids des décisions des juridictions, la Commission a jugé approprié de refléter plus directement la pratique des juridictions internationales</w:t>
      </w:r>
      <w:bookmarkStart w:id="70" w:name="_Ref175313869"/>
      <w:r w:rsidRPr="0053774D">
        <w:rPr>
          <w:rStyle w:val="Appelnotedebasdep"/>
        </w:rPr>
        <w:footnoteReference w:id="157"/>
      </w:r>
      <w:bookmarkEnd w:id="70"/>
      <w:r>
        <w:rPr>
          <w:rFonts w:eastAsia="Times New Roman"/>
          <w:lang w:val="fr-FR"/>
        </w:rPr>
        <w:t>,</w:t>
      </w:r>
      <w:r w:rsidRPr="005B4699">
        <w:rPr>
          <w:rFonts w:eastAsia="Times New Roman"/>
          <w:lang w:val="fr-FR"/>
        </w:rPr>
        <w:t xml:space="preserve"> régionales</w:t>
      </w:r>
      <w:r w:rsidRPr="0053774D">
        <w:rPr>
          <w:rStyle w:val="Appelnotedebasdep"/>
        </w:rPr>
        <w:footnoteReference w:id="158"/>
      </w:r>
      <w:r w:rsidRPr="005B4699">
        <w:rPr>
          <w:rFonts w:eastAsia="Times New Roman"/>
          <w:lang w:val="fr-FR"/>
        </w:rPr>
        <w:t xml:space="preserve"> et nationales</w:t>
      </w:r>
      <w:r w:rsidRPr="0053774D">
        <w:rPr>
          <w:rStyle w:val="Appelnotedebasdep"/>
        </w:rPr>
        <w:footnoteReference w:id="159"/>
      </w:r>
      <w:r w:rsidRPr="005B4699">
        <w:rPr>
          <w:rFonts w:eastAsia="Times New Roman"/>
          <w:lang w:val="fr-FR"/>
        </w:rPr>
        <w:t xml:space="preserve"> dans le cadre de laquelle la compétence spécifique conférée à une juridiction s</w:t>
      </w:r>
      <w:r>
        <w:rPr>
          <w:rFonts w:eastAsia="Times New Roman"/>
          <w:lang w:val="fr-FR"/>
        </w:rPr>
        <w:t>’</w:t>
      </w:r>
      <w:r w:rsidRPr="005B4699">
        <w:rPr>
          <w:rFonts w:eastAsia="Times New Roman"/>
          <w:lang w:val="fr-FR"/>
        </w:rPr>
        <w:t>agissant d</w:t>
      </w:r>
      <w:r>
        <w:rPr>
          <w:rFonts w:eastAsia="Times New Roman"/>
          <w:lang w:val="fr-FR"/>
        </w:rPr>
        <w:t>’</w:t>
      </w:r>
      <w:r w:rsidRPr="005B4699">
        <w:rPr>
          <w:rFonts w:eastAsia="Times New Roman"/>
          <w:lang w:val="fr-FR"/>
        </w:rPr>
        <w:t>appliquer un traité particulier est considérée comme une considération pertinente dans l</w:t>
      </w:r>
      <w:r>
        <w:rPr>
          <w:rFonts w:eastAsia="Times New Roman"/>
          <w:lang w:val="fr-FR"/>
        </w:rPr>
        <w:t>’</w:t>
      </w:r>
      <w:r w:rsidRPr="005B4699">
        <w:rPr>
          <w:rFonts w:eastAsia="Times New Roman"/>
          <w:lang w:val="fr-FR"/>
        </w:rPr>
        <w:t>appréciation du poids à accorder aux prononcés de cette juridiction. À cet égard, par exemple, la Cour internationale de Justice a renvoyé en au moins sept occasions à des textes, notamment des décisions concernant des cas individuels, émanant de cours et commissions régionales des droits de l</w:t>
      </w:r>
      <w:r>
        <w:rPr>
          <w:rFonts w:eastAsia="Times New Roman"/>
          <w:lang w:val="fr-FR"/>
        </w:rPr>
        <w:t>’</w:t>
      </w:r>
      <w:r w:rsidRPr="005B4699">
        <w:rPr>
          <w:rFonts w:eastAsia="Times New Roman"/>
          <w:lang w:val="fr-FR"/>
        </w:rPr>
        <w:t>homme et d</w:t>
      </w:r>
      <w:r>
        <w:rPr>
          <w:rFonts w:eastAsia="Times New Roman"/>
          <w:lang w:val="fr-FR"/>
        </w:rPr>
        <w:t>’</w:t>
      </w:r>
      <w:r w:rsidRPr="005B4699">
        <w:rPr>
          <w:rFonts w:eastAsia="Times New Roman"/>
          <w:lang w:val="fr-FR"/>
        </w:rPr>
        <w:t>organes conventionnels de défense des droits de l</w:t>
      </w:r>
      <w:r>
        <w:rPr>
          <w:rFonts w:eastAsia="Times New Roman"/>
          <w:lang w:val="fr-FR"/>
        </w:rPr>
        <w:t>’</w:t>
      </w:r>
      <w:r w:rsidRPr="005B4699">
        <w:rPr>
          <w:rFonts w:eastAsia="Times New Roman"/>
          <w:lang w:val="fr-FR"/>
        </w:rPr>
        <w:t>homme</w:t>
      </w:r>
      <w:r w:rsidRPr="0053774D">
        <w:rPr>
          <w:rStyle w:val="Appelnotedebasdep"/>
        </w:rPr>
        <w:footnoteReference w:id="160"/>
      </w:r>
      <w:r>
        <w:rPr>
          <w:rFonts w:eastAsia="Times New Roman"/>
          <w:lang w:val="fr-FR"/>
        </w:rPr>
        <w:t>.</w:t>
      </w:r>
      <w:r w:rsidRPr="005B4699">
        <w:rPr>
          <w:rFonts w:eastAsia="Times New Roman"/>
          <w:lang w:val="fr-FR"/>
        </w:rPr>
        <w:t xml:space="preserve"> Ainsi, avec ce critère, la Commission suit la pratique </w:t>
      </w:r>
      <w:r>
        <w:rPr>
          <w:rFonts w:eastAsia="Times New Roman"/>
          <w:lang w:val="fr-FR"/>
        </w:rPr>
        <w:t>recommandant</w:t>
      </w:r>
      <w:r w:rsidRPr="005B4699">
        <w:rPr>
          <w:rFonts w:eastAsia="Times New Roman"/>
          <w:lang w:val="fr-FR"/>
        </w:rPr>
        <w:t xml:space="preserve"> d</w:t>
      </w:r>
      <w:r>
        <w:rPr>
          <w:rFonts w:eastAsia="Times New Roman"/>
          <w:lang w:val="fr-FR"/>
        </w:rPr>
        <w:t>’</w:t>
      </w:r>
      <w:r w:rsidRPr="005B4699">
        <w:rPr>
          <w:rFonts w:eastAsia="Times New Roman"/>
          <w:lang w:val="fr-FR"/>
        </w:rPr>
        <w:t>apprécier si l</w:t>
      </w:r>
      <w:r>
        <w:rPr>
          <w:rFonts w:eastAsia="Times New Roman"/>
          <w:lang w:val="fr-FR"/>
        </w:rPr>
        <w:t>’</w:t>
      </w:r>
      <w:r w:rsidRPr="005B4699">
        <w:rPr>
          <w:rFonts w:eastAsia="Times New Roman"/>
          <w:lang w:val="fr-FR"/>
        </w:rPr>
        <w:t xml:space="preserve">organe concerné est </w:t>
      </w:r>
      <w:r w:rsidRPr="005B4699">
        <w:rPr>
          <w:rFonts w:eastAsia="Times New Roman"/>
          <w:lang w:val="fr-FR"/>
        </w:rPr>
        <w:lastRenderedPageBreak/>
        <w:t>doté d</w:t>
      </w:r>
      <w:r>
        <w:rPr>
          <w:rFonts w:eastAsia="Times New Roman"/>
          <w:lang w:val="fr-FR"/>
        </w:rPr>
        <w:t>’</w:t>
      </w:r>
      <w:r w:rsidRPr="005B4699">
        <w:rPr>
          <w:rFonts w:eastAsia="Times New Roman"/>
          <w:lang w:val="fr-FR"/>
        </w:rPr>
        <w:t>une compétence spécifique à l</w:t>
      </w:r>
      <w:r>
        <w:rPr>
          <w:rFonts w:eastAsia="Times New Roman"/>
          <w:lang w:val="fr-FR"/>
        </w:rPr>
        <w:t>’</w:t>
      </w:r>
      <w:r w:rsidRPr="005B4699">
        <w:rPr>
          <w:rFonts w:eastAsia="Times New Roman"/>
          <w:lang w:val="fr-FR"/>
        </w:rPr>
        <w:t>égard de l</w:t>
      </w:r>
      <w:r>
        <w:rPr>
          <w:rFonts w:eastAsia="Times New Roman"/>
          <w:lang w:val="fr-FR"/>
        </w:rPr>
        <w:t>’</w:t>
      </w:r>
      <w:r w:rsidRPr="005B4699">
        <w:rPr>
          <w:rFonts w:eastAsia="Times New Roman"/>
          <w:lang w:val="fr-FR"/>
        </w:rPr>
        <w:t>application de la règle en question. Avant d</w:t>
      </w:r>
      <w:r>
        <w:rPr>
          <w:rFonts w:eastAsia="Times New Roman"/>
          <w:lang w:val="fr-FR"/>
        </w:rPr>
        <w:t>’</w:t>
      </w:r>
      <w:r w:rsidRPr="005B4699">
        <w:rPr>
          <w:rFonts w:eastAsia="Times New Roman"/>
          <w:lang w:val="fr-FR"/>
        </w:rPr>
        <w:t>évoquer un exemple spécifique, il convient de faire observer que si le plus souvent la compétence d</w:t>
      </w:r>
      <w:r>
        <w:rPr>
          <w:rFonts w:eastAsia="Times New Roman"/>
          <w:lang w:val="fr-FR"/>
        </w:rPr>
        <w:t>’</w:t>
      </w:r>
      <w:r w:rsidRPr="005B4699">
        <w:rPr>
          <w:rFonts w:eastAsia="Times New Roman"/>
          <w:lang w:val="fr-FR"/>
        </w:rPr>
        <w:t xml:space="preserve">une juridiction peut être appréciée en consultant le traité concerné, </w:t>
      </w:r>
      <w:r>
        <w:rPr>
          <w:rFonts w:eastAsia="Times New Roman"/>
          <w:lang w:val="fr-FR"/>
        </w:rPr>
        <w:t xml:space="preserve">il peut arriver que </w:t>
      </w:r>
      <w:r w:rsidRPr="005B4699">
        <w:rPr>
          <w:rFonts w:eastAsia="Times New Roman"/>
          <w:lang w:val="fr-FR"/>
        </w:rPr>
        <w:t xml:space="preserve">des juridictions </w:t>
      </w:r>
      <w:r>
        <w:rPr>
          <w:rFonts w:eastAsia="Times New Roman"/>
          <w:lang w:val="fr-FR"/>
        </w:rPr>
        <w:t>qui ne possèdent pas</w:t>
      </w:r>
      <w:r w:rsidRPr="005B4699">
        <w:rPr>
          <w:rFonts w:eastAsia="Times New Roman"/>
          <w:lang w:val="fr-FR"/>
        </w:rPr>
        <w:t xml:space="preserve"> initialement la compétence </w:t>
      </w:r>
      <w:r>
        <w:rPr>
          <w:rFonts w:eastAsia="Times New Roman"/>
          <w:lang w:val="fr-FR"/>
        </w:rPr>
        <w:t>en question</w:t>
      </w:r>
      <w:r w:rsidRPr="005B4699">
        <w:rPr>
          <w:rFonts w:eastAsia="Times New Roman"/>
          <w:lang w:val="fr-FR"/>
        </w:rPr>
        <w:t xml:space="preserve"> </w:t>
      </w:r>
      <w:r>
        <w:rPr>
          <w:rFonts w:eastAsia="Times New Roman"/>
          <w:lang w:val="fr-FR"/>
        </w:rPr>
        <w:t xml:space="preserve">se la voient conférée par </w:t>
      </w:r>
      <w:r w:rsidRPr="005B4699">
        <w:rPr>
          <w:rFonts w:eastAsia="Times New Roman"/>
          <w:lang w:val="fr-FR"/>
        </w:rPr>
        <w:t xml:space="preserve">des développements ultérieurs </w:t>
      </w:r>
      <w:r>
        <w:rPr>
          <w:rFonts w:eastAsia="Times New Roman"/>
          <w:lang w:val="fr-FR"/>
        </w:rPr>
        <w:t>−</w:t>
      </w:r>
      <w:r w:rsidRPr="005B4699">
        <w:rPr>
          <w:rFonts w:eastAsia="Times New Roman"/>
          <w:lang w:val="fr-FR"/>
        </w:rPr>
        <w:t xml:space="preserve"> notamment </w:t>
      </w:r>
      <w:r>
        <w:rPr>
          <w:rFonts w:eastAsia="Times New Roman"/>
          <w:lang w:val="fr-FR"/>
        </w:rPr>
        <w:t>constitués par</w:t>
      </w:r>
      <w:r w:rsidRPr="005B4699">
        <w:rPr>
          <w:rFonts w:eastAsia="Times New Roman"/>
          <w:lang w:val="fr-FR"/>
        </w:rPr>
        <w:t xml:space="preserve"> un moyen auxiliaire </w:t>
      </w:r>
      <w:r>
        <w:rPr>
          <w:rFonts w:eastAsia="Times New Roman"/>
          <w:lang w:val="fr-FR"/>
        </w:rPr>
        <w:t>tel qu’</w:t>
      </w:r>
      <w:r w:rsidRPr="005B4699">
        <w:rPr>
          <w:rFonts w:eastAsia="Times New Roman"/>
          <w:lang w:val="fr-FR"/>
        </w:rPr>
        <w:t>une décision judiciaire ou une série de décisions judiciaires</w:t>
      </w:r>
      <w:r w:rsidRPr="0053774D">
        <w:rPr>
          <w:rStyle w:val="Appelnotedebasdep"/>
        </w:rPr>
        <w:footnoteReference w:id="161"/>
      </w:r>
      <w:r>
        <w:rPr>
          <w:rFonts w:eastAsia="Times New Roman"/>
          <w:lang w:val="fr-FR"/>
        </w:rPr>
        <w:t>.</w:t>
      </w:r>
    </w:p>
    <w:p w14:paraId="442C1C5E" w14:textId="2AEF5F81" w:rsidR="004C5E26" w:rsidRPr="00F80FC3" w:rsidRDefault="004C5E26" w:rsidP="004C5E26">
      <w:pPr>
        <w:pStyle w:val="SingleTxtG"/>
        <w:rPr>
          <w:rFonts w:eastAsia="Times New Roman"/>
          <w:lang w:val="fr-CA"/>
        </w:rPr>
      </w:pPr>
      <w:r w:rsidRPr="00A10FB9">
        <w:rPr>
          <w:rFonts w:eastAsia="Times New Roman"/>
          <w:lang w:val="fr-FR"/>
        </w:rPr>
        <w:t>9)</w:t>
      </w:r>
      <w:r w:rsidRPr="00A10FB9">
        <w:rPr>
          <w:rFonts w:eastAsia="Times New Roman"/>
          <w:lang w:val="fr-FR"/>
        </w:rPr>
        <w:tab/>
        <w:t xml:space="preserve">À titre d’exemple, dans l’affaire </w:t>
      </w:r>
      <w:r w:rsidRPr="00A10FB9">
        <w:rPr>
          <w:rFonts w:eastAsia="Times New Roman"/>
          <w:i/>
          <w:lang w:val="fr-FR"/>
        </w:rPr>
        <w:t>Ahmadou Sadio</w:t>
      </w:r>
      <w:r w:rsidRPr="00A10FB9">
        <w:rPr>
          <w:rFonts w:eastAsia="Times New Roman"/>
          <w:lang w:val="fr-FR"/>
        </w:rPr>
        <w:t xml:space="preserve"> </w:t>
      </w:r>
      <w:r w:rsidRPr="00A10FB9">
        <w:rPr>
          <w:rFonts w:eastAsia="Times New Roman"/>
          <w:i/>
          <w:lang w:val="fr-FR"/>
        </w:rPr>
        <w:t>Diallo</w:t>
      </w:r>
      <w:r w:rsidRPr="00A10FB9">
        <w:rPr>
          <w:rFonts w:eastAsia="Times New Roman"/>
          <w:lang w:val="fr-FR"/>
        </w:rPr>
        <w:t>, la Cour internationale de Justice a souligné que bien qu’elle ne soit aucunement tenue de le faire dans l’exercice de ses fonctions judiciaires, elle pouv</w:t>
      </w:r>
      <w:r>
        <w:rPr>
          <w:rFonts w:eastAsia="Times New Roman"/>
          <w:lang w:val="fr-FR"/>
        </w:rPr>
        <w:t xml:space="preserve">ait, </w:t>
      </w:r>
      <w:r w:rsidRPr="005B4699">
        <w:rPr>
          <w:rFonts w:eastAsia="Times New Roman"/>
          <w:lang w:val="fr-FR"/>
        </w:rPr>
        <w:t>dans l</w:t>
      </w:r>
      <w:r>
        <w:rPr>
          <w:rFonts w:eastAsia="Times New Roman"/>
          <w:lang w:val="fr-FR"/>
        </w:rPr>
        <w:t>’</w:t>
      </w:r>
      <w:r w:rsidRPr="005B4699">
        <w:rPr>
          <w:rFonts w:eastAsia="Times New Roman"/>
          <w:lang w:val="fr-FR"/>
        </w:rPr>
        <w:t>application d</w:t>
      </w:r>
      <w:r>
        <w:rPr>
          <w:rFonts w:eastAsia="Times New Roman"/>
          <w:lang w:val="fr-FR"/>
        </w:rPr>
        <w:t>’</w:t>
      </w:r>
      <w:r w:rsidRPr="005B4699">
        <w:rPr>
          <w:rFonts w:eastAsia="Times New Roman"/>
          <w:lang w:val="fr-FR"/>
        </w:rPr>
        <w:t>un traité régional ou international de protection des droits de l</w:t>
      </w:r>
      <w:r>
        <w:rPr>
          <w:rFonts w:eastAsia="Times New Roman"/>
          <w:lang w:val="fr-FR"/>
        </w:rPr>
        <w:t>’</w:t>
      </w:r>
      <w:r w:rsidRPr="005B4699">
        <w:rPr>
          <w:rFonts w:eastAsia="Times New Roman"/>
          <w:lang w:val="fr-FR"/>
        </w:rPr>
        <w:t>homme</w:t>
      </w:r>
      <w:r>
        <w:rPr>
          <w:rFonts w:eastAsia="Times New Roman"/>
          <w:lang w:val="fr-FR"/>
        </w:rPr>
        <w:t xml:space="preserve">, </w:t>
      </w:r>
      <w:r w:rsidRPr="005B4699">
        <w:rPr>
          <w:rFonts w:eastAsia="Times New Roman"/>
          <w:lang w:val="fr-FR"/>
        </w:rPr>
        <w:t xml:space="preserve">tenir compte des </w:t>
      </w:r>
      <w:r>
        <w:rPr>
          <w:rFonts w:eastAsia="Times New Roman"/>
          <w:lang w:val="fr-FR"/>
        </w:rPr>
        <w:t>travaux des</w:t>
      </w:r>
      <w:r w:rsidRPr="005B4699">
        <w:rPr>
          <w:rFonts w:eastAsia="Times New Roman"/>
          <w:lang w:val="fr-FR"/>
        </w:rPr>
        <w:t xml:space="preserve"> organes indépendants établis pour superviser l</w:t>
      </w:r>
      <w:r>
        <w:rPr>
          <w:rFonts w:eastAsia="Times New Roman"/>
          <w:lang w:val="fr-FR"/>
        </w:rPr>
        <w:t>’</w:t>
      </w:r>
      <w:r w:rsidRPr="005B4699">
        <w:rPr>
          <w:rFonts w:eastAsia="Times New Roman"/>
          <w:lang w:val="fr-FR"/>
        </w:rPr>
        <w:t xml:space="preserve">application </w:t>
      </w:r>
      <w:r w:rsidRPr="00D76AFF">
        <w:rPr>
          <w:rFonts w:eastAsia="Times New Roman"/>
          <w:lang w:val="fr-FR"/>
        </w:rPr>
        <w:t>d</w:t>
      </w:r>
      <w:r>
        <w:rPr>
          <w:rFonts w:eastAsia="Times New Roman"/>
          <w:lang w:val="fr-FR"/>
        </w:rPr>
        <w:t>u</w:t>
      </w:r>
      <w:r w:rsidRPr="00D76AFF">
        <w:rPr>
          <w:rFonts w:eastAsia="Times New Roman"/>
          <w:lang w:val="fr-FR"/>
        </w:rPr>
        <w:t xml:space="preserve"> traité</w:t>
      </w:r>
      <w:r>
        <w:rPr>
          <w:rFonts w:eastAsia="Times New Roman"/>
          <w:lang w:val="fr-FR"/>
        </w:rPr>
        <w:t xml:space="preserve"> en question afin de garantir la</w:t>
      </w:r>
      <w:r w:rsidRPr="005B4699">
        <w:rPr>
          <w:rFonts w:eastAsia="Times New Roman"/>
          <w:lang w:val="fr-FR"/>
        </w:rPr>
        <w:t xml:space="preserve"> clarté</w:t>
      </w:r>
      <w:r>
        <w:rPr>
          <w:rFonts w:eastAsia="Times New Roman"/>
          <w:lang w:val="fr-FR"/>
        </w:rPr>
        <w:t xml:space="preserve"> et l’indispensable</w:t>
      </w:r>
      <w:r w:rsidRPr="005B4699">
        <w:rPr>
          <w:rFonts w:eastAsia="Times New Roman"/>
          <w:lang w:val="fr-FR"/>
        </w:rPr>
        <w:t xml:space="preserve"> cohérence</w:t>
      </w:r>
      <w:r>
        <w:rPr>
          <w:rFonts w:eastAsia="Times New Roman"/>
          <w:lang w:val="fr-FR"/>
        </w:rPr>
        <w:t xml:space="preserve"> du droit international ainsi que la</w:t>
      </w:r>
      <w:r w:rsidRPr="005B4699">
        <w:rPr>
          <w:rFonts w:eastAsia="Times New Roman"/>
          <w:lang w:val="fr-FR"/>
        </w:rPr>
        <w:t xml:space="preserve"> sécurité juridique pour les individus et les États</w:t>
      </w:r>
      <w:r>
        <w:rPr>
          <w:rFonts w:eastAsia="Times New Roman"/>
          <w:lang w:val="fr-FR"/>
        </w:rPr>
        <w:t xml:space="preserve"> concernés</w:t>
      </w:r>
      <w:r w:rsidR="00A10FB9">
        <w:rPr>
          <w:rStyle w:val="Appelnotedebasdep"/>
          <w:rFonts w:eastAsia="Times New Roman"/>
        </w:rPr>
        <w:footnoteReference w:id="162"/>
      </w:r>
      <w:r>
        <w:rPr>
          <w:rFonts w:eastAsia="Times New Roman"/>
          <w:lang w:val="fr-FR"/>
        </w:rPr>
        <w:t>.</w:t>
      </w:r>
      <w:r w:rsidRPr="005B4699">
        <w:rPr>
          <w:rFonts w:eastAsia="Times New Roman"/>
          <w:lang w:val="fr-FR"/>
        </w:rPr>
        <w:t xml:space="preserve"> Ainsi, la Cour </w:t>
      </w:r>
      <w:r>
        <w:rPr>
          <w:rFonts w:eastAsia="Times New Roman"/>
          <w:lang w:val="fr-FR"/>
        </w:rPr>
        <w:t>a invoqué</w:t>
      </w:r>
      <w:r w:rsidRPr="005B4699">
        <w:rPr>
          <w:rFonts w:eastAsia="Times New Roman"/>
          <w:lang w:val="fr-FR"/>
        </w:rPr>
        <w:t xml:space="preserve"> la « jurisprudence interprétative considérable</w:t>
      </w:r>
      <w:r w:rsidRPr="0053774D">
        <w:rPr>
          <w:rStyle w:val="Appelnotedebasdep"/>
        </w:rPr>
        <w:footnoteReference w:id="163"/>
      </w:r>
      <w:r w:rsidRPr="005B4699">
        <w:rPr>
          <w:rFonts w:eastAsia="Times New Roman"/>
          <w:lang w:val="fr-FR"/>
        </w:rPr>
        <w:t> » du Comité des droits de l</w:t>
      </w:r>
      <w:r>
        <w:rPr>
          <w:rFonts w:eastAsia="Times New Roman"/>
          <w:lang w:val="fr-FR"/>
        </w:rPr>
        <w:t>’</w:t>
      </w:r>
      <w:r w:rsidRPr="005B4699">
        <w:rPr>
          <w:rFonts w:eastAsia="Times New Roman"/>
          <w:lang w:val="fr-FR"/>
        </w:rPr>
        <w:t xml:space="preserve">homme, </w:t>
      </w:r>
      <w:r>
        <w:rPr>
          <w:rFonts w:eastAsia="Times New Roman"/>
          <w:lang w:val="fr-FR"/>
        </w:rPr>
        <w:t>qui, bien qu’il ne soit pas un tribunal, a été expressément chargé par les États de superviser l’application du</w:t>
      </w:r>
      <w:r w:rsidRPr="005B4699">
        <w:rPr>
          <w:rFonts w:eastAsia="Times New Roman"/>
          <w:lang w:val="fr-FR"/>
        </w:rPr>
        <w:t xml:space="preserve"> Pacte international relatif aux droits civils et politiques</w:t>
      </w:r>
      <w:r w:rsidRPr="0053774D">
        <w:rPr>
          <w:rStyle w:val="Appelnotedebasdep"/>
        </w:rPr>
        <w:footnoteReference w:id="164"/>
      </w:r>
      <w:r>
        <w:rPr>
          <w:rFonts w:eastAsia="Times New Roman"/>
          <w:lang w:val="fr-FR"/>
        </w:rPr>
        <w:t xml:space="preserve">. La Cour a fini par conclure </w:t>
      </w:r>
      <w:r w:rsidRPr="005B4699">
        <w:rPr>
          <w:rFonts w:eastAsia="Times New Roman"/>
          <w:lang w:val="fr-FR"/>
        </w:rPr>
        <w:t>qu</w:t>
      </w:r>
      <w:r>
        <w:rPr>
          <w:rFonts w:eastAsia="Times New Roman"/>
          <w:lang w:val="fr-FR"/>
        </w:rPr>
        <w:t>’</w:t>
      </w:r>
      <w:r w:rsidRPr="005B4699">
        <w:rPr>
          <w:rFonts w:eastAsia="Times New Roman"/>
          <w:lang w:val="fr-FR"/>
        </w:rPr>
        <w:t>elle « </w:t>
      </w:r>
      <w:proofErr w:type="spellStart"/>
      <w:r>
        <w:rPr>
          <w:rFonts w:eastAsia="Times New Roman"/>
          <w:lang w:val="fr-FR"/>
        </w:rPr>
        <w:t>estim</w:t>
      </w:r>
      <w:proofErr w:type="spellEnd"/>
      <w:r>
        <w:rPr>
          <w:rFonts w:eastAsia="Times New Roman"/>
          <w:lang w:val="fr-FR"/>
        </w:rPr>
        <w:t xml:space="preserve">[ait] </w:t>
      </w:r>
      <w:r w:rsidRPr="005B4699">
        <w:rPr>
          <w:rFonts w:eastAsia="Times New Roman"/>
          <w:lang w:val="fr-FR"/>
        </w:rPr>
        <w:t xml:space="preserve">devoir accorder </w:t>
      </w:r>
      <w:r w:rsidRPr="005B4699">
        <w:rPr>
          <w:rFonts w:eastAsia="Times New Roman"/>
          <w:i/>
          <w:iCs/>
          <w:lang w:val="fr-FR"/>
        </w:rPr>
        <w:t>une grande considération</w:t>
      </w:r>
      <w:r w:rsidRPr="005B4699">
        <w:rPr>
          <w:rFonts w:eastAsia="Times New Roman"/>
          <w:lang w:val="fr-FR"/>
        </w:rPr>
        <w:t xml:space="preserve"> à l</w:t>
      </w:r>
      <w:r>
        <w:rPr>
          <w:rFonts w:eastAsia="Times New Roman"/>
          <w:lang w:val="fr-FR"/>
        </w:rPr>
        <w:t>’</w:t>
      </w:r>
      <w:r w:rsidRPr="005B4699">
        <w:rPr>
          <w:rFonts w:eastAsia="Times New Roman"/>
          <w:lang w:val="fr-FR"/>
        </w:rPr>
        <w:t>interprétation adoptée par cet organe indépendant, spécialement établi en vue de superviser l</w:t>
      </w:r>
      <w:r>
        <w:rPr>
          <w:rFonts w:eastAsia="Times New Roman"/>
          <w:lang w:val="fr-FR"/>
        </w:rPr>
        <w:t>’</w:t>
      </w:r>
      <w:r w:rsidRPr="005B4699">
        <w:rPr>
          <w:rFonts w:eastAsia="Times New Roman"/>
          <w:lang w:val="fr-FR"/>
        </w:rPr>
        <w:t>application de ce traité</w:t>
      </w:r>
      <w:r w:rsidRPr="0053774D">
        <w:rPr>
          <w:rStyle w:val="Appelnotedebasdep"/>
        </w:rPr>
        <w:footnoteReference w:id="165"/>
      </w:r>
      <w:r w:rsidRPr="005B4699">
        <w:rPr>
          <w:rFonts w:eastAsia="Times New Roman"/>
          <w:lang w:val="fr-FR"/>
        </w:rPr>
        <w:t> »</w:t>
      </w:r>
      <w:r>
        <w:rPr>
          <w:rFonts w:eastAsia="Times New Roman"/>
          <w:lang w:val="fr-FR"/>
        </w:rPr>
        <w:t>.</w:t>
      </w:r>
      <w:r w:rsidRPr="005B4699">
        <w:rPr>
          <w:rFonts w:eastAsia="Times New Roman"/>
          <w:lang w:val="fr-FR"/>
        </w:rPr>
        <w:t xml:space="preserve"> </w:t>
      </w:r>
    </w:p>
    <w:p w14:paraId="6B491757" w14:textId="24C87900" w:rsidR="004C5E26" w:rsidRPr="005B4699" w:rsidRDefault="004C5E26" w:rsidP="004C5E26">
      <w:pPr>
        <w:pStyle w:val="SingleTxtG"/>
        <w:rPr>
          <w:rFonts w:eastAsia="Times New Roman"/>
          <w:lang w:val="fr-FR"/>
        </w:rPr>
      </w:pPr>
      <w:r>
        <w:rPr>
          <w:rFonts w:eastAsia="Times New Roman"/>
          <w:lang w:val="fr-FR"/>
        </w:rPr>
        <w:t>10</w:t>
      </w:r>
      <w:r w:rsidRPr="005B4699">
        <w:rPr>
          <w:rFonts w:eastAsia="Times New Roman"/>
          <w:lang w:val="fr-FR"/>
        </w:rPr>
        <w:t>)</w:t>
      </w:r>
      <w:r w:rsidRPr="005B4699">
        <w:rPr>
          <w:rFonts w:eastAsia="Times New Roman"/>
          <w:lang w:val="fr-FR"/>
        </w:rPr>
        <w:tab/>
        <w:t>De même, au sujet de son interprétation d</w:t>
      </w:r>
      <w:r>
        <w:rPr>
          <w:rFonts w:eastAsia="Times New Roman"/>
          <w:lang w:val="fr-FR"/>
        </w:rPr>
        <w:t>’</w:t>
      </w:r>
      <w:r w:rsidRPr="005B4699">
        <w:rPr>
          <w:rFonts w:eastAsia="Times New Roman"/>
          <w:lang w:val="fr-FR"/>
        </w:rPr>
        <w:t>une disposition spécifique de la Charte africaine des droits de l</w:t>
      </w:r>
      <w:r>
        <w:rPr>
          <w:rFonts w:eastAsia="Times New Roman"/>
          <w:lang w:val="fr-FR"/>
        </w:rPr>
        <w:t>’</w:t>
      </w:r>
      <w:r w:rsidRPr="005B4699">
        <w:rPr>
          <w:rFonts w:eastAsia="Times New Roman"/>
          <w:lang w:val="fr-FR"/>
        </w:rPr>
        <w:t>homme et des peuples, conforme à la « jurisprudence »</w:t>
      </w:r>
      <w:r w:rsidRPr="0053774D">
        <w:rPr>
          <w:rStyle w:val="Appelnotedebasdep"/>
        </w:rPr>
        <w:footnoteReference w:id="166"/>
      </w:r>
      <w:r w:rsidRPr="005B4699">
        <w:rPr>
          <w:rFonts w:eastAsia="Times New Roman"/>
          <w:lang w:val="fr-FR"/>
        </w:rPr>
        <w:t xml:space="preserve"> de la Commission africaine des droits de l</w:t>
      </w:r>
      <w:r>
        <w:rPr>
          <w:rFonts w:eastAsia="Times New Roman"/>
          <w:lang w:val="fr-FR"/>
        </w:rPr>
        <w:t>’</w:t>
      </w:r>
      <w:r w:rsidRPr="005B4699">
        <w:rPr>
          <w:rFonts w:eastAsia="Times New Roman"/>
          <w:lang w:val="fr-FR"/>
        </w:rPr>
        <w:t xml:space="preserve">homme et des peuples </w:t>
      </w:r>
      <w:r>
        <w:rPr>
          <w:rFonts w:eastAsia="Times New Roman"/>
          <w:lang w:val="fr-FR"/>
        </w:rPr>
        <w:t>−</w:t>
      </w:r>
      <w:r w:rsidRPr="005B4699">
        <w:rPr>
          <w:rFonts w:eastAsia="Times New Roman"/>
          <w:lang w:val="fr-FR"/>
        </w:rPr>
        <w:t xml:space="preserve"> un organe quasi</w:t>
      </w:r>
      <w:r w:rsidR="00A10FB9">
        <w:rPr>
          <w:rFonts w:eastAsia="Times New Roman"/>
          <w:lang w:val="fr-FR"/>
        </w:rPr>
        <w:t xml:space="preserve"> </w:t>
      </w:r>
      <w:r w:rsidRPr="005B4699">
        <w:rPr>
          <w:rFonts w:eastAsia="Times New Roman"/>
          <w:lang w:val="fr-FR"/>
        </w:rPr>
        <w:t xml:space="preserve">judiciaire établi par la Charte africaine </w:t>
      </w:r>
      <w:r>
        <w:rPr>
          <w:rFonts w:eastAsia="Times New Roman"/>
          <w:lang w:val="fr-FR"/>
        </w:rPr>
        <w:t>−</w:t>
      </w:r>
      <w:r w:rsidRPr="005B4699">
        <w:rPr>
          <w:rFonts w:eastAsia="Times New Roman"/>
          <w:lang w:val="fr-FR"/>
        </w:rPr>
        <w:t>, la Cour internationale de Justice a souligné qu</w:t>
      </w:r>
      <w:r>
        <w:rPr>
          <w:rFonts w:eastAsia="Times New Roman"/>
          <w:lang w:val="fr-FR"/>
        </w:rPr>
        <w:t>’</w:t>
      </w:r>
      <w:r w:rsidRPr="005B4699">
        <w:rPr>
          <w:rFonts w:eastAsia="Times New Roman"/>
          <w:lang w:val="fr-FR"/>
        </w:rPr>
        <w:t>il importait de tenir « </w:t>
      </w:r>
      <w:r w:rsidRPr="005B4699">
        <w:rPr>
          <w:rFonts w:eastAsia="Times New Roman"/>
          <w:i/>
          <w:iCs/>
          <w:lang w:val="fr-FR"/>
        </w:rPr>
        <w:t xml:space="preserve">dûment compte </w:t>
      </w:r>
      <w:r w:rsidRPr="005B4699">
        <w:rPr>
          <w:rFonts w:eastAsia="Times New Roman"/>
          <w:lang w:val="fr-FR"/>
        </w:rPr>
        <w:t>de l</w:t>
      </w:r>
      <w:r>
        <w:rPr>
          <w:rFonts w:eastAsia="Times New Roman"/>
          <w:lang w:val="fr-FR"/>
        </w:rPr>
        <w:t>’</w:t>
      </w:r>
      <w:r w:rsidRPr="005B4699">
        <w:rPr>
          <w:rFonts w:eastAsia="Times New Roman"/>
          <w:lang w:val="fr-FR"/>
        </w:rPr>
        <w:t>interprétation dudit instrument adopté[e] par les organes indépendants qui ont été spécialement créés, si tel a été le cas, en vue de contrôler la bonne application du traité en cause</w:t>
      </w:r>
      <w:r w:rsidRPr="0053774D">
        <w:rPr>
          <w:rStyle w:val="Appelnotedebasdep"/>
        </w:rPr>
        <w:footnoteReference w:id="167"/>
      </w:r>
      <w:r w:rsidRPr="005B4699">
        <w:rPr>
          <w:rFonts w:eastAsia="Times New Roman"/>
          <w:lang w:val="fr-FR"/>
        </w:rPr>
        <w:t> »</w:t>
      </w:r>
      <w:r>
        <w:rPr>
          <w:rFonts w:eastAsia="Times New Roman"/>
          <w:lang w:val="fr-FR"/>
        </w:rPr>
        <w:t>.</w:t>
      </w:r>
    </w:p>
    <w:p w14:paraId="6E115299" w14:textId="0AC92549" w:rsidR="004C5E26" w:rsidRPr="00A10FB9" w:rsidRDefault="004C5E26" w:rsidP="004C5E26">
      <w:pPr>
        <w:pStyle w:val="SingleTxtG"/>
        <w:rPr>
          <w:rFonts w:eastAsia="Times New Roman"/>
          <w:lang w:val="fr-FR"/>
        </w:rPr>
      </w:pPr>
      <w:r w:rsidRPr="00A10FB9">
        <w:rPr>
          <w:rFonts w:eastAsia="Times New Roman"/>
          <w:lang w:val="fr-FR"/>
        </w:rPr>
        <w:t>11)</w:t>
      </w:r>
      <w:r w:rsidRPr="00A10FB9">
        <w:rPr>
          <w:rFonts w:eastAsia="Times New Roman"/>
          <w:lang w:val="fr-FR"/>
        </w:rPr>
        <w:tab/>
        <w:t>De plus, dans l’affaire de l’</w:t>
      </w:r>
      <w:r w:rsidRPr="00A10FB9">
        <w:rPr>
          <w:rFonts w:eastAsia="Times New Roman"/>
          <w:i/>
          <w:lang w:val="fr-FR"/>
        </w:rPr>
        <w:t xml:space="preserve">Application de la </w:t>
      </w:r>
      <w:r w:rsidR="003F311C" w:rsidRPr="00A10FB9">
        <w:rPr>
          <w:rFonts w:eastAsia="Times New Roman"/>
          <w:i/>
          <w:lang w:val="fr-FR"/>
        </w:rPr>
        <w:t>c</w:t>
      </w:r>
      <w:r w:rsidRPr="00A10FB9">
        <w:rPr>
          <w:rFonts w:eastAsia="Times New Roman"/>
          <w:i/>
          <w:lang w:val="fr-FR"/>
        </w:rPr>
        <w:t>onvention internationale sur l’élimination de toutes les formes de discrimination raciale</w:t>
      </w:r>
      <w:r w:rsidRPr="00A10FB9">
        <w:rPr>
          <w:rFonts w:eastAsia="Times New Roman"/>
          <w:lang w:val="fr-FR"/>
        </w:rPr>
        <w:t xml:space="preserve">, la Cour a rappelé que « dans sa jurisprudence, elle a pris en compte la pratique des comités établis en vertu de conventions relatives aux droits de l’homme, ainsi que la pratique des cours régionales des droits de </w:t>
      </w:r>
      <w:r w:rsidRPr="00A10FB9">
        <w:rPr>
          <w:rFonts w:eastAsia="Times New Roman"/>
          <w:lang w:val="fr-FR"/>
        </w:rPr>
        <w:lastRenderedPageBreak/>
        <w:t>l’homme, dans la mesure où celles-ci étaient pertinentes aux fins de l’interprétation »</w:t>
      </w:r>
      <w:r w:rsidRPr="00A10FB9">
        <w:rPr>
          <w:rStyle w:val="Appelnotedebasdep"/>
        </w:rPr>
        <w:footnoteReference w:id="168"/>
      </w:r>
      <w:r w:rsidRPr="00A10FB9">
        <w:rPr>
          <w:rFonts w:eastAsia="Times New Roman"/>
          <w:lang w:val="fr-FR"/>
        </w:rPr>
        <w:t>, bien qu’elle ait aussi réaffirmé qu’elle n’était pas tenue d’adhérer automatiquement aux interprétations données par les organes conventionnels des droits de l’homme</w:t>
      </w:r>
      <w:r w:rsidRPr="00A10FB9">
        <w:rPr>
          <w:rStyle w:val="Appelnotedebasdep"/>
        </w:rPr>
        <w:footnoteReference w:id="169"/>
      </w:r>
      <w:r w:rsidRPr="00A10FB9">
        <w:rPr>
          <w:rFonts w:eastAsia="Times New Roman"/>
          <w:lang w:val="fr-FR"/>
        </w:rPr>
        <w:t>.</w:t>
      </w:r>
    </w:p>
    <w:p w14:paraId="299AAA4D" w14:textId="42A5A070" w:rsidR="004C5E26" w:rsidRPr="005B4699" w:rsidRDefault="004C5E26" w:rsidP="004C5E26">
      <w:pPr>
        <w:pStyle w:val="SingleTxtG"/>
        <w:rPr>
          <w:rFonts w:eastAsia="Times New Roman"/>
          <w:lang w:val="fr-FR"/>
        </w:rPr>
      </w:pPr>
      <w:r w:rsidRPr="00696ED1">
        <w:rPr>
          <w:rFonts w:eastAsia="Times New Roman"/>
          <w:lang w:val="fr-FR"/>
        </w:rPr>
        <w:t>12)</w:t>
      </w:r>
      <w:r w:rsidRPr="00696ED1">
        <w:rPr>
          <w:rFonts w:eastAsia="Times New Roman"/>
          <w:lang w:val="fr-FR"/>
        </w:rPr>
        <w:tab/>
        <w:t>Il est clair qu’une lecture attentive des</w:t>
      </w:r>
      <w:r>
        <w:rPr>
          <w:rFonts w:eastAsia="Times New Roman"/>
          <w:lang w:val="fr-FR"/>
        </w:rPr>
        <w:t xml:space="preserve"> décisions</w:t>
      </w:r>
      <w:r w:rsidRPr="005B4699">
        <w:rPr>
          <w:rFonts w:eastAsia="Times New Roman"/>
          <w:lang w:val="fr-FR"/>
        </w:rPr>
        <w:t xml:space="preserve"> susmentionnée</w:t>
      </w:r>
      <w:r>
        <w:rPr>
          <w:rFonts w:eastAsia="Times New Roman"/>
          <w:lang w:val="fr-FR"/>
        </w:rPr>
        <w:t>s</w:t>
      </w:r>
      <w:r w:rsidRPr="005B4699">
        <w:rPr>
          <w:rFonts w:eastAsia="Times New Roman"/>
          <w:lang w:val="fr-FR"/>
        </w:rPr>
        <w:t xml:space="preserve"> de la Cour internationale de Justice peut donner à penser qu</w:t>
      </w:r>
      <w:r>
        <w:rPr>
          <w:rFonts w:eastAsia="Times New Roman"/>
          <w:lang w:val="fr-FR"/>
        </w:rPr>
        <w:t>’</w:t>
      </w:r>
      <w:r w:rsidRPr="005B4699">
        <w:rPr>
          <w:rFonts w:eastAsia="Times New Roman"/>
          <w:lang w:val="fr-FR"/>
        </w:rPr>
        <w:t>une distinction doit être opérée entre les formules « grande considération » et « dûment compte » selon le type d</w:t>
      </w:r>
      <w:r>
        <w:rPr>
          <w:rFonts w:eastAsia="Times New Roman"/>
          <w:lang w:val="fr-FR"/>
        </w:rPr>
        <w:t>’</w:t>
      </w:r>
      <w:r w:rsidRPr="005B4699">
        <w:rPr>
          <w:rFonts w:eastAsia="Times New Roman"/>
          <w:lang w:val="fr-FR"/>
        </w:rPr>
        <w:t>organe concerné : de l</w:t>
      </w:r>
      <w:r>
        <w:rPr>
          <w:rFonts w:eastAsia="Times New Roman"/>
          <w:lang w:val="fr-FR"/>
        </w:rPr>
        <w:t>’</w:t>
      </w:r>
      <w:r w:rsidRPr="005B4699">
        <w:rPr>
          <w:rFonts w:eastAsia="Times New Roman"/>
          <w:lang w:val="fr-FR"/>
        </w:rPr>
        <w:t xml:space="preserve">avis de la Commission, </w:t>
      </w:r>
      <w:r w:rsidRPr="00CB7F8D">
        <w:rPr>
          <w:rFonts w:eastAsia="Times New Roman"/>
          <w:lang w:val="fr-FR"/>
        </w:rPr>
        <w:t>le point plus général et important</w:t>
      </w:r>
      <w:r w:rsidRPr="005B4699">
        <w:rPr>
          <w:rFonts w:eastAsia="Times New Roman"/>
          <w:lang w:val="fr-FR"/>
        </w:rPr>
        <w:t xml:space="preserve"> est que les décisions émanant d</w:t>
      </w:r>
      <w:r>
        <w:rPr>
          <w:rFonts w:eastAsia="Times New Roman"/>
          <w:lang w:val="fr-FR"/>
        </w:rPr>
        <w:t>’</w:t>
      </w:r>
      <w:r w:rsidRPr="005B4699">
        <w:rPr>
          <w:rFonts w:eastAsia="Times New Roman"/>
          <w:lang w:val="fr-FR"/>
        </w:rPr>
        <w:t>organes ayant des compétences spécifiques</w:t>
      </w:r>
      <w:r>
        <w:rPr>
          <w:rFonts w:eastAsia="Times New Roman"/>
          <w:lang w:val="fr-FR"/>
        </w:rPr>
        <w:t>, indépendamment de leur caractérisation,</w:t>
      </w:r>
      <w:r w:rsidRPr="005B4699">
        <w:rPr>
          <w:rFonts w:eastAsia="Times New Roman"/>
          <w:lang w:val="fr-FR"/>
        </w:rPr>
        <w:t xml:space="preserve"> méritent d</w:t>
      </w:r>
      <w:r>
        <w:rPr>
          <w:rFonts w:eastAsia="Times New Roman"/>
          <w:lang w:val="fr-FR"/>
        </w:rPr>
        <w:t>’</w:t>
      </w:r>
      <w:r w:rsidRPr="005B4699">
        <w:rPr>
          <w:rFonts w:eastAsia="Times New Roman"/>
          <w:lang w:val="fr-FR"/>
        </w:rPr>
        <w:t>être prises en considération dans l</w:t>
      </w:r>
      <w:r>
        <w:rPr>
          <w:rFonts w:eastAsia="Times New Roman"/>
          <w:lang w:val="fr-FR"/>
        </w:rPr>
        <w:t>’</w:t>
      </w:r>
      <w:r w:rsidRPr="005B4699">
        <w:rPr>
          <w:rFonts w:eastAsia="Times New Roman"/>
          <w:lang w:val="fr-FR"/>
        </w:rPr>
        <w:t>interprétation des instruments concernés, même si ces décisions ou interprétations n</w:t>
      </w:r>
      <w:r>
        <w:rPr>
          <w:rFonts w:eastAsia="Times New Roman"/>
          <w:lang w:val="fr-FR"/>
        </w:rPr>
        <w:t>’</w:t>
      </w:r>
      <w:r w:rsidRPr="005B4699">
        <w:rPr>
          <w:rFonts w:eastAsia="Times New Roman"/>
          <w:lang w:val="fr-FR"/>
        </w:rPr>
        <w:t>ont pas à être suivies par les autres juridictions.</w:t>
      </w:r>
    </w:p>
    <w:p w14:paraId="2D84030C" w14:textId="1F89E014" w:rsidR="004C5E26" w:rsidRPr="007B5371" w:rsidRDefault="004C5E26" w:rsidP="004C5E26">
      <w:pPr>
        <w:pStyle w:val="H4G"/>
        <w:rPr>
          <w:lang w:val="fr-FR"/>
        </w:rPr>
      </w:pPr>
      <w:r>
        <w:rPr>
          <w:iCs/>
          <w:lang w:val="fr-FR"/>
        </w:rPr>
        <w:tab/>
      </w:r>
      <w:r>
        <w:rPr>
          <w:iCs/>
          <w:lang w:val="fr-FR"/>
        </w:rPr>
        <w:tab/>
      </w:r>
      <w:r w:rsidRPr="005B4699">
        <w:rPr>
          <w:iCs/>
          <w:lang w:val="fr-FR"/>
        </w:rPr>
        <w:t>Alinéa</w:t>
      </w:r>
      <w:r w:rsidRPr="005B4699">
        <w:rPr>
          <w:lang w:val="fr-FR"/>
        </w:rPr>
        <w:t xml:space="preserve"> b) </w:t>
      </w:r>
      <w:r>
        <w:rPr>
          <w:lang w:val="fr-FR"/>
        </w:rPr>
        <w:t>−</w:t>
      </w:r>
      <w:r w:rsidRPr="005B4699">
        <w:rPr>
          <w:lang w:val="fr-FR"/>
        </w:rPr>
        <w:t xml:space="preserve"> La mesure dans laquelle la décision fait partie d</w:t>
      </w:r>
      <w:r>
        <w:rPr>
          <w:lang w:val="fr-FR"/>
        </w:rPr>
        <w:t>’</w:t>
      </w:r>
      <w:r w:rsidRPr="005B4699">
        <w:rPr>
          <w:lang w:val="fr-FR"/>
        </w:rPr>
        <w:t>un ensemble de décisions concordantes</w:t>
      </w:r>
    </w:p>
    <w:p w14:paraId="3C75AA3E" w14:textId="45E4A649"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3</w:t>
      </w:r>
      <w:r w:rsidRPr="005B4699">
        <w:rPr>
          <w:rFonts w:eastAsia="Times New Roman"/>
          <w:lang w:val="fr-FR"/>
        </w:rPr>
        <w:t>)</w:t>
      </w:r>
      <w:r w:rsidRPr="005B4699">
        <w:rPr>
          <w:rFonts w:eastAsia="Times New Roman"/>
          <w:lang w:val="fr-FR"/>
        </w:rPr>
        <w:tab/>
        <w:t>L</w:t>
      </w:r>
      <w:r>
        <w:rPr>
          <w:rFonts w:eastAsia="Times New Roman"/>
          <w:lang w:val="fr-FR"/>
        </w:rPr>
        <w:t>’</w:t>
      </w:r>
      <w:r w:rsidRPr="005B4699">
        <w:rPr>
          <w:rFonts w:eastAsia="Times New Roman"/>
          <w:lang w:val="fr-FR"/>
        </w:rPr>
        <w:t>alinéa b) du projet de conclusion 8 énonce un second critère plus spécifique aux fins de l</w:t>
      </w:r>
      <w:r>
        <w:rPr>
          <w:rFonts w:eastAsia="Times New Roman"/>
          <w:lang w:val="fr-FR"/>
        </w:rPr>
        <w:t>’appréci</w:t>
      </w:r>
      <w:r w:rsidRPr="005B4699">
        <w:rPr>
          <w:rFonts w:eastAsia="Times New Roman"/>
          <w:lang w:val="fr-FR"/>
        </w:rPr>
        <w:t>ation du poids d</w:t>
      </w:r>
      <w:r>
        <w:rPr>
          <w:rFonts w:eastAsia="Times New Roman"/>
          <w:lang w:val="fr-FR"/>
        </w:rPr>
        <w:t>’</w:t>
      </w:r>
      <w:r w:rsidRPr="005B4699">
        <w:rPr>
          <w:rFonts w:eastAsia="Times New Roman"/>
          <w:lang w:val="fr-FR"/>
        </w:rPr>
        <w:t>une décision : « la mesure dans laquelle la décision fait partie d</w:t>
      </w:r>
      <w:r>
        <w:rPr>
          <w:rFonts w:eastAsia="Times New Roman"/>
          <w:lang w:val="fr-FR"/>
        </w:rPr>
        <w:t>’</w:t>
      </w:r>
      <w:r w:rsidRPr="005B4699">
        <w:rPr>
          <w:rFonts w:eastAsia="Times New Roman"/>
          <w:lang w:val="fr-FR"/>
        </w:rPr>
        <w:t>un ensemble de décisions concordantes ». Ici la Commission admet, en se fondant sur la pratique, que dans certaines situations une seule décision ou quelques décisions peuvent faire particulièrement autorité, voire être déterminantes, s</w:t>
      </w:r>
      <w:r>
        <w:rPr>
          <w:rFonts w:eastAsia="Times New Roman"/>
          <w:lang w:val="fr-FR"/>
        </w:rPr>
        <w:t>’</w:t>
      </w:r>
      <w:r w:rsidRPr="005B4699">
        <w:rPr>
          <w:rFonts w:eastAsia="Times New Roman"/>
          <w:lang w:val="fr-FR"/>
        </w:rPr>
        <w:t>agissant d</w:t>
      </w:r>
      <w:r>
        <w:rPr>
          <w:rFonts w:eastAsia="Times New Roman"/>
          <w:lang w:val="fr-FR"/>
        </w:rPr>
        <w:t>’</w:t>
      </w:r>
      <w:r w:rsidRPr="005B4699">
        <w:rPr>
          <w:rFonts w:eastAsia="Times New Roman"/>
          <w:lang w:val="fr-FR"/>
        </w:rPr>
        <w:t xml:space="preserve">une question juridique particulière. </w:t>
      </w:r>
      <w:r>
        <w:rPr>
          <w:rFonts w:eastAsia="Times New Roman"/>
          <w:lang w:val="fr-FR"/>
        </w:rPr>
        <w:t>Un premier exemple est</w:t>
      </w:r>
      <w:r w:rsidRPr="005B4699">
        <w:rPr>
          <w:rFonts w:eastAsia="Times New Roman"/>
          <w:lang w:val="fr-FR"/>
        </w:rPr>
        <w:t xml:space="preserve"> la définition du terme « différend » aux fins du </w:t>
      </w:r>
      <w:r w:rsidRPr="00B07778">
        <w:rPr>
          <w:rFonts w:eastAsia="Times New Roman"/>
          <w:lang w:val="fr-FR"/>
        </w:rPr>
        <w:t>règlement judiciaire</w:t>
      </w:r>
      <w:r w:rsidRPr="005B4699">
        <w:rPr>
          <w:rFonts w:eastAsia="Times New Roman"/>
          <w:lang w:val="fr-FR"/>
        </w:rPr>
        <w:t xml:space="preserve"> devant les juridictions internationales donnée par la Cour permanente de Justice internationale dans son arrêt</w:t>
      </w:r>
      <w:r w:rsidRPr="0053774D">
        <w:rPr>
          <w:rStyle w:val="Appelnotedebasdep"/>
        </w:rPr>
        <w:footnoteReference w:id="170"/>
      </w:r>
      <w:r>
        <w:rPr>
          <w:rFonts w:eastAsia="Times New Roman"/>
          <w:lang w:val="fr-FR"/>
        </w:rPr>
        <w:t>.</w:t>
      </w:r>
      <w:r w:rsidRPr="005B4699">
        <w:rPr>
          <w:rFonts w:eastAsia="Times New Roman"/>
          <w:lang w:val="fr-FR"/>
        </w:rPr>
        <w:t xml:space="preserve"> Un deuxième exemple, l</w:t>
      </w:r>
      <w:r>
        <w:rPr>
          <w:rFonts w:eastAsia="Times New Roman"/>
          <w:lang w:val="fr-FR"/>
        </w:rPr>
        <w:t>’</w:t>
      </w:r>
      <w:r w:rsidRPr="005B4699">
        <w:rPr>
          <w:rFonts w:eastAsia="Times New Roman"/>
          <w:lang w:val="fr-FR"/>
        </w:rPr>
        <w:t>affaire de l</w:t>
      </w:r>
      <w:r>
        <w:rPr>
          <w:rFonts w:eastAsia="Times New Roman"/>
          <w:lang w:val="fr-FR"/>
        </w:rPr>
        <w:t>’</w:t>
      </w:r>
      <w:r w:rsidRPr="005B4699">
        <w:rPr>
          <w:rFonts w:eastAsia="Times New Roman"/>
          <w:i/>
          <w:lang w:val="fr-FR"/>
        </w:rPr>
        <w:t>Or monétaire</w:t>
      </w:r>
      <w:r w:rsidRPr="005B4699">
        <w:rPr>
          <w:rFonts w:eastAsia="Times New Roman"/>
          <w:lang w:val="fr-FR"/>
        </w:rPr>
        <w:t>, est si connu que le nom de l</w:t>
      </w:r>
      <w:r>
        <w:rPr>
          <w:rFonts w:eastAsia="Times New Roman"/>
          <w:lang w:val="fr-FR"/>
        </w:rPr>
        <w:t>’</w:t>
      </w:r>
      <w:r w:rsidRPr="005B4699">
        <w:rPr>
          <w:rFonts w:eastAsia="Times New Roman"/>
          <w:lang w:val="fr-FR"/>
        </w:rPr>
        <w:t>affaire est associé au principe qu</w:t>
      </w:r>
      <w:r>
        <w:rPr>
          <w:rFonts w:eastAsia="Times New Roman"/>
          <w:lang w:val="fr-FR"/>
        </w:rPr>
        <w:t>’</w:t>
      </w:r>
      <w:r w:rsidRPr="005B4699">
        <w:rPr>
          <w:rFonts w:eastAsia="Times New Roman"/>
          <w:lang w:val="fr-FR"/>
        </w:rPr>
        <w:t xml:space="preserve">elle consacre </w:t>
      </w:r>
      <w:r>
        <w:rPr>
          <w:rFonts w:eastAsia="Times New Roman"/>
          <w:lang w:val="fr-FR"/>
        </w:rPr>
        <w:t>depuis</w:t>
      </w:r>
      <w:r w:rsidRPr="005B4699">
        <w:rPr>
          <w:rFonts w:eastAsia="Times New Roman"/>
          <w:lang w:val="fr-FR"/>
        </w:rPr>
        <w:t xml:space="preserve"> l</w:t>
      </w:r>
      <w:r>
        <w:rPr>
          <w:rFonts w:eastAsia="Times New Roman"/>
          <w:lang w:val="fr-FR"/>
        </w:rPr>
        <w:t>’</w:t>
      </w:r>
      <w:r w:rsidRPr="005B4699">
        <w:rPr>
          <w:rFonts w:eastAsia="Times New Roman"/>
          <w:lang w:val="fr-FR"/>
        </w:rPr>
        <w:t>arrêt rendu en</w:t>
      </w:r>
      <w:r>
        <w:rPr>
          <w:rFonts w:eastAsia="Times New Roman"/>
          <w:lang w:val="fr-FR"/>
        </w:rPr>
        <w:t xml:space="preserve"> </w:t>
      </w:r>
      <w:r w:rsidRPr="005B4699">
        <w:rPr>
          <w:rFonts w:eastAsia="Times New Roman"/>
          <w:lang w:val="fr-FR"/>
        </w:rPr>
        <w:t>1954 par la Cour internationale de Justice</w:t>
      </w:r>
      <w:r w:rsidRPr="0053774D">
        <w:rPr>
          <w:rStyle w:val="Appelnotedebasdep"/>
        </w:rPr>
        <w:footnoteReference w:id="171"/>
      </w:r>
      <w:r>
        <w:rPr>
          <w:rFonts w:eastAsia="Times New Roman"/>
          <w:lang w:val="fr-FR"/>
        </w:rPr>
        <w:t>.</w:t>
      </w:r>
      <w:r w:rsidRPr="005B4699">
        <w:rPr>
          <w:rFonts w:eastAsia="Times New Roman"/>
          <w:lang w:val="fr-FR"/>
        </w:rPr>
        <w:t xml:space="preserve"> Le troisième exemple est l</w:t>
      </w:r>
      <w:r>
        <w:rPr>
          <w:rFonts w:eastAsia="Times New Roman"/>
          <w:lang w:val="fr-FR"/>
        </w:rPr>
        <w:t>’</w:t>
      </w:r>
      <w:r w:rsidRPr="005B4699">
        <w:rPr>
          <w:rFonts w:eastAsia="Times New Roman"/>
          <w:lang w:val="fr-FR"/>
        </w:rPr>
        <w:t>arrêt rendu dans l</w:t>
      </w:r>
      <w:r>
        <w:rPr>
          <w:rFonts w:eastAsia="Times New Roman"/>
          <w:lang w:val="fr-FR"/>
        </w:rPr>
        <w:t>’</w:t>
      </w:r>
      <w:r w:rsidRPr="005B4699">
        <w:rPr>
          <w:rFonts w:eastAsia="Times New Roman"/>
          <w:lang w:val="fr-FR"/>
        </w:rPr>
        <w:t xml:space="preserve">affaire </w:t>
      </w:r>
      <w:proofErr w:type="spellStart"/>
      <w:r w:rsidRPr="005B4699">
        <w:rPr>
          <w:rFonts w:eastAsia="Times New Roman"/>
          <w:i/>
          <w:lang w:val="fr-FR"/>
        </w:rPr>
        <w:t>LaGrand</w:t>
      </w:r>
      <w:proofErr w:type="spellEnd"/>
      <w:r w:rsidRPr="005B4699">
        <w:rPr>
          <w:rFonts w:eastAsia="Times New Roman"/>
          <w:lang w:val="fr-FR"/>
        </w:rPr>
        <w:t>, qui établit pour la première fois le caractère obligatoire des ordonnances indiquant des mesures conservatoires</w:t>
      </w:r>
      <w:r w:rsidRPr="0053774D">
        <w:rPr>
          <w:rStyle w:val="Appelnotedebasdep"/>
        </w:rPr>
        <w:footnoteReference w:id="172"/>
      </w:r>
      <w:r>
        <w:rPr>
          <w:rFonts w:eastAsia="Times New Roman"/>
          <w:lang w:val="fr-FR"/>
        </w:rPr>
        <w:t>.</w:t>
      </w:r>
      <w:r w:rsidRPr="005B4699">
        <w:rPr>
          <w:rFonts w:eastAsia="Times New Roman"/>
          <w:lang w:val="fr-FR"/>
        </w:rPr>
        <w:t xml:space="preserve"> Dans toutes ces affaires, le poids accordé </w:t>
      </w:r>
      <w:r>
        <w:rPr>
          <w:rFonts w:eastAsia="Times New Roman"/>
          <w:lang w:val="fr-FR"/>
        </w:rPr>
        <w:t xml:space="preserve">par la suite </w:t>
      </w:r>
      <w:r w:rsidRPr="005B4699">
        <w:rPr>
          <w:rFonts w:eastAsia="Times New Roman"/>
          <w:lang w:val="fr-FR"/>
        </w:rPr>
        <w:t xml:space="preserve">aux décisions concernées est </w:t>
      </w:r>
      <w:r>
        <w:rPr>
          <w:rFonts w:eastAsia="Times New Roman"/>
          <w:lang w:val="fr-FR"/>
        </w:rPr>
        <w:t>considérable, de sorte</w:t>
      </w:r>
      <w:r w:rsidRPr="005B4699">
        <w:rPr>
          <w:rFonts w:eastAsia="Times New Roman"/>
          <w:lang w:val="fr-FR"/>
        </w:rPr>
        <w:t xml:space="preserve"> que ces décisions seront citées par la Cour, </w:t>
      </w:r>
      <w:r>
        <w:rPr>
          <w:rFonts w:eastAsia="Times New Roman"/>
          <w:lang w:val="fr-FR"/>
        </w:rPr>
        <w:t>et même</w:t>
      </w:r>
      <w:r w:rsidRPr="005B4699">
        <w:rPr>
          <w:rFonts w:eastAsia="Times New Roman"/>
          <w:lang w:val="fr-FR"/>
        </w:rPr>
        <w:t xml:space="preserve"> par d</w:t>
      </w:r>
      <w:r>
        <w:rPr>
          <w:rFonts w:eastAsia="Times New Roman"/>
          <w:lang w:val="fr-FR"/>
        </w:rPr>
        <w:t>’</w:t>
      </w:r>
      <w:r w:rsidRPr="005B4699">
        <w:rPr>
          <w:rFonts w:eastAsia="Times New Roman"/>
          <w:lang w:val="fr-FR"/>
        </w:rPr>
        <w:t xml:space="preserve">autres juridictions, dans une longue série de décisions ultérieures. </w:t>
      </w:r>
    </w:p>
    <w:p w14:paraId="0910DFEC" w14:textId="543913E2"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4</w:t>
      </w:r>
      <w:r w:rsidRPr="005B4699">
        <w:rPr>
          <w:rFonts w:eastAsia="Times New Roman"/>
          <w:lang w:val="fr-FR"/>
        </w:rPr>
        <w:t>)</w:t>
      </w:r>
      <w:r w:rsidRPr="005B4699">
        <w:rPr>
          <w:rFonts w:eastAsia="Times New Roman"/>
          <w:lang w:val="fr-FR"/>
        </w:rPr>
        <w:tab/>
        <w:t>Dans le même temps, s</w:t>
      </w:r>
      <w:r>
        <w:rPr>
          <w:rFonts w:eastAsia="Times New Roman"/>
          <w:lang w:val="fr-FR"/>
        </w:rPr>
        <w:t>’</w:t>
      </w:r>
      <w:r w:rsidRPr="005B4699">
        <w:rPr>
          <w:rFonts w:eastAsia="Times New Roman"/>
          <w:lang w:val="fr-FR"/>
        </w:rPr>
        <w:t>il semble évident qu</w:t>
      </w:r>
      <w:r>
        <w:rPr>
          <w:rFonts w:eastAsia="Times New Roman"/>
          <w:lang w:val="fr-FR"/>
        </w:rPr>
        <w:t>’</w:t>
      </w:r>
      <w:r w:rsidRPr="005B4699">
        <w:rPr>
          <w:rFonts w:eastAsia="Times New Roman"/>
          <w:lang w:val="fr-FR"/>
        </w:rPr>
        <w:t xml:space="preserve">une </w:t>
      </w:r>
      <w:r>
        <w:rPr>
          <w:rFonts w:eastAsia="Times New Roman"/>
          <w:lang w:val="fr-FR"/>
        </w:rPr>
        <w:t xml:space="preserve">seule </w:t>
      </w:r>
      <w:r w:rsidRPr="005B4699">
        <w:rPr>
          <w:rFonts w:eastAsia="Times New Roman"/>
          <w:lang w:val="fr-FR"/>
        </w:rPr>
        <w:t>décision</w:t>
      </w:r>
      <w:r>
        <w:rPr>
          <w:rFonts w:eastAsia="Times New Roman"/>
          <w:lang w:val="fr-FR"/>
        </w:rPr>
        <w:t xml:space="preserve"> </w:t>
      </w:r>
      <w:r w:rsidRPr="005B4699">
        <w:rPr>
          <w:rFonts w:eastAsia="Times New Roman"/>
          <w:lang w:val="fr-FR"/>
        </w:rPr>
        <w:t xml:space="preserve">ou </w:t>
      </w:r>
      <w:r>
        <w:rPr>
          <w:rFonts w:eastAsia="Times New Roman"/>
          <w:lang w:val="fr-FR"/>
        </w:rPr>
        <w:t>un petit nombre de</w:t>
      </w:r>
      <w:r w:rsidRPr="005B4699">
        <w:rPr>
          <w:rFonts w:eastAsia="Times New Roman"/>
          <w:lang w:val="fr-FR"/>
        </w:rPr>
        <w:t xml:space="preserve"> décisions peuvent parfois avoir un poids considérable, voire décisif, en formulant comme elle l</w:t>
      </w:r>
      <w:r>
        <w:rPr>
          <w:rFonts w:eastAsia="Times New Roman"/>
          <w:lang w:val="fr-FR"/>
        </w:rPr>
        <w:t>’</w:t>
      </w:r>
      <w:r w:rsidRPr="005B4699">
        <w:rPr>
          <w:rFonts w:eastAsia="Times New Roman"/>
          <w:lang w:val="fr-FR"/>
        </w:rPr>
        <w:t>a fait l</w:t>
      </w:r>
      <w:r>
        <w:rPr>
          <w:rFonts w:eastAsia="Times New Roman"/>
          <w:lang w:val="fr-FR"/>
        </w:rPr>
        <w:t>’</w:t>
      </w:r>
      <w:r w:rsidRPr="005B4699">
        <w:rPr>
          <w:rFonts w:eastAsia="Times New Roman"/>
          <w:lang w:val="fr-FR"/>
        </w:rPr>
        <w:t>alinéa b) du projet de conclusion 8</w:t>
      </w:r>
      <w:r>
        <w:rPr>
          <w:rFonts w:eastAsia="Times New Roman"/>
          <w:lang w:val="fr-FR"/>
        </w:rPr>
        <w:t>,</w:t>
      </w:r>
      <w:r w:rsidRPr="005B4699">
        <w:rPr>
          <w:rFonts w:eastAsia="Times New Roman"/>
          <w:lang w:val="fr-FR"/>
        </w:rPr>
        <w:t xml:space="preserve"> la Commission indique qu</w:t>
      </w:r>
      <w:r>
        <w:rPr>
          <w:rFonts w:eastAsia="Times New Roman"/>
          <w:lang w:val="fr-FR"/>
        </w:rPr>
        <w:t>’</w:t>
      </w:r>
      <w:r w:rsidRPr="005B4699">
        <w:rPr>
          <w:rFonts w:eastAsia="Times New Roman"/>
          <w:lang w:val="fr-FR"/>
        </w:rPr>
        <w:t>il est plus probable en droit international qu</w:t>
      </w:r>
      <w:r>
        <w:rPr>
          <w:rFonts w:eastAsia="Times New Roman"/>
          <w:lang w:val="fr-FR"/>
        </w:rPr>
        <w:t>’</w:t>
      </w:r>
      <w:r w:rsidRPr="005B4699">
        <w:rPr>
          <w:rFonts w:eastAsia="Times New Roman"/>
          <w:lang w:val="fr-FR"/>
        </w:rPr>
        <w:t xml:space="preserve">un courant ou bloc de jurisprudence ou </w:t>
      </w:r>
      <w:r w:rsidRPr="00CB7F8D">
        <w:rPr>
          <w:rFonts w:eastAsia="Times New Roman"/>
          <w:lang w:val="fr-FR"/>
        </w:rPr>
        <w:t>une ligne d</w:t>
      </w:r>
      <w:r>
        <w:rPr>
          <w:rFonts w:eastAsia="Times New Roman"/>
          <w:lang w:val="fr-FR"/>
        </w:rPr>
        <w:t>’</w:t>
      </w:r>
      <w:r w:rsidRPr="00CB7F8D">
        <w:rPr>
          <w:rFonts w:eastAsia="Times New Roman"/>
          <w:lang w:val="fr-FR"/>
        </w:rPr>
        <w:t>autorité</w:t>
      </w:r>
      <w:r w:rsidRPr="005B4699">
        <w:rPr>
          <w:rFonts w:eastAsia="Times New Roman"/>
          <w:lang w:val="fr-FR"/>
        </w:rPr>
        <w:t xml:space="preserve"> en viennent à faire autorité. En d</w:t>
      </w:r>
      <w:r>
        <w:rPr>
          <w:rFonts w:eastAsia="Times New Roman"/>
          <w:lang w:val="fr-FR"/>
        </w:rPr>
        <w:t>’</w:t>
      </w:r>
      <w:r w:rsidRPr="005B4699">
        <w:rPr>
          <w:rFonts w:eastAsia="Times New Roman"/>
          <w:lang w:val="fr-FR"/>
        </w:rPr>
        <w:t xml:space="preserve">autres termes, dans certains cas, </w:t>
      </w:r>
      <w:r>
        <w:rPr>
          <w:rFonts w:eastAsia="Times New Roman"/>
          <w:lang w:val="fr-FR"/>
        </w:rPr>
        <w:t>lorsque l’on</w:t>
      </w:r>
      <w:r w:rsidRPr="005B4699">
        <w:rPr>
          <w:rFonts w:eastAsia="Times New Roman"/>
          <w:lang w:val="fr-FR"/>
        </w:rPr>
        <w:t xml:space="preserve"> apprécie le poids des décisions de</w:t>
      </w:r>
      <w:r>
        <w:rPr>
          <w:rFonts w:eastAsia="Times New Roman"/>
          <w:lang w:val="fr-FR"/>
        </w:rPr>
        <w:t>s</w:t>
      </w:r>
      <w:r w:rsidRPr="005B4699">
        <w:rPr>
          <w:rFonts w:eastAsia="Times New Roman"/>
          <w:lang w:val="fr-FR"/>
        </w:rPr>
        <w:t xml:space="preserve"> juridictions, il peut déjà exister un ensemble plus large de décisions concordantes (ou une </w:t>
      </w:r>
      <w:r w:rsidRPr="005B4699">
        <w:rPr>
          <w:rFonts w:eastAsia="Times New Roman"/>
          <w:iCs/>
          <w:lang w:val="fr-FR"/>
        </w:rPr>
        <w:t>jurisprudence constante</w:t>
      </w:r>
      <w:r w:rsidRPr="005B4699">
        <w:rPr>
          <w:rFonts w:eastAsia="Times New Roman"/>
          <w:lang w:val="fr-FR"/>
        </w:rPr>
        <w:t>) étayant une décision particulière, indiquant ainsi qu</w:t>
      </w:r>
      <w:r>
        <w:rPr>
          <w:rFonts w:eastAsia="Times New Roman"/>
          <w:lang w:val="fr-FR"/>
        </w:rPr>
        <w:t>’il est possible que</w:t>
      </w:r>
      <w:r w:rsidRPr="005B4699">
        <w:rPr>
          <w:rFonts w:eastAsia="Times New Roman"/>
          <w:lang w:val="fr-FR"/>
        </w:rPr>
        <w:t xml:space="preserve"> le même raisonnement juridique </w:t>
      </w:r>
      <w:r>
        <w:rPr>
          <w:rFonts w:eastAsia="Times New Roman"/>
          <w:lang w:val="fr-FR"/>
        </w:rPr>
        <w:t>puisse</w:t>
      </w:r>
      <w:r w:rsidRPr="005B4699">
        <w:rPr>
          <w:rFonts w:eastAsia="Times New Roman"/>
          <w:lang w:val="fr-FR"/>
        </w:rPr>
        <w:t xml:space="preserve"> être utile pour trancher la question juridique en cause ou à l</w:t>
      </w:r>
      <w:r>
        <w:rPr>
          <w:rFonts w:eastAsia="Times New Roman"/>
          <w:lang w:val="fr-FR"/>
        </w:rPr>
        <w:t>’</w:t>
      </w:r>
      <w:r w:rsidRPr="005B4699">
        <w:rPr>
          <w:rFonts w:eastAsia="Times New Roman"/>
          <w:lang w:val="fr-FR"/>
        </w:rPr>
        <w:t>examen.</w:t>
      </w:r>
    </w:p>
    <w:p w14:paraId="676B1A94" w14:textId="463E18C0"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5</w:t>
      </w:r>
      <w:r w:rsidRPr="005B4699">
        <w:rPr>
          <w:rFonts w:eastAsia="Times New Roman"/>
          <w:lang w:val="fr-FR"/>
        </w:rPr>
        <w:t>)</w:t>
      </w:r>
      <w:r w:rsidRPr="005B4699">
        <w:rPr>
          <w:rFonts w:eastAsia="Times New Roman"/>
          <w:lang w:val="fr-FR"/>
        </w:rPr>
        <w:tab/>
        <w:t>Dans sa pratique, la Cour internationale de Justice renvoie périodiquement à une notion fondamentalement équivalente à celle d</w:t>
      </w:r>
      <w:r>
        <w:rPr>
          <w:rFonts w:eastAsia="Times New Roman"/>
          <w:lang w:val="fr-FR"/>
        </w:rPr>
        <w:t>’« </w:t>
      </w:r>
      <w:r w:rsidRPr="005B4699">
        <w:rPr>
          <w:rFonts w:eastAsia="Times New Roman"/>
          <w:lang w:val="fr-FR"/>
        </w:rPr>
        <w:t>ensemble de décisions concordantes</w:t>
      </w:r>
      <w:r>
        <w:rPr>
          <w:rFonts w:eastAsia="Times New Roman"/>
          <w:lang w:val="fr-FR"/>
        </w:rPr>
        <w:t> »</w:t>
      </w:r>
      <w:r w:rsidRPr="005B4699">
        <w:rPr>
          <w:rFonts w:eastAsia="Times New Roman"/>
          <w:lang w:val="fr-FR"/>
        </w:rPr>
        <w:t xml:space="preserve"> en utilisant des expressions telles que « jurisprudence établie »</w:t>
      </w:r>
      <w:r w:rsidRPr="0053774D">
        <w:rPr>
          <w:rStyle w:val="Appelnotedebasdep"/>
        </w:rPr>
        <w:footnoteReference w:id="173"/>
      </w:r>
      <w:r>
        <w:rPr>
          <w:rFonts w:eastAsia="Times New Roman"/>
          <w:lang w:val="fr-FR"/>
        </w:rPr>
        <w:t>,</w:t>
      </w:r>
      <w:r w:rsidRPr="005B4699">
        <w:rPr>
          <w:rFonts w:eastAsia="Times New Roman"/>
          <w:lang w:val="fr-FR"/>
        </w:rPr>
        <w:t xml:space="preserve"> « jurisprudence constante »</w:t>
      </w:r>
      <w:bookmarkStart w:id="71" w:name="_Ref175314964"/>
      <w:r w:rsidRPr="0053774D">
        <w:rPr>
          <w:rStyle w:val="Appelnotedebasdep"/>
        </w:rPr>
        <w:footnoteReference w:id="174"/>
      </w:r>
      <w:bookmarkEnd w:id="71"/>
      <w:r w:rsidRPr="005B4699">
        <w:rPr>
          <w:rFonts w:eastAsia="Times New Roman"/>
          <w:lang w:val="fr-FR"/>
        </w:rPr>
        <w:t xml:space="preserve"> </w:t>
      </w:r>
      <w:r w:rsidRPr="005B4699">
        <w:rPr>
          <w:rFonts w:eastAsia="Times New Roman"/>
          <w:lang w:val="fr-FR"/>
        </w:rPr>
        <w:lastRenderedPageBreak/>
        <w:t>et « jurisprudence bien établie »</w:t>
      </w:r>
      <w:bookmarkStart w:id="72" w:name="_Ref175315019"/>
      <w:r w:rsidRPr="0053774D">
        <w:rPr>
          <w:rStyle w:val="Appelnotedebasdep"/>
        </w:rPr>
        <w:footnoteReference w:id="175"/>
      </w:r>
      <w:bookmarkEnd w:id="72"/>
      <w:r>
        <w:rPr>
          <w:rFonts w:eastAsia="Times New Roman"/>
          <w:lang w:val="fr-FR"/>
        </w:rPr>
        <w:t>.</w:t>
      </w:r>
      <w:r w:rsidRPr="005B4699">
        <w:rPr>
          <w:rFonts w:eastAsia="Times New Roman"/>
          <w:lang w:val="fr-FR"/>
        </w:rPr>
        <w:t xml:space="preserve"> Pour ne citer qu</w:t>
      </w:r>
      <w:r>
        <w:rPr>
          <w:rFonts w:eastAsia="Times New Roman"/>
          <w:lang w:val="fr-FR"/>
        </w:rPr>
        <w:t>’</w:t>
      </w:r>
      <w:r w:rsidRPr="005B4699">
        <w:rPr>
          <w:rFonts w:eastAsia="Times New Roman"/>
          <w:lang w:val="fr-FR"/>
        </w:rPr>
        <w:t xml:space="preserve">un </w:t>
      </w:r>
      <w:r>
        <w:rPr>
          <w:rFonts w:eastAsia="Times New Roman"/>
          <w:lang w:val="fr-FR"/>
        </w:rPr>
        <w:t>d</w:t>
      </w:r>
      <w:r w:rsidRPr="005B4699">
        <w:rPr>
          <w:rFonts w:eastAsia="Times New Roman"/>
          <w:lang w:val="fr-FR"/>
        </w:rPr>
        <w:t xml:space="preserve">es nombreux exemples possibles, la Cour a </w:t>
      </w:r>
      <w:r>
        <w:rPr>
          <w:rFonts w:eastAsia="Times New Roman"/>
          <w:lang w:val="fr-FR"/>
        </w:rPr>
        <w:t xml:space="preserve">ainsi </w:t>
      </w:r>
      <w:r w:rsidRPr="005B4699">
        <w:rPr>
          <w:rFonts w:eastAsia="Times New Roman"/>
          <w:lang w:val="fr-FR"/>
        </w:rPr>
        <w:t xml:space="preserve">jugé que, conformément à « sa jurisprudence constante, seules des </w:t>
      </w:r>
      <w:r>
        <w:rPr>
          <w:rFonts w:eastAsia="Times New Roman"/>
          <w:lang w:val="fr-FR"/>
        </w:rPr>
        <w:t>“</w:t>
      </w:r>
      <w:r w:rsidRPr="005B4699">
        <w:rPr>
          <w:rFonts w:eastAsia="Times New Roman"/>
          <w:lang w:val="fr-FR"/>
        </w:rPr>
        <w:t>raisons décisives</w:t>
      </w:r>
      <w:r>
        <w:rPr>
          <w:rFonts w:eastAsia="Times New Roman"/>
          <w:lang w:val="fr-FR"/>
        </w:rPr>
        <w:t>”</w:t>
      </w:r>
      <w:r w:rsidRPr="005B4699">
        <w:rPr>
          <w:rFonts w:eastAsia="Times New Roman"/>
          <w:lang w:val="fr-FR"/>
        </w:rPr>
        <w:t xml:space="preserve"> [pouvaient] la conduire […] à opposer un refus à une demande d</w:t>
      </w:r>
      <w:r>
        <w:rPr>
          <w:rFonts w:eastAsia="Times New Roman"/>
          <w:lang w:val="fr-FR"/>
        </w:rPr>
        <w:t>’</w:t>
      </w:r>
      <w:r w:rsidRPr="005B4699">
        <w:rPr>
          <w:rFonts w:eastAsia="Times New Roman"/>
          <w:lang w:val="fr-FR"/>
        </w:rPr>
        <w:t>avis [consultatif] »</w:t>
      </w:r>
      <w:r w:rsidRPr="0053774D">
        <w:rPr>
          <w:rStyle w:val="Appelnotedebasdep"/>
        </w:rPr>
        <w:footnoteReference w:id="176"/>
      </w:r>
      <w:r>
        <w:rPr>
          <w:rFonts w:eastAsia="Times New Roman"/>
          <w:lang w:val="fr-FR"/>
        </w:rPr>
        <w:t>.</w:t>
      </w:r>
      <w:r w:rsidRPr="005B4699">
        <w:rPr>
          <w:rFonts w:eastAsia="Times New Roman"/>
          <w:lang w:val="fr-FR"/>
        </w:rPr>
        <w:t xml:space="preserve"> De manière similaire, elle a invoqué la « jurisprudence constante »</w:t>
      </w:r>
      <w:r w:rsidRPr="0053774D">
        <w:rPr>
          <w:rStyle w:val="Appelnotedebasdep"/>
        </w:rPr>
        <w:footnoteReference w:id="177"/>
      </w:r>
      <w:r w:rsidRPr="005B4699">
        <w:rPr>
          <w:rFonts w:eastAsia="Times New Roman"/>
          <w:lang w:val="fr-FR"/>
        </w:rPr>
        <w:t xml:space="preserve"> et la « jurisprudence bien établie »</w:t>
      </w:r>
      <w:r w:rsidRPr="0053774D">
        <w:rPr>
          <w:rStyle w:val="Appelnotedebasdep"/>
        </w:rPr>
        <w:footnoteReference w:id="178"/>
      </w:r>
      <w:r w:rsidRPr="005B4699">
        <w:rPr>
          <w:rFonts w:eastAsia="Times New Roman"/>
          <w:lang w:val="fr-FR"/>
        </w:rPr>
        <w:t xml:space="preserve"> pour déterminer le sens du terme « différend »</w:t>
      </w:r>
      <w:r>
        <w:rPr>
          <w:rFonts w:eastAsia="Times New Roman"/>
          <w:lang w:val="fr-FR"/>
        </w:rPr>
        <w:t xml:space="preserve"> au sens de</w:t>
      </w:r>
      <w:r w:rsidRPr="005B4699">
        <w:rPr>
          <w:rFonts w:eastAsia="Times New Roman"/>
          <w:lang w:val="fr-FR"/>
        </w:rPr>
        <w:t xml:space="preserve"> l</w:t>
      </w:r>
      <w:r>
        <w:rPr>
          <w:rFonts w:eastAsia="Times New Roman"/>
          <w:lang w:val="fr-FR"/>
        </w:rPr>
        <w:t>’</w:t>
      </w:r>
      <w:r w:rsidRPr="005B4699">
        <w:rPr>
          <w:rFonts w:eastAsia="Times New Roman"/>
          <w:lang w:val="fr-FR"/>
        </w:rPr>
        <w:t xml:space="preserve">affaire des </w:t>
      </w:r>
      <w:r w:rsidRPr="005B4699">
        <w:rPr>
          <w:rFonts w:eastAsia="Times New Roman"/>
          <w:i/>
          <w:lang w:val="fr-FR"/>
        </w:rPr>
        <w:t>Concessions</w:t>
      </w:r>
      <w:r w:rsidRPr="005B4699">
        <w:rPr>
          <w:rFonts w:eastAsia="Times New Roman"/>
          <w:lang w:val="fr-FR"/>
        </w:rPr>
        <w:t xml:space="preserve"> </w:t>
      </w:r>
      <w:r w:rsidRPr="005B4699">
        <w:rPr>
          <w:rFonts w:eastAsia="Times New Roman"/>
          <w:i/>
          <w:lang w:val="fr-FR"/>
        </w:rPr>
        <w:t>Mavrommatis</w:t>
      </w:r>
      <w:r w:rsidRPr="005B4699">
        <w:rPr>
          <w:rFonts w:eastAsia="Times New Roman"/>
          <w:i/>
          <w:iCs/>
          <w:lang w:val="fr-FR"/>
        </w:rPr>
        <w:t xml:space="preserve"> en </w:t>
      </w:r>
      <w:r w:rsidRPr="005B4699">
        <w:rPr>
          <w:rFonts w:eastAsia="Times New Roman"/>
          <w:i/>
          <w:lang w:val="fr-FR"/>
        </w:rPr>
        <w:t>Palestine</w:t>
      </w:r>
      <w:r w:rsidR="00113EFC">
        <w:rPr>
          <w:rFonts w:eastAsia="Times New Roman"/>
          <w:lang w:val="fr-FR"/>
        </w:rPr>
        <w:t>.</w:t>
      </w:r>
      <w:r w:rsidRPr="005B4699">
        <w:rPr>
          <w:rFonts w:eastAsia="Times New Roman"/>
          <w:lang w:val="fr-FR"/>
        </w:rPr>
        <w:t xml:space="preserve"> La Cour a aussi déterminé : qu</w:t>
      </w:r>
      <w:r>
        <w:rPr>
          <w:rFonts w:eastAsia="Times New Roman"/>
          <w:lang w:val="fr-FR"/>
        </w:rPr>
        <w:t>’</w:t>
      </w:r>
      <w:r w:rsidRPr="005B4699">
        <w:rPr>
          <w:rFonts w:eastAsia="Times New Roman"/>
          <w:lang w:val="fr-FR"/>
        </w:rPr>
        <w:t>il était établi que la date à laquelle s</w:t>
      </w:r>
      <w:r>
        <w:rPr>
          <w:rFonts w:eastAsia="Times New Roman"/>
          <w:lang w:val="fr-FR"/>
        </w:rPr>
        <w:t>’</w:t>
      </w:r>
      <w:r w:rsidRPr="005B4699">
        <w:rPr>
          <w:rFonts w:eastAsia="Times New Roman"/>
          <w:lang w:val="fr-FR"/>
        </w:rPr>
        <w:t>appréciait sa compétence était celle du dépôt de la requête</w:t>
      </w:r>
      <w:r w:rsidRPr="0053774D">
        <w:rPr>
          <w:rStyle w:val="Appelnotedebasdep"/>
        </w:rPr>
        <w:footnoteReference w:id="179"/>
      </w:r>
      <w:r w:rsidRPr="005B4699">
        <w:rPr>
          <w:rFonts w:eastAsia="Times New Roman"/>
          <w:lang w:val="fr-FR"/>
        </w:rPr>
        <w:t xml:space="preserve"> ; que, pour procéder à une délimitation maritime selon sa méthode établie, la « première étape </w:t>
      </w:r>
      <w:proofErr w:type="spellStart"/>
      <w:r w:rsidRPr="005B4699">
        <w:rPr>
          <w:rFonts w:eastAsia="Times New Roman"/>
          <w:lang w:val="fr-FR"/>
        </w:rPr>
        <w:t>consist</w:t>
      </w:r>
      <w:proofErr w:type="spellEnd"/>
      <w:r w:rsidRPr="005B4699">
        <w:rPr>
          <w:rFonts w:eastAsia="Times New Roman"/>
          <w:lang w:val="fr-FR"/>
        </w:rPr>
        <w:t>[ait] à établir la ligne d</w:t>
      </w:r>
      <w:r>
        <w:rPr>
          <w:rFonts w:eastAsia="Times New Roman"/>
          <w:lang w:val="fr-FR"/>
        </w:rPr>
        <w:t>’</w:t>
      </w:r>
      <w:r w:rsidRPr="005B4699">
        <w:rPr>
          <w:rFonts w:eastAsia="Times New Roman"/>
          <w:lang w:val="fr-FR"/>
        </w:rPr>
        <w:t>équidistance provisoire »</w:t>
      </w:r>
      <w:r w:rsidRPr="0053774D">
        <w:rPr>
          <w:rStyle w:val="Appelnotedebasdep"/>
        </w:rPr>
        <w:footnoteReference w:id="180"/>
      </w:r>
      <w:r w:rsidRPr="005B4699">
        <w:rPr>
          <w:rFonts w:eastAsia="Times New Roman"/>
          <w:lang w:val="fr-FR"/>
        </w:rPr>
        <w:t> ; que « la recevabilité d</w:t>
      </w:r>
      <w:r>
        <w:rPr>
          <w:rFonts w:eastAsia="Times New Roman"/>
          <w:lang w:val="fr-FR"/>
        </w:rPr>
        <w:t>’</w:t>
      </w:r>
      <w:r w:rsidRPr="005B4699">
        <w:rPr>
          <w:rFonts w:eastAsia="Times New Roman"/>
          <w:lang w:val="fr-FR"/>
        </w:rPr>
        <w:t>une demande en interprétation [était] subordonnée à l</w:t>
      </w:r>
      <w:r>
        <w:rPr>
          <w:rFonts w:eastAsia="Times New Roman"/>
          <w:lang w:val="fr-FR"/>
        </w:rPr>
        <w:t>’</w:t>
      </w:r>
      <w:r w:rsidRPr="005B4699">
        <w:rPr>
          <w:rFonts w:eastAsia="Times New Roman"/>
          <w:lang w:val="fr-FR"/>
        </w:rPr>
        <w:t>existence d</w:t>
      </w:r>
      <w:r>
        <w:rPr>
          <w:rFonts w:eastAsia="Times New Roman"/>
          <w:lang w:val="fr-FR"/>
        </w:rPr>
        <w:t>’</w:t>
      </w:r>
      <w:r w:rsidRPr="005B4699">
        <w:rPr>
          <w:rFonts w:eastAsia="Times New Roman"/>
          <w:lang w:val="fr-FR"/>
        </w:rPr>
        <w:t>une contestation »</w:t>
      </w:r>
      <w:r w:rsidRPr="0053774D">
        <w:rPr>
          <w:rStyle w:val="Appelnotedebasdep"/>
        </w:rPr>
        <w:footnoteReference w:id="181"/>
      </w:r>
      <w:r w:rsidRPr="005B4699">
        <w:rPr>
          <w:rFonts w:eastAsia="Times New Roman"/>
          <w:lang w:val="fr-FR"/>
        </w:rPr>
        <w:t> ; et que « [la Cour] n</w:t>
      </w:r>
      <w:r>
        <w:rPr>
          <w:rFonts w:eastAsia="Times New Roman"/>
          <w:lang w:val="fr-FR"/>
        </w:rPr>
        <w:t>’</w:t>
      </w:r>
      <w:r w:rsidRPr="005B4699">
        <w:rPr>
          <w:rFonts w:eastAsia="Times New Roman"/>
          <w:lang w:val="fr-FR"/>
        </w:rPr>
        <w:t>en [devait] pas moins […] examiner d</w:t>
      </w:r>
      <w:r>
        <w:rPr>
          <w:rFonts w:eastAsia="Times New Roman"/>
          <w:lang w:val="fr-FR"/>
        </w:rPr>
        <w:t>’</w:t>
      </w:r>
      <w:r w:rsidRPr="005B4699">
        <w:rPr>
          <w:rFonts w:eastAsia="Times New Roman"/>
          <w:lang w:val="fr-FR"/>
        </w:rPr>
        <w:t>office la question de sa propre compétence » pour connaître de la requête introduite par un État</w:t>
      </w:r>
      <w:bookmarkStart w:id="73" w:name="_Ref175315725"/>
      <w:r w:rsidRPr="0053774D">
        <w:rPr>
          <w:rStyle w:val="Appelnotedebasdep"/>
        </w:rPr>
        <w:footnoteReference w:id="182"/>
      </w:r>
      <w:bookmarkEnd w:id="73"/>
      <w:r>
        <w:rPr>
          <w:rFonts w:eastAsia="Times New Roman"/>
          <w:lang w:val="fr-FR"/>
        </w:rPr>
        <w:t>.</w:t>
      </w:r>
    </w:p>
    <w:p w14:paraId="12E7824D" w14:textId="67000097"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6</w:t>
      </w:r>
      <w:r w:rsidRPr="005B4699">
        <w:rPr>
          <w:rFonts w:eastAsia="Times New Roman"/>
          <w:lang w:val="fr-FR"/>
        </w:rPr>
        <w:t>)</w:t>
      </w:r>
      <w:r w:rsidRPr="005B4699">
        <w:rPr>
          <w:rFonts w:eastAsia="Times New Roman"/>
          <w:lang w:val="fr-FR"/>
        </w:rPr>
        <w:tab/>
        <w:t>De même, dans l</w:t>
      </w:r>
      <w:r>
        <w:rPr>
          <w:rFonts w:eastAsia="Times New Roman"/>
          <w:lang w:val="fr-FR"/>
        </w:rPr>
        <w:t>’</w:t>
      </w:r>
      <w:r w:rsidRPr="005B4699">
        <w:rPr>
          <w:rFonts w:eastAsia="Times New Roman"/>
          <w:lang w:val="fr-FR"/>
        </w:rPr>
        <w:t xml:space="preserve">arbitrage </w:t>
      </w:r>
      <w:r w:rsidRPr="005B4699">
        <w:rPr>
          <w:rFonts w:eastAsia="Times New Roman"/>
          <w:i/>
          <w:lang w:val="fr-FR"/>
        </w:rPr>
        <w:t>Indus Waters</w:t>
      </w:r>
      <w:r w:rsidRPr="005B4699">
        <w:rPr>
          <w:rFonts w:eastAsia="Times New Roman"/>
          <w:lang w:val="fr-FR"/>
        </w:rPr>
        <w:t xml:space="preserve">, le tribunal a fait observer ce qui suit : </w:t>
      </w:r>
    </w:p>
    <w:p w14:paraId="567E71FA" w14:textId="792CD556" w:rsidR="004C5E26" w:rsidRPr="005B4699" w:rsidRDefault="004C5E26" w:rsidP="004C5E26">
      <w:pPr>
        <w:pStyle w:val="SingleTxtG"/>
        <w:ind w:left="1701"/>
        <w:rPr>
          <w:lang w:val="fr-FR"/>
        </w:rPr>
      </w:pPr>
      <w:r w:rsidRPr="00CB7F8D">
        <w:rPr>
          <w:lang w:val="fr-FR"/>
        </w:rPr>
        <w:t>en droit international, peu d</w:t>
      </w:r>
      <w:r>
        <w:rPr>
          <w:lang w:val="fr-FR"/>
        </w:rPr>
        <w:t>’</w:t>
      </w:r>
      <w:r w:rsidRPr="00CB7F8D">
        <w:rPr>
          <w:lang w:val="fr-FR"/>
        </w:rPr>
        <w:t>affirmations peuvent être formulées avec plus d</w:t>
      </w:r>
      <w:r>
        <w:rPr>
          <w:lang w:val="fr-FR"/>
        </w:rPr>
        <w:t>’</w:t>
      </w:r>
      <w:r w:rsidRPr="00CB7F8D">
        <w:rPr>
          <w:lang w:val="fr-FR"/>
        </w:rPr>
        <w:t>assurance que celle selon laquelle la non-comparution d</w:t>
      </w:r>
      <w:r>
        <w:rPr>
          <w:lang w:val="fr-FR"/>
        </w:rPr>
        <w:t>’</w:t>
      </w:r>
      <w:r w:rsidRPr="00CB7F8D">
        <w:rPr>
          <w:lang w:val="fr-FR"/>
        </w:rPr>
        <w:t>une partie ne prive pas une juridiction régulièrement constituée de sa compétence. Une partie en litige dans une instance spécifique ne peut trancher subjectivement la question d</w:t>
      </w:r>
      <w:r w:rsidRPr="005B4699">
        <w:rPr>
          <w:lang w:val="fr-FR"/>
        </w:rPr>
        <w:t xml:space="preserve">e savoir si la </w:t>
      </w:r>
      <w:r w:rsidRPr="005B4699">
        <w:rPr>
          <w:lang w:val="fr-FR"/>
        </w:rPr>
        <w:lastRenderedPageBreak/>
        <w:t xml:space="preserve">juridiction a été régulièrement constituée et régler cette question en ne comparaissant </w:t>
      </w:r>
      <w:r>
        <w:rPr>
          <w:lang w:val="fr-FR"/>
        </w:rPr>
        <w:t xml:space="preserve">tout </w:t>
      </w:r>
      <w:r w:rsidRPr="005B4699">
        <w:rPr>
          <w:lang w:val="fr-FR"/>
        </w:rPr>
        <w:t>simplement pas</w:t>
      </w:r>
      <w:r w:rsidRPr="0053774D">
        <w:rPr>
          <w:rStyle w:val="Appelnotedebasdep"/>
        </w:rPr>
        <w:footnoteReference w:id="183"/>
      </w:r>
      <w:r>
        <w:rPr>
          <w:lang w:val="fr-FR"/>
        </w:rPr>
        <w:t>.</w:t>
      </w:r>
      <w:r w:rsidRPr="005B4699">
        <w:rPr>
          <w:lang w:val="fr-FR"/>
        </w:rPr>
        <w:t xml:space="preserve"> [</w:t>
      </w:r>
      <w:r w:rsidR="00696ED1" w:rsidRPr="005B4699">
        <w:rPr>
          <w:lang w:val="fr-FR"/>
        </w:rPr>
        <w:t>t</w:t>
      </w:r>
      <w:r w:rsidRPr="005B4699">
        <w:rPr>
          <w:lang w:val="fr-FR"/>
        </w:rPr>
        <w:t>raduction non officielle]</w:t>
      </w:r>
    </w:p>
    <w:p w14:paraId="4BE771E4" w14:textId="7051709D" w:rsidR="004C5E26" w:rsidRPr="005B4699" w:rsidRDefault="004C5E26" w:rsidP="00696ED1">
      <w:pPr>
        <w:pStyle w:val="SingleTxtG"/>
        <w:rPr>
          <w:rFonts w:eastAsia="Times New Roman"/>
          <w:lang w:val="fr-FR"/>
        </w:rPr>
      </w:pPr>
      <w:r w:rsidRPr="005B4699">
        <w:rPr>
          <w:rFonts w:eastAsia="Times New Roman"/>
          <w:lang w:val="fr-FR"/>
        </w:rPr>
        <w:t xml:space="preserve">Dans la même affaire, le tribunal a </w:t>
      </w:r>
      <w:r w:rsidRPr="007B5371">
        <w:rPr>
          <w:lang w:val="fr-FR"/>
        </w:rPr>
        <w:t>déterminé</w:t>
      </w:r>
      <w:r w:rsidRPr="005B4699">
        <w:rPr>
          <w:rFonts w:eastAsia="Times New Roman"/>
          <w:lang w:val="fr-FR"/>
        </w:rPr>
        <w:t xml:space="preserve"> qu</w:t>
      </w:r>
      <w:r>
        <w:rPr>
          <w:rFonts w:eastAsia="Times New Roman"/>
          <w:lang w:val="fr-FR"/>
        </w:rPr>
        <w:t>’</w:t>
      </w:r>
      <w:r w:rsidRPr="005B4699">
        <w:rPr>
          <w:rFonts w:eastAsia="Times New Roman"/>
          <w:lang w:val="fr-FR"/>
        </w:rPr>
        <w:t>il avait l</w:t>
      </w:r>
      <w:r>
        <w:rPr>
          <w:rFonts w:eastAsia="Times New Roman"/>
          <w:lang w:val="fr-FR"/>
        </w:rPr>
        <w:t>’</w:t>
      </w:r>
      <w:r w:rsidRPr="005B4699">
        <w:rPr>
          <w:rFonts w:eastAsia="Times New Roman"/>
          <w:lang w:val="fr-FR"/>
        </w:rPr>
        <w:t>obligation de s</w:t>
      </w:r>
      <w:r>
        <w:rPr>
          <w:rFonts w:eastAsia="Times New Roman"/>
          <w:lang w:val="fr-FR"/>
        </w:rPr>
        <w:t>’</w:t>
      </w:r>
      <w:r w:rsidRPr="005B4699">
        <w:rPr>
          <w:rFonts w:eastAsia="Times New Roman"/>
          <w:lang w:val="fr-FR"/>
        </w:rPr>
        <w:t>assurer qu</w:t>
      </w:r>
      <w:r>
        <w:rPr>
          <w:rFonts w:eastAsia="Times New Roman"/>
          <w:lang w:val="fr-FR"/>
        </w:rPr>
        <w:t>’</w:t>
      </w:r>
      <w:r w:rsidRPr="005B4699">
        <w:rPr>
          <w:rFonts w:eastAsia="Times New Roman"/>
          <w:lang w:val="fr-FR"/>
        </w:rPr>
        <w:t>il était compétent pour connaître du différend, soulignant qu</w:t>
      </w:r>
      <w:r>
        <w:rPr>
          <w:rFonts w:eastAsia="Times New Roman"/>
          <w:lang w:val="fr-FR"/>
        </w:rPr>
        <w:t>’</w:t>
      </w:r>
      <w:r w:rsidRPr="005B4699">
        <w:rPr>
          <w:rFonts w:eastAsia="Times New Roman"/>
          <w:lang w:val="fr-FR"/>
        </w:rPr>
        <w:t xml:space="preserve">« une jurisprudence judiciaire et arbitrale abondante en la matière </w:t>
      </w:r>
      <w:proofErr w:type="spellStart"/>
      <w:r w:rsidRPr="005B4699">
        <w:rPr>
          <w:rFonts w:eastAsia="Times New Roman"/>
          <w:lang w:val="fr-FR"/>
        </w:rPr>
        <w:t>confirm</w:t>
      </w:r>
      <w:proofErr w:type="spellEnd"/>
      <w:r w:rsidRPr="005B4699">
        <w:rPr>
          <w:rFonts w:eastAsia="Times New Roman"/>
          <w:lang w:val="fr-FR"/>
        </w:rPr>
        <w:t xml:space="preserve">[ait] que cette </w:t>
      </w:r>
      <w:r w:rsidRPr="00467DE7">
        <w:rPr>
          <w:rFonts w:eastAsia="Times New Roman"/>
          <w:lang w:val="fr-FR"/>
        </w:rPr>
        <w:t>obligation faisait</w:t>
      </w:r>
      <w:r w:rsidRPr="005B4699">
        <w:rPr>
          <w:rFonts w:eastAsia="Times New Roman"/>
          <w:lang w:val="fr-FR"/>
        </w:rPr>
        <w:t xml:space="preserve"> sans aucun doute partie de la </w:t>
      </w:r>
      <w:r w:rsidRPr="005B4699">
        <w:rPr>
          <w:rFonts w:eastAsia="Times New Roman"/>
          <w:iCs/>
          <w:lang w:val="fr-FR"/>
        </w:rPr>
        <w:t>jurisprudence constante</w:t>
      </w:r>
      <w:r w:rsidRPr="005B4699">
        <w:rPr>
          <w:rFonts w:eastAsia="Times New Roman"/>
          <w:lang w:val="fr-FR"/>
        </w:rPr>
        <w:t> »</w:t>
      </w:r>
      <w:r w:rsidRPr="0053774D">
        <w:rPr>
          <w:rStyle w:val="Appelnotedebasdep"/>
        </w:rPr>
        <w:footnoteReference w:id="184"/>
      </w:r>
      <w:r w:rsidRPr="005B4699">
        <w:rPr>
          <w:rFonts w:eastAsia="Times New Roman"/>
          <w:lang w:val="fr-FR"/>
        </w:rPr>
        <w:t>.</w:t>
      </w:r>
    </w:p>
    <w:p w14:paraId="09090B27" w14:textId="63929ED1"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7</w:t>
      </w:r>
      <w:r w:rsidRPr="005B4699">
        <w:rPr>
          <w:rFonts w:eastAsia="Times New Roman"/>
          <w:lang w:val="fr-FR"/>
        </w:rPr>
        <w:t>)</w:t>
      </w:r>
      <w:r w:rsidRPr="005B4699">
        <w:rPr>
          <w:rFonts w:eastAsia="Times New Roman"/>
          <w:lang w:val="fr-FR"/>
        </w:rPr>
        <w:tab/>
        <w:t>Sur la base de l</w:t>
      </w:r>
      <w:r>
        <w:rPr>
          <w:rFonts w:eastAsia="Times New Roman"/>
          <w:lang w:val="fr-FR"/>
        </w:rPr>
        <w:t>’</w:t>
      </w:r>
      <w:r w:rsidRPr="005B4699">
        <w:rPr>
          <w:rFonts w:eastAsia="Times New Roman"/>
          <w:lang w:val="fr-FR"/>
        </w:rPr>
        <w:t>échantillon ci-dessus de l</w:t>
      </w:r>
      <w:r>
        <w:rPr>
          <w:rFonts w:eastAsia="Times New Roman"/>
          <w:lang w:val="fr-FR"/>
        </w:rPr>
        <w:t>’</w:t>
      </w:r>
      <w:r w:rsidRPr="005B4699">
        <w:rPr>
          <w:rFonts w:eastAsia="Times New Roman"/>
          <w:lang w:val="fr-FR"/>
        </w:rPr>
        <w:t>abondante pratique disponible, la Commission considère que, s</w:t>
      </w:r>
      <w:r>
        <w:rPr>
          <w:rFonts w:eastAsia="Times New Roman"/>
          <w:lang w:val="fr-FR"/>
        </w:rPr>
        <w:t>’</w:t>
      </w:r>
      <w:r w:rsidRPr="005B4699">
        <w:rPr>
          <w:rFonts w:eastAsia="Times New Roman"/>
          <w:lang w:val="fr-FR"/>
        </w:rPr>
        <w:t>il n</w:t>
      </w:r>
      <w:r>
        <w:rPr>
          <w:rFonts w:eastAsia="Times New Roman"/>
          <w:lang w:val="fr-FR"/>
        </w:rPr>
        <w:t>’</w:t>
      </w:r>
      <w:r w:rsidRPr="005B4699">
        <w:rPr>
          <w:rFonts w:eastAsia="Times New Roman"/>
          <w:lang w:val="fr-FR"/>
        </w:rPr>
        <w:t>est pas nécessairement requis que, dans chaque cas, une décision fasse partie d</w:t>
      </w:r>
      <w:r>
        <w:rPr>
          <w:rFonts w:eastAsia="Times New Roman"/>
          <w:lang w:val="fr-FR"/>
        </w:rPr>
        <w:t>’</w:t>
      </w:r>
      <w:r w:rsidRPr="005B4699">
        <w:rPr>
          <w:rFonts w:eastAsia="Times New Roman"/>
          <w:lang w:val="fr-FR"/>
        </w:rPr>
        <w:t>un ensemble de décisions concordantes, le fait que de telles décisions concordantes existent et étayent les constatations et conclusions d</w:t>
      </w:r>
      <w:r>
        <w:rPr>
          <w:rFonts w:eastAsia="Times New Roman"/>
          <w:lang w:val="fr-FR"/>
        </w:rPr>
        <w:t>e la</w:t>
      </w:r>
      <w:r w:rsidRPr="005B4699">
        <w:rPr>
          <w:rFonts w:eastAsia="Times New Roman"/>
          <w:lang w:val="fr-FR"/>
        </w:rPr>
        <w:t xml:space="preserve"> décision </w:t>
      </w:r>
      <w:r>
        <w:rPr>
          <w:rFonts w:eastAsia="Times New Roman"/>
          <w:lang w:val="fr-FR"/>
        </w:rPr>
        <w:t>concernée</w:t>
      </w:r>
      <w:r w:rsidRPr="005B4699">
        <w:rPr>
          <w:rFonts w:eastAsia="Times New Roman"/>
          <w:lang w:val="fr-FR"/>
        </w:rPr>
        <w:t xml:space="preserve"> renforcera généralement le poids de celle-ci à condition qu</w:t>
      </w:r>
      <w:r>
        <w:rPr>
          <w:rFonts w:eastAsia="Times New Roman"/>
          <w:lang w:val="fr-FR"/>
        </w:rPr>
        <w:t>’</w:t>
      </w:r>
      <w:r w:rsidRPr="005B4699">
        <w:rPr>
          <w:rFonts w:eastAsia="Times New Roman"/>
          <w:lang w:val="fr-FR"/>
        </w:rPr>
        <w:t>elle soit judicieuse et persuasive pour un utilisateur ultérieur.</w:t>
      </w:r>
    </w:p>
    <w:p w14:paraId="3AFD8A0B" w14:textId="73CCBEF7" w:rsidR="004C5E26" w:rsidRPr="005B4699" w:rsidRDefault="004C5E26" w:rsidP="004C5E26">
      <w:pPr>
        <w:pStyle w:val="H4G"/>
        <w:rPr>
          <w:lang w:val="fr-FR"/>
        </w:rPr>
      </w:pPr>
      <w:r>
        <w:rPr>
          <w:lang w:val="fr-FR"/>
        </w:rPr>
        <w:tab/>
      </w:r>
      <w:r>
        <w:rPr>
          <w:lang w:val="fr-FR"/>
        </w:rPr>
        <w:tab/>
      </w:r>
      <w:r w:rsidRPr="005B4699">
        <w:rPr>
          <w:lang w:val="fr-FR"/>
        </w:rPr>
        <w:t xml:space="preserve">Alinéa c) </w:t>
      </w:r>
      <w:r>
        <w:rPr>
          <w:lang w:val="fr-FR"/>
        </w:rPr>
        <w:t>−</w:t>
      </w:r>
      <w:r w:rsidRPr="005B4699">
        <w:rPr>
          <w:lang w:val="fr-FR"/>
        </w:rPr>
        <w:t xml:space="preserve"> </w:t>
      </w:r>
      <w:r w:rsidR="00696ED1" w:rsidRPr="005B4699">
        <w:rPr>
          <w:lang w:val="fr-FR"/>
        </w:rPr>
        <w:t>M</w:t>
      </w:r>
      <w:r w:rsidRPr="005B4699">
        <w:rPr>
          <w:lang w:val="fr-FR"/>
        </w:rPr>
        <w:t>esure dans laquelle le raisonnement reste pertinent</w:t>
      </w:r>
    </w:p>
    <w:p w14:paraId="2BA5AEA6" w14:textId="2C944E2B" w:rsidR="004C5E26" w:rsidRPr="005B4699" w:rsidRDefault="004C5E26" w:rsidP="004C5E26">
      <w:pPr>
        <w:pStyle w:val="SingleTxtG"/>
        <w:rPr>
          <w:rFonts w:eastAsia="Times New Roman"/>
          <w:lang w:val="fr-FR"/>
        </w:rPr>
      </w:pPr>
      <w:r w:rsidRPr="005B4699">
        <w:rPr>
          <w:rFonts w:eastAsia="Times New Roman"/>
          <w:lang w:val="fr-FR"/>
        </w:rPr>
        <w:t>1</w:t>
      </w:r>
      <w:r>
        <w:rPr>
          <w:rFonts w:eastAsia="Times New Roman"/>
          <w:lang w:val="fr-FR"/>
        </w:rPr>
        <w:t>8</w:t>
      </w:r>
      <w:r w:rsidRPr="005B4699">
        <w:rPr>
          <w:rFonts w:eastAsia="Times New Roman"/>
          <w:lang w:val="fr-FR"/>
        </w:rPr>
        <w:t>)</w:t>
      </w:r>
      <w:r w:rsidRPr="005B4699">
        <w:rPr>
          <w:rFonts w:eastAsia="Times New Roman"/>
          <w:lang w:val="fr-FR"/>
        </w:rPr>
        <w:tab/>
        <w:t>L</w:t>
      </w:r>
      <w:r>
        <w:rPr>
          <w:rFonts w:eastAsia="Times New Roman"/>
          <w:lang w:val="fr-FR"/>
        </w:rPr>
        <w:t>’</w:t>
      </w:r>
      <w:r w:rsidRPr="005B4699">
        <w:rPr>
          <w:rFonts w:eastAsia="Times New Roman"/>
          <w:lang w:val="fr-FR"/>
        </w:rPr>
        <w:t xml:space="preserve">alinéa c), qui énonce </w:t>
      </w:r>
      <w:r>
        <w:rPr>
          <w:rFonts w:eastAsia="Times New Roman"/>
          <w:lang w:val="fr-FR"/>
        </w:rPr>
        <w:t>un</w:t>
      </w:r>
      <w:r w:rsidRPr="005B4699">
        <w:rPr>
          <w:rFonts w:eastAsia="Times New Roman"/>
          <w:lang w:val="fr-FR"/>
        </w:rPr>
        <w:t xml:space="preserve"> troisième critère d</w:t>
      </w:r>
      <w:r>
        <w:rPr>
          <w:rFonts w:eastAsia="Times New Roman"/>
          <w:lang w:val="fr-FR"/>
        </w:rPr>
        <w:t>’</w:t>
      </w:r>
      <w:r w:rsidRPr="005B4699">
        <w:rPr>
          <w:rFonts w:eastAsia="Times New Roman"/>
          <w:lang w:val="fr-FR"/>
        </w:rPr>
        <w:t>appréciation des décisions des juridictions défini dans le projet de conclusion 8, indique que doit être prise en considération « [l]a mesure dans laquelle le raisonnement reste pertinent au regard des développements ultérieurs ». La Commission a inclus ce critère pour tenir compte de l</w:t>
      </w:r>
      <w:r>
        <w:rPr>
          <w:rFonts w:eastAsia="Times New Roman"/>
          <w:lang w:val="fr-FR"/>
        </w:rPr>
        <w:t>’</w:t>
      </w:r>
      <w:r w:rsidRPr="005B4699">
        <w:rPr>
          <w:rFonts w:eastAsia="Times New Roman"/>
          <w:lang w:val="fr-FR"/>
        </w:rPr>
        <w:t>évolution possible du droit international, qui peut aboutir à ce que moins de poids soit accordé aux décisions antérieures. On se souviendra qu</w:t>
      </w:r>
      <w:r>
        <w:rPr>
          <w:rFonts w:eastAsia="Times New Roman"/>
          <w:lang w:val="fr-FR"/>
        </w:rPr>
        <w:t>’</w:t>
      </w:r>
      <w:r w:rsidRPr="005B4699">
        <w:rPr>
          <w:rFonts w:eastAsia="Times New Roman"/>
          <w:lang w:val="fr-FR"/>
        </w:rPr>
        <w:t>une décision rendue par une juridiction peut s</w:t>
      </w:r>
      <w:r>
        <w:rPr>
          <w:rFonts w:eastAsia="Times New Roman"/>
          <w:lang w:val="fr-FR"/>
        </w:rPr>
        <w:t>’</w:t>
      </w:r>
      <w:r w:rsidRPr="005B4699">
        <w:rPr>
          <w:rFonts w:eastAsia="Times New Roman"/>
          <w:lang w:val="fr-FR"/>
        </w:rPr>
        <w:t>appliquer à un certain moment mais qu</w:t>
      </w:r>
      <w:r>
        <w:rPr>
          <w:rFonts w:eastAsia="Times New Roman"/>
          <w:lang w:val="fr-FR"/>
        </w:rPr>
        <w:t>’</w:t>
      </w:r>
      <w:r w:rsidRPr="005B4699">
        <w:rPr>
          <w:rFonts w:eastAsia="Times New Roman"/>
          <w:lang w:val="fr-FR"/>
        </w:rPr>
        <w:t xml:space="preserve">elle ne gèle pas nécessairement le droit </w:t>
      </w:r>
      <w:r>
        <w:rPr>
          <w:rFonts w:eastAsia="Times New Roman"/>
          <w:lang w:val="fr-FR"/>
        </w:rPr>
        <w:t>ni</w:t>
      </w:r>
      <w:r w:rsidRPr="005B4699">
        <w:rPr>
          <w:rFonts w:eastAsia="Times New Roman"/>
          <w:lang w:val="fr-FR"/>
        </w:rPr>
        <w:t xml:space="preserve"> son évolution. </w:t>
      </w:r>
    </w:p>
    <w:p w14:paraId="0E29EA4D" w14:textId="50FEED9E" w:rsidR="004C5E26" w:rsidRDefault="004C5E26" w:rsidP="004C5E26">
      <w:pPr>
        <w:pStyle w:val="SingleTxtG"/>
        <w:rPr>
          <w:rFonts w:eastAsia="Times New Roman"/>
          <w:lang w:val="fr-FR"/>
        </w:rPr>
      </w:pPr>
      <w:r>
        <w:rPr>
          <w:rFonts w:eastAsia="Times New Roman"/>
          <w:lang w:val="fr-FR"/>
        </w:rPr>
        <w:t>19</w:t>
      </w:r>
      <w:r w:rsidRPr="005B4699">
        <w:rPr>
          <w:rFonts w:eastAsia="Times New Roman"/>
          <w:lang w:val="fr-FR"/>
        </w:rPr>
        <w:t>)</w:t>
      </w:r>
      <w:r w:rsidRPr="005B4699">
        <w:rPr>
          <w:rFonts w:eastAsia="Times New Roman"/>
          <w:lang w:val="fr-FR"/>
        </w:rPr>
        <w:tab/>
        <w:t xml:space="preserve">Avec le temps, une décision peut être dépassée </w:t>
      </w:r>
      <w:r>
        <w:rPr>
          <w:rFonts w:eastAsia="Times New Roman"/>
          <w:lang w:val="fr-FR"/>
        </w:rPr>
        <w:t>en raison</w:t>
      </w:r>
      <w:r w:rsidRPr="005B4699">
        <w:rPr>
          <w:rFonts w:eastAsia="Times New Roman"/>
          <w:lang w:val="fr-FR"/>
        </w:rPr>
        <w:t xml:space="preserve"> de développements ultérieurs. Les mots « développements ultérieurs » ont donc été choisis pour introduire une certaine souplesse, le poids à accorder à une décision ou un groupe de décisions pouvant changer compte tenu d</w:t>
      </w:r>
      <w:r>
        <w:rPr>
          <w:rFonts w:eastAsia="Times New Roman"/>
          <w:lang w:val="fr-FR"/>
        </w:rPr>
        <w:t>’</w:t>
      </w:r>
      <w:r w:rsidRPr="005B4699">
        <w:rPr>
          <w:rFonts w:eastAsia="Times New Roman"/>
          <w:lang w:val="fr-FR"/>
        </w:rPr>
        <w:t>événements nouveaux. Ces événements comprennent non seulement des décisions de juridictions</w:t>
      </w:r>
      <w:r>
        <w:rPr>
          <w:rFonts w:eastAsia="Times New Roman"/>
          <w:lang w:val="fr-FR"/>
        </w:rPr>
        <w:t>,</w:t>
      </w:r>
      <w:r w:rsidRPr="005B4699">
        <w:rPr>
          <w:rFonts w:eastAsia="Times New Roman"/>
          <w:lang w:val="fr-FR"/>
        </w:rPr>
        <w:t xml:space="preserve"> mais aussi des développements factuels ou juridiques comme l</w:t>
      </w:r>
      <w:r>
        <w:rPr>
          <w:rFonts w:eastAsia="Times New Roman"/>
          <w:lang w:val="fr-FR"/>
        </w:rPr>
        <w:t>’</w:t>
      </w:r>
      <w:r w:rsidRPr="005B4699">
        <w:rPr>
          <w:rFonts w:eastAsia="Times New Roman"/>
          <w:lang w:val="fr-FR"/>
        </w:rPr>
        <w:t>apparition d</w:t>
      </w:r>
      <w:r>
        <w:rPr>
          <w:rFonts w:eastAsia="Times New Roman"/>
          <w:lang w:val="fr-FR"/>
        </w:rPr>
        <w:t>’</w:t>
      </w:r>
      <w:r w:rsidRPr="005B4699">
        <w:rPr>
          <w:rFonts w:eastAsia="Times New Roman"/>
          <w:lang w:val="fr-FR"/>
        </w:rPr>
        <w:t>une règle différente à la suite, par exemple, de l</w:t>
      </w:r>
      <w:r>
        <w:rPr>
          <w:rFonts w:eastAsia="Times New Roman"/>
          <w:lang w:val="fr-FR"/>
        </w:rPr>
        <w:t>’</w:t>
      </w:r>
      <w:r w:rsidRPr="005B4699">
        <w:rPr>
          <w:rFonts w:eastAsia="Times New Roman"/>
          <w:lang w:val="fr-FR"/>
        </w:rPr>
        <w:t>adoption d</w:t>
      </w:r>
      <w:r>
        <w:rPr>
          <w:rFonts w:eastAsia="Times New Roman"/>
          <w:lang w:val="fr-FR"/>
        </w:rPr>
        <w:t>’</w:t>
      </w:r>
      <w:r w:rsidRPr="005B4699">
        <w:rPr>
          <w:rFonts w:eastAsia="Times New Roman"/>
          <w:lang w:val="fr-FR"/>
        </w:rPr>
        <w:t>un traité ou de la pratique ultérieure des États, qui limitera l</w:t>
      </w:r>
      <w:r>
        <w:rPr>
          <w:rFonts w:eastAsia="Times New Roman"/>
          <w:lang w:val="fr-FR"/>
        </w:rPr>
        <w:t>’</w:t>
      </w:r>
      <w:r w:rsidRPr="005B4699">
        <w:rPr>
          <w:rFonts w:eastAsia="Times New Roman"/>
          <w:lang w:val="fr-FR"/>
        </w:rPr>
        <w:t>applicabilité ou la pertinence du raisonnement suivi par un</w:t>
      </w:r>
      <w:r>
        <w:rPr>
          <w:rFonts w:eastAsia="Times New Roman"/>
          <w:lang w:val="fr-FR"/>
        </w:rPr>
        <w:t>e</w:t>
      </w:r>
      <w:r w:rsidRPr="005B4699">
        <w:rPr>
          <w:rFonts w:eastAsia="Times New Roman"/>
          <w:lang w:val="fr-FR"/>
        </w:rPr>
        <w:t xml:space="preserve"> juridiction dans une décision antérieure</w:t>
      </w:r>
      <w:r>
        <w:rPr>
          <w:rStyle w:val="Appelnotedebasdep"/>
          <w:rFonts w:eastAsia="Times New Roman"/>
        </w:rPr>
        <w:footnoteReference w:id="185"/>
      </w:r>
      <w:r w:rsidRPr="005B4699">
        <w:rPr>
          <w:rFonts w:eastAsia="Times New Roman"/>
          <w:lang w:val="fr-FR"/>
        </w:rPr>
        <w:t xml:space="preserve">. </w:t>
      </w:r>
      <w:r w:rsidRPr="00CB7F8D">
        <w:rPr>
          <w:rFonts w:eastAsia="Times New Roman"/>
          <w:lang w:val="fr-FR"/>
        </w:rPr>
        <w:t xml:space="preserve">Des décisions peuvent aussi changer </w:t>
      </w:r>
      <w:r w:rsidRPr="00D1562B">
        <w:rPr>
          <w:rFonts w:eastAsia="Times New Roman"/>
          <w:lang w:val="fr-FR"/>
        </w:rPr>
        <w:lastRenderedPageBreak/>
        <w:t>lorsqu</w:t>
      </w:r>
      <w:r>
        <w:rPr>
          <w:rFonts w:eastAsia="Times New Roman"/>
          <w:lang w:val="fr-FR"/>
        </w:rPr>
        <w:t>’</w:t>
      </w:r>
      <w:r w:rsidRPr="00D1562B">
        <w:rPr>
          <w:rFonts w:eastAsia="Times New Roman"/>
          <w:lang w:val="fr-FR"/>
        </w:rPr>
        <w:t>une j</w:t>
      </w:r>
      <w:r w:rsidRPr="005B4699">
        <w:rPr>
          <w:rFonts w:eastAsia="Times New Roman"/>
          <w:lang w:val="fr-FR"/>
        </w:rPr>
        <w:t>uridiction décide de modifier sa position pour suivre une approche plus contemporaine de certaines questions ou en raison d</w:t>
      </w:r>
      <w:r>
        <w:rPr>
          <w:rFonts w:eastAsia="Times New Roman"/>
          <w:lang w:val="fr-FR"/>
        </w:rPr>
        <w:t>’</w:t>
      </w:r>
      <w:r w:rsidRPr="005B4699">
        <w:rPr>
          <w:rFonts w:eastAsia="Times New Roman"/>
          <w:lang w:val="fr-FR"/>
        </w:rPr>
        <w:t>un changement de circonstances, par exemple. Les utilisateurs du présent projet de conclusions ne doivent donc pas l</w:t>
      </w:r>
      <w:r>
        <w:rPr>
          <w:rFonts w:eastAsia="Times New Roman"/>
          <w:lang w:val="fr-FR"/>
        </w:rPr>
        <w:t>’</w:t>
      </w:r>
      <w:r w:rsidRPr="005B4699">
        <w:rPr>
          <w:rFonts w:eastAsia="Times New Roman"/>
          <w:lang w:val="fr-FR"/>
        </w:rPr>
        <w:t>oublier lorsqu</w:t>
      </w:r>
      <w:r>
        <w:rPr>
          <w:rFonts w:eastAsia="Times New Roman"/>
          <w:lang w:val="fr-FR"/>
        </w:rPr>
        <w:t>’</w:t>
      </w:r>
      <w:r w:rsidRPr="005B4699">
        <w:rPr>
          <w:rFonts w:eastAsia="Times New Roman"/>
          <w:lang w:val="fr-FR"/>
        </w:rPr>
        <w:t>ils apprécient le poids à accorder aux décisions des juridictions comme moyen auxiliaire de détermination des règles de droit international.</w:t>
      </w:r>
    </w:p>
    <w:p w14:paraId="0B88CEAF" w14:textId="77777777" w:rsidR="00B97B57" w:rsidRDefault="00B97B57">
      <w:pPr>
        <w:suppressAutoHyphens w:val="0"/>
        <w:kinsoku/>
        <w:overflowPunct/>
        <w:autoSpaceDE/>
        <w:autoSpaceDN/>
        <w:adjustRightInd/>
        <w:snapToGrid/>
        <w:spacing w:line="240" w:lineRule="auto"/>
        <w:rPr>
          <w:b/>
          <w:sz w:val="28"/>
          <w:lang w:val="fr-FR"/>
        </w:rPr>
      </w:pPr>
      <w:r>
        <w:rPr>
          <w:lang w:val="fr-FR"/>
        </w:rPr>
        <w:br w:type="page"/>
      </w:r>
    </w:p>
    <w:p w14:paraId="5B68F61A" w14:textId="1D14DEA7" w:rsidR="007A322E" w:rsidRPr="00E31FBF" w:rsidRDefault="007A322E" w:rsidP="007A322E">
      <w:pPr>
        <w:pStyle w:val="HChG"/>
        <w:rPr>
          <w:lang w:val="fr-CA"/>
        </w:rPr>
      </w:pPr>
      <w:r w:rsidRPr="00E31FBF">
        <w:rPr>
          <w:lang w:val="fr-CA"/>
        </w:rPr>
        <w:lastRenderedPageBreak/>
        <w:tab/>
      </w:r>
      <w:r w:rsidRPr="00E31FBF">
        <w:rPr>
          <w:lang w:val="fr-CA"/>
        </w:rPr>
        <w:tab/>
        <w:t>Chap</w:t>
      </w:r>
      <w:r>
        <w:rPr>
          <w:lang w:val="fr-CA"/>
        </w:rPr>
        <w:t>itre</w:t>
      </w:r>
      <w:r w:rsidRPr="00E31FBF">
        <w:rPr>
          <w:lang w:val="fr-CA"/>
        </w:rPr>
        <w:t xml:space="preserve"> VI</w:t>
      </w:r>
      <w:r>
        <w:rPr>
          <w:lang w:val="fr-CA"/>
        </w:rPr>
        <w:br/>
      </w:r>
      <w:bookmarkStart w:id="74" w:name="_Hlk175322951"/>
      <w:r w:rsidRPr="00E31FBF">
        <w:rPr>
          <w:lang w:val="fr-FR"/>
        </w:rPr>
        <w:tab/>
        <w:t>Prévention et répression de la piraterie et du vol à main armée en mer</w:t>
      </w:r>
      <w:bookmarkEnd w:id="74"/>
    </w:p>
    <w:p w14:paraId="64B63A0E" w14:textId="77777777" w:rsidR="007A322E" w:rsidRPr="00E31FBF" w:rsidRDefault="007A322E" w:rsidP="007A322E">
      <w:pPr>
        <w:pStyle w:val="H1G"/>
        <w:rPr>
          <w:lang w:val="fr-CA"/>
        </w:rPr>
      </w:pPr>
      <w:r>
        <w:rPr>
          <w:lang w:val="fr-FR"/>
        </w:rPr>
        <w:tab/>
      </w:r>
      <w:r w:rsidRPr="00E31FBF">
        <w:rPr>
          <w:lang w:val="fr-FR"/>
        </w:rPr>
        <w:t>A.</w:t>
      </w:r>
      <w:r w:rsidRPr="00E31FBF">
        <w:rPr>
          <w:lang w:val="fr-FR"/>
        </w:rPr>
        <w:tab/>
      </w:r>
      <w:r w:rsidRPr="00E31FBF">
        <w:rPr>
          <w:lang w:val="fr-FR"/>
        </w:rPr>
        <w:tab/>
      </w:r>
      <w:bookmarkStart w:id="75" w:name="_Hlk175323517"/>
      <w:r w:rsidRPr="00E31FBF">
        <w:rPr>
          <w:lang w:val="fr-FR"/>
        </w:rPr>
        <w:t>Introduction</w:t>
      </w:r>
      <w:bookmarkEnd w:id="75"/>
    </w:p>
    <w:p w14:paraId="3DDE1988" w14:textId="53C8AA76" w:rsidR="007A322E" w:rsidRPr="00E31FBF" w:rsidRDefault="007A322E" w:rsidP="007A322E">
      <w:pPr>
        <w:pStyle w:val="SingleTxtG"/>
        <w:rPr>
          <w:lang w:val="fr-CA"/>
        </w:rPr>
      </w:pPr>
      <w:r>
        <w:rPr>
          <w:lang w:val="fr-FR"/>
        </w:rPr>
        <w:t>76</w:t>
      </w:r>
      <w:r w:rsidRPr="00E31FBF">
        <w:rPr>
          <w:lang w:val="fr-FR"/>
        </w:rPr>
        <w:t>.</w:t>
      </w:r>
      <w:r w:rsidRPr="00E31FBF">
        <w:rPr>
          <w:lang w:val="fr-FR"/>
        </w:rPr>
        <w:tab/>
        <w:t>À sa soixante-treizième session (2022), la Commission a décidé d</w:t>
      </w:r>
      <w:r>
        <w:rPr>
          <w:lang w:val="fr-FR"/>
        </w:rPr>
        <w:t>’</w:t>
      </w:r>
      <w:r w:rsidRPr="00E31FBF">
        <w:rPr>
          <w:lang w:val="fr-FR"/>
        </w:rPr>
        <w:t>inscrire le sujet «</w:t>
      </w:r>
      <w:r>
        <w:rPr>
          <w:lang w:val="fr-FR"/>
        </w:rPr>
        <w:t> </w:t>
      </w:r>
      <w:r w:rsidRPr="00E31FBF">
        <w:rPr>
          <w:lang w:val="fr-FR"/>
        </w:rPr>
        <w:t>Prévention et répression de la piraterie et du vol à main armée en mer</w:t>
      </w:r>
      <w:r>
        <w:rPr>
          <w:lang w:val="fr-FR"/>
        </w:rPr>
        <w:t> </w:t>
      </w:r>
      <w:r w:rsidRPr="00E31FBF">
        <w:rPr>
          <w:lang w:val="fr-FR"/>
        </w:rPr>
        <w:t>» à son programme de travail</w:t>
      </w:r>
      <w:r w:rsidRPr="00E31FBF">
        <w:rPr>
          <w:rStyle w:val="Appelnotedebasdep"/>
          <w:lang w:val="fr-FR"/>
        </w:rPr>
        <w:footnoteReference w:id="186"/>
      </w:r>
      <w:r w:rsidRPr="00E31FBF">
        <w:rPr>
          <w:lang w:val="fr-FR"/>
        </w:rPr>
        <w:t xml:space="preserve"> et a désigné M.</w:t>
      </w:r>
      <w:r>
        <w:rPr>
          <w:lang w:val="fr-FR"/>
        </w:rPr>
        <w:t> </w:t>
      </w:r>
      <w:r w:rsidRPr="00E31FBF">
        <w:rPr>
          <w:lang w:val="fr-FR"/>
        </w:rPr>
        <w:t>Yacouba</w:t>
      </w:r>
      <w:r>
        <w:rPr>
          <w:lang w:val="fr-FR"/>
        </w:rPr>
        <w:t> </w:t>
      </w:r>
      <w:r w:rsidRPr="00E31FBF">
        <w:rPr>
          <w:lang w:val="fr-FR"/>
        </w:rPr>
        <w:t>Cissé Rapporteur spécial pour ce sujet</w:t>
      </w:r>
      <w:r>
        <w:rPr>
          <w:lang w:val="fr-FR"/>
        </w:rPr>
        <w:t>.</w:t>
      </w:r>
      <w:r w:rsidRPr="00E31FBF">
        <w:rPr>
          <w:lang w:val="fr-FR"/>
        </w:rPr>
        <w:t xml:space="preserve"> À sa soixante</w:t>
      </w:r>
      <w:r>
        <w:rPr>
          <w:lang w:val="fr-FR"/>
        </w:rPr>
        <w:noBreakHyphen/>
      </w:r>
      <w:r w:rsidRPr="00E31FBF">
        <w:rPr>
          <w:lang w:val="fr-FR"/>
        </w:rPr>
        <w:t>treizième session également</w:t>
      </w:r>
      <w:r w:rsidRPr="00E31FBF">
        <w:rPr>
          <w:rStyle w:val="Appelnotedebasdep"/>
          <w:lang w:val="fr-FR"/>
        </w:rPr>
        <w:footnoteReference w:id="187"/>
      </w:r>
      <w:r w:rsidRPr="00E31FBF">
        <w:rPr>
          <w:lang w:val="fr-FR"/>
        </w:rPr>
        <w:t>, la Commission a demandé au Secrétariat d</w:t>
      </w:r>
      <w:r>
        <w:rPr>
          <w:lang w:val="fr-FR"/>
        </w:rPr>
        <w:t>’</w:t>
      </w:r>
      <w:r w:rsidRPr="00E31FBF">
        <w:rPr>
          <w:lang w:val="fr-FR"/>
        </w:rPr>
        <w:t>élaborer une étude sur le sujet en s</w:t>
      </w:r>
      <w:r>
        <w:rPr>
          <w:lang w:val="fr-FR"/>
        </w:rPr>
        <w:t>’</w:t>
      </w:r>
      <w:r w:rsidRPr="00E31FBF">
        <w:rPr>
          <w:lang w:val="fr-FR"/>
        </w:rPr>
        <w:t>intéressant en particulier aux éléments de ses précédents travaux qui pourraient être particulièrement pertinents pour ses travaux futurs sur le sujet et aux vues exprimées par les États, à la doctrine pertinente en ce qui concerne la définition de la piraterie et du vol à main armée en mer et aux résolutions du Conseil de sécurité et de l</w:t>
      </w:r>
      <w:r>
        <w:rPr>
          <w:lang w:val="fr-FR"/>
        </w:rPr>
        <w:t>’</w:t>
      </w:r>
      <w:r w:rsidRPr="00E31FBF">
        <w:rPr>
          <w:lang w:val="fr-FR"/>
        </w:rPr>
        <w:t>Assemblée générale touchant au sujet. En outre, elle a approuvé la recommandation du Rapporteur spécial tendant à ce que le Secrétariat prenne contact avec les États et les organisations internationales compétentes afin d</w:t>
      </w:r>
      <w:r>
        <w:rPr>
          <w:lang w:val="fr-FR"/>
        </w:rPr>
        <w:t>’</w:t>
      </w:r>
      <w:r w:rsidRPr="00E31FBF">
        <w:rPr>
          <w:lang w:val="fr-FR"/>
        </w:rPr>
        <w:t>obtenir de leur part des informations et des avis sur le</w:t>
      </w:r>
      <w:r>
        <w:rPr>
          <w:lang w:val="fr-FR"/>
        </w:rPr>
        <w:t> </w:t>
      </w:r>
      <w:r w:rsidRPr="00E31FBF">
        <w:rPr>
          <w:lang w:val="fr-FR"/>
        </w:rPr>
        <w:t>sujet</w:t>
      </w:r>
      <w:r w:rsidRPr="00E31FBF">
        <w:rPr>
          <w:rStyle w:val="Appelnotedebasdep"/>
          <w:lang w:val="fr-FR"/>
        </w:rPr>
        <w:footnoteReference w:id="188"/>
      </w:r>
      <w:r w:rsidRPr="00E31FBF">
        <w:rPr>
          <w:lang w:val="fr-FR"/>
        </w:rPr>
        <w:t>.</w:t>
      </w:r>
    </w:p>
    <w:p w14:paraId="0C864635" w14:textId="77777777" w:rsidR="007A322E" w:rsidRPr="00E31FBF" w:rsidRDefault="007A322E" w:rsidP="007A322E">
      <w:pPr>
        <w:pStyle w:val="SingleTxtG"/>
        <w:rPr>
          <w:lang w:val="fr-CA"/>
        </w:rPr>
      </w:pPr>
      <w:r>
        <w:rPr>
          <w:lang w:val="fr-FR"/>
        </w:rPr>
        <w:t>77</w:t>
      </w:r>
      <w:r w:rsidRPr="00E31FBF">
        <w:rPr>
          <w:lang w:val="fr-FR"/>
        </w:rPr>
        <w:t>.</w:t>
      </w:r>
      <w:r w:rsidRPr="00E31FBF">
        <w:rPr>
          <w:lang w:val="fr-FR"/>
        </w:rPr>
        <w:tab/>
        <w:t xml:space="preserve">Au paragraphe 7 de sa résolution </w:t>
      </w:r>
      <w:hyperlink r:id="rId57" w:history="1">
        <w:r w:rsidRPr="00E31FBF">
          <w:rPr>
            <w:rStyle w:val="Lienhypertexte"/>
            <w:lang w:val="fr-FR"/>
          </w:rPr>
          <w:t>77/103</w:t>
        </w:r>
      </w:hyperlink>
      <w:r w:rsidRPr="00E31FBF">
        <w:rPr>
          <w:lang w:val="fr-FR"/>
        </w:rPr>
        <w:t>, du 7 décembre 2022, l</w:t>
      </w:r>
      <w:r>
        <w:rPr>
          <w:lang w:val="fr-FR"/>
        </w:rPr>
        <w:t>’</w:t>
      </w:r>
      <w:r w:rsidRPr="00E31FBF">
        <w:rPr>
          <w:lang w:val="fr-FR"/>
        </w:rPr>
        <w:t>Assemblée générale a pris note de la décision de la Commission d</w:t>
      </w:r>
      <w:r>
        <w:rPr>
          <w:lang w:val="fr-FR"/>
        </w:rPr>
        <w:t>’</w:t>
      </w:r>
      <w:r w:rsidRPr="00E31FBF">
        <w:rPr>
          <w:lang w:val="fr-FR"/>
        </w:rPr>
        <w:t>inscrire le sujet à son programme de travail.</w:t>
      </w:r>
    </w:p>
    <w:p w14:paraId="164023E4" w14:textId="7F58657A" w:rsidR="007A322E" w:rsidRPr="00E31FBF" w:rsidRDefault="007A322E" w:rsidP="007A322E">
      <w:pPr>
        <w:pStyle w:val="SingleTxtG"/>
        <w:rPr>
          <w:lang w:val="fr-CA"/>
        </w:rPr>
      </w:pPr>
      <w:r>
        <w:rPr>
          <w:lang w:val="fr-FR"/>
        </w:rPr>
        <w:t>78</w:t>
      </w:r>
      <w:r w:rsidRPr="00E31FBF">
        <w:rPr>
          <w:lang w:val="fr-FR"/>
        </w:rPr>
        <w:t>.</w:t>
      </w:r>
      <w:r w:rsidRPr="00E31FBF">
        <w:rPr>
          <w:lang w:val="fr-FR"/>
        </w:rPr>
        <w:tab/>
        <w:t>À sa soixante-quatorzième session (2023), la Commission a examiné le premier rapport du Rapporteur spécial (</w:t>
      </w:r>
      <w:hyperlink r:id="rId58" w:history="1">
        <w:r w:rsidRPr="00E31FBF">
          <w:rPr>
            <w:rStyle w:val="Lienhypertexte"/>
            <w:lang w:val="fr-FR"/>
          </w:rPr>
          <w:t>A/CN.4/758</w:t>
        </w:r>
      </w:hyperlink>
      <w:r w:rsidRPr="00E31FBF">
        <w:rPr>
          <w:lang w:val="fr-FR"/>
        </w:rPr>
        <w:t>), dans lequel celui-ci s</w:t>
      </w:r>
      <w:r>
        <w:rPr>
          <w:lang w:val="fr-FR"/>
        </w:rPr>
        <w:t>’</w:t>
      </w:r>
      <w:r w:rsidRPr="00E31FBF">
        <w:rPr>
          <w:lang w:val="fr-FR"/>
        </w:rPr>
        <w:t>intéressait aux aspects historiques, socioéconomiques et juridiques du sujet et analysait le droit international applicable à la piraterie et au vol à main armée en mer en se penchant aussi sur ses lacunes et examinait la législation et la pratique judiciaire des États relatives à la définition de la piraterie ainsi que l</w:t>
      </w:r>
      <w:r>
        <w:rPr>
          <w:lang w:val="fr-FR"/>
        </w:rPr>
        <w:t>’</w:t>
      </w:r>
      <w:r w:rsidRPr="00E31FBF">
        <w:rPr>
          <w:lang w:val="fr-FR"/>
        </w:rPr>
        <w:t>application du droit international conventionnel et coutumier. La Commission était également saisie de l</w:t>
      </w:r>
      <w:r>
        <w:rPr>
          <w:lang w:val="fr-FR"/>
        </w:rPr>
        <w:t>’</w:t>
      </w:r>
      <w:r w:rsidRPr="00E31FBF">
        <w:rPr>
          <w:lang w:val="fr-FR"/>
        </w:rPr>
        <w:t>étude du Secrétariat (</w:t>
      </w:r>
      <w:hyperlink r:id="rId59" w:history="1">
        <w:r w:rsidRPr="007A322E">
          <w:rPr>
            <w:rStyle w:val="Lienhypertexte"/>
            <w:lang w:val="fr-FR"/>
          </w:rPr>
          <w:t>A/CN.4/757</w:t>
        </w:r>
      </w:hyperlink>
      <w:r w:rsidRPr="00E31FBF">
        <w:rPr>
          <w:lang w:val="fr-FR"/>
        </w:rPr>
        <w:t>), qui contenait des informations sur les éléments de ses précédents travaux qui pourraient être particulièrement pertinents pour ses travaux futurs sur le sujet, les vues exprimées par les États et les résolutions du Conseil de sécurité et de l</w:t>
      </w:r>
      <w:r>
        <w:rPr>
          <w:lang w:val="fr-FR"/>
        </w:rPr>
        <w:t>’</w:t>
      </w:r>
      <w:r w:rsidRPr="00E31FBF">
        <w:rPr>
          <w:lang w:val="fr-FR"/>
        </w:rPr>
        <w:t>Assemblée générale touchant au sujet. À l</w:t>
      </w:r>
      <w:r>
        <w:rPr>
          <w:lang w:val="fr-FR"/>
        </w:rPr>
        <w:t>’</w:t>
      </w:r>
      <w:r w:rsidRPr="00E31FBF">
        <w:rPr>
          <w:lang w:val="fr-FR"/>
        </w:rPr>
        <w:t>issue du débat en plénière, la Commission a décidé de renvoyer au Comité de rédaction les projets d</w:t>
      </w:r>
      <w:r>
        <w:rPr>
          <w:lang w:val="fr-FR"/>
        </w:rPr>
        <w:t>’</w:t>
      </w:r>
      <w:r w:rsidRPr="00E31FBF">
        <w:rPr>
          <w:lang w:val="fr-FR"/>
        </w:rPr>
        <w:t>articles</w:t>
      </w:r>
      <w:r>
        <w:rPr>
          <w:lang w:val="fr-FR"/>
        </w:rPr>
        <w:t> </w:t>
      </w:r>
      <w:r w:rsidRPr="00E31FBF">
        <w:rPr>
          <w:lang w:val="fr-FR"/>
        </w:rPr>
        <w:t>1 à 3 tels qu</w:t>
      </w:r>
      <w:r>
        <w:rPr>
          <w:lang w:val="fr-FR"/>
        </w:rPr>
        <w:t>’</w:t>
      </w:r>
      <w:r w:rsidRPr="00E31FBF">
        <w:rPr>
          <w:lang w:val="fr-FR"/>
        </w:rPr>
        <w:t>ils figuraient dans le premier rapport du Rapporteur spécial</w:t>
      </w:r>
      <w:r w:rsidRPr="00E31FBF">
        <w:rPr>
          <w:rStyle w:val="Appelnotedebasdep"/>
          <w:lang w:val="fr-FR"/>
        </w:rPr>
        <w:footnoteReference w:id="189"/>
      </w:r>
      <w:r w:rsidRPr="00E31FBF">
        <w:rPr>
          <w:lang w:val="fr-FR"/>
        </w:rPr>
        <w:t>. Elle a provisoirement adopté ces projets d</w:t>
      </w:r>
      <w:r>
        <w:rPr>
          <w:lang w:val="fr-FR"/>
        </w:rPr>
        <w:t>’</w:t>
      </w:r>
      <w:r w:rsidRPr="00E31FBF">
        <w:rPr>
          <w:lang w:val="fr-FR"/>
        </w:rPr>
        <w:t>articles ainsi que les commentaires y afférents</w:t>
      </w:r>
      <w:r w:rsidRPr="00E31FBF">
        <w:rPr>
          <w:rStyle w:val="Appelnotedebasdep"/>
          <w:lang w:val="fr-FR"/>
        </w:rPr>
        <w:footnoteReference w:id="190"/>
      </w:r>
      <w:r w:rsidRPr="00E31FBF">
        <w:rPr>
          <w:lang w:val="fr-FR"/>
        </w:rPr>
        <w:t>.</w:t>
      </w:r>
    </w:p>
    <w:p w14:paraId="35ADA3FE" w14:textId="77777777" w:rsidR="007A322E" w:rsidRPr="00E31FBF" w:rsidRDefault="007A322E" w:rsidP="007A322E">
      <w:pPr>
        <w:pStyle w:val="H1G"/>
        <w:rPr>
          <w:lang w:val="fr-CA"/>
        </w:rPr>
      </w:pPr>
      <w:r>
        <w:rPr>
          <w:lang w:val="fr-FR"/>
        </w:rPr>
        <w:tab/>
      </w:r>
      <w:r w:rsidRPr="00E31FBF">
        <w:rPr>
          <w:lang w:val="fr-FR"/>
        </w:rPr>
        <w:t>B.</w:t>
      </w:r>
      <w:r w:rsidRPr="00E31FBF">
        <w:rPr>
          <w:lang w:val="fr-FR"/>
        </w:rPr>
        <w:tab/>
      </w:r>
      <w:r w:rsidRPr="00E31FBF">
        <w:rPr>
          <w:lang w:val="fr-FR"/>
        </w:rPr>
        <w:tab/>
      </w:r>
      <w:bookmarkStart w:id="76" w:name="_Hlk175323523"/>
      <w:r w:rsidRPr="00E31FBF">
        <w:rPr>
          <w:lang w:val="fr-FR"/>
        </w:rPr>
        <w:t>Examen du sujet à la présente session</w:t>
      </w:r>
      <w:bookmarkEnd w:id="76"/>
    </w:p>
    <w:p w14:paraId="617909A8" w14:textId="0563AD20" w:rsidR="007A322E" w:rsidRPr="00E31FBF" w:rsidRDefault="007A322E" w:rsidP="007A322E">
      <w:pPr>
        <w:pStyle w:val="SingleTxtG"/>
        <w:rPr>
          <w:lang w:val="fr-CA"/>
        </w:rPr>
      </w:pPr>
      <w:r>
        <w:rPr>
          <w:lang w:val="fr-FR"/>
        </w:rPr>
        <w:t>79</w:t>
      </w:r>
      <w:r w:rsidRPr="00E31FBF">
        <w:rPr>
          <w:lang w:val="fr-FR"/>
        </w:rPr>
        <w:t>.</w:t>
      </w:r>
      <w:r w:rsidRPr="00E31FBF">
        <w:rPr>
          <w:lang w:val="fr-FR"/>
        </w:rPr>
        <w:tab/>
        <w:t>À la présente session, la Commission était saisie du deuxième rapport du Rapporteur spécial (</w:t>
      </w:r>
      <w:hyperlink r:id="rId60" w:history="1">
        <w:r w:rsidRPr="00E31FBF">
          <w:rPr>
            <w:rStyle w:val="Lienhypertexte"/>
            <w:lang w:val="fr-FR"/>
          </w:rPr>
          <w:t>A/CN.4/770</w:t>
        </w:r>
      </w:hyperlink>
      <w:r w:rsidRPr="00E31FBF">
        <w:rPr>
          <w:lang w:val="fr-FR"/>
        </w:rPr>
        <w:t>) et d</w:t>
      </w:r>
      <w:r>
        <w:rPr>
          <w:lang w:val="fr-FR"/>
        </w:rPr>
        <w:t>’</w:t>
      </w:r>
      <w:r w:rsidRPr="00E31FBF">
        <w:rPr>
          <w:lang w:val="fr-FR"/>
        </w:rPr>
        <w:t>une deuxième étude du Secrétariat (</w:t>
      </w:r>
      <w:hyperlink r:id="rId61" w:history="1">
        <w:r w:rsidRPr="001E227F">
          <w:rPr>
            <w:rStyle w:val="Lienhypertexte"/>
            <w:lang w:val="fr-FR"/>
          </w:rPr>
          <w:t>A/CN.4/767</w:t>
        </w:r>
      </w:hyperlink>
      <w:r w:rsidRPr="00E31FBF">
        <w:rPr>
          <w:lang w:val="fr-FR"/>
        </w:rPr>
        <w:t>), qui contenait des informations sur</w:t>
      </w:r>
      <w:r w:rsidR="001E227F">
        <w:rPr>
          <w:lang w:val="fr-FR"/>
        </w:rPr>
        <w:t> </w:t>
      </w:r>
      <w:r w:rsidRPr="00E31FBF">
        <w:rPr>
          <w:lang w:val="fr-FR"/>
        </w:rPr>
        <w:t>: le sort réservé à la définition de la piraterie figurant dans le projet d</w:t>
      </w:r>
      <w:r>
        <w:rPr>
          <w:lang w:val="fr-FR"/>
        </w:rPr>
        <w:t>’</w:t>
      </w:r>
      <w:r w:rsidRPr="00E31FBF">
        <w:rPr>
          <w:lang w:val="fr-FR"/>
        </w:rPr>
        <w:t>articles de 1956 relatif au droit de la mer</w:t>
      </w:r>
      <w:r w:rsidR="001E227F">
        <w:rPr>
          <w:lang w:val="fr-FR"/>
        </w:rPr>
        <w:t> </w:t>
      </w:r>
      <w:r w:rsidRPr="00E31FBF">
        <w:rPr>
          <w:lang w:val="fr-FR"/>
        </w:rPr>
        <w:t>; les vues que les États avaient exprimées à cet égard aux première et troisième conférences des Nations Unies sur le droit de la mer, qui ont respectivement abouti à l</w:t>
      </w:r>
      <w:r>
        <w:rPr>
          <w:lang w:val="fr-FR"/>
        </w:rPr>
        <w:t>’</w:t>
      </w:r>
      <w:r w:rsidRPr="00E31FBF">
        <w:rPr>
          <w:lang w:val="fr-FR"/>
        </w:rPr>
        <w:t>adoption de la Convention sur la haute mer</w:t>
      </w:r>
      <w:r w:rsidRPr="00E31FBF">
        <w:rPr>
          <w:rStyle w:val="Appelnotedebasdep"/>
          <w:lang w:val="fr-FR"/>
        </w:rPr>
        <w:footnoteReference w:id="191"/>
      </w:r>
      <w:r w:rsidRPr="00E31FBF">
        <w:rPr>
          <w:lang w:val="fr-FR"/>
        </w:rPr>
        <w:t xml:space="preserve"> et de la Convention </w:t>
      </w:r>
      <w:r w:rsidRPr="00E31FBF">
        <w:rPr>
          <w:lang w:val="fr-FR"/>
        </w:rPr>
        <w:lastRenderedPageBreak/>
        <w:t>des Nations Unies sur le droit de la mer</w:t>
      </w:r>
      <w:r w:rsidRPr="00E31FBF">
        <w:rPr>
          <w:rStyle w:val="Appelnotedebasdep"/>
          <w:lang w:val="fr-FR"/>
        </w:rPr>
        <w:footnoteReference w:id="192"/>
      </w:r>
      <w:r w:rsidR="001E227F">
        <w:rPr>
          <w:lang w:val="fr-FR"/>
        </w:rPr>
        <w:t> </w:t>
      </w:r>
      <w:r w:rsidRPr="00E31FBF">
        <w:rPr>
          <w:lang w:val="fr-FR"/>
        </w:rPr>
        <w:t>; et la doctrine pertinente en ce qui concerne la définition de la piraterie et celle du vol à main armée en mer. Dans son deuxième rapport, le Rapporteur spécial décrivait et analysait la pratique des organisations internationales qui luttent contre la piraterie et le vol à main armée en mer, les approches adoptées en la matière aux échelles régionales et sous-régionales et la pratique des États concernant la conclusion d</w:t>
      </w:r>
      <w:r>
        <w:rPr>
          <w:lang w:val="fr-FR"/>
        </w:rPr>
        <w:t>’</w:t>
      </w:r>
      <w:r w:rsidRPr="00E31FBF">
        <w:rPr>
          <w:lang w:val="fr-FR"/>
        </w:rPr>
        <w:t>accords bilatéraux et présentait les grandes lignes des travaux futurs sur le sujet. Il proposait quatre projets d</w:t>
      </w:r>
      <w:r>
        <w:rPr>
          <w:lang w:val="fr-FR"/>
        </w:rPr>
        <w:t>’</w:t>
      </w:r>
      <w:r w:rsidRPr="00E31FBF">
        <w:rPr>
          <w:lang w:val="fr-FR"/>
        </w:rPr>
        <w:t>article portant respectivement sur les obligations générales, l</w:t>
      </w:r>
      <w:r>
        <w:rPr>
          <w:lang w:val="fr-FR"/>
        </w:rPr>
        <w:t>’</w:t>
      </w:r>
      <w:r w:rsidRPr="00E31FBF">
        <w:rPr>
          <w:lang w:val="fr-FR"/>
        </w:rPr>
        <w:t>obligation de prévention, la criminalisation en vertu du droit interne et l</w:t>
      </w:r>
      <w:r>
        <w:rPr>
          <w:lang w:val="fr-FR"/>
        </w:rPr>
        <w:t>’</w:t>
      </w:r>
      <w:r w:rsidRPr="00E31FBF">
        <w:rPr>
          <w:lang w:val="fr-FR"/>
        </w:rPr>
        <w:t>établissement de la compétence nationale.</w:t>
      </w:r>
    </w:p>
    <w:p w14:paraId="7B746FAF" w14:textId="6FA61F14" w:rsidR="007A322E" w:rsidRPr="00E31FBF" w:rsidRDefault="007A322E" w:rsidP="007A322E">
      <w:pPr>
        <w:pStyle w:val="SingleTxtG"/>
        <w:rPr>
          <w:lang w:val="fr-CA"/>
        </w:rPr>
      </w:pPr>
      <w:r>
        <w:rPr>
          <w:lang w:val="fr-FR"/>
        </w:rPr>
        <w:t>80</w:t>
      </w:r>
      <w:r w:rsidRPr="00E31FBF">
        <w:rPr>
          <w:lang w:val="fr-FR"/>
        </w:rPr>
        <w:t>.</w:t>
      </w:r>
      <w:r w:rsidRPr="00E31FBF">
        <w:rPr>
          <w:lang w:val="fr-FR"/>
        </w:rPr>
        <w:tab/>
        <w:t>La Commission a examiné le deuxième rapport</w:t>
      </w:r>
      <w:r>
        <w:rPr>
          <w:lang w:val="fr-FR"/>
        </w:rPr>
        <w:t xml:space="preserve"> du Rapporteur spécial</w:t>
      </w:r>
      <w:r w:rsidRPr="00E31FBF">
        <w:rPr>
          <w:lang w:val="fr-FR"/>
        </w:rPr>
        <w:t xml:space="preserve"> et l</w:t>
      </w:r>
      <w:r>
        <w:rPr>
          <w:lang w:val="fr-FR"/>
        </w:rPr>
        <w:t>’</w:t>
      </w:r>
      <w:r w:rsidRPr="00E31FBF">
        <w:rPr>
          <w:lang w:val="fr-FR"/>
        </w:rPr>
        <w:t>étude du Secrétariat de sa 3668</w:t>
      </w:r>
      <w:r w:rsidRPr="00223C31">
        <w:rPr>
          <w:vertAlign w:val="superscript"/>
          <w:lang w:val="fr-FR"/>
        </w:rPr>
        <w:t>e</w:t>
      </w:r>
      <w:r>
        <w:rPr>
          <w:lang w:val="fr-FR"/>
        </w:rPr>
        <w:t xml:space="preserve"> </w:t>
      </w:r>
      <w:r w:rsidRPr="00E31FBF">
        <w:rPr>
          <w:lang w:val="fr-FR"/>
        </w:rPr>
        <w:t>à sa 3672</w:t>
      </w:r>
      <w:r w:rsidRPr="00223C31">
        <w:rPr>
          <w:vertAlign w:val="superscript"/>
          <w:lang w:val="fr-FR"/>
        </w:rPr>
        <w:t>e</w:t>
      </w:r>
      <w:r>
        <w:rPr>
          <w:lang w:val="fr-FR"/>
        </w:rPr>
        <w:t xml:space="preserve"> </w:t>
      </w:r>
      <w:r w:rsidRPr="00E31FBF">
        <w:rPr>
          <w:lang w:val="fr-FR"/>
        </w:rPr>
        <w:t>séance, du 21 au 28 mai 202</w:t>
      </w:r>
      <w:r w:rsidRPr="008455E1">
        <w:rPr>
          <w:lang w:val="fr-FR"/>
        </w:rPr>
        <w:t>4</w:t>
      </w:r>
      <w:r w:rsidRPr="00E31FBF">
        <w:rPr>
          <w:lang w:val="fr-FR"/>
        </w:rPr>
        <w:t>. À sa 3672</w:t>
      </w:r>
      <w:r w:rsidRPr="008455E1">
        <w:rPr>
          <w:vertAlign w:val="superscript"/>
          <w:lang w:val="fr-FR"/>
        </w:rPr>
        <w:t>e</w:t>
      </w:r>
      <w:r w:rsidRPr="008455E1">
        <w:rPr>
          <w:lang w:val="fr-FR"/>
        </w:rPr>
        <w:t xml:space="preserve"> </w:t>
      </w:r>
      <w:r w:rsidRPr="00E31FBF">
        <w:rPr>
          <w:lang w:val="fr-FR"/>
        </w:rPr>
        <w:t>séance, le 28</w:t>
      </w:r>
      <w:r w:rsidR="001E227F">
        <w:rPr>
          <w:lang w:val="fr-FR"/>
        </w:rPr>
        <w:t> </w:t>
      </w:r>
      <w:r w:rsidRPr="00E31FBF">
        <w:rPr>
          <w:lang w:val="fr-FR"/>
        </w:rPr>
        <w:t>mai 202</w:t>
      </w:r>
      <w:r>
        <w:rPr>
          <w:lang w:val="fr-FR"/>
        </w:rPr>
        <w:t>4</w:t>
      </w:r>
      <w:r w:rsidRPr="00E31FBF">
        <w:rPr>
          <w:lang w:val="fr-FR"/>
        </w:rPr>
        <w:t>, elle a décidé de renvoyer au Comité de rédaction les projets d</w:t>
      </w:r>
      <w:r>
        <w:rPr>
          <w:lang w:val="fr-FR"/>
        </w:rPr>
        <w:t>’</w:t>
      </w:r>
      <w:r w:rsidRPr="00E31FBF">
        <w:rPr>
          <w:lang w:val="fr-FR"/>
        </w:rPr>
        <w:t>articles 4, 5, 6 et 7 tels qu</w:t>
      </w:r>
      <w:r>
        <w:rPr>
          <w:lang w:val="fr-FR"/>
        </w:rPr>
        <w:t>’</w:t>
      </w:r>
      <w:r w:rsidRPr="00E31FBF">
        <w:rPr>
          <w:lang w:val="fr-FR"/>
        </w:rPr>
        <w:t>ils figuraient dans le deuxième rapport en tenant compte des vues exprimées au cours du débat en plénière, étant entendu que le Comité aurait d</w:t>
      </w:r>
      <w:r>
        <w:rPr>
          <w:lang w:val="fr-FR"/>
        </w:rPr>
        <w:t>’</w:t>
      </w:r>
      <w:r w:rsidRPr="00E31FBF">
        <w:rPr>
          <w:lang w:val="fr-FR"/>
        </w:rPr>
        <w:t>abord une discussion générale sur le sujet dans son ensemble et l</w:t>
      </w:r>
      <w:r>
        <w:rPr>
          <w:lang w:val="fr-FR"/>
        </w:rPr>
        <w:t>’</w:t>
      </w:r>
      <w:r w:rsidRPr="00E31FBF">
        <w:rPr>
          <w:lang w:val="fr-FR"/>
        </w:rPr>
        <w:t>orientation à donner aux travaux.</w:t>
      </w:r>
    </w:p>
    <w:p w14:paraId="3CED7DDE" w14:textId="2443E530" w:rsidR="007A322E" w:rsidRDefault="007A322E" w:rsidP="007A322E">
      <w:pPr>
        <w:pStyle w:val="SingleTxtG"/>
        <w:rPr>
          <w:lang w:val="fr-FR"/>
        </w:rPr>
      </w:pPr>
      <w:r>
        <w:rPr>
          <w:lang w:val="fr-FR"/>
        </w:rPr>
        <w:t>81</w:t>
      </w:r>
      <w:r w:rsidRPr="00E31FBF">
        <w:rPr>
          <w:lang w:val="fr-FR"/>
        </w:rPr>
        <w:t>.</w:t>
      </w:r>
      <w:r w:rsidRPr="00E31FBF">
        <w:rPr>
          <w:lang w:val="fr-FR"/>
        </w:rPr>
        <w:tab/>
        <w:t xml:space="preserve">À sa </w:t>
      </w:r>
      <w:r>
        <w:rPr>
          <w:lang w:val="fr-FR"/>
        </w:rPr>
        <w:t>3674</w:t>
      </w:r>
      <w:r w:rsidRPr="001E227F">
        <w:rPr>
          <w:vertAlign w:val="superscript"/>
          <w:lang w:val="fr-FR"/>
        </w:rPr>
        <w:t>e</w:t>
      </w:r>
      <w:r w:rsidR="001E227F">
        <w:rPr>
          <w:lang w:val="fr-FR"/>
        </w:rPr>
        <w:t xml:space="preserve"> </w:t>
      </w:r>
      <w:r w:rsidRPr="00E31FBF">
        <w:rPr>
          <w:lang w:val="fr-FR"/>
        </w:rPr>
        <w:t>séance, le</w:t>
      </w:r>
      <w:r w:rsidR="001E227F">
        <w:rPr>
          <w:lang w:val="fr-FR"/>
        </w:rPr>
        <w:t xml:space="preserve"> </w:t>
      </w:r>
      <w:r>
        <w:rPr>
          <w:lang w:val="fr-FR"/>
        </w:rPr>
        <w:t>1</w:t>
      </w:r>
      <w:r w:rsidRPr="001E227F">
        <w:rPr>
          <w:vertAlign w:val="superscript"/>
          <w:lang w:val="fr-FR"/>
        </w:rPr>
        <w:t>er</w:t>
      </w:r>
      <w:r w:rsidR="001E227F">
        <w:rPr>
          <w:lang w:val="fr-FR"/>
        </w:rPr>
        <w:t xml:space="preserve"> </w:t>
      </w:r>
      <w:r w:rsidRPr="00E31FBF">
        <w:rPr>
          <w:lang w:val="fr-FR"/>
        </w:rPr>
        <w:t>juillet 2024, l</w:t>
      </w:r>
      <w:r>
        <w:rPr>
          <w:lang w:val="fr-FR"/>
        </w:rPr>
        <w:t>a</w:t>
      </w:r>
      <w:r w:rsidRPr="00E31FBF">
        <w:rPr>
          <w:lang w:val="fr-FR"/>
        </w:rPr>
        <w:t xml:space="preserve"> Président</w:t>
      </w:r>
      <w:r>
        <w:rPr>
          <w:lang w:val="fr-FR"/>
        </w:rPr>
        <w:t>e</w:t>
      </w:r>
      <w:r w:rsidRPr="00E31FBF">
        <w:rPr>
          <w:lang w:val="fr-FR"/>
        </w:rPr>
        <w:t xml:space="preserve"> du Comité de rédaction a oralement présenté le rapport intermédiaire du Comité</w:t>
      </w:r>
      <w:r>
        <w:rPr>
          <w:lang w:val="fr-FR"/>
        </w:rPr>
        <w:t>, relatif à</w:t>
      </w:r>
      <w:r w:rsidRPr="00E31FBF">
        <w:rPr>
          <w:lang w:val="fr-FR"/>
        </w:rPr>
        <w:t xml:space="preserve"> la discussion générale consacrée au sujet dans son ensemble et l</w:t>
      </w:r>
      <w:r>
        <w:rPr>
          <w:lang w:val="fr-FR"/>
        </w:rPr>
        <w:t>’</w:t>
      </w:r>
      <w:r w:rsidRPr="00E31FBF">
        <w:rPr>
          <w:lang w:val="fr-FR"/>
        </w:rPr>
        <w:t>orientation à donner aux travaux et sur le projet d</w:t>
      </w:r>
      <w:r>
        <w:rPr>
          <w:lang w:val="fr-FR"/>
        </w:rPr>
        <w:t>’</w:t>
      </w:r>
      <w:r w:rsidRPr="00E31FBF">
        <w:rPr>
          <w:lang w:val="fr-FR"/>
        </w:rPr>
        <w:t>article</w:t>
      </w:r>
      <w:r w:rsidR="001E227F">
        <w:rPr>
          <w:lang w:val="fr-FR"/>
        </w:rPr>
        <w:t> </w:t>
      </w:r>
      <w:r w:rsidRPr="00E31FBF">
        <w:rPr>
          <w:lang w:val="fr-FR"/>
        </w:rPr>
        <w:t xml:space="preserve">4 provisoirement adopté par le Comité de rédaction (voir </w:t>
      </w:r>
      <w:hyperlink r:id="rId62" w:history="1">
        <w:r w:rsidRPr="00E31FBF">
          <w:rPr>
            <w:rStyle w:val="Lienhypertexte"/>
            <w:lang w:val="fr-FR"/>
          </w:rPr>
          <w:t>A/CN.4/L.1000</w:t>
        </w:r>
      </w:hyperlink>
      <w:r w:rsidRPr="00E31FBF">
        <w:rPr>
          <w:lang w:val="fr-FR"/>
        </w:rPr>
        <w:t>). Présenté à titre d</w:t>
      </w:r>
      <w:r>
        <w:rPr>
          <w:lang w:val="fr-FR"/>
        </w:rPr>
        <w:t>’</w:t>
      </w:r>
      <w:r w:rsidRPr="00E31FBF">
        <w:rPr>
          <w:lang w:val="fr-FR"/>
        </w:rPr>
        <w:t>information seulement, ce rapport peut être consulté sur le site Web de la Commission</w:t>
      </w:r>
      <w:r w:rsidRPr="00E31FBF">
        <w:rPr>
          <w:rStyle w:val="Appelnotedebasdep"/>
          <w:lang w:val="fr-FR"/>
        </w:rPr>
        <w:footnoteReference w:id="193"/>
      </w:r>
      <w:r>
        <w:rPr>
          <w:lang w:val="fr-FR"/>
        </w:rPr>
        <w:t>.</w:t>
      </w:r>
    </w:p>
    <w:p w14:paraId="7E0279B2" w14:textId="0D9A2FE1" w:rsidR="007A322E" w:rsidRPr="00E31FBF" w:rsidRDefault="007A322E" w:rsidP="007A322E">
      <w:pPr>
        <w:pStyle w:val="SingleTxtG"/>
        <w:rPr>
          <w:lang w:val="fr-CA"/>
        </w:rPr>
      </w:pPr>
      <w:r>
        <w:rPr>
          <w:lang w:val="fr-FR"/>
        </w:rPr>
        <w:t>82</w:t>
      </w:r>
      <w:r w:rsidRPr="00E55226">
        <w:rPr>
          <w:lang w:val="fr-CA"/>
        </w:rPr>
        <w:t>.</w:t>
      </w:r>
      <w:r>
        <w:rPr>
          <w:lang w:val="fr-CA"/>
        </w:rPr>
        <w:tab/>
        <w:t>À sa 3681</w:t>
      </w:r>
      <w:r w:rsidRPr="00E55226">
        <w:rPr>
          <w:vertAlign w:val="superscript"/>
          <w:lang w:val="fr-CA"/>
        </w:rPr>
        <w:t>e</w:t>
      </w:r>
      <w:r>
        <w:rPr>
          <w:lang w:val="fr-CA"/>
        </w:rPr>
        <w:t xml:space="preserve"> séance, le 10 juillet 2024, la Commission a été informée que M.</w:t>
      </w:r>
      <w:r w:rsidR="00B41D3C">
        <w:rPr>
          <w:lang w:val="fr-CA"/>
        </w:rPr>
        <w:t> </w:t>
      </w:r>
      <w:r>
        <w:rPr>
          <w:lang w:val="fr-CA"/>
        </w:rPr>
        <w:t>Yacouba</w:t>
      </w:r>
      <w:r w:rsidR="00B41D3C">
        <w:rPr>
          <w:lang w:val="fr-CA"/>
        </w:rPr>
        <w:t> </w:t>
      </w:r>
      <w:r>
        <w:rPr>
          <w:lang w:val="fr-CA"/>
        </w:rPr>
        <w:t>Cissé avait renoncé à ses fonctions de Rapporteur spécial pour ce sujet. La Commission a vivement remercié M.</w:t>
      </w:r>
      <w:r w:rsidR="00B41D3C">
        <w:rPr>
          <w:lang w:val="fr-CA"/>
        </w:rPr>
        <w:t> </w:t>
      </w:r>
      <w:r>
        <w:rPr>
          <w:lang w:val="fr-CA"/>
        </w:rPr>
        <w:t>Cissé d’avoir pris l’initiative de proposer l’inscription à son programme de travail du sujet « Prévention et répression de la piraterie et du vol à main armée en mer », ô combien important, et d’avoir grandement contribué aux travaux y relatifs en sa qualité de Rapporteur spécial. À sa 3701</w:t>
      </w:r>
      <w:r w:rsidRPr="00E55226">
        <w:rPr>
          <w:vertAlign w:val="superscript"/>
          <w:lang w:val="fr-CA"/>
        </w:rPr>
        <w:t>e</w:t>
      </w:r>
      <w:r>
        <w:rPr>
          <w:lang w:val="fr-CA"/>
        </w:rPr>
        <w:t xml:space="preserve"> séance, le 2 août 2024, la Commission a désigné M.</w:t>
      </w:r>
      <w:r w:rsidR="00B41D3C">
        <w:rPr>
          <w:lang w:val="fr-CA"/>
        </w:rPr>
        <w:t> </w:t>
      </w:r>
      <w:r>
        <w:rPr>
          <w:lang w:val="fr-CA"/>
        </w:rPr>
        <w:t>Louis</w:t>
      </w:r>
      <w:r w:rsidR="00B41D3C">
        <w:rPr>
          <w:lang w:val="fr-CA"/>
        </w:rPr>
        <w:t> </w:t>
      </w:r>
      <w:proofErr w:type="spellStart"/>
      <w:r>
        <w:rPr>
          <w:lang w:val="fr-CA"/>
        </w:rPr>
        <w:t>Savadogo</w:t>
      </w:r>
      <w:proofErr w:type="spellEnd"/>
      <w:r>
        <w:rPr>
          <w:lang w:val="fr-CA"/>
        </w:rPr>
        <w:t xml:space="preserve"> Rapporteur spécial pour ce sujet.</w:t>
      </w:r>
    </w:p>
    <w:p w14:paraId="4003AFE1" w14:textId="77777777" w:rsidR="007A322E" w:rsidRPr="00E31FBF" w:rsidRDefault="007A322E" w:rsidP="00B41D3C">
      <w:pPr>
        <w:pStyle w:val="H23G"/>
        <w:rPr>
          <w:lang w:val="fr-CA"/>
        </w:rPr>
      </w:pPr>
      <w:r>
        <w:rPr>
          <w:lang w:val="fr-FR"/>
        </w:rPr>
        <w:tab/>
      </w:r>
      <w:r w:rsidRPr="00E31FBF">
        <w:rPr>
          <w:lang w:val="fr-FR"/>
        </w:rPr>
        <w:t>1.</w:t>
      </w:r>
      <w:r w:rsidRPr="00E31FBF">
        <w:rPr>
          <w:lang w:val="fr-FR"/>
        </w:rPr>
        <w:tab/>
      </w:r>
      <w:r w:rsidRPr="00E31FBF">
        <w:rPr>
          <w:lang w:val="fr-FR"/>
        </w:rPr>
        <w:tab/>
      </w:r>
      <w:bookmarkStart w:id="77" w:name="_Hlk175323532"/>
      <w:r w:rsidRPr="00E31FBF">
        <w:rPr>
          <w:lang w:val="fr-FR"/>
        </w:rPr>
        <w:t>Présentation par le Rapporteur spécial du deuxième rapport</w:t>
      </w:r>
      <w:bookmarkEnd w:id="77"/>
    </w:p>
    <w:p w14:paraId="687F1B49" w14:textId="715F639E" w:rsidR="007A322E" w:rsidRPr="00E31FBF" w:rsidRDefault="007A322E" w:rsidP="007A322E">
      <w:pPr>
        <w:pStyle w:val="SingleTxtG"/>
        <w:rPr>
          <w:lang w:val="fr-FR"/>
        </w:rPr>
      </w:pPr>
      <w:r>
        <w:rPr>
          <w:lang w:val="fr-FR"/>
        </w:rPr>
        <w:t>83</w:t>
      </w:r>
      <w:r w:rsidRPr="00E31FBF">
        <w:rPr>
          <w:lang w:val="fr-FR"/>
        </w:rPr>
        <w:t>.</w:t>
      </w:r>
      <w:r w:rsidRPr="00E31FBF">
        <w:rPr>
          <w:lang w:val="fr-FR"/>
        </w:rPr>
        <w:tab/>
        <w:t>Le Rapporteur spécial a rappelé que l</w:t>
      </w:r>
      <w:r>
        <w:rPr>
          <w:lang w:val="fr-FR"/>
        </w:rPr>
        <w:t>’</w:t>
      </w:r>
      <w:r w:rsidRPr="00E31FBF">
        <w:rPr>
          <w:lang w:val="fr-FR"/>
        </w:rPr>
        <w:t>objet de son deuxième rapport était la coopération envisagée par les dispositions de l</w:t>
      </w:r>
      <w:r>
        <w:rPr>
          <w:lang w:val="fr-FR"/>
        </w:rPr>
        <w:t>’</w:t>
      </w:r>
      <w:r w:rsidRPr="00E31FBF">
        <w:rPr>
          <w:lang w:val="fr-FR"/>
        </w:rPr>
        <w:t>article 100 de la Convention des Nations</w:t>
      </w:r>
      <w:r w:rsidR="00B41D3C">
        <w:rPr>
          <w:lang w:val="fr-FR"/>
        </w:rPr>
        <w:t> </w:t>
      </w:r>
      <w:r w:rsidRPr="00E31FBF">
        <w:rPr>
          <w:lang w:val="fr-FR"/>
        </w:rPr>
        <w:t>Unies sur le droit de la mer, qui définit les obligations générales des États en matière de prévention et de répression de la piraterie maritime et constitue le fondement des projets d</w:t>
      </w:r>
      <w:r>
        <w:rPr>
          <w:lang w:val="fr-FR"/>
        </w:rPr>
        <w:t>’</w:t>
      </w:r>
      <w:r w:rsidRPr="00E31FBF">
        <w:rPr>
          <w:lang w:val="fr-FR"/>
        </w:rPr>
        <w:t>articles proposés dans le rapport. Les projets d</w:t>
      </w:r>
      <w:r>
        <w:rPr>
          <w:lang w:val="fr-FR"/>
        </w:rPr>
        <w:t>’</w:t>
      </w:r>
      <w:r w:rsidRPr="00E31FBF">
        <w:rPr>
          <w:lang w:val="fr-FR"/>
        </w:rPr>
        <w:t>articles 4 et 5 venaient donner corps aux obligations générales énoncées à l</w:t>
      </w:r>
      <w:r>
        <w:rPr>
          <w:lang w:val="fr-FR"/>
        </w:rPr>
        <w:t>’</w:t>
      </w:r>
      <w:r w:rsidRPr="00E31FBF">
        <w:rPr>
          <w:lang w:val="fr-FR"/>
        </w:rPr>
        <w:t>article 100 et les projets d</w:t>
      </w:r>
      <w:r>
        <w:rPr>
          <w:lang w:val="fr-FR"/>
        </w:rPr>
        <w:t>’</w:t>
      </w:r>
      <w:r w:rsidRPr="00E31FBF">
        <w:rPr>
          <w:lang w:val="fr-FR"/>
        </w:rPr>
        <w:t>articles 6 et 7 concernaient respectivement la criminalisation en vertu du droit interne et l</w:t>
      </w:r>
      <w:r>
        <w:rPr>
          <w:lang w:val="fr-FR"/>
        </w:rPr>
        <w:t>’</w:t>
      </w:r>
      <w:r w:rsidRPr="00E31FBF">
        <w:rPr>
          <w:lang w:val="fr-FR"/>
        </w:rPr>
        <w:t xml:space="preserve">établissement de la compétence nationale. Le Rapporteur spécial a indiqué </w:t>
      </w:r>
      <w:r>
        <w:rPr>
          <w:lang w:val="fr-FR"/>
        </w:rPr>
        <w:t xml:space="preserve">que </w:t>
      </w:r>
      <w:r w:rsidRPr="00E31FBF">
        <w:rPr>
          <w:lang w:val="fr-FR"/>
        </w:rPr>
        <w:t>le Conseil de sécurité, l</w:t>
      </w:r>
      <w:r>
        <w:rPr>
          <w:lang w:val="fr-FR"/>
        </w:rPr>
        <w:t>’</w:t>
      </w:r>
      <w:r w:rsidRPr="00E31FBF">
        <w:rPr>
          <w:lang w:val="fr-FR"/>
        </w:rPr>
        <w:t>Assemblée générale et l</w:t>
      </w:r>
      <w:r>
        <w:rPr>
          <w:lang w:val="fr-FR"/>
        </w:rPr>
        <w:t>’</w:t>
      </w:r>
      <w:r w:rsidRPr="00E31FBF">
        <w:rPr>
          <w:lang w:val="fr-FR"/>
        </w:rPr>
        <w:t>Organisation maritime internationale (OMI) ainsi que, de manière générale, les organisations régionales, avaient constamment affirmé que la criminalisation et l</w:t>
      </w:r>
      <w:r>
        <w:rPr>
          <w:lang w:val="fr-FR"/>
        </w:rPr>
        <w:t>’</w:t>
      </w:r>
      <w:r w:rsidRPr="00E31FBF">
        <w:rPr>
          <w:lang w:val="fr-FR"/>
        </w:rPr>
        <w:t>établissement de la compétence étaient deux conditions qui devaient être réunies aux fins de la répression de la piraterie et du vol à main armée en mer.</w:t>
      </w:r>
    </w:p>
    <w:p w14:paraId="6F46A379" w14:textId="30BAD4EC" w:rsidR="007A322E" w:rsidRPr="00E31FBF" w:rsidRDefault="007A322E" w:rsidP="007A322E">
      <w:pPr>
        <w:pStyle w:val="SingleTxtG"/>
        <w:rPr>
          <w:lang w:val="fr-CA"/>
        </w:rPr>
      </w:pPr>
      <w:r w:rsidRPr="00E31FBF">
        <w:rPr>
          <w:lang w:val="fr-FR"/>
        </w:rPr>
        <w:t>8</w:t>
      </w:r>
      <w:r>
        <w:rPr>
          <w:lang w:val="fr-FR"/>
        </w:rPr>
        <w:t>4</w:t>
      </w:r>
      <w:r w:rsidRPr="00E31FBF">
        <w:rPr>
          <w:lang w:val="fr-FR"/>
        </w:rPr>
        <w:t>.</w:t>
      </w:r>
      <w:r w:rsidRPr="00E31FBF">
        <w:rPr>
          <w:lang w:val="fr-FR"/>
        </w:rPr>
        <w:tab/>
        <w:t>Le Rapporteur spécial a expliqué que la description et l</w:t>
      </w:r>
      <w:r>
        <w:rPr>
          <w:lang w:val="fr-FR"/>
        </w:rPr>
        <w:t>’</w:t>
      </w:r>
      <w:r w:rsidRPr="00E31FBF">
        <w:rPr>
          <w:lang w:val="fr-FR"/>
        </w:rPr>
        <w:t>analyse des approches régionales s</w:t>
      </w:r>
      <w:r>
        <w:rPr>
          <w:lang w:val="fr-FR"/>
        </w:rPr>
        <w:t>’</w:t>
      </w:r>
      <w:r w:rsidRPr="00E31FBF">
        <w:rPr>
          <w:lang w:val="fr-FR"/>
        </w:rPr>
        <w:t>appuyaient notamment sur l</w:t>
      </w:r>
      <w:r>
        <w:rPr>
          <w:lang w:val="fr-FR"/>
        </w:rPr>
        <w:t>’</w:t>
      </w:r>
      <w:r w:rsidRPr="00E31FBF">
        <w:rPr>
          <w:lang w:val="fr-FR"/>
        </w:rPr>
        <w:t>article 100 de la Convention des Nations Unies sur le droit de la mer, qui faisait de la coopération une obligation juridique dont il incombe aux États de définir le contenu et de déterminer la forme. La question qui se posait, selon lui, était de savoir quel sens, ou quelle teneur, donner à la notion de coopération envisagée à l</w:t>
      </w:r>
      <w:r>
        <w:rPr>
          <w:lang w:val="fr-FR"/>
        </w:rPr>
        <w:t>’</w:t>
      </w:r>
      <w:r w:rsidRPr="00E31FBF">
        <w:rPr>
          <w:lang w:val="fr-FR"/>
        </w:rPr>
        <w:t>article</w:t>
      </w:r>
      <w:r>
        <w:rPr>
          <w:lang w:val="fr-FR"/>
        </w:rPr>
        <w:t> </w:t>
      </w:r>
      <w:r w:rsidRPr="00E31FBF">
        <w:rPr>
          <w:lang w:val="fr-FR"/>
        </w:rPr>
        <w:t>100. Le Rapporteur spécial estimait que l</w:t>
      </w:r>
      <w:r>
        <w:rPr>
          <w:lang w:val="fr-FR"/>
        </w:rPr>
        <w:t>’</w:t>
      </w:r>
      <w:r w:rsidRPr="00E31FBF">
        <w:rPr>
          <w:lang w:val="fr-FR"/>
        </w:rPr>
        <w:t>étude des approches régionales en matière de prévention et de répression de la piraterie et du vol à main armé</w:t>
      </w:r>
      <w:r w:rsidR="00710F31">
        <w:rPr>
          <w:lang w:val="fr-FR"/>
        </w:rPr>
        <w:t>e</w:t>
      </w:r>
      <w:r w:rsidRPr="00E31FBF">
        <w:rPr>
          <w:lang w:val="fr-FR"/>
        </w:rPr>
        <w:t xml:space="preserve"> en mer était très utile aux fins de l</w:t>
      </w:r>
      <w:r>
        <w:rPr>
          <w:lang w:val="fr-FR"/>
        </w:rPr>
        <w:t>’</w:t>
      </w:r>
      <w:r w:rsidRPr="00E31FBF">
        <w:rPr>
          <w:lang w:val="fr-FR"/>
        </w:rPr>
        <w:t>interprétation de l</w:t>
      </w:r>
      <w:r>
        <w:rPr>
          <w:lang w:val="fr-FR"/>
        </w:rPr>
        <w:t>’</w:t>
      </w:r>
      <w:r w:rsidRPr="00E31FBF">
        <w:rPr>
          <w:lang w:val="fr-FR"/>
        </w:rPr>
        <w:t>article 100.</w:t>
      </w:r>
    </w:p>
    <w:p w14:paraId="03FA3EA4" w14:textId="77777777" w:rsidR="007A322E" w:rsidRPr="00E31FBF" w:rsidRDefault="007A322E" w:rsidP="007A322E">
      <w:pPr>
        <w:pStyle w:val="SingleTxtG"/>
        <w:rPr>
          <w:lang w:val="fr-CA"/>
        </w:rPr>
      </w:pPr>
      <w:r>
        <w:rPr>
          <w:lang w:val="fr-FR"/>
        </w:rPr>
        <w:t>85</w:t>
      </w:r>
      <w:r w:rsidRPr="00E31FBF">
        <w:rPr>
          <w:lang w:val="fr-FR"/>
        </w:rPr>
        <w:t>.</w:t>
      </w:r>
      <w:r w:rsidRPr="00E31FBF">
        <w:rPr>
          <w:lang w:val="fr-FR"/>
        </w:rPr>
        <w:tab/>
        <w:t>En ce qui concerne la première partie de son rapport, le Rapporteur spécial a fait observer qu</w:t>
      </w:r>
      <w:r>
        <w:rPr>
          <w:lang w:val="fr-FR"/>
        </w:rPr>
        <w:t>’</w:t>
      </w:r>
      <w:r w:rsidRPr="00E31FBF">
        <w:rPr>
          <w:lang w:val="fr-FR"/>
        </w:rPr>
        <w:t>il avait d</w:t>
      </w:r>
      <w:r>
        <w:rPr>
          <w:lang w:val="fr-FR"/>
        </w:rPr>
        <w:t>’</w:t>
      </w:r>
      <w:r w:rsidRPr="00E31FBF">
        <w:rPr>
          <w:lang w:val="fr-FR"/>
        </w:rPr>
        <w:t>abord examiné la pratique des organisations internationales qui luttent contre la piraterie</w:t>
      </w:r>
      <w:r>
        <w:rPr>
          <w:lang w:val="fr-FR"/>
        </w:rPr>
        <w:t xml:space="preserve"> et le vol à main armée</w:t>
      </w:r>
      <w:r w:rsidRPr="00E31FBF">
        <w:rPr>
          <w:lang w:val="fr-FR"/>
        </w:rPr>
        <w:t>, notamment l</w:t>
      </w:r>
      <w:r>
        <w:rPr>
          <w:lang w:val="fr-FR"/>
        </w:rPr>
        <w:t>’</w:t>
      </w:r>
      <w:r w:rsidRPr="00E31FBF">
        <w:rPr>
          <w:lang w:val="fr-FR"/>
        </w:rPr>
        <w:t xml:space="preserve">Organisation des Nations Unies, à la </w:t>
      </w:r>
      <w:r w:rsidRPr="00E31FBF">
        <w:rPr>
          <w:lang w:val="fr-FR"/>
        </w:rPr>
        <w:lastRenderedPageBreak/>
        <w:t>lumière des résolutions de l</w:t>
      </w:r>
      <w:r>
        <w:rPr>
          <w:lang w:val="fr-FR"/>
        </w:rPr>
        <w:t>’</w:t>
      </w:r>
      <w:r w:rsidRPr="00E31FBF">
        <w:rPr>
          <w:lang w:val="fr-FR"/>
        </w:rPr>
        <w:t>Assemblée générale et du Conseil de sécurité, puis les résolutions de l</w:t>
      </w:r>
      <w:r>
        <w:rPr>
          <w:lang w:val="fr-FR"/>
        </w:rPr>
        <w:t>’</w:t>
      </w:r>
      <w:r w:rsidRPr="00E31FBF">
        <w:rPr>
          <w:lang w:val="fr-FR"/>
        </w:rPr>
        <w:t>OMI, institution spécialisée des Nations Unies chargée de la sécurité de la navigation. Il a rappelé qu</w:t>
      </w:r>
      <w:r>
        <w:rPr>
          <w:lang w:val="fr-FR"/>
        </w:rPr>
        <w:t>’</w:t>
      </w:r>
      <w:r w:rsidRPr="00E31FBF">
        <w:rPr>
          <w:lang w:val="fr-FR"/>
        </w:rPr>
        <w:t>il s</w:t>
      </w:r>
      <w:r>
        <w:rPr>
          <w:lang w:val="fr-FR"/>
        </w:rPr>
        <w:t>’</w:t>
      </w:r>
      <w:r w:rsidRPr="00E31FBF">
        <w:rPr>
          <w:lang w:val="fr-FR"/>
        </w:rPr>
        <w:t>était aussi intéressé à la pratique de l</w:t>
      </w:r>
      <w:r>
        <w:rPr>
          <w:lang w:val="fr-FR"/>
        </w:rPr>
        <w:t>’</w:t>
      </w:r>
      <w:r w:rsidRPr="00E31FBF">
        <w:rPr>
          <w:lang w:val="fr-FR"/>
        </w:rPr>
        <w:t>Organisation du Traité de l</w:t>
      </w:r>
      <w:r>
        <w:rPr>
          <w:lang w:val="fr-FR"/>
        </w:rPr>
        <w:t>’</w:t>
      </w:r>
      <w:r w:rsidRPr="00E31FBF">
        <w:rPr>
          <w:lang w:val="fr-FR"/>
        </w:rPr>
        <w:t>Atlantique Nord (OTAN)</w:t>
      </w:r>
      <w:r>
        <w:rPr>
          <w:lang w:val="fr-FR"/>
        </w:rPr>
        <w:t xml:space="preserve"> et de l’</w:t>
      </w:r>
      <w:r>
        <w:rPr>
          <w:rStyle w:val="preferred"/>
        </w:rPr>
        <w:t xml:space="preserve">EUNAVFOR opération </w:t>
      </w:r>
      <w:r>
        <w:rPr>
          <w:rStyle w:val="Accentuation"/>
        </w:rPr>
        <w:t>ATALANTA</w:t>
      </w:r>
      <w:r w:rsidRPr="00E31FBF">
        <w:rPr>
          <w:lang w:val="fr-FR"/>
        </w:rPr>
        <w:t>, dont les interventions opérationnelles dans l</w:t>
      </w:r>
      <w:r>
        <w:rPr>
          <w:lang w:val="fr-FR"/>
        </w:rPr>
        <w:t>’</w:t>
      </w:r>
      <w:r w:rsidRPr="00E31FBF">
        <w:rPr>
          <w:lang w:val="fr-FR"/>
        </w:rPr>
        <w:t>océan Indien et au large des côtes somaliennes avaient concrètement contribué à la réduction significative du nombre d</w:t>
      </w:r>
      <w:r>
        <w:rPr>
          <w:lang w:val="fr-FR"/>
        </w:rPr>
        <w:t>’</w:t>
      </w:r>
      <w:r w:rsidRPr="00E31FBF">
        <w:rPr>
          <w:lang w:val="fr-FR"/>
        </w:rPr>
        <w:t>actes de piraterie et à la répression de ce crime.</w:t>
      </w:r>
    </w:p>
    <w:p w14:paraId="3241B96C" w14:textId="77777777" w:rsidR="007A322E" w:rsidRPr="00E31FBF" w:rsidRDefault="007A322E" w:rsidP="007A322E">
      <w:pPr>
        <w:pStyle w:val="SingleTxtG"/>
        <w:rPr>
          <w:lang w:val="fr-CA"/>
        </w:rPr>
      </w:pPr>
      <w:r w:rsidRPr="00F25C2E">
        <w:rPr>
          <w:lang w:val="fr-FR"/>
        </w:rPr>
        <w:t>86.</w:t>
      </w:r>
      <w:r w:rsidRPr="00F25C2E">
        <w:rPr>
          <w:lang w:val="fr-FR"/>
        </w:rPr>
        <w:tab/>
        <w:t>Le Rapporteur spécial a rappelé que l’Assemblée générale était saisie de plusieurs questions ayant trait aux affaires maritimes internationales, notamment la piraterie maritime, le vol à main armée en mer et d’autres crimes commis en mer. Il a fait observer que l’Assemblée générale avait adopté</w:t>
      </w:r>
      <w:r w:rsidRPr="00E31FBF">
        <w:rPr>
          <w:lang w:val="fr-FR"/>
        </w:rPr>
        <w:t xml:space="preserve"> plusieurs résolutions concernant la prévention et la répression de la piraterie et du vol à main armée en mer en prenant soin de souligner dès le départ que les États avaient l</w:t>
      </w:r>
      <w:r>
        <w:rPr>
          <w:lang w:val="fr-FR"/>
        </w:rPr>
        <w:t>’</w:t>
      </w:r>
      <w:r w:rsidRPr="00E31FBF">
        <w:rPr>
          <w:lang w:val="fr-FR"/>
        </w:rPr>
        <w:t>obligation de coopérer pour prévenir et réprimer ce type d</w:t>
      </w:r>
      <w:r>
        <w:rPr>
          <w:lang w:val="fr-FR"/>
        </w:rPr>
        <w:t>’</w:t>
      </w:r>
      <w:r w:rsidRPr="00E31FBF">
        <w:rPr>
          <w:lang w:val="fr-FR"/>
        </w:rPr>
        <w:t>actes. Il a également rappelé que la coopération encouragée par l</w:t>
      </w:r>
      <w:r>
        <w:rPr>
          <w:lang w:val="fr-FR"/>
        </w:rPr>
        <w:t>’</w:t>
      </w:r>
      <w:r w:rsidRPr="00E31FBF">
        <w:rPr>
          <w:lang w:val="fr-FR"/>
        </w:rPr>
        <w:t>Assemblée générale incombait à tous les États, mais plus particulièrement aux États côtiers situés dans les régions touchées, qui étaient invités à prendre toutes les mesures nécessaires pour prévenir et combattre la piraterie et le vol à main armée en mer, à enquêter ou à coopérer pour enquêter sur ce type d</w:t>
      </w:r>
      <w:r>
        <w:rPr>
          <w:lang w:val="fr-FR"/>
        </w:rPr>
        <w:t>’</w:t>
      </w:r>
      <w:r w:rsidRPr="00E31FBF">
        <w:rPr>
          <w:lang w:val="fr-FR"/>
        </w:rPr>
        <w:t>actes partout où ils se produisent et à traduire en justice les personnes présumées responsables. Il a indiqué que, dans ses résolutions, l</w:t>
      </w:r>
      <w:r>
        <w:rPr>
          <w:lang w:val="fr-FR"/>
        </w:rPr>
        <w:t>’</w:t>
      </w:r>
      <w:r w:rsidRPr="00E31FBF">
        <w:rPr>
          <w:lang w:val="fr-FR"/>
        </w:rPr>
        <w:t>Assemblée générale avait rappelé le rôle fondamental de la coopération internationale aux niveaux tant multilatéral que régional, sous-régional et bilatéral dans la lutte contre les menaces à la sécurité maritime en général et contre les actes de piraterie et de vol à main armée commis en mer en particulier.</w:t>
      </w:r>
    </w:p>
    <w:p w14:paraId="1E7345A5" w14:textId="77777777" w:rsidR="007A322E" w:rsidRPr="00E31FBF" w:rsidRDefault="007A322E" w:rsidP="007A322E">
      <w:pPr>
        <w:pStyle w:val="SingleTxtG"/>
        <w:rPr>
          <w:lang w:val="fr-CA"/>
        </w:rPr>
      </w:pPr>
      <w:r>
        <w:rPr>
          <w:lang w:val="fr-FR"/>
        </w:rPr>
        <w:t>87</w:t>
      </w:r>
      <w:r w:rsidRPr="00E31FBF">
        <w:rPr>
          <w:lang w:val="fr-FR"/>
        </w:rPr>
        <w:t>.</w:t>
      </w:r>
      <w:r w:rsidRPr="00E31FBF">
        <w:rPr>
          <w:lang w:val="fr-FR"/>
        </w:rPr>
        <w:tab/>
        <w:t>Le Rapporteur spécial a ensuite décrit le rôle du Conseil de sécurité, qui a adopté plusieurs résolutions touchant à diverses questions de droit pénal, notamment l</w:t>
      </w:r>
      <w:r>
        <w:rPr>
          <w:lang w:val="fr-FR"/>
        </w:rPr>
        <w:t>’</w:t>
      </w:r>
      <w:r w:rsidRPr="00E31FBF">
        <w:rPr>
          <w:lang w:val="fr-FR"/>
        </w:rPr>
        <w:t>obligation de légiférer de sorte que la piraterie soit érigée en crime, les poursuites judiciaires, le transfèrement des pirates présumés et leur détention, la nécessité de conclure des accords bilatéraux ou régionaux, la préservation des preuves et la conduite des enquêtes, l</w:t>
      </w:r>
      <w:r>
        <w:rPr>
          <w:lang w:val="fr-FR"/>
        </w:rPr>
        <w:t>’</w:t>
      </w:r>
      <w:r w:rsidRPr="00E31FBF">
        <w:rPr>
          <w:lang w:val="fr-FR"/>
        </w:rPr>
        <w:t>extradition des auteurs d</w:t>
      </w:r>
      <w:r>
        <w:rPr>
          <w:lang w:val="fr-FR"/>
        </w:rPr>
        <w:t>’</w:t>
      </w:r>
      <w:r w:rsidRPr="00E31FBF">
        <w:rPr>
          <w:lang w:val="fr-FR"/>
        </w:rPr>
        <w:t>actes de piraterie et de vols à main armée en mer et l</w:t>
      </w:r>
      <w:r>
        <w:rPr>
          <w:lang w:val="fr-FR"/>
        </w:rPr>
        <w:t>’</w:t>
      </w:r>
      <w:r w:rsidRPr="00E31FBF">
        <w:rPr>
          <w:lang w:val="fr-FR"/>
        </w:rPr>
        <w:t>administration de la justice. Il a déclaré que, selon lui, les questions soulevées par le Conseil de sécurité ne pouvaient pas être traitées efficacement sans la coopération nécessaire entre les États et notamment sans entraide judiciaire.</w:t>
      </w:r>
    </w:p>
    <w:p w14:paraId="47438383" w14:textId="77777777" w:rsidR="007A322E" w:rsidRPr="00E31FBF" w:rsidRDefault="007A322E" w:rsidP="007A322E">
      <w:pPr>
        <w:pStyle w:val="SingleTxtG"/>
        <w:rPr>
          <w:lang w:val="fr-CA"/>
        </w:rPr>
      </w:pPr>
      <w:r>
        <w:rPr>
          <w:lang w:val="fr-FR"/>
        </w:rPr>
        <w:t>88</w:t>
      </w:r>
      <w:r w:rsidRPr="00E31FBF">
        <w:rPr>
          <w:lang w:val="fr-FR"/>
        </w:rPr>
        <w:t>.</w:t>
      </w:r>
      <w:r w:rsidRPr="00E31FBF">
        <w:rPr>
          <w:lang w:val="fr-FR"/>
        </w:rPr>
        <w:tab/>
        <w:t>Le Rapporteur spécial a expliqué que l</w:t>
      </w:r>
      <w:r>
        <w:rPr>
          <w:lang w:val="fr-FR"/>
        </w:rPr>
        <w:t>’</w:t>
      </w:r>
      <w:r w:rsidRPr="00E31FBF">
        <w:rPr>
          <w:lang w:val="fr-FR"/>
        </w:rPr>
        <w:t>OMI avait joué un rôle primordial face à la recrudescence de la piraterie. Il a rappelé qu</w:t>
      </w:r>
      <w:r>
        <w:rPr>
          <w:lang w:val="fr-FR"/>
        </w:rPr>
        <w:t>’</w:t>
      </w:r>
      <w:r w:rsidRPr="00E31FBF">
        <w:rPr>
          <w:lang w:val="fr-FR"/>
        </w:rPr>
        <w:t>en plus de signaler à la communauté internationale les actes de piraterie et de vol à main armée en mer qui faisaient peser une grave menace sur la sécurité maritime, l</w:t>
      </w:r>
      <w:r>
        <w:rPr>
          <w:lang w:val="fr-FR"/>
        </w:rPr>
        <w:t>’</w:t>
      </w:r>
      <w:r w:rsidRPr="00E31FBF">
        <w:rPr>
          <w:lang w:val="fr-FR"/>
        </w:rPr>
        <w:t>OMI avait demandé au Conseil de sécurité de favoriser une réponse nationale et internationale rapide et coordonnée et d</w:t>
      </w:r>
      <w:r>
        <w:rPr>
          <w:lang w:val="fr-FR"/>
        </w:rPr>
        <w:t>’</w:t>
      </w:r>
      <w:r w:rsidRPr="00E31FBF">
        <w:rPr>
          <w:lang w:val="fr-FR"/>
        </w:rPr>
        <w:t>appeler les États à mettre en place une législation efficace pour traduire en justice les auteurs présumés d</w:t>
      </w:r>
      <w:r>
        <w:rPr>
          <w:lang w:val="fr-FR"/>
        </w:rPr>
        <w:t>’</w:t>
      </w:r>
      <w:r w:rsidRPr="00E31FBF">
        <w:rPr>
          <w:lang w:val="fr-FR"/>
        </w:rPr>
        <w:t>actes de piraterie. Il a fait observer que l</w:t>
      </w:r>
      <w:r>
        <w:rPr>
          <w:lang w:val="fr-FR"/>
        </w:rPr>
        <w:t>’</w:t>
      </w:r>
      <w:r w:rsidRPr="00E31FBF">
        <w:rPr>
          <w:lang w:val="fr-FR"/>
        </w:rPr>
        <w:t>OMI avait contribué à faciliter la coopération régionale dans la lutte contre la piraterie et le vol à main armée en mer, fournissant une assistance aux organisations régionales concernées en élaborant des codes, des accords et des directives sur la prévention et la répression de ces deux crimes.</w:t>
      </w:r>
    </w:p>
    <w:p w14:paraId="041917C1" w14:textId="77777777" w:rsidR="007A322E" w:rsidRPr="00E31FBF" w:rsidRDefault="007A322E" w:rsidP="007A322E">
      <w:pPr>
        <w:pStyle w:val="SingleTxtG"/>
        <w:rPr>
          <w:lang w:val="fr-CA"/>
        </w:rPr>
      </w:pPr>
      <w:r>
        <w:rPr>
          <w:lang w:val="fr-FR"/>
        </w:rPr>
        <w:t>89</w:t>
      </w:r>
      <w:r w:rsidRPr="00E31FBF">
        <w:rPr>
          <w:lang w:val="fr-FR"/>
        </w:rPr>
        <w:t>.</w:t>
      </w:r>
      <w:r w:rsidRPr="00E31FBF">
        <w:rPr>
          <w:lang w:val="fr-FR"/>
        </w:rPr>
        <w:tab/>
        <w:t>Le Rapporteur spécial a fait observer que l</w:t>
      </w:r>
      <w:r>
        <w:rPr>
          <w:lang w:val="fr-FR"/>
        </w:rPr>
        <w:t>’</w:t>
      </w:r>
      <w:r w:rsidRPr="00E31FBF">
        <w:rPr>
          <w:lang w:val="fr-FR"/>
        </w:rPr>
        <w:t>OTAN avait aussi joué un rôle important dans la lutte contre la piraterie maritime et le vol à main armée en mer en ce qu</w:t>
      </w:r>
      <w:r>
        <w:rPr>
          <w:lang w:val="fr-FR"/>
        </w:rPr>
        <w:t>’</w:t>
      </w:r>
      <w:r w:rsidRPr="00E31FBF">
        <w:rPr>
          <w:lang w:val="fr-FR"/>
        </w:rPr>
        <w:t>elle avait déployé des navires avec l</w:t>
      </w:r>
      <w:r>
        <w:rPr>
          <w:lang w:val="fr-FR"/>
        </w:rPr>
        <w:t>’</w:t>
      </w:r>
      <w:r w:rsidRPr="00E31FBF">
        <w:rPr>
          <w:lang w:val="fr-FR"/>
        </w:rPr>
        <w:t>autorisation du Conseil de sécurité agissant en vertu du Chapitre</w:t>
      </w:r>
      <w:r>
        <w:rPr>
          <w:lang w:val="fr-FR"/>
        </w:rPr>
        <w:t> </w:t>
      </w:r>
      <w:r w:rsidRPr="00E31FBF">
        <w:rPr>
          <w:lang w:val="fr-FR"/>
        </w:rPr>
        <w:t>VII de la Charte des Nations Unies.</w:t>
      </w:r>
    </w:p>
    <w:p w14:paraId="51B0EE73" w14:textId="77777777" w:rsidR="007A322E" w:rsidRPr="00E31FBF" w:rsidRDefault="007A322E" w:rsidP="007A322E">
      <w:pPr>
        <w:pStyle w:val="SingleTxtG"/>
        <w:rPr>
          <w:lang w:val="fr-CA"/>
        </w:rPr>
      </w:pPr>
      <w:r>
        <w:rPr>
          <w:lang w:val="fr-FR"/>
        </w:rPr>
        <w:t>90</w:t>
      </w:r>
      <w:r w:rsidRPr="00E31FBF">
        <w:rPr>
          <w:lang w:val="fr-FR"/>
        </w:rPr>
        <w:t>.</w:t>
      </w:r>
      <w:r w:rsidRPr="00E31FBF">
        <w:rPr>
          <w:lang w:val="fr-FR"/>
        </w:rPr>
        <w:tab/>
        <w:t>Passant à la deuxième partie de son rapport, le Rapporteur spécial a indiqué qu</w:t>
      </w:r>
      <w:r>
        <w:rPr>
          <w:lang w:val="fr-FR"/>
        </w:rPr>
        <w:t>’</w:t>
      </w:r>
      <w:r w:rsidRPr="00E31FBF">
        <w:rPr>
          <w:lang w:val="fr-FR"/>
        </w:rPr>
        <w:t>elle traitait de la pratique des organisations régionales et sous-régionales en matière de prévention et de répression de la piraterie et du vol à main armée en mer. Les régions concernées étaient l</w:t>
      </w:r>
      <w:r>
        <w:rPr>
          <w:lang w:val="fr-FR"/>
        </w:rPr>
        <w:t>’</w:t>
      </w:r>
      <w:r w:rsidRPr="00E31FBF">
        <w:rPr>
          <w:lang w:val="fr-FR"/>
        </w:rPr>
        <w:t>Afrique, l</w:t>
      </w:r>
      <w:r>
        <w:rPr>
          <w:lang w:val="fr-FR"/>
        </w:rPr>
        <w:t>’</w:t>
      </w:r>
      <w:r w:rsidRPr="00E31FBF">
        <w:rPr>
          <w:lang w:val="fr-FR"/>
        </w:rPr>
        <w:t>Asie, l</w:t>
      </w:r>
      <w:r>
        <w:rPr>
          <w:lang w:val="fr-FR"/>
        </w:rPr>
        <w:t>’</w:t>
      </w:r>
      <w:r w:rsidRPr="00E31FBF">
        <w:rPr>
          <w:lang w:val="fr-FR"/>
        </w:rPr>
        <w:t>Europe, l</w:t>
      </w:r>
      <w:r>
        <w:rPr>
          <w:lang w:val="fr-FR"/>
        </w:rPr>
        <w:t>’</w:t>
      </w:r>
      <w:r w:rsidRPr="00E31FBF">
        <w:rPr>
          <w:lang w:val="fr-FR"/>
        </w:rPr>
        <w:t>Amérique et l</w:t>
      </w:r>
      <w:r>
        <w:rPr>
          <w:lang w:val="fr-FR"/>
        </w:rPr>
        <w:t>’</w:t>
      </w:r>
      <w:r w:rsidRPr="00E31FBF">
        <w:rPr>
          <w:lang w:val="fr-FR"/>
        </w:rPr>
        <w:t>Océanie.</w:t>
      </w:r>
    </w:p>
    <w:p w14:paraId="0BB8997B" w14:textId="65E1C816" w:rsidR="007A322E" w:rsidRPr="00E31FBF" w:rsidRDefault="007A322E" w:rsidP="007A322E">
      <w:pPr>
        <w:pStyle w:val="SingleTxtG"/>
        <w:rPr>
          <w:lang w:val="fr-CA"/>
        </w:rPr>
      </w:pPr>
      <w:r>
        <w:rPr>
          <w:lang w:val="fr-FR"/>
        </w:rPr>
        <w:t>91</w:t>
      </w:r>
      <w:r w:rsidRPr="00E31FBF">
        <w:rPr>
          <w:lang w:val="fr-FR"/>
        </w:rPr>
        <w:t>.</w:t>
      </w:r>
      <w:r w:rsidRPr="00E31FBF">
        <w:rPr>
          <w:lang w:val="fr-FR"/>
        </w:rPr>
        <w:tab/>
        <w:t>Le Rapporteur spécial a expliqué qu</w:t>
      </w:r>
      <w:r>
        <w:rPr>
          <w:lang w:val="fr-FR"/>
        </w:rPr>
        <w:t>’</w:t>
      </w:r>
      <w:r w:rsidRPr="00E31FBF">
        <w:rPr>
          <w:lang w:val="fr-FR"/>
        </w:rPr>
        <w:t>il s</w:t>
      </w:r>
      <w:r>
        <w:rPr>
          <w:lang w:val="fr-FR"/>
        </w:rPr>
        <w:t>’</w:t>
      </w:r>
      <w:r w:rsidRPr="00E31FBF">
        <w:rPr>
          <w:lang w:val="fr-FR"/>
        </w:rPr>
        <w:t>était concentré sur les initiatives menées dans le cadre de la coopération en mer au niveau régional. Il a énuméré les accords régionaux et autres instruments juridiques de coopération traitant expressément de la piraterie maritime et du vol à main armée en mer ou plus généralement de la sécurité maritime qui étaient examinés dans son rapport, à savoir</w:t>
      </w:r>
      <w:r w:rsidR="00876289">
        <w:rPr>
          <w:lang w:val="fr-FR"/>
        </w:rPr>
        <w:t> </w:t>
      </w:r>
      <w:r w:rsidRPr="00E31FBF">
        <w:rPr>
          <w:lang w:val="fr-FR"/>
        </w:rPr>
        <w:t>: l</w:t>
      </w:r>
      <w:r>
        <w:rPr>
          <w:lang w:val="fr-FR"/>
        </w:rPr>
        <w:t>’</w:t>
      </w:r>
      <w:r w:rsidRPr="00E31FBF">
        <w:rPr>
          <w:lang w:val="fr-FR"/>
        </w:rPr>
        <w:t>Accord de coopération sur la sécurité de l</w:t>
      </w:r>
      <w:r>
        <w:rPr>
          <w:lang w:val="fr-FR"/>
        </w:rPr>
        <w:t>’</w:t>
      </w:r>
      <w:r w:rsidRPr="00E31FBF">
        <w:rPr>
          <w:lang w:val="fr-FR"/>
        </w:rPr>
        <w:t xml:space="preserve">espace aérien et </w:t>
      </w:r>
      <w:r w:rsidRPr="00E31FBF">
        <w:rPr>
          <w:lang w:val="fr-FR"/>
        </w:rPr>
        <w:lastRenderedPageBreak/>
        <w:t>maritime de la CARICOM, de 2008</w:t>
      </w:r>
      <w:r w:rsidRPr="00E31FBF">
        <w:rPr>
          <w:rStyle w:val="Appelnotedebasdep"/>
          <w:lang w:val="fr-FR"/>
        </w:rPr>
        <w:footnoteReference w:id="194"/>
      </w:r>
      <w:r>
        <w:rPr>
          <w:lang w:val="fr-FR"/>
        </w:rPr>
        <w:t> </w:t>
      </w:r>
      <w:r w:rsidRPr="00E31FBF">
        <w:rPr>
          <w:lang w:val="fr-FR"/>
        </w:rPr>
        <w:t>; l</w:t>
      </w:r>
      <w:r>
        <w:rPr>
          <w:lang w:val="fr-FR"/>
        </w:rPr>
        <w:t>’</w:t>
      </w:r>
      <w:r w:rsidRPr="00E31FBF">
        <w:rPr>
          <w:lang w:val="fr-FR"/>
        </w:rPr>
        <w:t>Accord de coopération régionale contre la piraterie et les vols à main armée à l</w:t>
      </w:r>
      <w:r>
        <w:rPr>
          <w:lang w:val="fr-FR"/>
        </w:rPr>
        <w:t>’</w:t>
      </w:r>
      <w:r w:rsidRPr="00E31FBF">
        <w:rPr>
          <w:lang w:val="fr-FR"/>
        </w:rPr>
        <w:t>encontre des navires en Asie (</w:t>
      </w:r>
      <w:proofErr w:type="spellStart"/>
      <w:r w:rsidRPr="00E31FBF">
        <w:rPr>
          <w:lang w:val="fr-FR"/>
        </w:rPr>
        <w:t>ReCAAP</w:t>
      </w:r>
      <w:proofErr w:type="spellEnd"/>
      <w:r w:rsidRPr="00E31FBF">
        <w:rPr>
          <w:lang w:val="fr-FR"/>
        </w:rPr>
        <w:t>), de 2004</w:t>
      </w:r>
      <w:r w:rsidRPr="00E31FBF">
        <w:rPr>
          <w:rStyle w:val="Appelnotedebasdep"/>
          <w:lang w:val="fr-FR"/>
        </w:rPr>
        <w:footnoteReference w:id="195"/>
      </w:r>
      <w:r>
        <w:rPr>
          <w:lang w:val="fr-FR"/>
        </w:rPr>
        <w:t> </w:t>
      </w:r>
      <w:r w:rsidRPr="00E31FBF">
        <w:rPr>
          <w:lang w:val="fr-FR"/>
        </w:rPr>
        <w:t>; le Mémorandum d</w:t>
      </w:r>
      <w:r>
        <w:rPr>
          <w:lang w:val="fr-FR"/>
        </w:rPr>
        <w:t>’</w:t>
      </w:r>
      <w:r w:rsidRPr="00E31FBF">
        <w:rPr>
          <w:lang w:val="fr-FR"/>
        </w:rPr>
        <w:t>entente du Réseau sous-régional intégré de garde-côtes des États d</w:t>
      </w:r>
      <w:r>
        <w:rPr>
          <w:lang w:val="fr-FR"/>
        </w:rPr>
        <w:t>’</w:t>
      </w:r>
      <w:r w:rsidRPr="00E31FBF">
        <w:rPr>
          <w:lang w:val="fr-FR"/>
        </w:rPr>
        <w:t>Afrique de l</w:t>
      </w:r>
      <w:r>
        <w:rPr>
          <w:lang w:val="fr-FR"/>
        </w:rPr>
        <w:t>’</w:t>
      </w:r>
      <w:r w:rsidRPr="00E31FBF">
        <w:rPr>
          <w:lang w:val="fr-FR"/>
        </w:rPr>
        <w:t>Ouest et du Centre, de 2008</w:t>
      </w:r>
      <w:r w:rsidRPr="00E31FBF">
        <w:rPr>
          <w:rStyle w:val="Appelnotedebasdep"/>
          <w:lang w:val="fr-FR"/>
        </w:rPr>
        <w:footnoteReference w:id="196"/>
      </w:r>
      <w:r>
        <w:rPr>
          <w:lang w:val="fr-FR"/>
        </w:rPr>
        <w:t> </w:t>
      </w:r>
      <w:r w:rsidRPr="00E31FBF">
        <w:rPr>
          <w:lang w:val="fr-FR"/>
        </w:rPr>
        <w:t>; le Code de conduite relatif à la prévention et à la répression des actes de piraterie, des vols à main armée à l</w:t>
      </w:r>
      <w:r>
        <w:rPr>
          <w:lang w:val="fr-FR"/>
        </w:rPr>
        <w:t>’</w:t>
      </w:r>
      <w:r w:rsidRPr="00E31FBF">
        <w:rPr>
          <w:lang w:val="fr-FR"/>
        </w:rPr>
        <w:t>encontre des navires et des activités maritimes illicites en Afrique de l</w:t>
      </w:r>
      <w:r>
        <w:rPr>
          <w:lang w:val="fr-FR"/>
        </w:rPr>
        <w:t>’</w:t>
      </w:r>
      <w:r w:rsidRPr="00E31FBF">
        <w:rPr>
          <w:lang w:val="fr-FR"/>
        </w:rPr>
        <w:t>Ouest et du Centre (Code de conduite de Yaoundé), de 2013</w:t>
      </w:r>
      <w:r w:rsidRPr="00E31FBF">
        <w:rPr>
          <w:rStyle w:val="Appelnotedebasdep"/>
          <w:lang w:val="fr-FR"/>
        </w:rPr>
        <w:footnoteReference w:id="197"/>
      </w:r>
      <w:r w:rsidRPr="00955919">
        <w:rPr>
          <w:lang w:val="fr-FR"/>
        </w:rPr>
        <w:t> </w:t>
      </w:r>
      <w:r w:rsidRPr="00E31FBF">
        <w:rPr>
          <w:lang w:val="fr-FR"/>
        </w:rPr>
        <w:t>; le Code de conduite concernant la répression des actes de piraterie et des vols à main armée à l</w:t>
      </w:r>
      <w:r>
        <w:rPr>
          <w:lang w:val="fr-FR"/>
        </w:rPr>
        <w:t>’</w:t>
      </w:r>
      <w:r w:rsidRPr="00E31FBF">
        <w:rPr>
          <w:lang w:val="fr-FR"/>
        </w:rPr>
        <w:t>encontre des navires dans l</w:t>
      </w:r>
      <w:r>
        <w:rPr>
          <w:lang w:val="fr-FR"/>
        </w:rPr>
        <w:t>’</w:t>
      </w:r>
      <w:r w:rsidRPr="00E31FBF">
        <w:rPr>
          <w:lang w:val="fr-FR"/>
        </w:rPr>
        <w:t>océan Indien occidental et le golfe d</w:t>
      </w:r>
      <w:r>
        <w:rPr>
          <w:lang w:val="fr-FR"/>
        </w:rPr>
        <w:t>’</w:t>
      </w:r>
      <w:r w:rsidRPr="00E31FBF">
        <w:rPr>
          <w:lang w:val="fr-FR"/>
        </w:rPr>
        <w:t>Aden (Code de conduite de Djibouti), de 2009</w:t>
      </w:r>
      <w:r w:rsidRPr="00E31FBF">
        <w:rPr>
          <w:rStyle w:val="Appelnotedebasdep"/>
          <w:lang w:val="fr-FR"/>
        </w:rPr>
        <w:footnoteReference w:id="198"/>
      </w:r>
      <w:r w:rsidRPr="00955919">
        <w:rPr>
          <w:lang w:val="fr-FR"/>
        </w:rPr>
        <w:t> </w:t>
      </w:r>
      <w:r w:rsidRPr="00E31FBF">
        <w:rPr>
          <w:lang w:val="fr-FR"/>
        </w:rPr>
        <w:t>; et la Charte africaine sur la sûreté et la sécurité maritimes et le développement en Afrique (Charte de Lomé), de 2016</w:t>
      </w:r>
      <w:r w:rsidRPr="00E31FBF">
        <w:rPr>
          <w:rStyle w:val="Appelnotedebasdep"/>
          <w:lang w:val="fr-FR"/>
        </w:rPr>
        <w:footnoteReference w:id="199"/>
      </w:r>
      <w:r w:rsidRPr="00E31FBF">
        <w:rPr>
          <w:lang w:val="fr-FR"/>
        </w:rPr>
        <w:t>.</w:t>
      </w:r>
    </w:p>
    <w:p w14:paraId="43E4C625" w14:textId="77777777" w:rsidR="007A322E" w:rsidRPr="00E31FBF" w:rsidRDefault="007A322E" w:rsidP="007A322E">
      <w:pPr>
        <w:pStyle w:val="SingleTxtG"/>
        <w:rPr>
          <w:lang w:val="fr-CA"/>
        </w:rPr>
      </w:pPr>
      <w:r>
        <w:rPr>
          <w:lang w:val="fr-FR"/>
        </w:rPr>
        <w:t>92</w:t>
      </w:r>
      <w:r w:rsidRPr="00E31FBF">
        <w:rPr>
          <w:lang w:val="fr-FR"/>
        </w:rPr>
        <w:t>.</w:t>
      </w:r>
      <w:r w:rsidRPr="00E31FBF">
        <w:rPr>
          <w:lang w:val="fr-FR"/>
        </w:rPr>
        <w:tab/>
        <w:t>Le Rapporteur spécial a souligné que la coopération régionale pouvait prendre plusieurs formes non définies à l</w:t>
      </w:r>
      <w:r>
        <w:rPr>
          <w:lang w:val="fr-FR"/>
        </w:rPr>
        <w:t>’</w:t>
      </w:r>
      <w:r w:rsidRPr="00E31FBF">
        <w:rPr>
          <w:lang w:val="fr-FR"/>
        </w:rPr>
        <w:t>article 100 de la Convention des Nations Unies sur le droit de la mer. Selon lui, l</w:t>
      </w:r>
      <w:r>
        <w:rPr>
          <w:lang w:val="fr-FR"/>
        </w:rPr>
        <w:t>’</w:t>
      </w:r>
      <w:r w:rsidRPr="00E31FBF">
        <w:rPr>
          <w:lang w:val="fr-FR"/>
        </w:rPr>
        <w:t>examen des pratiques régionales montrait que les différentes modalités de coopération en matière de prévention et de répression de la piraterie avaient permis de réduire de manière significative le nombre d</w:t>
      </w:r>
      <w:r>
        <w:rPr>
          <w:lang w:val="fr-FR"/>
        </w:rPr>
        <w:t>’</w:t>
      </w:r>
      <w:r w:rsidRPr="00E31FBF">
        <w:rPr>
          <w:lang w:val="fr-FR"/>
        </w:rPr>
        <w:t>actes de piraterie et de vol à main armée en mer.</w:t>
      </w:r>
    </w:p>
    <w:p w14:paraId="3A9257B4" w14:textId="5A1A1EA0" w:rsidR="007A322E" w:rsidRPr="00E31FBF" w:rsidRDefault="007A322E" w:rsidP="007A322E">
      <w:pPr>
        <w:pStyle w:val="SingleTxtG"/>
        <w:rPr>
          <w:lang w:val="fr-CA"/>
        </w:rPr>
      </w:pPr>
      <w:r>
        <w:rPr>
          <w:lang w:val="fr-FR"/>
        </w:rPr>
        <w:t>93</w:t>
      </w:r>
      <w:r w:rsidRPr="00E31FBF">
        <w:rPr>
          <w:lang w:val="fr-FR"/>
        </w:rPr>
        <w:t>.</w:t>
      </w:r>
      <w:r w:rsidRPr="00E31FBF">
        <w:rPr>
          <w:lang w:val="fr-FR"/>
        </w:rPr>
        <w:tab/>
        <w:t xml:space="preserve">Le Rapporteur spécial a rappelé que la troisième partie de son </w:t>
      </w:r>
      <w:r>
        <w:rPr>
          <w:lang w:val="fr-FR"/>
        </w:rPr>
        <w:t xml:space="preserve">deuxième </w:t>
      </w:r>
      <w:r w:rsidRPr="00E31FBF">
        <w:rPr>
          <w:lang w:val="fr-FR"/>
        </w:rPr>
        <w:t>rapport était consacrée à l</w:t>
      </w:r>
      <w:r>
        <w:rPr>
          <w:lang w:val="fr-FR"/>
        </w:rPr>
        <w:t>’</w:t>
      </w:r>
      <w:r w:rsidRPr="00E31FBF">
        <w:rPr>
          <w:lang w:val="fr-FR"/>
        </w:rPr>
        <w:t>examen et l</w:t>
      </w:r>
      <w:r>
        <w:rPr>
          <w:lang w:val="fr-FR"/>
        </w:rPr>
        <w:t>’</w:t>
      </w:r>
      <w:r w:rsidRPr="00E31FBF">
        <w:rPr>
          <w:lang w:val="fr-FR"/>
        </w:rPr>
        <w:t>analyse des pratiques bilatérales liées à la prévention et à la répression de la piraterie et du vol à main armée en mer.</w:t>
      </w:r>
    </w:p>
    <w:p w14:paraId="1B3B5B33" w14:textId="77777777" w:rsidR="007A322E" w:rsidRPr="00E31FBF" w:rsidRDefault="007A322E" w:rsidP="007A322E">
      <w:pPr>
        <w:pStyle w:val="SingleTxtG"/>
        <w:rPr>
          <w:lang w:val="fr-CA"/>
        </w:rPr>
      </w:pPr>
      <w:r>
        <w:rPr>
          <w:lang w:val="fr-FR"/>
        </w:rPr>
        <w:t>94</w:t>
      </w:r>
      <w:r w:rsidRPr="00E31FBF">
        <w:rPr>
          <w:lang w:val="fr-FR"/>
        </w:rPr>
        <w:t>.</w:t>
      </w:r>
      <w:r w:rsidRPr="00E31FBF">
        <w:rPr>
          <w:lang w:val="fr-FR"/>
        </w:rPr>
        <w:tab/>
        <w:t>Les accords bilatéraux mentionnés par le Rapporteur spécial pouvaient comporter des dispositions sur les patrouilles conjointes dans les eaux territoriales, l</w:t>
      </w:r>
      <w:r>
        <w:rPr>
          <w:lang w:val="fr-FR"/>
        </w:rPr>
        <w:t>’</w:t>
      </w:r>
      <w:r w:rsidRPr="00E31FBF">
        <w:rPr>
          <w:lang w:val="fr-FR"/>
        </w:rPr>
        <w:t>échange d</w:t>
      </w:r>
      <w:r>
        <w:rPr>
          <w:lang w:val="fr-FR"/>
        </w:rPr>
        <w:t>’</w:t>
      </w:r>
      <w:r w:rsidRPr="00E31FBF">
        <w:rPr>
          <w:lang w:val="fr-FR"/>
        </w:rPr>
        <w:t>informations sur les activités suspectes en mer, la poursuite des pirates présumés et l</w:t>
      </w:r>
      <w:r>
        <w:rPr>
          <w:lang w:val="fr-FR"/>
        </w:rPr>
        <w:t>’</w:t>
      </w:r>
      <w:r w:rsidRPr="00E31FBF">
        <w:rPr>
          <w:lang w:val="fr-FR"/>
        </w:rPr>
        <w:t>extradition des intéressés en vue de leur jugement. Le Rapporteur spécial a rappelé que de nombreux États avaient conclu des accords bilatéraux de prévention et de répression de la piraterie et du vol à main armée, accords qui couvraient plusieurs questions juridiques et envisageaient notamment la facilitation du transfèrement et de la poursuite des pirates capturés, la détention, le jugement et la condamnation des pirates présumés, la création d</w:t>
      </w:r>
      <w:r>
        <w:rPr>
          <w:lang w:val="fr-FR"/>
        </w:rPr>
        <w:t>’</w:t>
      </w:r>
      <w:r w:rsidRPr="00E31FBF">
        <w:rPr>
          <w:lang w:val="fr-FR"/>
        </w:rPr>
        <w:t>une juridiction spécialisée, le renforcement de la coopération en matière de sécurité maritime et de lutte contre la piraterie, l</w:t>
      </w:r>
      <w:r>
        <w:rPr>
          <w:lang w:val="fr-FR"/>
        </w:rPr>
        <w:t>’</w:t>
      </w:r>
      <w:r w:rsidRPr="00E31FBF">
        <w:rPr>
          <w:lang w:val="fr-FR"/>
        </w:rPr>
        <w:t>échange d</w:t>
      </w:r>
      <w:r>
        <w:rPr>
          <w:lang w:val="fr-FR"/>
        </w:rPr>
        <w:t>’</w:t>
      </w:r>
      <w:r w:rsidRPr="00E31FBF">
        <w:rPr>
          <w:lang w:val="fr-FR"/>
        </w:rPr>
        <w:t>informations, l</w:t>
      </w:r>
      <w:r>
        <w:rPr>
          <w:lang w:val="fr-FR"/>
        </w:rPr>
        <w:t>’</w:t>
      </w:r>
      <w:r w:rsidRPr="00E31FBF">
        <w:rPr>
          <w:lang w:val="fr-FR"/>
        </w:rPr>
        <w:t>entraide mutuelle ou judiciaire, la coordination des patrouilles maritimes, la surveillance des eaux et la coordination des interventions face aux actes de piraterie.</w:t>
      </w:r>
    </w:p>
    <w:p w14:paraId="4F267FF4" w14:textId="77777777" w:rsidR="007A322E" w:rsidRPr="00E31FBF" w:rsidRDefault="007A322E" w:rsidP="007A322E">
      <w:pPr>
        <w:pStyle w:val="SingleTxtG"/>
        <w:rPr>
          <w:lang w:val="fr-FR"/>
        </w:rPr>
      </w:pPr>
      <w:r>
        <w:rPr>
          <w:lang w:val="fr-FR"/>
        </w:rPr>
        <w:t>95</w:t>
      </w:r>
      <w:r w:rsidRPr="00E31FBF">
        <w:rPr>
          <w:lang w:val="fr-FR"/>
        </w:rPr>
        <w:t>.</w:t>
      </w:r>
      <w:r w:rsidRPr="00E31FBF">
        <w:rPr>
          <w:lang w:val="fr-FR"/>
        </w:rPr>
        <w:tab/>
        <w:t>En conclusion de son rapport, le Rapporteur spécial déclarait qu</w:t>
      </w:r>
      <w:r>
        <w:rPr>
          <w:lang w:val="fr-FR"/>
        </w:rPr>
        <w:t>’</w:t>
      </w:r>
      <w:r w:rsidRPr="00E31FBF">
        <w:rPr>
          <w:lang w:val="fr-FR"/>
        </w:rPr>
        <w:t>il fallait renforcer la coopération régionale et combattre plus efficacement la piraterie et le vol à main armée en mer. Il a toutefois fait observer que l</w:t>
      </w:r>
      <w:r>
        <w:rPr>
          <w:lang w:val="fr-FR"/>
        </w:rPr>
        <w:t>’</w:t>
      </w:r>
      <w:r w:rsidRPr="00E31FBF">
        <w:rPr>
          <w:lang w:val="fr-FR"/>
        </w:rPr>
        <w:t>efficacité et l</w:t>
      </w:r>
      <w:r>
        <w:rPr>
          <w:lang w:val="fr-FR"/>
        </w:rPr>
        <w:t>’</w:t>
      </w:r>
      <w:r w:rsidRPr="00E31FBF">
        <w:rPr>
          <w:lang w:val="fr-FR"/>
        </w:rPr>
        <w:t>efficience de toute coopération en matière de prévention et de répression de la piraterie et du vol à main armée en mer dépendaient largement des lois nationales d</w:t>
      </w:r>
      <w:r>
        <w:rPr>
          <w:lang w:val="fr-FR"/>
        </w:rPr>
        <w:t>’</w:t>
      </w:r>
      <w:r w:rsidRPr="00E31FBF">
        <w:rPr>
          <w:lang w:val="fr-FR"/>
        </w:rPr>
        <w:t>incrimination, qui devaient être harmonisées et conformes aux règles du droit international général applicable. Il soulignait en outre l</w:t>
      </w:r>
      <w:r>
        <w:rPr>
          <w:lang w:val="fr-FR"/>
        </w:rPr>
        <w:t>’</w:t>
      </w:r>
      <w:r w:rsidRPr="00E31FBF">
        <w:rPr>
          <w:lang w:val="fr-FR"/>
        </w:rPr>
        <w:t xml:space="preserve">importance des règles adoptées par les États membres des organisations régionales qui luttent contre toutes </w:t>
      </w:r>
      <w:r w:rsidRPr="00E31FBF">
        <w:rPr>
          <w:lang w:val="fr-FR"/>
        </w:rPr>
        <w:lastRenderedPageBreak/>
        <w:t>les formes d</w:t>
      </w:r>
      <w:r>
        <w:rPr>
          <w:lang w:val="fr-FR"/>
        </w:rPr>
        <w:t>’</w:t>
      </w:r>
      <w:r w:rsidRPr="00E31FBF">
        <w:rPr>
          <w:lang w:val="fr-FR"/>
        </w:rPr>
        <w:t>infractions maritimes, particulièrement celles qui œuvrent à la prévention et la répression de la piraterie et du vol à main armée en mer.</w:t>
      </w:r>
    </w:p>
    <w:p w14:paraId="130797F9" w14:textId="77777777" w:rsidR="007A322E" w:rsidRPr="00E31FBF" w:rsidRDefault="007A322E" w:rsidP="007A322E">
      <w:pPr>
        <w:pStyle w:val="SingleTxtG"/>
        <w:rPr>
          <w:lang w:val="fr-CA"/>
        </w:rPr>
      </w:pPr>
      <w:r>
        <w:rPr>
          <w:lang w:val="fr-FR"/>
        </w:rPr>
        <w:t>96</w:t>
      </w:r>
      <w:r w:rsidRPr="00E31FBF">
        <w:rPr>
          <w:lang w:val="fr-FR"/>
        </w:rPr>
        <w:t>.</w:t>
      </w:r>
      <w:r w:rsidRPr="00E31FBF">
        <w:rPr>
          <w:lang w:val="fr-FR"/>
        </w:rPr>
        <w:tab/>
        <w:t>En ce qui concerne ses travaux futurs sur le sujet, le Rapporteur spécial proposait d</w:t>
      </w:r>
      <w:r>
        <w:rPr>
          <w:lang w:val="fr-FR"/>
        </w:rPr>
        <w:t>’</w:t>
      </w:r>
      <w:r w:rsidRPr="00E31FBF">
        <w:rPr>
          <w:lang w:val="fr-FR"/>
        </w:rPr>
        <w:t>étudier, dans son troisième rapport, la doctrine relative aux différentes thématiques liées à la prévention et à la répression de la piraterie et du vol à main armée en mer. Il a expliqué qu</w:t>
      </w:r>
      <w:r>
        <w:rPr>
          <w:lang w:val="fr-FR"/>
        </w:rPr>
        <w:t>’</w:t>
      </w:r>
      <w:r w:rsidRPr="00E31FBF">
        <w:rPr>
          <w:lang w:val="fr-FR"/>
        </w:rPr>
        <w:t xml:space="preserve">il examinerait les positions doctrinales </w:t>
      </w:r>
      <w:r>
        <w:rPr>
          <w:lang w:val="fr-FR"/>
        </w:rPr>
        <w:t>et</w:t>
      </w:r>
      <w:r w:rsidRPr="00E31FBF">
        <w:rPr>
          <w:lang w:val="fr-FR"/>
        </w:rPr>
        <w:t xml:space="preserve"> les écrits académiques, concernant plusieurs aspects soulevant des questions juridiques, en particulier la prévention et la répression, l</w:t>
      </w:r>
      <w:r>
        <w:rPr>
          <w:lang w:val="fr-FR"/>
        </w:rPr>
        <w:t>’</w:t>
      </w:r>
      <w:r w:rsidRPr="00E31FBF">
        <w:rPr>
          <w:lang w:val="fr-FR"/>
        </w:rPr>
        <w:t>encadrement des activités des sociétés privées de sûreté maritime, les problèmes relatifs à</w:t>
      </w:r>
      <w:r>
        <w:rPr>
          <w:lang w:val="fr-FR"/>
        </w:rPr>
        <w:t> </w:t>
      </w:r>
      <w:r w:rsidRPr="00E31FBF">
        <w:rPr>
          <w:lang w:val="fr-FR"/>
        </w:rPr>
        <w:t>la compétence nationale et à la compétence universelle des États en matière de poursuite et de jugement des pirates présumés, le transfèrement des pirates présumés ou des coupables, l</w:t>
      </w:r>
      <w:r>
        <w:rPr>
          <w:lang w:val="fr-FR"/>
        </w:rPr>
        <w:t>’</w:t>
      </w:r>
      <w:r w:rsidRPr="00E31FBF">
        <w:rPr>
          <w:lang w:val="fr-FR"/>
        </w:rPr>
        <w:t>extradition ou le jugement des intéressés et l</w:t>
      </w:r>
      <w:r>
        <w:rPr>
          <w:lang w:val="fr-FR"/>
        </w:rPr>
        <w:t>’</w:t>
      </w:r>
      <w:r w:rsidRPr="00E31FBF">
        <w:rPr>
          <w:lang w:val="fr-FR"/>
        </w:rPr>
        <w:t>entraide judiciaire. Il prévoyait d</w:t>
      </w:r>
      <w:r>
        <w:rPr>
          <w:lang w:val="fr-FR"/>
        </w:rPr>
        <w:t>’</w:t>
      </w:r>
      <w:r w:rsidRPr="00E31FBF">
        <w:rPr>
          <w:lang w:val="fr-FR"/>
        </w:rPr>
        <w:t>examiner également les questions concernant l</w:t>
      </w:r>
      <w:r>
        <w:rPr>
          <w:lang w:val="fr-FR"/>
        </w:rPr>
        <w:t>’</w:t>
      </w:r>
      <w:r w:rsidRPr="00E31FBF">
        <w:rPr>
          <w:lang w:val="fr-FR"/>
        </w:rPr>
        <w:t>administration ou l</w:t>
      </w:r>
      <w:r>
        <w:rPr>
          <w:lang w:val="fr-FR"/>
        </w:rPr>
        <w:t>’</w:t>
      </w:r>
      <w:r w:rsidRPr="00E31FBF">
        <w:rPr>
          <w:lang w:val="fr-FR"/>
        </w:rPr>
        <w:t>admissibilité des preuves devant les tribunaux internes, l</w:t>
      </w:r>
      <w:r>
        <w:rPr>
          <w:lang w:val="fr-FR"/>
        </w:rPr>
        <w:t>’</w:t>
      </w:r>
      <w:r w:rsidRPr="00E31FBF">
        <w:rPr>
          <w:lang w:val="fr-FR"/>
        </w:rPr>
        <w:t>application de sanctions, l</w:t>
      </w:r>
      <w:r>
        <w:rPr>
          <w:lang w:val="fr-FR"/>
        </w:rPr>
        <w:t>’</w:t>
      </w:r>
      <w:r w:rsidRPr="00E31FBF">
        <w:rPr>
          <w:lang w:val="fr-FR"/>
        </w:rPr>
        <w:t>imprescriptibilité des crimes visés, le respect du droit international des droits de l</w:t>
      </w:r>
      <w:r>
        <w:rPr>
          <w:lang w:val="fr-FR"/>
        </w:rPr>
        <w:t>’</w:t>
      </w:r>
      <w:r w:rsidRPr="00E31FBF">
        <w:rPr>
          <w:lang w:val="fr-FR"/>
        </w:rPr>
        <w:t>homme dans le cadre des actions judiciaires contre les personnes présumées coupables de piraterie et de vol à main armée en mer, les juridictions compétentes, les mesures d</w:t>
      </w:r>
      <w:r>
        <w:rPr>
          <w:lang w:val="fr-FR"/>
        </w:rPr>
        <w:t>’</w:t>
      </w:r>
      <w:r w:rsidRPr="00E31FBF">
        <w:rPr>
          <w:lang w:val="fr-FR"/>
        </w:rPr>
        <w:t>exécution et les dispositions portant sur la responsabilité et l</w:t>
      </w:r>
      <w:r>
        <w:rPr>
          <w:lang w:val="fr-FR"/>
        </w:rPr>
        <w:t>’</w:t>
      </w:r>
      <w:r w:rsidRPr="00E31FBF">
        <w:rPr>
          <w:lang w:val="fr-FR"/>
        </w:rPr>
        <w:t>indemnisation.</w:t>
      </w:r>
    </w:p>
    <w:p w14:paraId="255DE740" w14:textId="6AC70BAC" w:rsidR="007A322E" w:rsidRPr="00E31FBF" w:rsidRDefault="007A322E" w:rsidP="007A322E">
      <w:pPr>
        <w:pStyle w:val="SingleTxtG"/>
        <w:rPr>
          <w:lang w:val="fr-CA"/>
        </w:rPr>
      </w:pPr>
      <w:r>
        <w:rPr>
          <w:lang w:val="fr-FR"/>
        </w:rPr>
        <w:t>97</w:t>
      </w:r>
      <w:r w:rsidRPr="00E31FBF">
        <w:rPr>
          <w:lang w:val="fr-FR"/>
        </w:rPr>
        <w:t>.</w:t>
      </w:r>
      <w:r w:rsidRPr="00E31FBF">
        <w:rPr>
          <w:lang w:val="fr-FR"/>
        </w:rPr>
        <w:tab/>
        <w:t>Le Rapporteur spécial a expliqué les raisons qui l</w:t>
      </w:r>
      <w:r>
        <w:rPr>
          <w:lang w:val="fr-FR"/>
        </w:rPr>
        <w:t>’</w:t>
      </w:r>
      <w:r w:rsidRPr="00E31FBF">
        <w:rPr>
          <w:lang w:val="fr-FR"/>
        </w:rPr>
        <w:t>avaient conduit à proposer les quatre projets d</w:t>
      </w:r>
      <w:r>
        <w:rPr>
          <w:lang w:val="fr-FR"/>
        </w:rPr>
        <w:t>’</w:t>
      </w:r>
      <w:r w:rsidRPr="00E31FBF">
        <w:rPr>
          <w:lang w:val="fr-FR"/>
        </w:rPr>
        <w:t>articles contenus dans son rapport. Il estimait que le projet d</w:t>
      </w:r>
      <w:r>
        <w:rPr>
          <w:lang w:val="fr-FR"/>
        </w:rPr>
        <w:t>’</w:t>
      </w:r>
      <w:r w:rsidRPr="00E31FBF">
        <w:rPr>
          <w:lang w:val="fr-FR"/>
        </w:rPr>
        <w:t>article 4 était justifié par le fait que les approches régionales en la matière étaient juridiquement fondées sur l</w:t>
      </w:r>
      <w:r>
        <w:rPr>
          <w:lang w:val="fr-FR"/>
        </w:rPr>
        <w:t>’</w:t>
      </w:r>
      <w:r w:rsidRPr="00E31FBF">
        <w:rPr>
          <w:lang w:val="fr-FR"/>
        </w:rPr>
        <w:t>article</w:t>
      </w:r>
      <w:r w:rsidR="00876289">
        <w:rPr>
          <w:lang w:val="fr-FR"/>
        </w:rPr>
        <w:t> </w:t>
      </w:r>
      <w:r w:rsidRPr="00E31FBF">
        <w:rPr>
          <w:lang w:val="fr-FR"/>
        </w:rPr>
        <w:t>100 de la Convention des Nations Unies sur le droit de la mer, qui définit les obligations générales des États en ce qui concerne la prévention de la piraterie. Étant donné le caractère général des dispositions de l</w:t>
      </w:r>
      <w:r>
        <w:rPr>
          <w:lang w:val="fr-FR"/>
        </w:rPr>
        <w:t>’</w:t>
      </w:r>
      <w:r w:rsidRPr="00E31FBF">
        <w:rPr>
          <w:lang w:val="fr-FR"/>
        </w:rPr>
        <w:t xml:space="preserve">article 100, il avait examiné la manière dont </w:t>
      </w:r>
      <w:r>
        <w:rPr>
          <w:lang w:val="fr-FR"/>
        </w:rPr>
        <w:t xml:space="preserve">des </w:t>
      </w:r>
      <w:r w:rsidRPr="00E31FBF">
        <w:rPr>
          <w:lang w:val="fr-FR"/>
        </w:rPr>
        <w:t>États de différentes régions directement ou indirectement concernées par les crimes visés concrétisaient dans la pratique la notion de coopération.</w:t>
      </w:r>
    </w:p>
    <w:p w14:paraId="1E7D5A25" w14:textId="77777777" w:rsidR="007A322E" w:rsidRPr="00E31FBF" w:rsidRDefault="007A322E" w:rsidP="007A322E">
      <w:pPr>
        <w:pStyle w:val="SingleTxtG"/>
        <w:rPr>
          <w:lang w:val="fr-CA"/>
        </w:rPr>
      </w:pPr>
      <w:r w:rsidRPr="005F7217">
        <w:rPr>
          <w:lang w:val="fr-FR"/>
        </w:rPr>
        <w:t>98.</w:t>
      </w:r>
      <w:r w:rsidRPr="005F7217">
        <w:rPr>
          <w:lang w:val="fr-FR"/>
        </w:rPr>
        <w:tab/>
        <w:t>Passant au projet d’article 5, le Rapporteur spécial a rappelé que l’article 100 de la Convention des Nations Unies sur le droit de la mer établissait une obligation de coopérer à la répression de la piraterie. Il a également rappelé que, dans son deuxième rapport, il décrivait et analysait les formes de coopération régionale qui, d’une manière ou d’une autre, montraient qu’il était nécessaire de coopérer pour la prévention de la piraterie. Constatant que l’Institut de droit international s’était aussi intéressé à l’obligation de prévention et que, dans son dernier rapport en date sur la piraterie</w:t>
      </w:r>
      <w:bookmarkStart w:id="78" w:name="_Ref175316836"/>
      <w:r w:rsidRPr="005F7217">
        <w:rPr>
          <w:rStyle w:val="Appelnotedebasdep"/>
        </w:rPr>
        <w:footnoteReference w:id="200"/>
      </w:r>
      <w:bookmarkEnd w:id="78"/>
      <w:r w:rsidRPr="005F7217">
        <w:rPr>
          <w:lang w:val="fr-FR"/>
        </w:rPr>
        <w:t>, il englobait la prévention dans la répression, le Rapporteur spécial estimait qu’il n’était pas fondamental de distinguer prévention et répression.</w:t>
      </w:r>
    </w:p>
    <w:p w14:paraId="49F7F364" w14:textId="77777777" w:rsidR="007A322E" w:rsidRPr="00E31FBF" w:rsidRDefault="007A322E" w:rsidP="007A322E">
      <w:pPr>
        <w:pStyle w:val="SingleTxtG"/>
        <w:rPr>
          <w:lang w:val="fr-CA"/>
        </w:rPr>
      </w:pPr>
      <w:r>
        <w:rPr>
          <w:lang w:val="fr-FR"/>
        </w:rPr>
        <w:t>99</w:t>
      </w:r>
      <w:r w:rsidRPr="00E31FBF">
        <w:rPr>
          <w:lang w:val="fr-FR"/>
        </w:rPr>
        <w:t>.</w:t>
      </w:r>
      <w:r w:rsidRPr="00E31FBF">
        <w:rPr>
          <w:lang w:val="fr-FR"/>
        </w:rPr>
        <w:tab/>
        <w:t>Concernant le projet d</w:t>
      </w:r>
      <w:r>
        <w:rPr>
          <w:lang w:val="fr-FR"/>
        </w:rPr>
        <w:t>’</w:t>
      </w:r>
      <w:r w:rsidRPr="00E31FBF">
        <w:rPr>
          <w:lang w:val="fr-FR"/>
        </w:rPr>
        <w:t>article 6, le Rapporteur spécial a rappelé le principe fondamental de droit pénal selon lequel il ne saurait y avoir ni infraction ni sanction sans loi d</w:t>
      </w:r>
      <w:r>
        <w:rPr>
          <w:lang w:val="fr-FR"/>
        </w:rPr>
        <w:t>’</w:t>
      </w:r>
      <w:r w:rsidRPr="00E31FBF">
        <w:rPr>
          <w:lang w:val="fr-FR"/>
        </w:rPr>
        <w:t xml:space="preserve">incrimination. Il a rappelé également que </w:t>
      </w:r>
      <w:r w:rsidRPr="00E31FBF">
        <w:rPr>
          <w:lang w:val="fr-CA"/>
        </w:rPr>
        <w:t>la criminalisation et l</w:t>
      </w:r>
      <w:r>
        <w:rPr>
          <w:lang w:val="fr-CA"/>
        </w:rPr>
        <w:t>’</w:t>
      </w:r>
      <w:r w:rsidRPr="00E31FBF">
        <w:rPr>
          <w:lang w:val="fr-CA"/>
        </w:rPr>
        <w:t>établissement de la compétence étaient deux exigences constamment mises en avant par le Conseil de sécurité, l</w:t>
      </w:r>
      <w:r>
        <w:rPr>
          <w:lang w:val="fr-CA"/>
        </w:rPr>
        <w:t>’</w:t>
      </w:r>
      <w:r w:rsidRPr="00E31FBF">
        <w:rPr>
          <w:lang w:val="fr-CA"/>
        </w:rPr>
        <w:t>Assemblée générale et l</w:t>
      </w:r>
      <w:r>
        <w:rPr>
          <w:lang w:val="fr-CA"/>
        </w:rPr>
        <w:t>’</w:t>
      </w:r>
      <w:r w:rsidRPr="00E31FBF">
        <w:rPr>
          <w:lang w:val="fr-CA"/>
        </w:rPr>
        <w:t>Organisation maritime internationale (OMI) ainsi que, plus généralement, dans le cadre des organisations régionales.</w:t>
      </w:r>
    </w:p>
    <w:p w14:paraId="484114C6" w14:textId="77777777" w:rsidR="007A322E" w:rsidRPr="00E31FBF" w:rsidRDefault="007A322E" w:rsidP="007A322E">
      <w:pPr>
        <w:pStyle w:val="SingleTxtG"/>
        <w:rPr>
          <w:lang w:val="fr-CA"/>
        </w:rPr>
      </w:pPr>
      <w:r>
        <w:rPr>
          <w:lang w:val="fr-FR"/>
        </w:rPr>
        <w:t>100</w:t>
      </w:r>
      <w:r w:rsidRPr="00E31FBF">
        <w:rPr>
          <w:lang w:val="fr-FR"/>
        </w:rPr>
        <w:t>.</w:t>
      </w:r>
      <w:r w:rsidRPr="00E31FBF">
        <w:rPr>
          <w:lang w:val="fr-FR"/>
        </w:rPr>
        <w:tab/>
        <w:t>Quant au projet d</w:t>
      </w:r>
      <w:r>
        <w:rPr>
          <w:lang w:val="fr-FR"/>
        </w:rPr>
        <w:t>’</w:t>
      </w:r>
      <w:r w:rsidRPr="00E31FBF">
        <w:rPr>
          <w:lang w:val="fr-FR"/>
        </w:rPr>
        <w:t>article 7, le Rapporteur spécial a rappelé qu</w:t>
      </w:r>
      <w:r>
        <w:rPr>
          <w:lang w:val="fr-FR"/>
        </w:rPr>
        <w:t>’</w:t>
      </w:r>
      <w:r w:rsidRPr="00E31FBF">
        <w:rPr>
          <w:lang w:val="fr-FR"/>
        </w:rPr>
        <w:t>il ressortait de l</w:t>
      </w:r>
      <w:r>
        <w:rPr>
          <w:lang w:val="fr-FR"/>
        </w:rPr>
        <w:t>’</w:t>
      </w:r>
      <w:r w:rsidRPr="00E31FBF">
        <w:rPr>
          <w:lang w:val="fr-FR"/>
        </w:rPr>
        <w:t>examen des résolutions du Conseil de sécurité et de l</w:t>
      </w:r>
      <w:r>
        <w:rPr>
          <w:lang w:val="fr-FR"/>
        </w:rPr>
        <w:t>’</w:t>
      </w:r>
      <w:r w:rsidRPr="00E31FBF">
        <w:rPr>
          <w:lang w:val="fr-FR"/>
        </w:rPr>
        <w:t>Assemblée générale ainsi que des instruments adoptés dans le cadre des organisations régionales que l</w:t>
      </w:r>
      <w:r>
        <w:rPr>
          <w:lang w:val="fr-FR"/>
        </w:rPr>
        <w:t>’</w:t>
      </w:r>
      <w:r w:rsidRPr="00E31FBF">
        <w:rPr>
          <w:lang w:val="fr-FR"/>
        </w:rPr>
        <w:t>établissement de la compétence des tribunaux nationaux était une condition fondamentale de la répression de la piraterie et du vol à main armée en mer. Il estimait pertinent et approprié de consacrer un projet d</w:t>
      </w:r>
      <w:r>
        <w:rPr>
          <w:lang w:val="fr-FR"/>
        </w:rPr>
        <w:t>’</w:t>
      </w:r>
      <w:r w:rsidRPr="00E31FBF">
        <w:rPr>
          <w:lang w:val="fr-FR"/>
        </w:rPr>
        <w:t>article à cette question, d</w:t>
      </w:r>
      <w:r>
        <w:rPr>
          <w:lang w:val="fr-FR"/>
        </w:rPr>
        <w:t>’</w:t>
      </w:r>
      <w:r w:rsidRPr="00E31FBF">
        <w:rPr>
          <w:lang w:val="fr-FR"/>
        </w:rPr>
        <w:t>autant que l</w:t>
      </w:r>
      <w:r>
        <w:rPr>
          <w:lang w:val="fr-FR"/>
        </w:rPr>
        <w:t>’</w:t>
      </w:r>
      <w:r w:rsidRPr="00E31FBF">
        <w:rPr>
          <w:lang w:val="fr-FR"/>
        </w:rPr>
        <w:t>établissement de la compétence était une exigence du droit pénal, comme les organisations internationales compétentes l</w:t>
      </w:r>
      <w:r>
        <w:rPr>
          <w:lang w:val="fr-FR"/>
        </w:rPr>
        <w:t>’</w:t>
      </w:r>
      <w:r w:rsidRPr="00E31FBF">
        <w:rPr>
          <w:lang w:val="fr-FR"/>
        </w:rPr>
        <w:t>avaient rappelé à plusieurs reprises.</w:t>
      </w:r>
    </w:p>
    <w:p w14:paraId="03C6DAC8" w14:textId="77777777" w:rsidR="007A322E" w:rsidRPr="00E31FBF" w:rsidRDefault="007A322E" w:rsidP="007A322E">
      <w:pPr>
        <w:pStyle w:val="H23G"/>
        <w:rPr>
          <w:lang w:val="fr-CA"/>
        </w:rPr>
      </w:pPr>
      <w:r>
        <w:rPr>
          <w:lang w:val="fr-FR"/>
        </w:rPr>
        <w:tab/>
      </w:r>
      <w:r w:rsidRPr="00E31FBF">
        <w:rPr>
          <w:lang w:val="fr-FR"/>
        </w:rPr>
        <w:t>2.</w:t>
      </w:r>
      <w:r w:rsidRPr="00E31FBF">
        <w:rPr>
          <w:lang w:val="fr-FR"/>
        </w:rPr>
        <w:tab/>
      </w:r>
      <w:bookmarkStart w:id="79" w:name="_Hlk175323539"/>
      <w:r w:rsidRPr="00E31FBF">
        <w:rPr>
          <w:lang w:val="fr-FR"/>
        </w:rPr>
        <w:tab/>
        <w:t>Résumé des débats</w:t>
      </w:r>
      <w:bookmarkEnd w:id="79"/>
    </w:p>
    <w:p w14:paraId="7EC3DEE1" w14:textId="77777777" w:rsidR="007A322E" w:rsidRPr="00E31FBF" w:rsidRDefault="007A322E" w:rsidP="007A322E">
      <w:pPr>
        <w:pStyle w:val="H23G"/>
        <w:rPr>
          <w:lang w:val="fr-CA"/>
        </w:rPr>
      </w:pPr>
      <w:r>
        <w:rPr>
          <w:lang w:val="fr-FR"/>
        </w:rPr>
        <w:tab/>
      </w:r>
      <w:r w:rsidRPr="00E31FBF">
        <w:rPr>
          <w:lang w:val="fr-FR"/>
        </w:rPr>
        <w:t>a)</w:t>
      </w:r>
      <w:r w:rsidRPr="00E31FBF">
        <w:rPr>
          <w:lang w:val="fr-FR"/>
        </w:rPr>
        <w:tab/>
      </w:r>
      <w:r w:rsidRPr="00E31FBF">
        <w:rPr>
          <w:lang w:val="fr-FR"/>
        </w:rPr>
        <w:tab/>
        <w:t>Observations générales</w:t>
      </w:r>
    </w:p>
    <w:p w14:paraId="3B4A4EBB" w14:textId="77777777" w:rsidR="007A322E" w:rsidRPr="00E31FBF" w:rsidRDefault="007A322E" w:rsidP="007A322E">
      <w:pPr>
        <w:pStyle w:val="SingleTxtG"/>
        <w:rPr>
          <w:lang w:val="fr-CA"/>
        </w:rPr>
      </w:pPr>
      <w:r>
        <w:rPr>
          <w:lang w:val="fr-FR"/>
        </w:rPr>
        <w:t>101</w:t>
      </w:r>
      <w:r w:rsidRPr="00E31FBF">
        <w:rPr>
          <w:lang w:val="fr-FR"/>
        </w:rPr>
        <w:t>.</w:t>
      </w:r>
      <w:r w:rsidRPr="00E31FBF">
        <w:rPr>
          <w:lang w:val="fr-FR"/>
        </w:rPr>
        <w:tab/>
        <w:t>Les membres ont dans l</w:t>
      </w:r>
      <w:r>
        <w:rPr>
          <w:lang w:val="fr-FR"/>
        </w:rPr>
        <w:t>’</w:t>
      </w:r>
      <w:r w:rsidRPr="00E31FBF">
        <w:rPr>
          <w:lang w:val="fr-FR"/>
        </w:rPr>
        <w:t>ensemble favorablement accueilli le deuxième rapport du Rapporteur spécial, soulignant l</w:t>
      </w:r>
      <w:r>
        <w:rPr>
          <w:lang w:val="fr-FR"/>
        </w:rPr>
        <w:t>’</w:t>
      </w:r>
      <w:r w:rsidRPr="00E31FBF">
        <w:rPr>
          <w:lang w:val="fr-FR"/>
        </w:rPr>
        <w:t xml:space="preserve">importance et la complexité du sujet. La richesse des </w:t>
      </w:r>
      <w:r w:rsidRPr="00E31FBF">
        <w:rPr>
          <w:lang w:val="fr-FR"/>
        </w:rPr>
        <w:lastRenderedPageBreak/>
        <w:t xml:space="preserve">informations fournies par le Rapporteur spécial concernant les approches internationales et régionales de coopération en matière de prévention et de répression de la piraterie </w:t>
      </w:r>
      <w:r>
        <w:rPr>
          <w:lang w:val="fr-FR"/>
        </w:rPr>
        <w:t xml:space="preserve">et du vol à main armée en mer </w:t>
      </w:r>
      <w:r w:rsidRPr="00E31FBF">
        <w:rPr>
          <w:lang w:val="fr-FR"/>
        </w:rPr>
        <w:t>a été saluée. L</w:t>
      </w:r>
      <w:r>
        <w:rPr>
          <w:lang w:val="fr-FR"/>
        </w:rPr>
        <w:t>’</w:t>
      </w:r>
      <w:r w:rsidRPr="00E31FBF">
        <w:rPr>
          <w:lang w:val="fr-FR"/>
        </w:rPr>
        <w:t>étude du Secrétariat a aussi reçu un accueil favorable.</w:t>
      </w:r>
    </w:p>
    <w:p w14:paraId="2CBB327A" w14:textId="77777777" w:rsidR="007A322E" w:rsidRPr="00E31FBF" w:rsidRDefault="007A322E" w:rsidP="007A322E">
      <w:pPr>
        <w:pStyle w:val="SingleTxtG"/>
        <w:rPr>
          <w:lang w:val="fr-CA"/>
        </w:rPr>
      </w:pPr>
      <w:r>
        <w:rPr>
          <w:lang w:val="fr-FR"/>
        </w:rPr>
        <w:t>102</w:t>
      </w:r>
      <w:r w:rsidRPr="00E31FBF">
        <w:rPr>
          <w:lang w:val="fr-FR"/>
        </w:rPr>
        <w:t>.</w:t>
      </w:r>
      <w:r w:rsidRPr="00E31FBF">
        <w:rPr>
          <w:lang w:val="fr-FR"/>
        </w:rPr>
        <w:tab/>
        <w:t>Des membres ont rappelé que les dispositions de la Convention des Nations Unies sur le droit de la mer étaient le point de départ de l</w:t>
      </w:r>
      <w:r>
        <w:rPr>
          <w:lang w:val="fr-FR"/>
        </w:rPr>
        <w:t>’</w:t>
      </w:r>
      <w:r w:rsidRPr="00E31FBF">
        <w:rPr>
          <w:lang w:val="fr-FR"/>
        </w:rPr>
        <w:t>analyse du sujet. D</w:t>
      </w:r>
      <w:r>
        <w:rPr>
          <w:lang w:val="fr-FR"/>
        </w:rPr>
        <w:t>’</w:t>
      </w:r>
      <w:r w:rsidRPr="00E31FBF">
        <w:rPr>
          <w:lang w:val="fr-FR"/>
        </w:rPr>
        <w:t xml:space="preserve">aucuns se </w:t>
      </w:r>
      <w:r>
        <w:rPr>
          <w:lang w:val="fr-FR"/>
        </w:rPr>
        <w:t>s</w:t>
      </w:r>
      <w:r w:rsidRPr="00E31FBF">
        <w:rPr>
          <w:lang w:val="fr-FR"/>
        </w:rPr>
        <w:t>ont dit</w:t>
      </w:r>
      <w:r>
        <w:rPr>
          <w:lang w:val="fr-FR"/>
        </w:rPr>
        <w:t>s</w:t>
      </w:r>
      <w:r w:rsidRPr="00E31FBF">
        <w:rPr>
          <w:lang w:val="fr-FR"/>
        </w:rPr>
        <w:t xml:space="preserve"> favorables à une démarche consistant à développer et compléter les normes énoncées dans la Convention. À cet égard, il a été constaté que celle-ci ne contenait pas de dispositions traitant expressément du vol à main armée en mer. Il a par ailleurs été rappelé que, selon son préambule, les questions qui n</w:t>
      </w:r>
      <w:r>
        <w:rPr>
          <w:lang w:val="fr-FR"/>
        </w:rPr>
        <w:t>’</w:t>
      </w:r>
      <w:r w:rsidRPr="00E31FBF">
        <w:rPr>
          <w:lang w:val="fr-FR"/>
        </w:rPr>
        <w:t>étaient pas réglementées par la Convention continueraient d</w:t>
      </w:r>
      <w:r>
        <w:rPr>
          <w:lang w:val="fr-FR"/>
        </w:rPr>
        <w:t>’</w:t>
      </w:r>
      <w:r w:rsidRPr="00E31FBF">
        <w:rPr>
          <w:lang w:val="fr-FR"/>
        </w:rPr>
        <w:t>être régies par les règles et principes du droit international général.</w:t>
      </w:r>
    </w:p>
    <w:p w14:paraId="248C444B" w14:textId="77777777" w:rsidR="007A322E" w:rsidRPr="00E31FBF" w:rsidRDefault="007A322E" w:rsidP="007A322E">
      <w:pPr>
        <w:pStyle w:val="SingleTxtG"/>
        <w:rPr>
          <w:lang w:val="fr-CA"/>
        </w:rPr>
      </w:pPr>
      <w:r>
        <w:rPr>
          <w:lang w:val="fr-FR"/>
        </w:rPr>
        <w:t>103</w:t>
      </w:r>
      <w:r w:rsidRPr="00E31FBF">
        <w:rPr>
          <w:lang w:val="fr-FR"/>
        </w:rPr>
        <w:t>.</w:t>
      </w:r>
      <w:r w:rsidRPr="00E31FBF">
        <w:rPr>
          <w:lang w:val="fr-FR"/>
        </w:rPr>
        <w:tab/>
        <w:t>D</w:t>
      </w:r>
      <w:r>
        <w:rPr>
          <w:lang w:val="fr-FR"/>
        </w:rPr>
        <w:t>’</w:t>
      </w:r>
      <w:r w:rsidRPr="00E31FBF">
        <w:rPr>
          <w:lang w:val="fr-FR"/>
        </w:rPr>
        <w:t>emblée, des membres ont souligné l</w:t>
      </w:r>
      <w:r>
        <w:rPr>
          <w:lang w:val="fr-FR"/>
        </w:rPr>
        <w:t>’</w:t>
      </w:r>
      <w:r w:rsidRPr="00E31FBF">
        <w:rPr>
          <w:lang w:val="fr-FR"/>
        </w:rPr>
        <w:t>importance de la liberté de la haute mer dans le contexte de la lutte contre la piraterie. Il a été dit que si on voulait que les libertés de la haute mer protégées par la Convention et le droit international coutumier soient réelles et effectives, il fallait réfléchir à des règles permettant de remédier aux menaces qui pèsent sur elles. Il a été rappelé que, outre la Convention des Nations Unies sur le droit de la mer, plusieurs instruments pouvaient être pris en compte aux fins de l</w:t>
      </w:r>
      <w:r>
        <w:rPr>
          <w:lang w:val="fr-FR"/>
        </w:rPr>
        <w:t>’</w:t>
      </w:r>
      <w:r w:rsidRPr="00E31FBF">
        <w:rPr>
          <w:lang w:val="fr-FR"/>
        </w:rPr>
        <w:t>étude du sujet. Ont notamment été citées la Convention internationale contre la prise d</w:t>
      </w:r>
      <w:r>
        <w:rPr>
          <w:lang w:val="fr-FR"/>
        </w:rPr>
        <w:t>’</w:t>
      </w:r>
      <w:r w:rsidRPr="00E31FBF">
        <w:rPr>
          <w:lang w:val="fr-FR"/>
        </w:rPr>
        <w:t>otages, de 1979</w:t>
      </w:r>
      <w:r w:rsidRPr="00E31FBF">
        <w:rPr>
          <w:rStyle w:val="Appelnotedebasdep"/>
          <w:lang w:val="fr-FR"/>
        </w:rPr>
        <w:footnoteReference w:id="201"/>
      </w:r>
      <w:r w:rsidRPr="00E31FBF">
        <w:rPr>
          <w:lang w:val="fr-FR"/>
        </w:rPr>
        <w:t>, la Convention pour la répression d</w:t>
      </w:r>
      <w:r>
        <w:rPr>
          <w:lang w:val="fr-FR"/>
        </w:rPr>
        <w:t>’</w:t>
      </w:r>
      <w:r w:rsidRPr="00E31FBF">
        <w:rPr>
          <w:lang w:val="fr-FR"/>
        </w:rPr>
        <w:t>actes illicites contre la sécurité de la navigation maritime, de 1988, et le Protocole pour la répression d</w:t>
      </w:r>
      <w:r>
        <w:rPr>
          <w:lang w:val="fr-FR"/>
        </w:rPr>
        <w:t>’</w:t>
      </w:r>
      <w:r w:rsidRPr="00E31FBF">
        <w:rPr>
          <w:lang w:val="fr-FR"/>
        </w:rPr>
        <w:t>actes illicites contre la sécurité des plateformes fixes situées sur le plateau continental</w:t>
      </w:r>
      <w:r w:rsidRPr="00E31FBF">
        <w:rPr>
          <w:rStyle w:val="Appelnotedebasdep"/>
          <w:lang w:val="fr-FR"/>
        </w:rPr>
        <w:footnoteReference w:id="202"/>
      </w:r>
      <w:r w:rsidRPr="00E31FBF">
        <w:rPr>
          <w:lang w:val="fr-FR"/>
        </w:rPr>
        <w:t>, et la Convention des Nations Unies contre la criminalité transnationale organisée, de 2000, et les protocoles y afférents</w:t>
      </w:r>
      <w:r w:rsidRPr="00E31FBF">
        <w:rPr>
          <w:rStyle w:val="Appelnotedebasdep"/>
          <w:lang w:val="fr-FR"/>
        </w:rPr>
        <w:footnoteReference w:id="203"/>
      </w:r>
      <w:r w:rsidRPr="00E31FBF">
        <w:rPr>
          <w:lang w:val="fr-FR"/>
        </w:rPr>
        <w:t>. Il a été souligné qu</w:t>
      </w:r>
      <w:r>
        <w:rPr>
          <w:lang w:val="fr-FR"/>
        </w:rPr>
        <w:t>’</w:t>
      </w:r>
      <w:r w:rsidRPr="00E31FBF">
        <w:rPr>
          <w:lang w:val="fr-FR"/>
        </w:rPr>
        <w:t>il faudrait éviter tout double emploi avec les cadres existants.</w:t>
      </w:r>
    </w:p>
    <w:p w14:paraId="3424C026" w14:textId="77777777" w:rsidR="007A322E" w:rsidRPr="00E31FBF" w:rsidRDefault="007A322E" w:rsidP="007A322E">
      <w:pPr>
        <w:pStyle w:val="SingleTxtG"/>
        <w:rPr>
          <w:lang w:val="fr-CA"/>
        </w:rPr>
      </w:pPr>
      <w:r>
        <w:rPr>
          <w:lang w:val="fr-FR"/>
        </w:rPr>
        <w:t>104</w:t>
      </w:r>
      <w:r w:rsidRPr="00E31FBF">
        <w:rPr>
          <w:lang w:val="fr-FR"/>
        </w:rPr>
        <w:t>.</w:t>
      </w:r>
      <w:r w:rsidRPr="00E31FBF">
        <w:rPr>
          <w:lang w:val="fr-FR"/>
        </w:rPr>
        <w:tab/>
        <w:t>Il a été fait valoir que, dans le cadre de l</w:t>
      </w:r>
      <w:r>
        <w:rPr>
          <w:lang w:val="fr-FR"/>
        </w:rPr>
        <w:t>’</w:t>
      </w:r>
      <w:r w:rsidRPr="00E31FBF">
        <w:rPr>
          <w:lang w:val="fr-FR"/>
        </w:rPr>
        <w:t>étude du sujet, la Commission devrait tâcher d</w:t>
      </w:r>
      <w:r>
        <w:rPr>
          <w:lang w:val="fr-FR"/>
        </w:rPr>
        <w:t>’</w:t>
      </w:r>
      <w:r w:rsidRPr="00E31FBF">
        <w:rPr>
          <w:lang w:val="fr-FR"/>
        </w:rPr>
        <w:t>identifier les questions d</w:t>
      </w:r>
      <w:r>
        <w:rPr>
          <w:lang w:val="fr-FR"/>
        </w:rPr>
        <w:t>’</w:t>
      </w:r>
      <w:r w:rsidRPr="00E31FBF">
        <w:rPr>
          <w:lang w:val="fr-FR"/>
        </w:rPr>
        <w:t>intérêt commun. À cet égard, des membres ont particulièrement insisté sur la nécessité de renforcer la coopération internationale aux fins de la prévention et de la répression de la piraterie et du vol à main armée en mer. D</w:t>
      </w:r>
      <w:r>
        <w:rPr>
          <w:lang w:val="fr-FR"/>
        </w:rPr>
        <w:t>’</w:t>
      </w:r>
      <w:r w:rsidRPr="00E31FBF">
        <w:rPr>
          <w:lang w:val="fr-FR"/>
        </w:rPr>
        <w:t>aucuns ont en outre fait observer qu</w:t>
      </w:r>
      <w:r>
        <w:rPr>
          <w:lang w:val="fr-FR"/>
        </w:rPr>
        <w:t>’</w:t>
      </w:r>
      <w:r w:rsidRPr="00E31FBF">
        <w:rPr>
          <w:lang w:val="fr-FR"/>
        </w:rPr>
        <w:t>il serait judicieux de promouvoir l</w:t>
      </w:r>
      <w:r>
        <w:rPr>
          <w:lang w:val="fr-FR"/>
        </w:rPr>
        <w:t>’</w:t>
      </w:r>
      <w:r w:rsidRPr="00E31FBF">
        <w:rPr>
          <w:lang w:val="fr-FR"/>
        </w:rPr>
        <w:t>harmonisation des législations nationales avec le droit international.</w:t>
      </w:r>
    </w:p>
    <w:p w14:paraId="00EC2F8D" w14:textId="77777777" w:rsidR="007A322E" w:rsidRPr="00E31FBF" w:rsidRDefault="007A322E" w:rsidP="007A322E">
      <w:pPr>
        <w:pStyle w:val="SingleTxtG"/>
        <w:rPr>
          <w:lang w:val="fr-CA"/>
        </w:rPr>
      </w:pPr>
      <w:r>
        <w:rPr>
          <w:lang w:val="fr-FR"/>
        </w:rPr>
        <w:t>105</w:t>
      </w:r>
      <w:r w:rsidRPr="00E31FBF">
        <w:rPr>
          <w:lang w:val="fr-FR"/>
        </w:rPr>
        <w:t>.</w:t>
      </w:r>
      <w:r w:rsidRPr="00E31FBF">
        <w:rPr>
          <w:lang w:val="fr-FR"/>
        </w:rPr>
        <w:tab/>
        <w:t>La résolution sur la piraterie que l</w:t>
      </w:r>
      <w:r>
        <w:rPr>
          <w:lang w:val="fr-FR"/>
        </w:rPr>
        <w:t>’</w:t>
      </w:r>
      <w:r w:rsidRPr="00E31FBF">
        <w:rPr>
          <w:lang w:val="fr-FR"/>
        </w:rPr>
        <w:t>Institut de droit international a adoptée le 30 août 2023 à la session d</w:t>
      </w:r>
      <w:r>
        <w:rPr>
          <w:lang w:val="fr-FR"/>
        </w:rPr>
        <w:t>’</w:t>
      </w:r>
      <w:r w:rsidRPr="00E31FBF">
        <w:rPr>
          <w:lang w:val="fr-FR"/>
        </w:rPr>
        <w:t>Angers</w:t>
      </w:r>
      <w:r w:rsidRPr="00E31FBF">
        <w:rPr>
          <w:rStyle w:val="Appelnotedebasdep"/>
          <w:lang w:val="fr-FR"/>
        </w:rPr>
        <w:footnoteReference w:id="204"/>
      </w:r>
      <w:r w:rsidRPr="00E31FBF">
        <w:rPr>
          <w:lang w:val="fr-FR"/>
        </w:rPr>
        <w:t xml:space="preserve"> a été </w:t>
      </w:r>
      <w:r>
        <w:rPr>
          <w:lang w:val="fr-FR"/>
        </w:rPr>
        <w:t>rappelée</w:t>
      </w:r>
      <w:r w:rsidRPr="00E31FBF">
        <w:rPr>
          <w:lang w:val="fr-FR"/>
        </w:rPr>
        <w:t>.</w:t>
      </w:r>
    </w:p>
    <w:p w14:paraId="7FE8DB1B" w14:textId="77777777" w:rsidR="007A322E" w:rsidRPr="00E31FBF" w:rsidRDefault="007A322E" w:rsidP="007A322E">
      <w:pPr>
        <w:pStyle w:val="H4G"/>
        <w:rPr>
          <w:lang w:val="fr-CA"/>
        </w:rPr>
      </w:pPr>
      <w:r>
        <w:rPr>
          <w:lang w:val="fr-FR"/>
        </w:rPr>
        <w:tab/>
      </w:r>
      <w:r>
        <w:rPr>
          <w:lang w:val="fr-FR"/>
        </w:rPr>
        <w:tab/>
      </w:r>
      <w:r w:rsidRPr="00E31FBF">
        <w:rPr>
          <w:lang w:val="fr-FR"/>
        </w:rPr>
        <w:t>Approche du Rapporteur spécial</w:t>
      </w:r>
    </w:p>
    <w:p w14:paraId="232AA56E" w14:textId="77777777" w:rsidR="007A322E" w:rsidRPr="00E31FBF" w:rsidRDefault="007A322E" w:rsidP="007A322E">
      <w:pPr>
        <w:pStyle w:val="SingleTxtG"/>
        <w:rPr>
          <w:lang w:val="fr-CA"/>
        </w:rPr>
      </w:pPr>
      <w:r>
        <w:rPr>
          <w:lang w:val="fr-FR"/>
        </w:rPr>
        <w:t>106</w:t>
      </w:r>
      <w:r w:rsidRPr="00E31FBF">
        <w:rPr>
          <w:lang w:val="fr-FR"/>
        </w:rPr>
        <w:t>.</w:t>
      </w:r>
      <w:r w:rsidRPr="00E31FBF">
        <w:rPr>
          <w:lang w:val="fr-FR"/>
        </w:rPr>
        <w:tab/>
        <w:t>Les membres ont fait plusieurs propositions au Rapporteur spécial concernant l</w:t>
      </w:r>
      <w:r>
        <w:rPr>
          <w:lang w:val="fr-FR"/>
        </w:rPr>
        <w:t>’</w:t>
      </w:r>
      <w:r w:rsidRPr="00E31FBF">
        <w:rPr>
          <w:lang w:val="fr-FR"/>
        </w:rPr>
        <w:t>orientation générale que les travaux sur le sujet pourraient se voir donner aux futures sessions et se sont arrêtés sur la complexité des questions abordées dans le deuxième rapport. Des membres ont fait observer qu</w:t>
      </w:r>
      <w:r>
        <w:rPr>
          <w:lang w:val="fr-FR"/>
        </w:rPr>
        <w:t>’</w:t>
      </w:r>
      <w:r w:rsidRPr="00E31FBF">
        <w:rPr>
          <w:lang w:val="fr-FR"/>
        </w:rPr>
        <w:t>il y avait un certain décalage entre les questions de fond examinées dans le deuxième rapport du Rapporteur spécial et les projets d</w:t>
      </w:r>
      <w:r>
        <w:rPr>
          <w:lang w:val="fr-FR"/>
        </w:rPr>
        <w:t>’</w:t>
      </w:r>
      <w:r w:rsidRPr="00E31FBF">
        <w:rPr>
          <w:lang w:val="fr-FR"/>
        </w:rPr>
        <w:t>article proposés. À cet égard, d</w:t>
      </w:r>
      <w:r>
        <w:rPr>
          <w:lang w:val="fr-FR"/>
        </w:rPr>
        <w:t>’</w:t>
      </w:r>
      <w:r w:rsidRPr="00E31FBF">
        <w:rPr>
          <w:lang w:val="fr-FR"/>
        </w:rPr>
        <w:t>aucuns ont dit qu</w:t>
      </w:r>
      <w:r>
        <w:rPr>
          <w:lang w:val="fr-FR"/>
        </w:rPr>
        <w:t>’</w:t>
      </w:r>
      <w:r w:rsidRPr="00E31FBF">
        <w:rPr>
          <w:lang w:val="fr-FR"/>
        </w:rPr>
        <w:t>il aurait été bon que</w:t>
      </w:r>
      <w:r>
        <w:rPr>
          <w:lang w:val="fr-FR"/>
        </w:rPr>
        <w:t>, dans son deuxième rapport,</w:t>
      </w:r>
      <w:r w:rsidRPr="00E31FBF">
        <w:rPr>
          <w:lang w:val="fr-FR"/>
        </w:rPr>
        <w:t xml:space="preserve"> le Rapporteur spécial explique plus en détail la relation entre la pratique exposée dans </w:t>
      </w:r>
      <w:r>
        <w:rPr>
          <w:lang w:val="fr-FR"/>
        </w:rPr>
        <w:t xml:space="preserve">ce </w:t>
      </w:r>
      <w:r w:rsidRPr="00E31FBF">
        <w:rPr>
          <w:lang w:val="fr-FR"/>
        </w:rPr>
        <w:t>rapport et le contenu des projets d</w:t>
      </w:r>
      <w:r>
        <w:rPr>
          <w:lang w:val="fr-FR"/>
        </w:rPr>
        <w:t>’</w:t>
      </w:r>
      <w:r w:rsidRPr="00E31FBF">
        <w:rPr>
          <w:lang w:val="fr-FR"/>
        </w:rPr>
        <w:t xml:space="preserve">article proposés. En particulier, une analyse plus poussée de la </w:t>
      </w:r>
      <w:r w:rsidRPr="00E31FBF">
        <w:rPr>
          <w:lang w:val="fr-FR"/>
        </w:rPr>
        <w:lastRenderedPageBreak/>
        <w:t>manière dont la pratique étaye les droits et les obligations énoncés dans ces projets d</w:t>
      </w:r>
      <w:r>
        <w:rPr>
          <w:lang w:val="fr-FR"/>
        </w:rPr>
        <w:t>’</w:t>
      </w:r>
      <w:r w:rsidRPr="00E31FBF">
        <w:rPr>
          <w:lang w:val="fr-FR"/>
        </w:rPr>
        <w:t>article a été préconisée.</w:t>
      </w:r>
    </w:p>
    <w:p w14:paraId="36192D53" w14:textId="77777777" w:rsidR="007A322E" w:rsidRPr="00E31FBF" w:rsidRDefault="007A322E" w:rsidP="007A322E">
      <w:pPr>
        <w:pStyle w:val="SingleTxtG"/>
        <w:rPr>
          <w:lang w:val="fr-CA"/>
        </w:rPr>
      </w:pPr>
      <w:r>
        <w:rPr>
          <w:lang w:val="fr-FR"/>
        </w:rPr>
        <w:t>107</w:t>
      </w:r>
      <w:r w:rsidRPr="00E31FBF">
        <w:rPr>
          <w:lang w:val="fr-FR"/>
        </w:rPr>
        <w:t>.</w:t>
      </w:r>
      <w:r w:rsidRPr="00E31FBF">
        <w:rPr>
          <w:lang w:val="fr-FR"/>
        </w:rPr>
        <w:tab/>
        <w:t>La nécessité de se montrer prudent dans l</w:t>
      </w:r>
      <w:r>
        <w:rPr>
          <w:lang w:val="fr-FR"/>
        </w:rPr>
        <w:t>’</w:t>
      </w:r>
      <w:r w:rsidRPr="00E31FBF">
        <w:rPr>
          <w:lang w:val="fr-FR"/>
        </w:rPr>
        <w:t>analyse de la pratique a été soulignée. D</w:t>
      </w:r>
      <w:r>
        <w:rPr>
          <w:lang w:val="fr-FR"/>
        </w:rPr>
        <w:t>’</w:t>
      </w:r>
      <w:r w:rsidRPr="00E31FBF">
        <w:rPr>
          <w:lang w:val="fr-FR"/>
        </w:rPr>
        <w:t>aucuns ont dit que les résolutions adoptées par l</w:t>
      </w:r>
      <w:r>
        <w:rPr>
          <w:lang w:val="fr-FR"/>
        </w:rPr>
        <w:t>’</w:t>
      </w:r>
      <w:r w:rsidRPr="00E31FBF">
        <w:rPr>
          <w:lang w:val="fr-FR"/>
        </w:rPr>
        <w:t>Assemblée générale et le Conseil de sécurité pouvaient servir de preuve de la pratique en matière de coopération et de coordination. Toutefois, des membres ont fait observer qu</w:t>
      </w:r>
      <w:r>
        <w:rPr>
          <w:lang w:val="fr-FR"/>
        </w:rPr>
        <w:t>’</w:t>
      </w:r>
      <w:r w:rsidRPr="00E31FBF">
        <w:rPr>
          <w:lang w:val="fr-FR"/>
        </w:rPr>
        <w:t>il fallait se garder d</w:t>
      </w:r>
      <w:r>
        <w:rPr>
          <w:lang w:val="fr-FR"/>
        </w:rPr>
        <w:t>’</w:t>
      </w:r>
      <w:r w:rsidRPr="00E31FBF">
        <w:rPr>
          <w:lang w:val="fr-FR"/>
        </w:rPr>
        <w:t>interpréter les résolutions du Conseil de sécurité comme emportant des dérogations aux normes établies dans la Convention des Nations Unies sur le droit de la mer.</w:t>
      </w:r>
    </w:p>
    <w:p w14:paraId="7EECA41D" w14:textId="77777777" w:rsidR="007A322E" w:rsidRPr="00E31FBF" w:rsidRDefault="007A322E" w:rsidP="007A322E">
      <w:pPr>
        <w:pStyle w:val="SingleTxtG"/>
        <w:rPr>
          <w:lang w:val="fr-CA"/>
        </w:rPr>
      </w:pPr>
      <w:r>
        <w:rPr>
          <w:lang w:val="fr-FR"/>
        </w:rPr>
        <w:t>108</w:t>
      </w:r>
      <w:r w:rsidRPr="00E31FBF">
        <w:rPr>
          <w:lang w:val="fr-FR"/>
        </w:rPr>
        <w:t>.</w:t>
      </w:r>
      <w:r w:rsidRPr="00E31FBF">
        <w:rPr>
          <w:lang w:val="fr-FR"/>
        </w:rPr>
        <w:tab/>
        <w:t>Il a été dit que l</w:t>
      </w:r>
      <w:r>
        <w:rPr>
          <w:lang w:val="fr-FR"/>
        </w:rPr>
        <w:t>’</w:t>
      </w:r>
      <w:r w:rsidRPr="00E31FBF">
        <w:rPr>
          <w:lang w:val="fr-FR"/>
        </w:rPr>
        <w:t xml:space="preserve">examen du sujet requérait une étude du droit international existant applicable </w:t>
      </w:r>
      <w:r>
        <w:rPr>
          <w:lang w:val="fr-FR"/>
        </w:rPr>
        <w:t xml:space="preserve">à la piraterie et </w:t>
      </w:r>
      <w:r w:rsidRPr="00E31FBF">
        <w:rPr>
          <w:lang w:val="fr-FR"/>
        </w:rPr>
        <w:t>au vol à main armée en mer, en particulier des règles qui gagneraient à être renforcées. Il a été observé en outre que certaines des dispositions proposées par le Rapporteur spécial semblaient aller au-delà de ce que prévoit la Convention des Nations Unies sur le droit de la mer.</w:t>
      </w:r>
    </w:p>
    <w:p w14:paraId="5760DA01" w14:textId="77777777" w:rsidR="007A322E" w:rsidRPr="00E31FBF" w:rsidRDefault="007A322E" w:rsidP="007A322E">
      <w:pPr>
        <w:pStyle w:val="SingleTxtG"/>
        <w:rPr>
          <w:lang w:val="fr-CA"/>
        </w:rPr>
      </w:pPr>
      <w:r>
        <w:rPr>
          <w:lang w:val="fr-FR"/>
        </w:rPr>
        <w:t>109</w:t>
      </w:r>
      <w:r w:rsidRPr="00E31FBF">
        <w:rPr>
          <w:lang w:val="fr-FR"/>
        </w:rPr>
        <w:t>.</w:t>
      </w:r>
      <w:r w:rsidRPr="00E31FBF">
        <w:rPr>
          <w:lang w:val="fr-FR"/>
        </w:rPr>
        <w:tab/>
        <w:t>Des membres ont souligné qu</w:t>
      </w:r>
      <w:r>
        <w:rPr>
          <w:lang w:val="fr-FR"/>
        </w:rPr>
        <w:t>’</w:t>
      </w:r>
      <w:r w:rsidRPr="00E31FBF">
        <w:rPr>
          <w:lang w:val="fr-FR"/>
        </w:rPr>
        <w:t>il importait de faire la distinction entre piraterie et vol à main armée en mer lors de l</w:t>
      </w:r>
      <w:r>
        <w:rPr>
          <w:lang w:val="fr-FR"/>
        </w:rPr>
        <w:t>’</w:t>
      </w:r>
      <w:r w:rsidRPr="00E31FBF">
        <w:rPr>
          <w:lang w:val="fr-FR"/>
        </w:rPr>
        <w:t>analyse de la pratique. Il a été dit que, compte tenu des différences entre les deux crimes, il fallait adopter des approches différentes pour l</w:t>
      </w:r>
      <w:r>
        <w:rPr>
          <w:lang w:val="fr-FR"/>
        </w:rPr>
        <w:t>’</w:t>
      </w:r>
      <w:r w:rsidRPr="00E31FBF">
        <w:rPr>
          <w:lang w:val="fr-FR"/>
        </w:rPr>
        <w:t>un et l</w:t>
      </w:r>
      <w:r>
        <w:rPr>
          <w:lang w:val="fr-FR"/>
        </w:rPr>
        <w:t>’</w:t>
      </w:r>
      <w:r w:rsidRPr="00E31FBF">
        <w:rPr>
          <w:lang w:val="fr-FR"/>
        </w:rPr>
        <w:t>autre. Il a été suggéré que la Commission envisage de traiter la piraterie et le vol à main armée en mer dans des articles ou des parties distinctes.</w:t>
      </w:r>
    </w:p>
    <w:p w14:paraId="399840BD" w14:textId="77777777" w:rsidR="007A322E" w:rsidRPr="00E31FBF" w:rsidRDefault="007A322E" w:rsidP="007A322E">
      <w:pPr>
        <w:pStyle w:val="SingleTxtG"/>
        <w:rPr>
          <w:lang w:val="fr-CA"/>
        </w:rPr>
      </w:pPr>
      <w:r>
        <w:rPr>
          <w:lang w:val="fr-FR"/>
        </w:rPr>
        <w:t>110</w:t>
      </w:r>
      <w:r w:rsidRPr="00E31FBF">
        <w:rPr>
          <w:lang w:val="fr-FR"/>
        </w:rPr>
        <w:t>.</w:t>
      </w:r>
      <w:r w:rsidRPr="00E31FBF">
        <w:rPr>
          <w:lang w:val="fr-FR"/>
        </w:rPr>
        <w:tab/>
        <w:t xml:space="preserve">Des membres ont dit </w:t>
      </w:r>
      <w:r>
        <w:rPr>
          <w:lang w:val="fr-FR"/>
        </w:rPr>
        <w:t>que</w:t>
      </w:r>
      <w:r w:rsidRPr="00E31FBF">
        <w:rPr>
          <w:lang w:val="fr-FR"/>
        </w:rPr>
        <w:t xml:space="preserve"> la Commission </w:t>
      </w:r>
      <w:r>
        <w:rPr>
          <w:lang w:val="fr-FR"/>
        </w:rPr>
        <w:t>tirerait profit d’une discussion sur</w:t>
      </w:r>
      <w:r w:rsidRPr="00E31FBF">
        <w:rPr>
          <w:lang w:val="fr-FR"/>
        </w:rPr>
        <w:t xml:space="preserve"> une feuille de route ou un cadre général aux fins de l</w:t>
      </w:r>
      <w:r>
        <w:rPr>
          <w:lang w:val="fr-FR"/>
        </w:rPr>
        <w:t>’</w:t>
      </w:r>
      <w:r w:rsidRPr="00E31FBF">
        <w:rPr>
          <w:lang w:val="fr-FR"/>
        </w:rPr>
        <w:t>analyse du sujet. Certains ont mentionné d</w:t>
      </w:r>
      <w:r>
        <w:rPr>
          <w:lang w:val="fr-FR"/>
        </w:rPr>
        <w:t>’</w:t>
      </w:r>
      <w:r w:rsidRPr="00E31FBF">
        <w:rPr>
          <w:lang w:val="fr-FR"/>
        </w:rPr>
        <w:t>autres exemples de pratique sur lesquels le Rapporteur spécial pourrait s</w:t>
      </w:r>
      <w:r>
        <w:rPr>
          <w:lang w:val="fr-FR"/>
        </w:rPr>
        <w:t>’</w:t>
      </w:r>
      <w:r w:rsidRPr="00E31FBF">
        <w:rPr>
          <w:lang w:val="fr-FR"/>
        </w:rPr>
        <w:t>appuyer pour ses travaux futurs.</w:t>
      </w:r>
    </w:p>
    <w:p w14:paraId="20F86D7A" w14:textId="77777777" w:rsidR="007A322E" w:rsidRPr="00E31FBF" w:rsidRDefault="007A322E" w:rsidP="007A322E">
      <w:pPr>
        <w:pStyle w:val="H23G"/>
        <w:rPr>
          <w:lang w:val="fr-CA"/>
        </w:rPr>
      </w:pPr>
      <w:r>
        <w:rPr>
          <w:lang w:val="fr-FR"/>
        </w:rPr>
        <w:tab/>
      </w:r>
      <w:r w:rsidRPr="00E31FBF">
        <w:rPr>
          <w:lang w:val="fr-FR"/>
        </w:rPr>
        <w:t>b)</w:t>
      </w:r>
      <w:r w:rsidRPr="00E31FBF">
        <w:rPr>
          <w:lang w:val="fr-FR"/>
        </w:rPr>
        <w:tab/>
      </w:r>
      <w:r w:rsidRPr="00E31FBF">
        <w:rPr>
          <w:lang w:val="fr-FR"/>
        </w:rPr>
        <w:tab/>
        <w:t>Projet d</w:t>
      </w:r>
      <w:r>
        <w:rPr>
          <w:lang w:val="fr-FR"/>
        </w:rPr>
        <w:t>’</w:t>
      </w:r>
      <w:r w:rsidRPr="00E31FBF">
        <w:rPr>
          <w:lang w:val="fr-FR"/>
        </w:rPr>
        <w:t>article 4</w:t>
      </w:r>
    </w:p>
    <w:p w14:paraId="758C9A7D" w14:textId="268BE205" w:rsidR="007A322E" w:rsidRPr="00E31FBF" w:rsidRDefault="007A322E" w:rsidP="007A322E">
      <w:pPr>
        <w:pStyle w:val="SingleTxtG"/>
        <w:rPr>
          <w:lang w:val="fr-CA"/>
        </w:rPr>
      </w:pPr>
      <w:r>
        <w:rPr>
          <w:lang w:val="fr-FR"/>
        </w:rPr>
        <w:t>111</w:t>
      </w:r>
      <w:r w:rsidRPr="00E31FBF">
        <w:rPr>
          <w:lang w:val="fr-FR"/>
        </w:rPr>
        <w:t>.</w:t>
      </w:r>
      <w:r w:rsidRPr="00E31FBF">
        <w:rPr>
          <w:lang w:val="fr-FR"/>
        </w:rPr>
        <w:tab/>
        <w:t>Des membres se sont dit</w:t>
      </w:r>
      <w:r>
        <w:rPr>
          <w:lang w:val="fr-FR"/>
        </w:rPr>
        <w:t>s</w:t>
      </w:r>
      <w:r w:rsidRPr="00E31FBF">
        <w:rPr>
          <w:lang w:val="fr-FR"/>
        </w:rPr>
        <w:t xml:space="preserve"> favorables à l</w:t>
      </w:r>
      <w:r>
        <w:rPr>
          <w:lang w:val="fr-FR"/>
        </w:rPr>
        <w:t>’</w:t>
      </w:r>
      <w:r w:rsidRPr="00E31FBF">
        <w:rPr>
          <w:lang w:val="fr-FR"/>
        </w:rPr>
        <w:t>inclusion d</w:t>
      </w:r>
      <w:r>
        <w:rPr>
          <w:lang w:val="fr-FR"/>
        </w:rPr>
        <w:t>’</w:t>
      </w:r>
      <w:r w:rsidRPr="00E31FBF">
        <w:rPr>
          <w:lang w:val="fr-FR"/>
        </w:rPr>
        <w:t>une disposition concernant les obligations générales des États en ce qui concerne la piraterie et le vol à main armée en mer. Il a été noté que la formulation utilisée par le Rapporteur spécial au paragraphe 1 du projet d</w:t>
      </w:r>
      <w:r>
        <w:rPr>
          <w:lang w:val="fr-FR"/>
        </w:rPr>
        <w:t>’</w:t>
      </w:r>
      <w:r w:rsidRPr="00E31FBF">
        <w:rPr>
          <w:lang w:val="fr-FR"/>
        </w:rPr>
        <w:t>article</w:t>
      </w:r>
      <w:r w:rsidR="005F7217">
        <w:rPr>
          <w:lang w:val="fr-FR"/>
        </w:rPr>
        <w:t> </w:t>
      </w:r>
      <w:r>
        <w:rPr>
          <w:lang w:val="fr-FR"/>
        </w:rPr>
        <w:t xml:space="preserve">4 </w:t>
      </w:r>
      <w:r w:rsidRPr="00E31FBF">
        <w:rPr>
          <w:lang w:val="fr-FR"/>
        </w:rPr>
        <w:t>était inspirée de l</w:t>
      </w:r>
      <w:r>
        <w:rPr>
          <w:lang w:val="fr-FR"/>
        </w:rPr>
        <w:t>’</w:t>
      </w:r>
      <w:r w:rsidRPr="00E31FBF">
        <w:rPr>
          <w:lang w:val="fr-FR"/>
        </w:rPr>
        <w:t>article 100 de la Convention des Nations Unies sur le droit de la mer. À cet égard, il a été dit qu</w:t>
      </w:r>
      <w:r>
        <w:rPr>
          <w:lang w:val="fr-FR"/>
        </w:rPr>
        <w:t>’</w:t>
      </w:r>
      <w:r w:rsidRPr="00E31FBF">
        <w:rPr>
          <w:lang w:val="fr-FR"/>
        </w:rPr>
        <w:t>elle pourrait suivre de plus près le texte de la Convention</w:t>
      </w:r>
      <w:r>
        <w:rPr>
          <w:lang w:val="fr-FR"/>
        </w:rPr>
        <w:t xml:space="preserve"> et que le paragraphe pourrait être un projet d’article autonome sur l’obligation de coopérer</w:t>
      </w:r>
      <w:r w:rsidRPr="00E31FBF">
        <w:rPr>
          <w:lang w:val="fr-FR"/>
        </w:rPr>
        <w:t xml:space="preserve">. Certains membres </w:t>
      </w:r>
      <w:r>
        <w:rPr>
          <w:lang w:val="fr-FR"/>
        </w:rPr>
        <w:t>ont dit douter que</w:t>
      </w:r>
      <w:r w:rsidRPr="00E31FBF">
        <w:rPr>
          <w:lang w:val="fr-FR"/>
        </w:rPr>
        <w:t xml:space="preserve"> l</w:t>
      </w:r>
      <w:r>
        <w:rPr>
          <w:lang w:val="fr-FR"/>
        </w:rPr>
        <w:t>’</w:t>
      </w:r>
      <w:r w:rsidRPr="00E31FBF">
        <w:rPr>
          <w:lang w:val="fr-FR"/>
        </w:rPr>
        <w:t>obligation énoncée s</w:t>
      </w:r>
      <w:r>
        <w:rPr>
          <w:lang w:val="fr-FR"/>
        </w:rPr>
        <w:t>’</w:t>
      </w:r>
      <w:r w:rsidRPr="00E31FBF">
        <w:rPr>
          <w:lang w:val="fr-FR"/>
        </w:rPr>
        <w:t>appliqu</w:t>
      </w:r>
      <w:r>
        <w:rPr>
          <w:lang w:val="fr-FR"/>
        </w:rPr>
        <w:t>e</w:t>
      </w:r>
      <w:r w:rsidRPr="00E31FBF">
        <w:rPr>
          <w:lang w:val="fr-FR"/>
        </w:rPr>
        <w:t xml:space="preserve"> aussi au vol à main armée en mer et d</w:t>
      </w:r>
      <w:r>
        <w:rPr>
          <w:lang w:val="fr-FR"/>
        </w:rPr>
        <w:t>’</w:t>
      </w:r>
      <w:r w:rsidRPr="00E31FBF">
        <w:rPr>
          <w:lang w:val="fr-FR"/>
        </w:rPr>
        <w:t>autres ont dit que le paragraphe devrait concerner uniquement la piraterie.</w:t>
      </w:r>
    </w:p>
    <w:p w14:paraId="2E0F9DF4" w14:textId="178FD2D7" w:rsidR="007A322E" w:rsidRPr="00E31FBF" w:rsidRDefault="007A322E" w:rsidP="007A322E">
      <w:pPr>
        <w:pStyle w:val="SingleTxtG"/>
        <w:rPr>
          <w:lang w:val="fr-CA"/>
        </w:rPr>
      </w:pPr>
      <w:r>
        <w:rPr>
          <w:lang w:val="fr-FR"/>
        </w:rPr>
        <w:t>112</w:t>
      </w:r>
      <w:r w:rsidRPr="00E31FBF">
        <w:rPr>
          <w:lang w:val="fr-FR"/>
        </w:rPr>
        <w:t>.</w:t>
      </w:r>
      <w:r w:rsidRPr="00E31FBF">
        <w:rPr>
          <w:lang w:val="fr-FR"/>
        </w:rPr>
        <w:tab/>
        <w:t>Concernant l</w:t>
      </w:r>
      <w:r>
        <w:rPr>
          <w:lang w:val="fr-FR"/>
        </w:rPr>
        <w:t>’</w:t>
      </w:r>
      <w:r w:rsidRPr="00E31FBF">
        <w:rPr>
          <w:lang w:val="fr-FR"/>
        </w:rPr>
        <w:t xml:space="preserve">obligation de coopérer, des membres </w:t>
      </w:r>
      <w:r>
        <w:rPr>
          <w:lang w:val="fr-FR"/>
        </w:rPr>
        <w:t xml:space="preserve">estimaient qu’il fallait clarifier </w:t>
      </w:r>
      <w:r w:rsidRPr="00E31FBF">
        <w:rPr>
          <w:lang w:val="fr-FR"/>
        </w:rPr>
        <w:t>les domaines particuliers dans lesquels les États ont l</w:t>
      </w:r>
      <w:r>
        <w:rPr>
          <w:lang w:val="fr-FR"/>
        </w:rPr>
        <w:t>’</w:t>
      </w:r>
      <w:r w:rsidRPr="00E31FBF">
        <w:rPr>
          <w:lang w:val="fr-FR"/>
        </w:rPr>
        <w:t>obligation de coopérer à la prévention et la répression de la piraterie et du vol à main armée en mer. D</w:t>
      </w:r>
      <w:r>
        <w:rPr>
          <w:lang w:val="fr-FR"/>
        </w:rPr>
        <w:t>’</w:t>
      </w:r>
      <w:r w:rsidRPr="00E31FBF">
        <w:rPr>
          <w:lang w:val="fr-FR"/>
        </w:rPr>
        <w:t>aucuns ont également suggéré que soient énumérées les différentes formes de coopération, notamment celles prévues à l</w:t>
      </w:r>
      <w:r>
        <w:rPr>
          <w:lang w:val="fr-FR"/>
        </w:rPr>
        <w:t>’</w:t>
      </w:r>
      <w:r w:rsidRPr="00E31FBF">
        <w:rPr>
          <w:lang w:val="fr-FR"/>
        </w:rPr>
        <w:t>article</w:t>
      </w:r>
      <w:r w:rsidR="005F7217">
        <w:rPr>
          <w:lang w:val="fr-FR"/>
        </w:rPr>
        <w:t> </w:t>
      </w:r>
      <w:r w:rsidRPr="00E31FBF">
        <w:rPr>
          <w:lang w:val="fr-FR"/>
        </w:rPr>
        <w:t>2 de la résolution adoptée par l</w:t>
      </w:r>
      <w:r>
        <w:rPr>
          <w:lang w:val="fr-FR"/>
        </w:rPr>
        <w:t>’</w:t>
      </w:r>
      <w:r w:rsidRPr="00E31FBF">
        <w:rPr>
          <w:lang w:val="fr-FR"/>
        </w:rPr>
        <w:t>Institut de droit international à Angers. La question de savoir si l</w:t>
      </w:r>
      <w:r>
        <w:rPr>
          <w:lang w:val="fr-FR"/>
        </w:rPr>
        <w:t>’</w:t>
      </w:r>
      <w:r w:rsidRPr="00E31FBF">
        <w:rPr>
          <w:lang w:val="fr-FR"/>
        </w:rPr>
        <w:t>obligation de coopérer était une obligation de diligence raisonnable, une obligation de moyens ou une obligation de résultats a été soulevée. Des doutes ont été exprimés quant à l</w:t>
      </w:r>
      <w:r>
        <w:rPr>
          <w:lang w:val="fr-FR"/>
        </w:rPr>
        <w:t>’</w:t>
      </w:r>
      <w:r w:rsidRPr="00E31FBF">
        <w:rPr>
          <w:lang w:val="fr-FR"/>
        </w:rPr>
        <w:t>opportunité d</w:t>
      </w:r>
      <w:r>
        <w:rPr>
          <w:lang w:val="fr-FR"/>
        </w:rPr>
        <w:t>’</w:t>
      </w:r>
      <w:r w:rsidRPr="00E31FBF">
        <w:rPr>
          <w:lang w:val="fr-FR"/>
        </w:rPr>
        <w:t>inclure dans le projet l</w:t>
      </w:r>
      <w:r>
        <w:rPr>
          <w:lang w:val="fr-FR"/>
        </w:rPr>
        <w:t>’</w:t>
      </w:r>
      <w:r w:rsidRPr="00E31FBF">
        <w:rPr>
          <w:lang w:val="fr-FR"/>
        </w:rPr>
        <w:t>obligation de coopérer à la prévention.</w:t>
      </w:r>
    </w:p>
    <w:p w14:paraId="282B6CE3" w14:textId="77777777" w:rsidR="007A322E" w:rsidRPr="00E31FBF" w:rsidRDefault="007A322E" w:rsidP="007A322E">
      <w:pPr>
        <w:pStyle w:val="SingleTxtG"/>
        <w:rPr>
          <w:lang w:val="fr-CA"/>
        </w:rPr>
      </w:pPr>
      <w:r>
        <w:rPr>
          <w:lang w:val="fr-FR"/>
        </w:rPr>
        <w:t>113</w:t>
      </w:r>
      <w:r w:rsidRPr="00E31FBF">
        <w:rPr>
          <w:lang w:val="fr-FR"/>
        </w:rPr>
        <w:t>.</w:t>
      </w:r>
      <w:r w:rsidRPr="00E31FBF">
        <w:rPr>
          <w:lang w:val="fr-FR"/>
        </w:rPr>
        <w:tab/>
        <w:t>Il a été noté que l</w:t>
      </w:r>
      <w:r>
        <w:rPr>
          <w:lang w:val="fr-FR"/>
        </w:rPr>
        <w:t>’</w:t>
      </w:r>
      <w:r w:rsidRPr="00E31FBF">
        <w:rPr>
          <w:lang w:val="fr-FR"/>
        </w:rPr>
        <w:t>article 100 de la Convention des Nations Unies sur le droit de la mer établissait une obligation de coopérer à la répression de la piraterie. À cet égard, des membres ont dit qu</w:t>
      </w:r>
      <w:r>
        <w:rPr>
          <w:lang w:val="fr-FR"/>
        </w:rPr>
        <w:t>’</w:t>
      </w:r>
      <w:r w:rsidRPr="00E31FBF">
        <w:rPr>
          <w:lang w:val="fr-FR"/>
        </w:rPr>
        <w:t>il n</w:t>
      </w:r>
      <w:r>
        <w:rPr>
          <w:lang w:val="fr-FR"/>
        </w:rPr>
        <w:t>’</w:t>
      </w:r>
      <w:r w:rsidRPr="00E31FBF">
        <w:rPr>
          <w:lang w:val="fr-FR"/>
        </w:rPr>
        <w:t>était pas certain que l</w:t>
      </w:r>
      <w:r>
        <w:rPr>
          <w:lang w:val="fr-FR"/>
        </w:rPr>
        <w:t>’</w:t>
      </w:r>
      <w:r w:rsidRPr="00E31FBF">
        <w:rPr>
          <w:lang w:val="fr-FR"/>
        </w:rPr>
        <w:t>obligation</w:t>
      </w:r>
      <w:r>
        <w:rPr>
          <w:lang w:val="fr-FR"/>
        </w:rPr>
        <w:t xml:space="preserve"> non seulement de coopérer, mais aussi</w:t>
      </w:r>
      <w:r w:rsidRPr="00E31FBF">
        <w:rPr>
          <w:lang w:val="fr-FR"/>
        </w:rPr>
        <w:t xml:space="preserve"> de réprimer la piraterie énoncée au paragraphe 2 du projet d</w:t>
      </w:r>
      <w:r>
        <w:rPr>
          <w:lang w:val="fr-FR"/>
        </w:rPr>
        <w:t>’</w:t>
      </w:r>
      <w:r w:rsidRPr="00E31FBF">
        <w:rPr>
          <w:lang w:val="fr-FR"/>
        </w:rPr>
        <w:t>article 4 proposé par le Rapporteur spécial repose sur un quelconque fondement juridique. Il a par ailleurs été observé que certains États côtiers pourraient ne pas avoir les moyens de respecter une obligation stricte de réprimer la piraterie. Des membres ont en outre exprimé des doutes quant à l</w:t>
      </w:r>
      <w:r>
        <w:rPr>
          <w:lang w:val="fr-FR"/>
        </w:rPr>
        <w:t>’</w:t>
      </w:r>
      <w:r w:rsidRPr="00E31FBF">
        <w:rPr>
          <w:lang w:val="fr-FR"/>
        </w:rPr>
        <w:t>opportunité d</w:t>
      </w:r>
      <w:r>
        <w:rPr>
          <w:lang w:val="fr-FR"/>
        </w:rPr>
        <w:t>’</w:t>
      </w:r>
      <w:r w:rsidRPr="00E31FBF">
        <w:rPr>
          <w:lang w:val="fr-FR"/>
        </w:rPr>
        <w:t>inclure dans le projet d</w:t>
      </w:r>
      <w:r>
        <w:rPr>
          <w:lang w:val="fr-FR"/>
        </w:rPr>
        <w:t>’</w:t>
      </w:r>
      <w:r w:rsidRPr="00E31FBF">
        <w:rPr>
          <w:lang w:val="fr-FR"/>
        </w:rPr>
        <w:t>article une obligation de réprimer le vol à main armée en mer.</w:t>
      </w:r>
    </w:p>
    <w:p w14:paraId="24FD12BD" w14:textId="77777777" w:rsidR="007A322E" w:rsidRPr="00E31FBF" w:rsidRDefault="007A322E" w:rsidP="007A322E">
      <w:pPr>
        <w:pStyle w:val="SingleTxtG"/>
        <w:rPr>
          <w:lang w:val="fr-CA"/>
        </w:rPr>
      </w:pPr>
      <w:r>
        <w:rPr>
          <w:lang w:val="fr-FR"/>
        </w:rPr>
        <w:t>114</w:t>
      </w:r>
      <w:r w:rsidRPr="00E31FBF">
        <w:rPr>
          <w:lang w:val="fr-FR"/>
        </w:rPr>
        <w:t>.</w:t>
      </w:r>
      <w:r w:rsidRPr="00E31FBF">
        <w:rPr>
          <w:lang w:val="fr-FR"/>
        </w:rPr>
        <w:tab/>
        <w:t>Des membres ont préconisé la suppression du membre de phrase du paragraphe 2 du projet d</w:t>
      </w:r>
      <w:r>
        <w:rPr>
          <w:lang w:val="fr-FR"/>
        </w:rPr>
        <w:t>’</w:t>
      </w:r>
      <w:r w:rsidRPr="00E31FBF">
        <w:rPr>
          <w:lang w:val="fr-FR"/>
        </w:rPr>
        <w:t>article 4 qui qualifie tant la piraterie que le vol à main armée de crimes de droit international. Dans le même ordre d</w:t>
      </w:r>
      <w:r>
        <w:rPr>
          <w:lang w:val="fr-FR"/>
        </w:rPr>
        <w:t>’</w:t>
      </w:r>
      <w:r w:rsidRPr="00E31FBF">
        <w:rPr>
          <w:lang w:val="fr-FR"/>
        </w:rPr>
        <w:t xml:space="preserve">idées, des membres ont exprimé des doutes quant à la nécessité de faire référence au conflit armé dans le contexte de la piraterie et du vol à main </w:t>
      </w:r>
      <w:r w:rsidRPr="00E31FBF">
        <w:rPr>
          <w:lang w:val="fr-FR"/>
        </w:rPr>
        <w:lastRenderedPageBreak/>
        <w:t>armée en mer. Il a été suggéré que la relation entre ces crimes et les conflits armés soit abordée dans les commentaires.</w:t>
      </w:r>
    </w:p>
    <w:p w14:paraId="1BC4A112" w14:textId="77777777" w:rsidR="007A322E" w:rsidRPr="00E31FBF" w:rsidRDefault="007A322E" w:rsidP="007A322E">
      <w:pPr>
        <w:pStyle w:val="SingleTxtG"/>
        <w:rPr>
          <w:lang w:val="fr-CA"/>
        </w:rPr>
      </w:pPr>
      <w:r>
        <w:rPr>
          <w:lang w:val="fr-FR"/>
        </w:rPr>
        <w:t>115</w:t>
      </w:r>
      <w:r w:rsidRPr="00E31FBF">
        <w:rPr>
          <w:lang w:val="fr-FR"/>
        </w:rPr>
        <w:t>.</w:t>
      </w:r>
      <w:r w:rsidRPr="00E31FBF">
        <w:rPr>
          <w:lang w:val="fr-FR"/>
        </w:rPr>
        <w:tab/>
        <w:t>En ce qui concerne le paragraphe 3 du projet d</w:t>
      </w:r>
      <w:r>
        <w:rPr>
          <w:lang w:val="fr-FR"/>
        </w:rPr>
        <w:t>’</w:t>
      </w:r>
      <w:r w:rsidRPr="00E31FBF">
        <w:rPr>
          <w:lang w:val="fr-FR"/>
        </w:rPr>
        <w:t>article 4 proposé par le Rapporteur spécial, la conclusion selon laquelle aucune circonstance ne peut être invoquée pour justifier la piraterie ou le vol à main armée en mer a été accueillie avec circonspection. Bien que certains membres s</w:t>
      </w:r>
      <w:r>
        <w:rPr>
          <w:lang w:val="fr-FR"/>
        </w:rPr>
        <w:t>’</w:t>
      </w:r>
      <w:r w:rsidRPr="00E31FBF">
        <w:rPr>
          <w:lang w:val="fr-FR"/>
        </w:rPr>
        <w:t>y soient dits favorables, d</w:t>
      </w:r>
      <w:r>
        <w:rPr>
          <w:lang w:val="fr-FR"/>
        </w:rPr>
        <w:t>’</w:t>
      </w:r>
      <w:r w:rsidRPr="00E31FBF">
        <w:rPr>
          <w:lang w:val="fr-FR"/>
        </w:rPr>
        <w:t>aucuns ont fait observer que le contenu du paragraphe pourrait être en désaccord avec la législation de nombreux États.</w:t>
      </w:r>
    </w:p>
    <w:p w14:paraId="61640328" w14:textId="77777777" w:rsidR="007A322E" w:rsidRPr="00E31FBF" w:rsidRDefault="007A322E" w:rsidP="007A322E">
      <w:pPr>
        <w:pStyle w:val="H23G"/>
        <w:rPr>
          <w:lang w:val="fr-CA"/>
        </w:rPr>
      </w:pPr>
      <w:r>
        <w:rPr>
          <w:lang w:val="fr-FR"/>
        </w:rPr>
        <w:tab/>
      </w:r>
      <w:r w:rsidRPr="00E31FBF">
        <w:rPr>
          <w:lang w:val="fr-FR"/>
        </w:rPr>
        <w:t>c)</w:t>
      </w:r>
      <w:r w:rsidRPr="00E31FBF">
        <w:rPr>
          <w:lang w:val="fr-FR"/>
        </w:rPr>
        <w:tab/>
      </w:r>
      <w:r w:rsidRPr="00E31FBF">
        <w:rPr>
          <w:lang w:val="fr-FR"/>
        </w:rPr>
        <w:tab/>
        <w:t>Projet d</w:t>
      </w:r>
      <w:r>
        <w:rPr>
          <w:lang w:val="fr-FR"/>
        </w:rPr>
        <w:t>’</w:t>
      </w:r>
      <w:r w:rsidRPr="00E31FBF">
        <w:rPr>
          <w:lang w:val="fr-FR"/>
        </w:rPr>
        <w:t>article 5</w:t>
      </w:r>
    </w:p>
    <w:p w14:paraId="54DA0AA5" w14:textId="77777777" w:rsidR="007A322E" w:rsidRPr="00E31FBF" w:rsidRDefault="007A322E" w:rsidP="007A322E">
      <w:pPr>
        <w:pStyle w:val="SingleTxtG"/>
        <w:rPr>
          <w:lang w:val="fr-CA"/>
        </w:rPr>
      </w:pPr>
      <w:r>
        <w:rPr>
          <w:lang w:val="fr-FR"/>
        </w:rPr>
        <w:t>116</w:t>
      </w:r>
      <w:r w:rsidRPr="00E31FBF">
        <w:rPr>
          <w:lang w:val="fr-FR"/>
        </w:rPr>
        <w:t>.</w:t>
      </w:r>
      <w:r w:rsidRPr="00E31FBF">
        <w:rPr>
          <w:lang w:val="fr-FR"/>
        </w:rPr>
        <w:tab/>
        <w:t xml:space="preserve">Il a été </w:t>
      </w:r>
      <w:r>
        <w:rPr>
          <w:lang w:val="fr-FR"/>
        </w:rPr>
        <w:t>dit</w:t>
      </w:r>
      <w:r w:rsidRPr="00E31FBF">
        <w:rPr>
          <w:lang w:val="fr-FR"/>
        </w:rPr>
        <w:t xml:space="preserve"> que l</w:t>
      </w:r>
      <w:r>
        <w:rPr>
          <w:lang w:val="fr-FR"/>
        </w:rPr>
        <w:t>’</w:t>
      </w:r>
      <w:r w:rsidRPr="00E31FBF">
        <w:rPr>
          <w:lang w:val="fr-FR"/>
        </w:rPr>
        <w:t xml:space="preserve">article 100 de la Convention des Nations Unies sur le droit de la mer </w:t>
      </w:r>
      <w:r>
        <w:rPr>
          <w:lang w:val="fr-FR"/>
        </w:rPr>
        <w:t xml:space="preserve">ne faisait pas référence à </w:t>
      </w:r>
      <w:r w:rsidRPr="00E31FBF">
        <w:rPr>
          <w:lang w:val="fr-FR"/>
        </w:rPr>
        <w:t>une obligation de coopérer à la répression de la piraterie. Les membres se sont dans l</w:t>
      </w:r>
      <w:r>
        <w:rPr>
          <w:lang w:val="fr-FR"/>
        </w:rPr>
        <w:t>’</w:t>
      </w:r>
      <w:r w:rsidRPr="00E31FBF">
        <w:rPr>
          <w:lang w:val="fr-FR"/>
        </w:rPr>
        <w:t>ensemble dits favorables au contenu du projet d</w:t>
      </w:r>
      <w:r>
        <w:rPr>
          <w:lang w:val="fr-FR"/>
        </w:rPr>
        <w:t>’</w:t>
      </w:r>
      <w:r w:rsidRPr="00E31FBF">
        <w:rPr>
          <w:lang w:val="fr-FR"/>
        </w:rPr>
        <w:t>article 5. D</w:t>
      </w:r>
      <w:r>
        <w:rPr>
          <w:lang w:val="fr-FR"/>
        </w:rPr>
        <w:t>’</w:t>
      </w:r>
      <w:r w:rsidRPr="00E31FBF">
        <w:rPr>
          <w:lang w:val="fr-FR"/>
        </w:rPr>
        <w:t>aucuns ont toutefois fait observer que si le titre proposé par le Rapporteur spécial indiquait que les obligations énoncées dans le projet d</w:t>
      </w:r>
      <w:r>
        <w:rPr>
          <w:lang w:val="fr-FR"/>
        </w:rPr>
        <w:t>’</w:t>
      </w:r>
      <w:r w:rsidRPr="00E31FBF">
        <w:rPr>
          <w:lang w:val="fr-FR"/>
        </w:rPr>
        <w:t>article étaient des obligations de prévention, le texte traitait à la fois de la prévention et de la répression. À cet égard, il a été suggéré que le Rapporteur spécial clarifie la différence entre prévention et répression et aborde ces deux éléments séparément.</w:t>
      </w:r>
    </w:p>
    <w:p w14:paraId="4BD7321C" w14:textId="77777777" w:rsidR="007A322E" w:rsidRPr="00E31FBF" w:rsidRDefault="007A322E" w:rsidP="007A322E">
      <w:pPr>
        <w:pStyle w:val="SingleTxtG"/>
        <w:rPr>
          <w:lang w:val="fr-CA"/>
        </w:rPr>
      </w:pPr>
      <w:r>
        <w:rPr>
          <w:lang w:val="fr-FR"/>
        </w:rPr>
        <w:t>117</w:t>
      </w:r>
      <w:r w:rsidRPr="00E31FBF">
        <w:rPr>
          <w:lang w:val="fr-FR"/>
        </w:rPr>
        <w:t>.</w:t>
      </w:r>
      <w:r w:rsidRPr="00E31FBF">
        <w:rPr>
          <w:lang w:val="fr-FR"/>
        </w:rPr>
        <w:tab/>
        <w:t>Il a été dit que l</w:t>
      </w:r>
      <w:r>
        <w:rPr>
          <w:lang w:val="fr-FR"/>
        </w:rPr>
        <w:t>’</w:t>
      </w:r>
      <w:r w:rsidRPr="00E31FBF">
        <w:rPr>
          <w:lang w:val="fr-FR"/>
        </w:rPr>
        <w:t>obligation de prévenir la piraterie était différente de l</w:t>
      </w:r>
      <w:r>
        <w:rPr>
          <w:lang w:val="fr-FR"/>
        </w:rPr>
        <w:t>’</w:t>
      </w:r>
      <w:r w:rsidRPr="00E31FBF">
        <w:rPr>
          <w:lang w:val="fr-FR"/>
        </w:rPr>
        <w:t>obligation de prévenir le vol à main armée en mer en ce que les juridictions et les lois applicables n</w:t>
      </w:r>
      <w:r>
        <w:rPr>
          <w:lang w:val="fr-FR"/>
        </w:rPr>
        <w:t>’</w:t>
      </w:r>
      <w:r w:rsidRPr="00E31FBF">
        <w:rPr>
          <w:lang w:val="fr-FR"/>
        </w:rPr>
        <w:t>étaient pas les mêmes.</w:t>
      </w:r>
    </w:p>
    <w:p w14:paraId="19AA31AB" w14:textId="02C5E3E6" w:rsidR="007A322E" w:rsidRPr="00E31FBF" w:rsidRDefault="007A322E" w:rsidP="007A322E">
      <w:pPr>
        <w:pStyle w:val="SingleTxtG"/>
        <w:rPr>
          <w:lang w:val="fr-CA"/>
        </w:rPr>
      </w:pPr>
      <w:r>
        <w:rPr>
          <w:lang w:val="fr-FR"/>
        </w:rPr>
        <w:t>118</w:t>
      </w:r>
      <w:r w:rsidRPr="00E31FBF">
        <w:rPr>
          <w:lang w:val="fr-FR"/>
        </w:rPr>
        <w:t>.</w:t>
      </w:r>
      <w:r w:rsidRPr="00E31FBF">
        <w:rPr>
          <w:lang w:val="fr-FR"/>
        </w:rPr>
        <w:tab/>
        <w:t>Il a été suggéré que la Commission examine attentivement les conséquences que l</w:t>
      </w:r>
      <w:r>
        <w:rPr>
          <w:lang w:val="fr-FR"/>
        </w:rPr>
        <w:t>’</w:t>
      </w:r>
      <w:r w:rsidRPr="00E31FBF">
        <w:rPr>
          <w:lang w:val="fr-FR"/>
        </w:rPr>
        <w:t>alinéa</w:t>
      </w:r>
      <w:r w:rsidR="0098040C">
        <w:rPr>
          <w:lang w:val="fr-FR"/>
        </w:rPr>
        <w:t> </w:t>
      </w:r>
      <w:r w:rsidRPr="00E31FBF">
        <w:rPr>
          <w:lang w:val="fr-FR"/>
        </w:rPr>
        <w:t>a) du projet d</w:t>
      </w:r>
      <w:r>
        <w:rPr>
          <w:lang w:val="fr-FR"/>
        </w:rPr>
        <w:t>’</w:t>
      </w:r>
      <w:r w:rsidRPr="00E31FBF">
        <w:rPr>
          <w:lang w:val="fr-FR"/>
        </w:rPr>
        <w:t xml:space="preserve">article 5, qui énumère les types de mesures préventives que les États doivent prendre </w:t>
      </w:r>
      <w:r>
        <w:rPr>
          <w:lang w:val="fr-FR"/>
        </w:rPr>
        <w:t>dans les zones maritimes</w:t>
      </w:r>
      <w:r w:rsidRPr="00E31FBF">
        <w:rPr>
          <w:lang w:val="fr-FR"/>
        </w:rPr>
        <w:t xml:space="preserve"> relevant de leur juridiction et en haute mer, pourrait avoir pour les principes de la liberté de la haute mer et de la compétence exclusive de l</w:t>
      </w:r>
      <w:r>
        <w:rPr>
          <w:lang w:val="fr-FR"/>
        </w:rPr>
        <w:t>’</w:t>
      </w:r>
      <w:r w:rsidRPr="00E31FBF">
        <w:rPr>
          <w:lang w:val="fr-FR"/>
        </w:rPr>
        <w:t>État du pavillon. Il a été dit en outre qu</w:t>
      </w:r>
      <w:r>
        <w:rPr>
          <w:lang w:val="fr-FR"/>
        </w:rPr>
        <w:t>’</w:t>
      </w:r>
      <w:r w:rsidRPr="00E31FBF">
        <w:rPr>
          <w:lang w:val="fr-FR"/>
        </w:rPr>
        <w:t>aucune mesure préventive ne pouvait interférer avec ces principes et perturber l</w:t>
      </w:r>
      <w:r>
        <w:rPr>
          <w:lang w:val="fr-FR"/>
        </w:rPr>
        <w:t>’</w:t>
      </w:r>
      <w:r w:rsidRPr="00E31FBF">
        <w:rPr>
          <w:lang w:val="fr-FR"/>
        </w:rPr>
        <w:t>équilibre très soigneusement négocié reflété dans la Convention des Nations</w:t>
      </w:r>
      <w:r w:rsidR="0098040C">
        <w:rPr>
          <w:lang w:val="fr-FR"/>
        </w:rPr>
        <w:t> </w:t>
      </w:r>
      <w:r w:rsidRPr="00E31FBF">
        <w:rPr>
          <w:lang w:val="fr-FR"/>
        </w:rPr>
        <w:t>Unies sur le droit de la mer.</w:t>
      </w:r>
    </w:p>
    <w:p w14:paraId="31402A44" w14:textId="77777777" w:rsidR="007A322E" w:rsidRPr="00E31FBF" w:rsidRDefault="007A322E" w:rsidP="007A322E">
      <w:pPr>
        <w:pStyle w:val="SingleTxtG"/>
        <w:rPr>
          <w:lang w:val="fr-CA"/>
        </w:rPr>
      </w:pPr>
      <w:r>
        <w:rPr>
          <w:lang w:val="fr-FR"/>
        </w:rPr>
        <w:t>119</w:t>
      </w:r>
      <w:r w:rsidRPr="00E31FBF">
        <w:rPr>
          <w:lang w:val="fr-FR"/>
        </w:rPr>
        <w:t>.</w:t>
      </w:r>
      <w:r w:rsidRPr="00E31FBF">
        <w:rPr>
          <w:lang w:val="fr-FR"/>
        </w:rPr>
        <w:tab/>
        <w:t>Des membres se sont arrêtés sur le fait que l</w:t>
      </w:r>
      <w:r>
        <w:rPr>
          <w:lang w:val="fr-FR"/>
        </w:rPr>
        <w:t>’</w:t>
      </w:r>
      <w:r w:rsidRPr="00E31FBF">
        <w:rPr>
          <w:lang w:val="fr-FR"/>
        </w:rPr>
        <w:t>alinéa b) du projet d</w:t>
      </w:r>
      <w:r>
        <w:rPr>
          <w:lang w:val="fr-FR"/>
        </w:rPr>
        <w:t>’</w:t>
      </w:r>
      <w:r w:rsidRPr="00E31FBF">
        <w:rPr>
          <w:lang w:val="fr-FR"/>
        </w:rPr>
        <w:t>article 5 prévoyait la coopération avec d</w:t>
      </w:r>
      <w:r>
        <w:rPr>
          <w:lang w:val="fr-FR"/>
        </w:rPr>
        <w:t>’</w:t>
      </w:r>
      <w:r w:rsidRPr="00E31FBF">
        <w:rPr>
          <w:lang w:val="fr-FR"/>
        </w:rPr>
        <w:t>autres États, les organisations intergouvernementales compétentes et, le cas échéant, d</w:t>
      </w:r>
      <w:r>
        <w:rPr>
          <w:lang w:val="fr-FR"/>
        </w:rPr>
        <w:t>’</w:t>
      </w:r>
      <w:r w:rsidRPr="00E31FBF">
        <w:rPr>
          <w:lang w:val="fr-FR"/>
        </w:rPr>
        <w:t>autres organisations ou acteurs non étatiques intéressés par la sécurité de la navigation maritime. Si les membres se sont dans l</w:t>
      </w:r>
      <w:r>
        <w:rPr>
          <w:lang w:val="fr-FR"/>
        </w:rPr>
        <w:t>’</w:t>
      </w:r>
      <w:r w:rsidRPr="00E31FBF">
        <w:rPr>
          <w:lang w:val="fr-FR"/>
        </w:rPr>
        <w:t xml:space="preserve">ensemble dits favorables au renforcement de la coopération avec les organisations intergouvernementales, il a été suggéré que </w:t>
      </w:r>
      <w:r>
        <w:rPr>
          <w:lang w:val="fr-FR"/>
        </w:rPr>
        <w:t>ce terme</w:t>
      </w:r>
      <w:r w:rsidRPr="00E31FBF">
        <w:rPr>
          <w:lang w:val="fr-FR"/>
        </w:rPr>
        <w:t xml:space="preserve"> soit remplacé par </w:t>
      </w:r>
      <w:r>
        <w:rPr>
          <w:lang w:val="fr-FR"/>
        </w:rPr>
        <w:t>« </w:t>
      </w:r>
      <w:r w:rsidRPr="00E31FBF">
        <w:rPr>
          <w:lang w:val="fr-FR"/>
        </w:rPr>
        <w:t>organisations internationales</w:t>
      </w:r>
      <w:r>
        <w:rPr>
          <w:lang w:val="fr-FR"/>
        </w:rPr>
        <w:t> »</w:t>
      </w:r>
      <w:r w:rsidRPr="00E31FBF">
        <w:rPr>
          <w:lang w:val="fr-FR"/>
        </w:rPr>
        <w:t xml:space="preserve"> dans un souci de cohérence avec les travaux de la Commission sur d</w:t>
      </w:r>
      <w:r>
        <w:rPr>
          <w:lang w:val="fr-FR"/>
        </w:rPr>
        <w:t>’</w:t>
      </w:r>
      <w:r w:rsidRPr="00E31FBF">
        <w:rPr>
          <w:lang w:val="fr-FR"/>
        </w:rPr>
        <w:t>autres sujets. Certains membres se sont demandé si la référence aux acteurs non étatiques serait bien accueillie par les États membres et d</w:t>
      </w:r>
      <w:r>
        <w:rPr>
          <w:lang w:val="fr-FR"/>
        </w:rPr>
        <w:t>’</w:t>
      </w:r>
      <w:r w:rsidRPr="00E31FBF">
        <w:rPr>
          <w:lang w:val="fr-FR"/>
        </w:rPr>
        <w:t>autres ont insisté sur la nécessité de préciser à quels acteurs et organisations le projet d</w:t>
      </w:r>
      <w:r>
        <w:rPr>
          <w:lang w:val="fr-FR"/>
        </w:rPr>
        <w:t>’</w:t>
      </w:r>
      <w:r w:rsidRPr="00E31FBF">
        <w:rPr>
          <w:lang w:val="fr-FR"/>
        </w:rPr>
        <w:t>article renvoyait.</w:t>
      </w:r>
    </w:p>
    <w:p w14:paraId="05A22E93" w14:textId="77777777" w:rsidR="007A322E" w:rsidRPr="00E31FBF" w:rsidRDefault="007A322E" w:rsidP="007A322E">
      <w:pPr>
        <w:pStyle w:val="H23G"/>
        <w:rPr>
          <w:lang w:val="fr-CA"/>
        </w:rPr>
      </w:pPr>
      <w:r>
        <w:rPr>
          <w:lang w:val="fr-FR"/>
        </w:rPr>
        <w:tab/>
      </w:r>
      <w:r w:rsidRPr="00E31FBF">
        <w:rPr>
          <w:lang w:val="fr-FR"/>
        </w:rPr>
        <w:t>d)</w:t>
      </w:r>
      <w:r w:rsidRPr="00E31FBF">
        <w:rPr>
          <w:lang w:val="fr-FR"/>
        </w:rPr>
        <w:tab/>
      </w:r>
      <w:r w:rsidRPr="00E31FBF">
        <w:rPr>
          <w:lang w:val="fr-FR"/>
        </w:rPr>
        <w:tab/>
        <w:t>Projet d</w:t>
      </w:r>
      <w:r>
        <w:rPr>
          <w:lang w:val="fr-FR"/>
        </w:rPr>
        <w:t>’</w:t>
      </w:r>
      <w:r w:rsidRPr="00E31FBF">
        <w:rPr>
          <w:lang w:val="fr-FR"/>
        </w:rPr>
        <w:t>article 6</w:t>
      </w:r>
    </w:p>
    <w:p w14:paraId="39E175E6" w14:textId="77777777" w:rsidR="007A322E" w:rsidRPr="00E31FBF" w:rsidRDefault="007A322E" w:rsidP="007A322E">
      <w:pPr>
        <w:pStyle w:val="SingleTxtG"/>
        <w:rPr>
          <w:lang w:val="fr-CA"/>
        </w:rPr>
      </w:pPr>
      <w:r>
        <w:rPr>
          <w:lang w:val="fr-FR"/>
        </w:rPr>
        <w:t>120</w:t>
      </w:r>
      <w:r w:rsidRPr="00E31FBF">
        <w:rPr>
          <w:lang w:val="fr-FR"/>
        </w:rPr>
        <w:t>.</w:t>
      </w:r>
      <w:r w:rsidRPr="00E31FBF">
        <w:rPr>
          <w:lang w:val="fr-FR"/>
        </w:rPr>
        <w:tab/>
        <w:t>Les membres ont dans l</w:t>
      </w:r>
      <w:r>
        <w:rPr>
          <w:lang w:val="fr-FR"/>
        </w:rPr>
        <w:t>’</w:t>
      </w:r>
      <w:r w:rsidRPr="00E31FBF">
        <w:rPr>
          <w:lang w:val="fr-FR"/>
        </w:rPr>
        <w:t>ensemble convenu qu</w:t>
      </w:r>
      <w:r>
        <w:rPr>
          <w:lang w:val="fr-FR"/>
        </w:rPr>
        <w:t>’</w:t>
      </w:r>
      <w:r w:rsidRPr="00E31FBF">
        <w:rPr>
          <w:lang w:val="fr-FR"/>
        </w:rPr>
        <w:t>il fallait promouvoir l</w:t>
      </w:r>
      <w:r>
        <w:rPr>
          <w:lang w:val="fr-FR"/>
        </w:rPr>
        <w:t>’</w:t>
      </w:r>
      <w:r w:rsidRPr="00E31FBF">
        <w:rPr>
          <w:lang w:val="fr-FR"/>
        </w:rPr>
        <w:t>harmonisation des législations nationales concernant la criminalisation de la piraterie et du vol à main armée en mer. Il a été rappelé que la Convention des Nations Unies sur le droit de la mer permettait d</w:t>
      </w:r>
      <w:r>
        <w:rPr>
          <w:lang w:val="fr-FR"/>
        </w:rPr>
        <w:t>’</w:t>
      </w:r>
      <w:r w:rsidRPr="00E31FBF">
        <w:rPr>
          <w:lang w:val="fr-FR"/>
        </w:rPr>
        <w:t>ériger la piraterie en crime, mais n</w:t>
      </w:r>
      <w:r>
        <w:rPr>
          <w:lang w:val="fr-FR"/>
        </w:rPr>
        <w:t>’</w:t>
      </w:r>
      <w:r w:rsidRPr="00E31FBF">
        <w:rPr>
          <w:lang w:val="fr-FR"/>
        </w:rPr>
        <w:t xml:space="preserve">obligeait pas à le faire. À cet égard, </w:t>
      </w:r>
      <w:r>
        <w:rPr>
          <w:lang w:val="fr-FR"/>
        </w:rPr>
        <w:t>des avis ont été exprimés sur la question de savoir si</w:t>
      </w:r>
      <w:r w:rsidRPr="00E31FBF">
        <w:rPr>
          <w:lang w:val="fr-FR"/>
        </w:rPr>
        <w:t xml:space="preserve"> le projet d</w:t>
      </w:r>
      <w:r>
        <w:rPr>
          <w:lang w:val="fr-FR"/>
        </w:rPr>
        <w:t>’</w:t>
      </w:r>
      <w:r w:rsidRPr="00E31FBF">
        <w:rPr>
          <w:lang w:val="fr-FR"/>
        </w:rPr>
        <w:t>articles devait encourager les États à criminaliser les actes de piraterie et de vol à main armée en mer tels que définis dans le projet d</w:t>
      </w:r>
      <w:r>
        <w:rPr>
          <w:lang w:val="fr-FR"/>
        </w:rPr>
        <w:t>’</w:t>
      </w:r>
      <w:r w:rsidRPr="00E31FBF">
        <w:rPr>
          <w:lang w:val="fr-FR"/>
        </w:rPr>
        <w:t>articles. Des membres se sont félicités que l</w:t>
      </w:r>
      <w:r>
        <w:rPr>
          <w:lang w:val="fr-FR"/>
        </w:rPr>
        <w:t>’</w:t>
      </w:r>
      <w:r w:rsidRPr="00E31FBF">
        <w:rPr>
          <w:lang w:val="fr-FR"/>
        </w:rPr>
        <w:t>obligation de criminalisation soit envisagée au sens large comme s</w:t>
      </w:r>
      <w:r>
        <w:rPr>
          <w:lang w:val="fr-FR"/>
        </w:rPr>
        <w:t>’</w:t>
      </w:r>
      <w:r w:rsidRPr="00E31FBF">
        <w:rPr>
          <w:lang w:val="fr-FR"/>
        </w:rPr>
        <w:t>appliquant aussi l</w:t>
      </w:r>
      <w:r>
        <w:rPr>
          <w:lang w:val="fr-FR"/>
        </w:rPr>
        <w:t>’</w:t>
      </w:r>
      <w:r w:rsidRPr="00E31FBF">
        <w:rPr>
          <w:lang w:val="fr-FR"/>
        </w:rPr>
        <w:t>incitation et d</w:t>
      </w:r>
      <w:r>
        <w:rPr>
          <w:lang w:val="fr-FR"/>
        </w:rPr>
        <w:t>’</w:t>
      </w:r>
      <w:r w:rsidRPr="00E31FBF">
        <w:rPr>
          <w:lang w:val="fr-FR"/>
        </w:rPr>
        <w:t>autres infractions inchoatives, mais ont fait observer qu</w:t>
      </w:r>
      <w:r>
        <w:rPr>
          <w:lang w:val="fr-FR"/>
        </w:rPr>
        <w:t>’</w:t>
      </w:r>
      <w:r w:rsidRPr="00E31FBF">
        <w:rPr>
          <w:lang w:val="fr-FR"/>
        </w:rPr>
        <w:t>il serait utile, dans un souci de clarté et de précision, de définir les différents éléments constitutifs d</w:t>
      </w:r>
      <w:r>
        <w:rPr>
          <w:lang w:val="fr-FR"/>
        </w:rPr>
        <w:t>’</w:t>
      </w:r>
      <w:r w:rsidRPr="00E31FBF">
        <w:rPr>
          <w:lang w:val="fr-FR"/>
        </w:rPr>
        <w:t>un acte criminel.</w:t>
      </w:r>
    </w:p>
    <w:p w14:paraId="1974D0BF" w14:textId="21500A0C" w:rsidR="007A322E" w:rsidRPr="00E31FBF" w:rsidRDefault="007A322E" w:rsidP="007A322E">
      <w:pPr>
        <w:pStyle w:val="SingleTxtG"/>
        <w:rPr>
          <w:lang w:val="fr-CA"/>
        </w:rPr>
      </w:pPr>
      <w:r>
        <w:rPr>
          <w:lang w:val="fr-FR"/>
        </w:rPr>
        <w:t>121</w:t>
      </w:r>
      <w:r w:rsidRPr="00E31FBF">
        <w:rPr>
          <w:lang w:val="fr-FR"/>
        </w:rPr>
        <w:t>.</w:t>
      </w:r>
      <w:r w:rsidRPr="00E31FBF">
        <w:rPr>
          <w:lang w:val="fr-FR"/>
        </w:rPr>
        <w:tab/>
        <w:t>Les références aux infractions commises sur ordre d</w:t>
      </w:r>
      <w:r>
        <w:rPr>
          <w:lang w:val="fr-FR"/>
        </w:rPr>
        <w:t>’</w:t>
      </w:r>
      <w:r w:rsidRPr="00E31FBF">
        <w:rPr>
          <w:lang w:val="fr-FR"/>
        </w:rPr>
        <w:t>un gouvernement et aux infractions commises par une personne exerçant une fonction officielle contenues dans les paragraphes</w:t>
      </w:r>
      <w:r w:rsidR="0098040C">
        <w:rPr>
          <w:lang w:val="fr-FR"/>
        </w:rPr>
        <w:t> </w:t>
      </w:r>
      <w:r w:rsidRPr="00E31FBF">
        <w:rPr>
          <w:lang w:val="fr-FR"/>
        </w:rPr>
        <w:t>4 et 5 du projet d</w:t>
      </w:r>
      <w:r>
        <w:rPr>
          <w:lang w:val="fr-FR"/>
        </w:rPr>
        <w:t>’</w:t>
      </w:r>
      <w:r w:rsidRPr="00E31FBF">
        <w:rPr>
          <w:lang w:val="fr-FR"/>
        </w:rPr>
        <w:t xml:space="preserve">article 6 ont été jugées problématiques. </w:t>
      </w:r>
      <w:r>
        <w:rPr>
          <w:lang w:val="fr-FR"/>
        </w:rPr>
        <w:t>Étant donné que les définitions adoptées par la Commission à sa soixante-quatorzième session reposaient sur le principe que la piraterie et le vol à main armée en mer étaient commis à des fins privées, des membres ont dit que</w:t>
      </w:r>
      <w:r w:rsidRPr="005D454A">
        <w:rPr>
          <w:lang w:val="fr-FR"/>
        </w:rPr>
        <w:t xml:space="preserve"> </w:t>
      </w:r>
      <w:r w:rsidRPr="00E31FBF">
        <w:rPr>
          <w:lang w:val="fr-FR"/>
        </w:rPr>
        <w:t>le scénario envisagé dans ces paragraphes était incompatible avec</w:t>
      </w:r>
      <w:r>
        <w:rPr>
          <w:lang w:val="fr-FR"/>
        </w:rPr>
        <w:t xml:space="preserve"> la manière dont les deux crimes étaient généralement compris.</w:t>
      </w:r>
      <w:r w:rsidRPr="00E31FBF">
        <w:rPr>
          <w:lang w:val="fr-FR"/>
        </w:rPr>
        <w:t xml:space="preserve">. À cet égard, il a été suggéré </w:t>
      </w:r>
      <w:r w:rsidRPr="00E31FBF">
        <w:rPr>
          <w:lang w:val="fr-FR"/>
        </w:rPr>
        <w:lastRenderedPageBreak/>
        <w:t>que, pour éviter de donner à entendre qu</w:t>
      </w:r>
      <w:r>
        <w:rPr>
          <w:lang w:val="fr-FR"/>
        </w:rPr>
        <w:t>’</w:t>
      </w:r>
      <w:r w:rsidRPr="00E31FBF">
        <w:rPr>
          <w:lang w:val="fr-FR"/>
        </w:rPr>
        <w:t>un agent de l</w:t>
      </w:r>
      <w:r>
        <w:rPr>
          <w:lang w:val="fr-FR"/>
        </w:rPr>
        <w:t>’</w:t>
      </w:r>
      <w:r w:rsidRPr="00E31FBF">
        <w:rPr>
          <w:lang w:val="fr-FR"/>
        </w:rPr>
        <w:t>État peut commettre un acte de piraterie dans l</w:t>
      </w:r>
      <w:r>
        <w:rPr>
          <w:lang w:val="fr-FR"/>
        </w:rPr>
        <w:t>’</w:t>
      </w:r>
      <w:r w:rsidRPr="00E31FBF">
        <w:rPr>
          <w:lang w:val="fr-FR"/>
        </w:rPr>
        <w:t>exercice de ses fonctions, le Rapporteur spécial précise que les auteurs des actes doivent avoir agi à titre personnel.</w:t>
      </w:r>
    </w:p>
    <w:p w14:paraId="31790136" w14:textId="77777777" w:rsidR="007A322E" w:rsidRPr="00E31FBF" w:rsidRDefault="007A322E" w:rsidP="007A322E">
      <w:pPr>
        <w:pStyle w:val="SingleTxtG"/>
        <w:rPr>
          <w:lang w:val="fr-CA"/>
        </w:rPr>
      </w:pPr>
      <w:r>
        <w:rPr>
          <w:lang w:val="fr-FR"/>
        </w:rPr>
        <w:t>122</w:t>
      </w:r>
      <w:r w:rsidRPr="00E31FBF">
        <w:rPr>
          <w:lang w:val="fr-FR"/>
        </w:rPr>
        <w:t>.</w:t>
      </w:r>
      <w:r w:rsidRPr="00E31FBF">
        <w:rPr>
          <w:lang w:val="fr-FR"/>
        </w:rPr>
        <w:tab/>
        <w:t>En ce qui concerne le paragraphe 6 du projet d</w:t>
      </w:r>
      <w:r>
        <w:rPr>
          <w:lang w:val="fr-FR"/>
        </w:rPr>
        <w:t>’</w:t>
      </w:r>
      <w:r w:rsidRPr="00E31FBF">
        <w:rPr>
          <w:lang w:val="fr-FR"/>
        </w:rPr>
        <w:t>article 6, des membres se sont dits préoccupés par l</w:t>
      </w:r>
      <w:r>
        <w:rPr>
          <w:lang w:val="fr-FR"/>
        </w:rPr>
        <w:t>’</w:t>
      </w:r>
      <w:r w:rsidRPr="00E31FBF">
        <w:rPr>
          <w:lang w:val="fr-FR"/>
        </w:rPr>
        <w:t xml:space="preserve">idée que </w:t>
      </w:r>
      <w:r w:rsidRPr="00E31FBF">
        <w:rPr>
          <w:lang w:val="fr-CA"/>
        </w:rPr>
        <w:t xml:space="preserve">la </w:t>
      </w:r>
      <w:r w:rsidRPr="00E31FBF">
        <w:rPr>
          <w:lang w:val="fr-FR"/>
        </w:rPr>
        <w:t>piraterie et le vol à main armée en mer ne devraient être soumis</w:t>
      </w:r>
      <w:r w:rsidRPr="00E31FBF">
        <w:rPr>
          <w:lang w:val="fr-CA"/>
        </w:rPr>
        <w:t xml:space="preserve"> à aucune prescription</w:t>
      </w:r>
      <w:r w:rsidRPr="00E31FBF">
        <w:rPr>
          <w:lang w:val="fr-FR"/>
        </w:rPr>
        <w:t>. Des doutes ont été exprimés quant à la question de savoir si cette proposition était fondée sur la pratique des États, en particulier concernant le vol à main armée en mer.</w:t>
      </w:r>
    </w:p>
    <w:p w14:paraId="0A303595" w14:textId="77777777" w:rsidR="007A322E" w:rsidRPr="00E31FBF" w:rsidRDefault="007A322E" w:rsidP="007A322E">
      <w:pPr>
        <w:pStyle w:val="H23G"/>
        <w:rPr>
          <w:lang w:val="fr-CA"/>
        </w:rPr>
      </w:pPr>
      <w:r>
        <w:rPr>
          <w:lang w:val="fr-FR"/>
        </w:rPr>
        <w:tab/>
      </w:r>
      <w:r w:rsidRPr="00E31FBF">
        <w:rPr>
          <w:lang w:val="fr-FR"/>
        </w:rPr>
        <w:t>e)</w:t>
      </w:r>
      <w:r w:rsidRPr="00E31FBF">
        <w:rPr>
          <w:lang w:val="fr-FR"/>
        </w:rPr>
        <w:tab/>
      </w:r>
      <w:r w:rsidRPr="00E31FBF">
        <w:rPr>
          <w:lang w:val="fr-FR"/>
        </w:rPr>
        <w:tab/>
        <w:t>Projet d</w:t>
      </w:r>
      <w:r>
        <w:rPr>
          <w:lang w:val="fr-FR"/>
        </w:rPr>
        <w:t>’</w:t>
      </w:r>
      <w:r w:rsidRPr="00E31FBF">
        <w:rPr>
          <w:lang w:val="fr-FR"/>
        </w:rPr>
        <w:t>article 7</w:t>
      </w:r>
    </w:p>
    <w:p w14:paraId="76845B1C" w14:textId="77777777" w:rsidR="007A322E" w:rsidRPr="00E31FBF" w:rsidRDefault="007A322E" w:rsidP="007A322E">
      <w:pPr>
        <w:pStyle w:val="SingleTxtG"/>
        <w:rPr>
          <w:lang w:val="fr-CA"/>
        </w:rPr>
      </w:pPr>
      <w:r>
        <w:rPr>
          <w:lang w:val="fr-FR"/>
        </w:rPr>
        <w:t>123</w:t>
      </w:r>
      <w:r w:rsidRPr="00E31FBF">
        <w:rPr>
          <w:lang w:val="fr-FR"/>
        </w:rPr>
        <w:t>.</w:t>
      </w:r>
      <w:r w:rsidRPr="00E31FBF">
        <w:rPr>
          <w:lang w:val="fr-FR"/>
        </w:rPr>
        <w:tab/>
        <w:t>Les membres se sont dans l</w:t>
      </w:r>
      <w:r>
        <w:rPr>
          <w:lang w:val="fr-FR"/>
        </w:rPr>
        <w:t>’</w:t>
      </w:r>
      <w:r w:rsidRPr="00E31FBF">
        <w:rPr>
          <w:lang w:val="fr-FR"/>
        </w:rPr>
        <w:t>ensemble déclarés favorables à une disposition relative à l</w:t>
      </w:r>
      <w:r>
        <w:rPr>
          <w:lang w:val="fr-FR"/>
        </w:rPr>
        <w:t>’</w:t>
      </w:r>
      <w:r w:rsidRPr="00E31FBF">
        <w:rPr>
          <w:lang w:val="fr-FR"/>
        </w:rPr>
        <w:t>établissement de la compétence nationale pour la piraterie et le vol à main armée en mer. Il a été observé qu</w:t>
      </w:r>
      <w:r>
        <w:rPr>
          <w:lang w:val="fr-FR"/>
        </w:rPr>
        <w:t>’</w:t>
      </w:r>
      <w:r w:rsidRPr="00E31FBF">
        <w:rPr>
          <w:lang w:val="fr-FR"/>
        </w:rPr>
        <w:t>il pourrait être judicieux d</w:t>
      </w:r>
      <w:r>
        <w:rPr>
          <w:lang w:val="fr-FR"/>
        </w:rPr>
        <w:t>’</w:t>
      </w:r>
      <w:r w:rsidRPr="00E31FBF">
        <w:rPr>
          <w:lang w:val="fr-FR"/>
        </w:rPr>
        <w:t>établir des dispositions distinctes pour ces deux crimes. D</w:t>
      </w:r>
      <w:r>
        <w:rPr>
          <w:lang w:val="fr-FR"/>
        </w:rPr>
        <w:t>’</w:t>
      </w:r>
      <w:r w:rsidRPr="00E31FBF">
        <w:rPr>
          <w:lang w:val="fr-FR"/>
        </w:rPr>
        <w:t>aucuns ont dit que la Convention des Nations Unies sur le droit de la mer ne faisait pas de l</w:t>
      </w:r>
      <w:r>
        <w:rPr>
          <w:lang w:val="fr-FR"/>
        </w:rPr>
        <w:t>’</w:t>
      </w:r>
      <w:r w:rsidRPr="00E31FBF">
        <w:rPr>
          <w:lang w:val="fr-FR"/>
        </w:rPr>
        <w:t>établissement de la compétence nationale une obligation, car elle</w:t>
      </w:r>
      <w:r>
        <w:rPr>
          <w:lang w:val="fr-FR"/>
        </w:rPr>
        <w:t xml:space="preserve"> se limitait à autoriser</w:t>
      </w:r>
      <w:r w:rsidRPr="00E31FBF">
        <w:rPr>
          <w:lang w:val="fr-FR"/>
        </w:rPr>
        <w:t xml:space="preserve"> les États à exercer leur compétence à la suite d</w:t>
      </w:r>
      <w:r>
        <w:rPr>
          <w:lang w:val="fr-FR"/>
        </w:rPr>
        <w:t>’</w:t>
      </w:r>
      <w:r w:rsidRPr="00E31FBF">
        <w:rPr>
          <w:lang w:val="fr-FR"/>
        </w:rPr>
        <w:t>une arrestation.</w:t>
      </w:r>
    </w:p>
    <w:p w14:paraId="4EA83409" w14:textId="77777777" w:rsidR="007A322E" w:rsidRPr="00E31FBF" w:rsidRDefault="007A322E" w:rsidP="007A322E">
      <w:pPr>
        <w:pStyle w:val="SingleTxtG"/>
        <w:rPr>
          <w:lang w:val="fr-CA"/>
        </w:rPr>
      </w:pPr>
      <w:r>
        <w:rPr>
          <w:lang w:val="fr-FR"/>
        </w:rPr>
        <w:t>124</w:t>
      </w:r>
      <w:r w:rsidRPr="00E31FBF">
        <w:rPr>
          <w:lang w:val="fr-FR"/>
        </w:rPr>
        <w:t>.</w:t>
      </w:r>
      <w:r w:rsidRPr="00E31FBF">
        <w:rPr>
          <w:lang w:val="fr-FR"/>
        </w:rPr>
        <w:tab/>
        <w:t>Des éclaircissements ont été demandés concernant les situations dans lesquelles plusieurs États se déclareraient compétents. D</w:t>
      </w:r>
      <w:r>
        <w:rPr>
          <w:lang w:val="fr-FR"/>
        </w:rPr>
        <w:t>’</w:t>
      </w:r>
      <w:r w:rsidRPr="00E31FBF">
        <w:rPr>
          <w:lang w:val="fr-FR"/>
        </w:rPr>
        <w:t>aucuns ont suggéré qu</w:t>
      </w:r>
      <w:r>
        <w:rPr>
          <w:lang w:val="fr-FR"/>
        </w:rPr>
        <w:t>’</w:t>
      </w:r>
      <w:r w:rsidRPr="00E31FBF">
        <w:rPr>
          <w:lang w:val="fr-FR"/>
        </w:rPr>
        <w:t>on établisse un ordre de priorité pour les cas où il y aurait conflit de compétence</w:t>
      </w:r>
      <w:r>
        <w:rPr>
          <w:lang w:val="fr-FR"/>
        </w:rPr>
        <w:t>s</w:t>
      </w:r>
      <w:r w:rsidRPr="00E31FBF">
        <w:rPr>
          <w:lang w:val="fr-FR"/>
        </w:rPr>
        <w:t>.</w:t>
      </w:r>
    </w:p>
    <w:p w14:paraId="25E128A5" w14:textId="77777777" w:rsidR="007A322E" w:rsidRPr="00E31FBF" w:rsidRDefault="007A322E" w:rsidP="007A322E">
      <w:pPr>
        <w:pStyle w:val="SingleTxtG"/>
        <w:rPr>
          <w:lang w:val="fr-CA"/>
        </w:rPr>
      </w:pPr>
      <w:r>
        <w:rPr>
          <w:lang w:val="fr-FR"/>
        </w:rPr>
        <w:t>125</w:t>
      </w:r>
      <w:r w:rsidRPr="00E31FBF">
        <w:rPr>
          <w:lang w:val="fr-FR"/>
        </w:rPr>
        <w:t>.</w:t>
      </w:r>
      <w:r w:rsidRPr="00E31FBF">
        <w:rPr>
          <w:lang w:val="fr-FR"/>
        </w:rPr>
        <w:tab/>
        <w:t>Si certains membres ont jugé utile qu</w:t>
      </w:r>
      <w:r>
        <w:rPr>
          <w:lang w:val="fr-FR"/>
        </w:rPr>
        <w:t>’</w:t>
      </w:r>
      <w:r w:rsidRPr="00E31FBF">
        <w:rPr>
          <w:lang w:val="fr-FR"/>
        </w:rPr>
        <w:t>on mentionne dans le contexte de l</w:t>
      </w:r>
      <w:r>
        <w:rPr>
          <w:lang w:val="fr-FR"/>
        </w:rPr>
        <w:t>’</w:t>
      </w:r>
      <w:r w:rsidRPr="00E31FBF">
        <w:rPr>
          <w:lang w:val="fr-FR"/>
        </w:rPr>
        <w:t>établissement de la compétence les apatrides qui ont leur résidence habituelle sur le territoire d</w:t>
      </w:r>
      <w:r>
        <w:rPr>
          <w:lang w:val="fr-FR"/>
        </w:rPr>
        <w:t>’</w:t>
      </w:r>
      <w:r w:rsidRPr="00E31FBF">
        <w:rPr>
          <w:lang w:val="fr-FR"/>
        </w:rPr>
        <w:t>un État, d</w:t>
      </w:r>
      <w:r>
        <w:rPr>
          <w:lang w:val="fr-FR"/>
        </w:rPr>
        <w:t>’</w:t>
      </w:r>
      <w:r w:rsidRPr="00E31FBF">
        <w:rPr>
          <w:lang w:val="fr-FR"/>
        </w:rPr>
        <w:t>autres ont estimé que cela posait problème. Il a été dit qu</w:t>
      </w:r>
      <w:r>
        <w:rPr>
          <w:lang w:val="fr-FR"/>
        </w:rPr>
        <w:t>’</w:t>
      </w:r>
      <w:r w:rsidRPr="00E31FBF">
        <w:rPr>
          <w:lang w:val="fr-FR"/>
        </w:rPr>
        <w:t>une formulation axée sur le pays de résidence serait plus précise.</w:t>
      </w:r>
    </w:p>
    <w:p w14:paraId="49E10095" w14:textId="0A873030" w:rsidR="007A322E" w:rsidRPr="00E31FBF" w:rsidRDefault="007A322E" w:rsidP="007A322E">
      <w:pPr>
        <w:pStyle w:val="SingleTxtG"/>
        <w:rPr>
          <w:lang w:val="fr-CA"/>
        </w:rPr>
      </w:pPr>
      <w:r>
        <w:rPr>
          <w:lang w:val="fr-FR"/>
        </w:rPr>
        <w:t>126</w:t>
      </w:r>
      <w:r w:rsidRPr="00E31FBF">
        <w:rPr>
          <w:lang w:val="fr-FR"/>
        </w:rPr>
        <w:t>.</w:t>
      </w:r>
      <w:r w:rsidRPr="00E31FBF">
        <w:rPr>
          <w:lang w:val="fr-FR"/>
        </w:rPr>
        <w:tab/>
        <w:t>Des membres ont dit qu</w:t>
      </w:r>
      <w:r>
        <w:rPr>
          <w:lang w:val="fr-FR"/>
        </w:rPr>
        <w:t>’</w:t>
      </w:r>
      <w:r w:rsidRPr="00E31FBF">
        <w:rPr>
          <w:lang w:val="fr-FR"/>
        </w:rPr>
        <w:t>ils n</w:t>
      </w:r>
      <w:r>
        <w:rPr>
          <w:lang w:val="fr-FR"/>
        </w:rPr>
        <w:t>’</w:t>
      </w:r>
      <w:r w:rsidRPr="00E31FBF">
        <w:rPr>
          <w:lang w:val="fr-FR"/>
        </w:rPr>
        <w:t>étaient pas certains qu</w:t>
      </w:r>
      <w:r>
        <w:rPr>
          <w:lang w:val="fr-FR"/>
        </w:rPr>
        <w:t>’</w:t>
      </w:r>
      <w:r w:rsidRPr="00E31FBF">
        <w:rPr>
          <w:lang w:val="fr-FR"/>
        </w:rPr>
        <w:t>un régime de compétence universelle tel celui envisagé au paragraphe 2 du projet d</w:t>
      </w:r>
      <w:r>
        <w:rPr>
          <w:lang w:val="fr-FR"/>
        </w:rPr>
        <w:t>’</w:t>
      </w:r>
      <w:r w:rsidRPr="00E31FBF">
        <w:rPr>
          <w:lang w:val="fr-FR"/>
        </w:rPr>
        <w:t>article 7 proposé par le Rapporteur spécial soit applicable au vol à main armé</w:t>
      </w:r>
      <w:r w:rsidR="00710F31">
        <w:rPr>
          <w:lang w:val="fr-FR"/>
        </w:rPr>
        <w:t>e</w:t>
      </w:r>
      <w:r w:rsidRPr="00E31FBF">
        <w:rPr>
          <w:lang w:val="fr-FR"/>
        </w:rPr>
        <w:t xml:space="preserve"> en mer.</w:t>
      </w:r>
      <w:r>
        <w:rPr>
          <w:lang w:val="fr-FR"/>
        </w:rPr>
        <w:t xml:space="preserve"> De surcroît, des questions ont été soulevées quant au point de savoir si le paragraphe 2 du projet d’article 7 reflétait le droit international coutumier.</w:t>
      </w:r>
    </w:p>
    <w:p w14:paraId="57E02846" w14:textId="77777777" w:rsidR="007A322E" w:rsidRPr="00E31FBF" w:rsidRDefault="007A322E" w:rsidP="007A322E">
      <w:pPr>
        <w:pStyle w:val="SingleTxtG"/>
        <w:rPr>
          <w:lang w:val="fr-CA"/>
        </w:rPr>
      </w:pPr>
      <w:r>
        <w:rPr>
          <w:lang w:val="fr-FR"/>
        </w:rPr>
        <w:t>127</w:t>
      </w:r>
      <w:r w:rsidRPr="00E31FBF">
        <w:rPr>
          <w:lang w:val="fr-FR"/>
        </w:rPr>
        <w:t>.</w:t>
      </w:r>
      <w:r w:rsidRPr="00E31FBF">
        <w:rPr>
          <w:lang w:val="fr-FR"/>
        </w:rPr>
        <w:tab/>
        <w:t>Concernant le paragraphe 3 du projet d</w:t>
      </w:r>
      <w:r>
        <w:rPr>
          <w:lang w:val="fr-FR"/>
        </w:rPr>
        <w:t>’</w:t>
      </w:r>
      <w:r w:rsidRPr="00E31FBF">
        <w:rPr>
          <w:lang w:val="fr-FR"/>
        </w:rPr>
        <w:t>article 7, il a été dit que le libellé actuel pourrait être interprété comme autorisant les États à exercer leur compétence à l</w:t>
      </w:r>
      <w:r>
        <w:rPr>
          <w:lang w:val="fr-FR"/>
        </w:rPr>
        <w:t>’</w:t>
      </w:r>
      <w:r w:rsidRPr="00E31FBF">
        <w:rPr>
          <w:lang w:val="fr-FR"/>
        </w:rPr>
        <w:t>égard des actes de vol à main armée en mer commis sur le territoire d</w:t>
      </w:r>
      <w:r>
        <w:rPr>
          <w:lang w:val="fr-FR"/>
        </w:rPr>
        <w:t>’</w:t>
      </w:r>
      <w:r w:rsidRPr="00E31FBF">
        <w:rPr>
          <w:lang w:val="fr-FR"/>
        </w:rPr>
        <w:t xml:space="preserve">un autre État </w:t>
      </w:r>
      <w:r>
        <w:rPr>
          <w:lang w:val="fr-FR"/>
        </w:rPr>
        <w:t>sous prétexte</w:t>
      </w:r>
      <w:r w:rsidRPr="00E31FBF">
        <w:rPr>
          <w:lang w:val="fr-FR"/>
        </w:rPr>
        <w:t xml:space="preserve"> de leur droit interne. Il a aussi été dit que si la disposition pouvait être acceptée en ce qui concerne </w:t>
      </w:r>
      <w:r>
        <w:rPr>
          <w:lang w:val="fr-FR"/>
        </w:rPr>
        <w:t>les actes de</w:t>
      </w:r>
      <w:r w:rsidRPr="00E31FBF">
        <w:rPr>
          <w:lang w:val="fr-FR"/>
        </w:rPr>
        <w:t xml:space="preserve"> piraterie, elle établissait à l</w:t>
      </w:r>
      <w:r>
        <w:rPr>
          <w:lang w:val="fr-FR"/>
        </w:rPr>
        <w:t>’</w:t>
      </w:r>
      <w:r w:rsidRPr="00E31FBF">
        <w:rPr>
          <w:lang w:val="fr-FR"/>
        </w:rPr>
        <w:t>égard du vol à main armée en mer une compétence quasi universelle qui n</w:t>
      </w:r>
      <w:r>
        <w:rPr>
          <w:lang w:val="fr-FR"/>
        </w:rPr>
        <w:t>’</w:t>
      </w:r>
      <w:r w:rsidRPr="00E31FBF">
        <w:rPr>
          <w:lang w:val="fr-FR"/>
        </w:rPr>
        <w:t>était pas fondée en droit international coutumier.</w:t>
      </w:r>
    </w:p>
    <w:p w14:paraId="4D75DE98" w14:textId="77777777" w:rsidR="007A322E" w:rsidRPr="00E31FBF" w:rsidRDefault="007A322E" w:rsidP="007A322E">
      <w:pPr>
        <w:pStyle w:val="H23G"/>
        <w:rPr>
          <w:lang w:val="fr-CA"/>
        </w:rPr>
      </w:pPr>
      <w:r>
        <w:rPr>
          <w:lang w:val="fr-FR"/>
        </w:rPr>
        <w:tab/>
      </w:r>
      <w:r w:rsidRPr="00E31FBF">
        <w:rPr>
          <w:lang w:val="fr-FR"/>
        </w:rPr>
        <w:t>f)</w:t>
      </w:r>
      <w:r w:rsidRPr="00E31FBF">
        <w:rPr>
          <w:lang w:val="fr-FR"/>
        </w:rPr>
        <w:tab/>
      </w:r>
      <w:r w:rsidRPr="00E31FBF">
        <w:rPr>
          <w:lang w:val="fr-FR"/>
        </w:rPr>
        <w:tab/>
        <w:t>Forme finale du résultat des travaux</w:t>
      </w:r>
    </w:p>
    <w:p w14:paraId="3DE94CE7" w14:textId="77777777" w:rsidR="007A322E" w:rsidRPr="00E31FBF" w:rsidRDefault="007A322E" w:rsidP="007A322E">
      <w:pPr>
        <w:pStyle w:val="SingleTxtG"/>
        <w:rPr>
          <w:lang w:val="fr-CA"/>
        </w:rPr>
      </w:pPr>
      <w:r>
        <w:rPr>
          <w:lang w:val="fr-FR"/>
        </w:rPr>
        <w:t>128</w:t>
      </w:r>
      <w:r w:rsidRPr="00E31FBF">
        <w:rPr>
          <w:lang w:val="fr-FR"/>
        </w:rPr>
        <w:t>.</w:t>
      </w:r>
      <w:r w:rsidRPr="00E31FBF">
        <w:rPr>
          <w:lang w:val="fr-FR"/>
        </w:rPr>
        <w:tab/>
        <w:t>Des membres ont souligné qu</w:t>
      </w:r>
      <w:r>
        <w:rPr>
          <w:lang w:val="fr-FR"/>
        </w:rPr>
        <w:t>’</w:t>
      </w:r>
      <w:r w:rsidRPr="00E31FBF">
        <w:rPr>
          <w:lang w:val="fr-FR"/>
        </w:rPr>
        <w:t>il fallait déterminer la forme finale à donner au résultat des travaux de la Commission sur le sujet. Certains se sont dits favorables à ce que la Commission continue de travailler sur des projets d</w:t>
      </w:r>
      <w:r>
        <w:rPr>
          <w:lang w:val="fr-FR"/>
        </w:rPr>
        <w:t>’</w:t>
      </w:r>
      <w:r w:rsidRPr="00E31FBF">
        <w:rPr>
          <w:lang w:val="fr-FR"/>
        </w:rPr>
        <w:t>article qui pourraient constituer la base d</w:t>
      </w:r>
      <w:r>
        <w:rPr>
          <w:lang w:val="fr-FR"/>
        </w:rPr>
        <w:t>’</w:t>
      </w:r>
      <w:r w:rsidRPr="00E31FBF">
        <w:rPr>
          <w:lang w:val="fr-FR"/>
        </w:rPr>
        <w:t>un instrument contraignant négocié par les États, tandis que d</w:t>
      </w:r>
      <w:r>
        <w:rPr>
          <w:lang w:val="fr-FR"/>
        </w:rPr>
        <w:t>’</w:t>
      </w:r>
      <w:r w:rsidRPr="00E31FBF">
        <w:rPr>
          <w:lang w:val="fr-FR"/>
        </w:rPr>
        <w:t>autres ont mentionné la possibilité de rédiger des lignes directrices visant à harmoniser le droit et à recenser les lacunes existantes. Il a aussi été suggéré d</w:t>
      </w:r>
      <w:r>
        <w:rPr>
          <w:lang w:val="fr-FR"/>
        </w:rPr>
        <w:t>’</w:t>
      </w:r>
      <w:r w:rsidRPr="00E31FBF">
        <w:rPr>
          <w:lang w:val="fr-FR"/>
        </w:rPr>
        <w:t>attendre le troisième rapport du Rapporteur spécial avant de prendre une décision.</w:t>
      </w:r>
    </w:p>
    <w:p w14:paraId="3A381209" w14:textId="77777777" w:rsidR="007A322E" w:rsidRPr="00E31FBF" w:rsidRDefault="007A322E" w:rsidP="007A322E">
      <w:pPr>
        <w:pStyle w:val="H23G"/>
        <w:rPr>
          <w:lang w:val="fr-CA"/>
        </w:rPr>
      </w:pPr>
      <w:r>
        <w:rPr>
          <w:lang w:val="fr-FR"/>
        </w:rPr>
        <w:tab/>
      </w:r>
      <w:r w:rsidRPr="00E31FBF">
        <w:rPr>
          <w:lang w:val="fr-FR"/>
        </w:rPr>
        <w:t>g)</w:t>
      </w:r>
      <w:r w:rsidRPr="00E31FBF">
        <w:rPr>
          <w:lang w:val="fr-FR"/>
        </w:rPr>
        <w:tab/>
      </w:r>
      <w:r w:rsidRPr="00E31FBF">
        <w:rPr>
          <w:lang w:val="fr-FR"/>
        </w:rPr>
        <w:tab/>
        <w:t>Programme de travail futur</w:t>
      </w:r>
    </w:p>
    <w:p w14:paraId="1418AE20" w14:textId="77777777" w:rsidR="007A322E" w:rsidRPr="00E31FBF" w:rsidRDefault="007A322E" w:rsidP="007A322E">
      <w:pPr>
        <w:pStyle w:val="SingleTxtG"/>
        <w:rPr>
          <w:lang w:val="fr-CA"/>
        </w:rPr>
      </w:pPr>
      <w:r>
        <w:rPr>
          <w:lang w:val="fr-FR"/>
        </w:rPr>
        <w:t>129</w:t>
      </w:r>
      <w:r w:rsidRPr="00E31FBF">
        <w:rPr>
          <w:lang w:val="fr-FR"/>
        </w:rPr>
        <w:t>.</w:t>
      </w:r>
      <w:r w:rsidRPr="00E31FBF">
        <w:rPr>
          <w:lang w:val="fr-FR"/>
        </w:rPr>
        <w:tab/>
        <w:t xml:space="preserve">Si les propositions du Rapporteur spécial concernant les travaux futurs sur le sujet ont reçu un accueil favorable, certains membres ont </w:t>
      </w:r>
      <w:r>
        <w:rPr>
          <w:lang w:val="fr-FR"/>
        </w:rPr>
        <w:t>dit douter qu’il soit opportun que, dans son futur rapport, le Rapporteur spécial se concentre sur l’étude de la doctrine séparément de la pratique et de la jurisprudence</w:t>
      </w:r>
      <w:r w:rsidRPr="00E31FBF">
        <w:rPr>
          <w:lang w:val="fr-FR"/>
        </w:rPr>
        <w:t xml:space="preserve">. Il a été suggéré que le Rapporteur spécial </w:t>
      </w:r>
      <w:r w:rsidRPr="00E31FBF">
        <w:rPr>
          <w:lang w:val="fr-CA"/>
        </w:rPr>
        <w:t>adopte non pas une approche fondée sur les sources, mais une approche thématique</w:t>
      </w:r>
      <w:r w:rsidRPr="00E31FBF">
        <w:rPr>
          <w:lang w:val="fr-FR"/>
        </w:rPr>
        <w:t>.</w:t>
      </w:r>
    </w:p>
    <w:p w14:paraId="11DCC6B6" w14:textId="2F73921F" w:rsidR="007A322E" w:rsidRPr="00E31FBF" w:rsidRDefault="007A322E" w:rsidP="007A322E">
      <w:pPr>
        <w:pStyle w:val="SingleTxtG"/>
        <w:rPr>
          <w:lang w:val="fr-CA"/>
        </w:rPr>
      </w:pPr>
      <w:r>
        <w:rPr>
          <w:lang w:val="fr-FR"/>
        </w:rPr>
        <w:t>130</w:t>
      </w:r>
      <w:r w:rsidRPr="00E31FBF">
        <w:rPr>
          <w:lang w:val="fr-FR"/>
        </w:rPr>
        <w:t>.</w:t>
      </w:r>
      <w:r w:rsidRPr="00E31FBF">
        <w:rPr>
          <w:lang w:val="fr-FR"/>
        </w:rPr>
        <w:tab/>
        <w:t>Des suggestions ont été faites quant aux thèmes que le Rapporteur spécial pourrait aborder dans son troisième rapport. Les membres ont mentionné, en particulier</w:t>
      </w:r>
      <w:r w:rsidR="006C3AB5">
        <w:rPr>
          <w:lang w:val="fr-FR"/>
        </w:rPr>
        <w:t> </w:t>
      </w:r>
      <w:r w:rsidRPr="00E31FBF">
        <w:rPr>
          <w:lang w:val="fr-FR"/>
        </w:rPr>
        <w:t>: les aspects du sujet liés au droit pénal, y compris l</w:t>
      </w:r>
      <w:r>
        <w:rPr>
          <w:lang w:val="fr-FR"/>
        </w:rPr>
        <w:t>’</w:t>
      </w:r>
      <w:r w:rsidRPr="00E31FBF">
        <w:rPr>
          <w:lang w:val="fr-FR"/>
        </w:rPr>
        <w:t>applicabilité de la compétence universelle ; la coopération policière et l</w:t>
      </w:r>
      <w:r>
        <w:rPr>
          <w:lang w:val="fr-FR"/>
        </w:rPr>
        <w:t>’</w:t>
      </w:r>
      <w:r w:rsidRPr="00E31FBF">
        <w:rPr>
          <w:lang w:val="fr-FR"/>
        </w:rPr>
        <w:t>entraide judiciaire ; les causes profondes de la piraterie et du vol à main armée en mer</w:t>
      </w:r>
      <w:r w:rsidR="006C3AB5">
        <w:rPr>
          <w:lang w:val="fr-FR"/>
        </w:rPr>
        <w:t> </w:t>
      </w:r>
      <w:r w:rsidRPr="00E31FBF">
        <w:rPr>
          <w:lang w:val="fr-FR"/>
        </w:rPr>
        <w:t xml:space="preserve">; la répression de ces crimes par les membres des forces armées ou par </w:t>
      </w:r>
      <w:r w:rsidRPr="00E31FBF">
        <w:rPr>
          <w:lang w:val="fr-FR"/>
        </w:rPr>
        <w:lastRenderedPageBreak/>
        <w:t>des sociétés militaires privées ; les conséquences des évolutions technologiques dans la lutte contre la piraterie et le vol à main armée en mer ; les aspects humanitaires, y compris l</w:t>
      </w:r>
      <w:r>
        <w:rPr>
          <w:lang w:val="fr-FR"/>
        </w:rPr>
        <w:t>’</w:t>
      </w:r>
      <w:r w:rsidRPr="00E31FBF">
        <w:rPr>
          <w:lang w:val="fr-FR"/>
        </w:rPr>
        <w:t>assistance, l</w:t>
      </w:r>
      <w:r>
        <w:rPr>
          <w:lang w:val="fr-FR"/>
        </w:rPr>
        <w:t>’</w:t>
      </w:r>
      <w:r w:rsidRPr="00E31FBF">
        <w:rPr>
          <w:lang w:val="fr-FR"/>
        </w:rPr>
        <w:t>indemnisation et le rapatriement des victimes ; le droit de poursuite dans les zones maritimes ; et la question de la perte du pavillon. Il a été dit que les questions liées à l</w:t>
      </w:r>
      <w:r>
        <w:rPr>
          <w:lang w:val="fr-FR"/>
        </w:rPr>
        <w:t>’</w:t>
      </w:r>
      <w:r w:rsidRPr="00E31FBF">
        <w:rPr>
          <w:lang w:val="fr-FR"/>
        </w:rPr>
        <w:t>admissibilité des preuves devant les tribunaux et à l</w:t>
      </w:r>
      <w:r>
        <w:rPr>
          <w:lang w:val="fr-FR"/>
        </w:rPr>
        <w:t>’</w:t>
      </w:r>
      <w:r w:rsidRPr="00E31FBF">
        <w:rPr>
          <w:lang w:val="fr-FR"/>
        </w:rPr>
        <w:t>imposition de sanctions dépassaient le champ d</w:t>
      </w:r>
      <w:r>
        <w:rPr>
          <w:lang w:val="fr-FR"/>
        </w:rPr>
        <w:t>’</w:t>
      </w:r>
      <w:r w:rsidRPr="00E31FBF">
        <w:rPr>
          <w:lang w:val="fr-FR"/>
        </w:rPr>
        <w:t>application du sujet.</w:t>
      </w:r>
    </w:p>
    <w:p w14:paraId="5DBFF9B9" w14:textId="77777777" w:rsidR="007A322E" w:rsidRPr="00E31FBF" w:rsidRDefault="007A322E" w:rsidP="007A322E">
      <w:pPr>
        <w:pStyle w:val="H23G"/>
        <w:rPr>
          <w:lang w:val="fr-CA"/>
        </w:rPr>
      </w:pPr>
      <w:r>
        <w:rPr>
          <w:lang w:val="fr-FR"/>
        </w:rPr>
        <w:tab/>
      </w:r>
      <w:r w:rsidRPr="00E31FBF">
        <w:rPr>
          <w:lang w:val="fr-FR"/>
        </w:rPr>
        <w:t>3.</w:t>
      </w:r>
      <w:r w:rsidRPr="00E31FBF">
        <w:rPr>
          <w:lang w:val="fr-FR"/>
        </w:rPr>
        <w:tab/>
      </w:r>
      <w:r w:rsidRPr="00E31FBF">
        <w:rPr>
          <w:lang w:val="fr-FR"/>
        </w:rPr>
        <w:tab/>
      </w:r>
      <w:bookmarkStart w:id="80" w:name="_Hlk175323553"/>
      <w:r w:rsidRPr="00E31FBF">
        <w:rPr>
          <w:lang w:val="fr-FR"/>
        </w:rPr>
        <w:t>Conclusions du Rapporteur spécial</w:t>
      </w:r>
      <w:bookmarkEnd w:id="80"/>
    </w:p>
    <w:p w14:paraId="28DC2498" w14:textId="74FE7A38" w:rsidR="007A322E" w:rsidRPr="00E31FBF" w:rsidRDefault="007A322E" w:rsidP="007A322E">
      <w:pPr>
        <w:pStyle w:val="SingleTxtG"/>
        <w:rPr>
          <w:lang w:val="fr-CA"/>
        </w:rPr>
      </w:pPr>
      <w:r>
        <w:rPr>
          <w:lang w:val="fr-FR"/>
        </w:rPr>
        <w:t>131</w:t>
      </w:r>
      <w:r w:rsidRPr="00E31FBF">
        <w:rPr>
          <w:lang w:val="fr-FR"/>
        </w:rPr>
        <w:t>.</w:t>
      </w:r>
      <w:r w:rsidRPr="00E31FBF">
        <w:rPr>
          <w:lang w:val="fr-FR"/>
        </w:rPr>
        <w:tab/>
        <w:t>Pour conclure, le Rapporteur spécial a remercié les membres de leurs commentaires et de leurs contributions, en particulier les membres qui ont appelé son attention sur les accords internationaux autres que la Convention des Nations Unies sur le droit de la mer susceptibles de servir de base aux travaux futurs sur le sujet, à savoir</w:t>
      </w:r>
      <w:r w:rsidR="006C3AB5">
        <w:rPr>
          <w:lang w:val="fr-FR"/>
        </w:rPr>
        <w:t> </w:t>
      </w:r>
      <w:r w:rsidRPr="00E31FBF">
        <w:rPr>
          <w:lang w:val="fr-FR"/>
        </w:rPr>
        <w:t>: la Convention internationale contre la prise d</w:t>
      </w:r>
      <w:r>
        <w:rPr>
          <w:lang w:val="fr-FR"/>
        </w:rPr>
        <w:t>’</w:t>
      </w:r>
      <w:r w:rsidRPr="00E31FBF">
        <w:rPr>
          <w:lang w:val="fr-FR"/>
        </w:rPr>
        <w:t>otages, de 1979</w:t>
      </w:r>
      <w:r w:rsidR="006C3AB5">
        <w:rPr>
          <w:lang w:val="fr-FR"/>
        </w:rPr>
        <w:t>,</w:t>
      </w:r>
      <w:r w:rsidRPr="00E31FBF">
        <w:rPr>
          <w:lang w:val="fr-FR"/>
        </w:rPr>
        <w:t xml:space="preserve"> la Convention pour la répression d</w:t>
      </w:r>
      <w:r>
        <w:rPr>
          <w:lang w:val="fr-FR"/>
        </w:rPr>
        <w:t>’</w:t>
      </w:r>
      <w:r w:rsidRPr="00E31FBF">
        <w:rPr>
          <w:lang w:val="fr-FR"/>
        </w:rPr>
        <w:t xml:space="preserve">actes illicites contre la sécurité de la navigation maritime, de 1988, et le </w:t>
      </w:r>
      <w:r>
        <w:rPr>
          <w:lang w:val="fr-FR"/>
        </w:rPr>
        <w:t>P</w:t>
      </w:r>
      <w:r w:rsidRPr="00E31FBF">
        <w:rPr>
          <w:lang w:val="fr-FR"/>
        </w:rPr>
        <w:t>rotocole y afférent, de</w:t>
      </w:r>
      <w:r>
        <w:rPr>
          <w:lang w:val="fr-FR"/>
        </w:rPr>
        <w:t> </w:t>
      </w:r>
      <w:r w:rsidRPr="00E31FBF">
        <w:rPr>
          <w:lang w:val="fr-FR"/>
        </w:rPr>
        <w:t>2005</w:t>
      </w:r>
      <w:r w:rsidRPr="00E31FBF">
        <w:rPr>
          <w:rStyle w:val="Appelnotedebasdep"/>
          <w:lang w:val="fr-FR"/>
        </w:rPr>
        <w:footnoteReference w:id="205"/>
      </w:r>
      <w:r w:rsidR="006C3AB5">
        <w:rPr>
          <w:lang w:val="fr-FR"/>
        </w:rPr>
        <w:t>,</w:t>
      </w:r>
      <w:r w:rsidRPr="00E31FBF">
        <w:rPr>
          <w:lang w:val="fr-FR"/>
        </w:rPr>
        <w:t xml:space="preserve"> et la Convention des Nations Unies contre la criminalité transnationale organisée, de 2000. Il a rappelé que des membres l</w:t>
      </w:r>
      <w:r>
        <w:rPr>
          <w:lang w:val="fr-FR"/>
        </w:rPr>
        <w:t>’</w:t>
      </w:r>
      <w:r w:rsidRPr="00E31FBF">
        <w:rPr>
          <w:lang w:val="fr-FR"/>
        </w:rPr>
        <w:t>avaient orienté vers les travaux que l</w:t>
      </w:r>
      <w:r>
        <w:rPr>
          <w:lang w:val="fr-FR"/>
        </w:rPr>
        <w:t>’</w:t>
      </w:r>
      <w:r w:rsidRPr="00E31FBF">
        <w:rPr>
          <w:lang w:val="fr-FR"/>
        </w:rPr>
        <w:t>Institut de droit international avait menés sur la piraterie, notamment la Déclaration de Naples, de 2009</w:t>
      </w:r>
      <w:r w:rsidRPr="00E31FBF">
        <w:rPr>
          <w:rStyle w:val="Appelnotedebasdep"/>
          <w:lang w:val="fr-FR"/>
        </w:rPr>
        <w:footnoteReference w:id="206"/>
      </w:r>
      <w:r w:rsidRPr="00E31FBF">
        <w:rPr>
          <w:lang w:val="fr-FR"/>
        </w:rPr>
        <w:t>, et la Résolution d</w:t>
      </w:r>
      <w:r>
        <w:rPr>
          <w:lang w:val="fr-FR"/>
        </w:rPr>
        <w:t>’</w:t>
      </w:r>
      <w:r w:rsidRPr="00E31FBF">
        <w:rPr>
          <w:lang w:val="fr-FR"/>
        </w:rPr>
        <w:t>Angers, de 2023.</w:t>
      </w:r>
    </w:p>
    <w:p w14:paraId="2074B4C3" w14:textId="77777777" w:rsidR="007A322E" w:rsidRPr="00E31FBF" w:rsidRDefault="007A322E" w:rsidP="007A322E">
      <w:pPr>
        <w:pStyle w:val="SingleTxtG"/>
        <w:rPr>
          <w:lang w:val="fr-FR"/>
        </w:rPr>
      </w:pPr>
      <w:r>
        <w:rPr>
          <w:lang w:val="fr-FR"/>
        </w:rPr>
        <w:t>132</w:t>
      </w:r>
      <w:r w:rsidRPr="00E31FBF">
        <w:rPr>
          <w:lang w:val="fr-FR"/>
        </w:rPr>
        <w:t>.</w:t>
      </w:r>
      <w:r w:rsidRPr="00E31FBF">
        <w:rPr>
          <w:lang w:val="fr-FR"/>
        </w:rPr>
        <w:tab/>
        <w:t>Le Rapporteur spécial a rappelé qu</w:t>
      </w:r>
      <w:r>
        <w:rPr>
          <w:lang w:val="fr-FR"/>
        </w:rPr>
        <w:t>’</w:t>
      </w:r>
      <w:r w:rsidRPr="00E31FBF">
        <w:rPr>
          <w:lang w:val="fr-FR"/>
        </w:rPr>
        <w:t>il avait conclu dans son premier rapport que la pratique des États n</w:t>
      </w:r>
      <w:r>
        <w:rPr>
          <w:lang w:val="fr-FR"/>
        </w:rPr>
        <w:t>’</w:t>
      </w:r>
      <w:r w:rsidRPr="00E31FBF">
        <w:rPr>
          <w:lang w:val="fr-FR"/>
        </w:rPr>
        <w:t>était pas générale, constante ou uniforme et n</w:t>
      </w:r>
      <w:r>
        <w:rPr>
          <w:lang w:val="fr-FR"/>
        </w:rPr>
        <w:t>’</w:t>
      </w:r>
      <w:r w:rsidRPr="00E31FBF">
        <w:rPr>
          <w:lang w:val="fr-FR"/>
        </w:rPr>
        <w:t>ouvrait donc pas la voie à une entreprise de codification dans le cadre du sujet à l</w:t>
      </w:r>
      <w:r>
        <w:rPr>
          <w:lang w:val="fr-FR"/>
        </w:rPr>
        <w:t>’</w:t>
      </w:r>
      <w:r w:rsidRPr="00E31FBF">
        <w:rPr>
          <w:lang w:val="fr-FR"/>
        </w:rPr>
        <w:t>examen. Il a déclaré qu</w:t>
      </w:r>
      <w:r>
        <w:rPr>
          <w:lang w:val="fr-FR"/>
        </w:rPr>
        <w:t>’</w:t>
      </w:r>
      <w:r w:rsidRPr="00E31FBF">
        <w:rPr>
          <w:lang w:val="fr-FR"/>
        </w:rPr>
        <w:t>il fallait faire œuvre de développement progressif dans les domaines où les dispositions de la Convention des Nations Unies sur le droit de la mer présentaient des insuffisances ou des lacunes à combler. Il s</w:t>
      </w:r>
      <w:r>
        <w:rPr>
          <w:lang w:val="fr-FR"/>
        </w:rPr>
        <w:t>’</w:t>
      </w:r>
      <w:r w:rsidRPr="00E31FBF">
        <w:rPr>
          <w:lang w:val="fr-FR"/>
        </w:rPr>
        <w:t>est dit convaincu que les travaux sur le sujet devaient tendre à faire progresser la législation relative à la lutte contre la piraterie sans la modifier fondamentalement.</w:t>
      </w:r>
    </w:p>
    <w:p w14:paraId="384752A4" w14:textId="77777777" w:rsidR="007A322E" w:rsidRPr="00E31FBF" w:rsidRDefault="007A322E" w:rsidP="007A322E">
      <w:pPr>
        <w:pStyle w:val="SingleTxtG"/>
        <w:rPr>
          <w:lang w:val="fr-CA"/>
        </w:rPr>
      </w:pPr>
      <w:r>
        <w:rPr>
          <w:lang w:val="fr-FR"/>
        </w:rPr>
        <w:t>133</w:t>
      </w:r>
      <w:r w:rsidRPr="00E31FBF">
        <w:rPr>
          <w:lang w:val="fr-FR"/>
        </w:rPr>
        <w:t>.</w:t>
      </w:r>
      <w:r w:rsidRPr="00E31FBF">
        <w:rPr>
          <w:lang w:val="fr-FR"/>
        </w:rPr>
        <w:tab/>
        <w:t>Le Rapporteur spécial a constaté que de nombreux membres avaient rappelé qu</w:t>
      </w:r>
      <w:r>
        <w:rPr>
          <w:lang w:val="fr-FR"/>
        </w:rPr>
        <w:t>’</w:t>
      </w:r>
      <w:r w:rsidRPr="00E31FBF">
        <w:rPr>
          <w:lang w:val="fr-FR"/>
        </w:rPr>
        <w:t>il importait de faire la distinction entre piraterie et vol à main armée en mer. Il a reconnu qu</w:t>
      </w:r>
      <w:r>
        <w:rPr>
          <w:lang w:val="fr-FR"/>
        </w:rPr>
        <w:t>’</w:t>
      </w:r>
      <w:r w:rsidRPr="00E31FBF">
        <w:rPr>
          <w:lang w:val="fr-FR"/>
        </w:rPr>
        <w:t>il existait des différences fondamentales entre les deux crimes et a suggéré que le Comité de rédaction discute d</w:t>
      </w:r>
      <w:r>
        <w:rPr>
          <w:lang w:val="fr-FR"/>
        </w:rPr>
        <w:t>’</w:t>
      </w:r>
      <w:r w:rsidRPr="00E31FBF">
        <w:rPr>
          <w:lang w:val="fr-FR"/>
        </w:rPr>
        <w:t>une formulation permettant de tenir compte de ces différences. Il a dûment pris en considération les commentaires des membres selon lesquels il fallait éviter tout double emploi avec les cadres existants.</w:t>
      </w:r>
    </w:p>
    <w:p w14:paraId="233A2117" w14:textId="77777777" w:rsidR="007A322E" w:rsidRPr="00E31FBF" w:rsidRDefault="007A322E" w:rsidP="007A322E">
      <w:pPr>
        <w:pStyle w:val="SingleTxtG"/>
        <w:rPr>
          <w:lang w:val="fr-CA"/>
        </w:rPr>
      </w:pPr>
      <w:r>
        <w:rPr>
          <w:lang w:val="fr-FR"/>
        </w:rPr>
        <w:t>134</w:t>
      </w:r>
      <w:r w:rsidRPr="00E31FBF">
        <w:rPr>
          <w:lang w:val="fr-FR"/>
        </w:rPr>
        <w:t>.</w:t>
      </w:r>
      <w:r w:rsidRPr="00E31FBF">
        <w:rPr>
          <w:lang w:val="fr-FR"/>
        </w:rPr>
        <w:tab/>
        <w:t>En ce qui concerne l</w:t>
      </w:r>
      <w:r>
        <w:rPr>
          <w:lang w:val="fr-FR"/>
        </w:rPr>
        <w:t>’</w:t>
      </w:r>
      <w:r w:rsidRPr="00E31FBF">
        <w:rPr>
          <w:lang w:val="fr-FR"/>
        </w:rPr>
        <w:t>harmonisation des législations nationales, le Rapporteur spécial a expliqué que sa proposition ne consistait pas à dire qu</w:t>
      </w:r>
      <w:r>
        <w:rPr>
          <w:lang w:val="fr-FR"/>
        </w:rPr>
        <w:t>’</w:t>
      </w:r>
      <w:r w:rsidRPr="00E31FBF">
        <w:rPr>
          <w:lang w:val="fr-FR"/>
        </w:rPr>
        <w:t>il faudrait que tous les États du monde adoptent les mêmes lois sur la piraterie. Il a précisé qu</w:t>
      </w:r>
      <w:r>
        <w:rPr>
          <w:lang w:val="fr-FR"/>
        </w:rPr>
        <w:t>’</w:t>
      </w:r>
      <w:r w:rsidRPr="00E31FBF">
        <w:rPr>
          <w:lang w:val="fr-FR"/>
        </w:rPr>
        <w:t>il envisageait une harmonisation au</w:t>
      </w:r>
      <w:r>
        <w:rPr>
          <w:lang w:val="fr-FR"/>
        </w:rPr>
        <w:t>x</w:t>
      </w:r>
      <w:r w:rsidRPr="00E31FBF">
        <w:rPr>
          <w:lang w:val="fr-FR"/>
        </w:rPr>
        <w:t xml:space="preserve"> niveau</w:t>
      </w:r>
      <w:r>
        <w:rPr>
          <w:lang w:val="fr-FR"/>
        </w:rPr>
        <w:t>x</w:t>
      </w:r>
      <w:r w:rsidRPr="00E31FBF">
        <w:rPr>
          <w:lang w:val="fr-FR"/>
        </w:rPr>
        <w:t xml:space="preserve"> régional ou sous-régional, où les États pourraient adopter des lois, sinon uniformes, cohérentes, c</w:t>
      </w:r>
      <w:r>
        <w:rPr>
          <w:lang w:val="fr-FR"/>
        </w:rPr>
        <w:t>’</w:t>
      </w:r>
      <w:r w:rsidRPr="00E31FBF">
        <w:rPr>
          <w:lang w:val="fr-FR"/>
        </w:rPr>
        <w:t xml:space="preserve">est-à-dire plus ou moins </w:t>
      </w:r>
      <w:r>
        <w:rPr>
          <w:lang w:val="fr-FR"/>
        </w:rPr>
        <w:t>comparables</w:t>
      </w:r>
      <w:r w:rsidRPr="00E31FBF">
        <w:rPr>
          <w:lang w:val="fr-FR"/>
        </w:rPr>
        <w:t xml:space="preserve"> sur les plans de la prévention et de l</w:t>
      </w:r>
      <w:r>
        <w:rPr>
          <w:lang w:val="fr-FR"/>
        </w:rPr>
        <w:t>’</w:t>
      </w:r>
      <w:r w:rsidRPr="00E31FBF">
        <w:rPr>
          <w:lang w:val="fr-FR"/>
        </w:rPr>
        <w:t>application de sanctions.</w:t>
      </w:r>
    </w:p>
    <w:p w14:paraId="08143C16" w14:textId="77777777" w:rsidR="007A322E" w:rsidRPr="00E31FBF" w:rsidRDefault="007A322E" w:rsidP="007A322E">
      <w:pPr>
        <w:pStyle w:val="SingleTxtG"/>
        <w:rPr>
          <w:lang w:val="fr-CA"/>
        </w:rPr>
      </w:pPr>
      <w:r>
        <w:rPr>
          <w:lang w:val="fr-FR"/>
        </w:rPr>
        <w:t>135</w:t>
      </w:r>
      <w:r w:rsidRPr="00E31FBF">
        <w:rPr>
          <w:lang w:val="fr-FR"/>
        </w:rPr>
        <w:t>.</w:t>
      </w:r>
      <w:r w:rsidRPr="00E31FBF">
        <w:rPr>
          <w:lang w:val="fr-FR"/>
        </w:rPr>
        <w:tab/>
        <w:t>En ce qui concerne la référence au conflit armé au projet d</w:t>
      </w:r>
      <w:r>
        <w:rPr>
          <w:lang w:val="fr-FR"/>
        </w:rPr>
        <w:t>’</w:t>
      </w:r>
      <w:r w:rsidRPr="00E31FBF">
        <w:rPr>
          <w:lang w:val="fr-FR"/>
        </w:rPr>
        <w:t>article 4, le Rapporteur spécial a expliqué qu</w:t>
      </w:r>
      <w:r>
        <w:rPr>
          <w:lang w:val="fr-FR"/>
        </w:rPr>
        <w:t>’</w:t>
      </w:r>
      <w:r w:rsidRPr="00E31FBF">
        <w:rPr>
          <w:lang w:val="fr-FR"/>
        </w:rPr>
        <w:t>elle servait à placer la question dans un contexte plus large et à préciser que</w:t>
      </w:r>
      <w:r>
        <w:rPr>
          <w:lang w:val="fr-FR"/>
        </w:rPr>
        <w:t xml:space="preserve"> </w:t>
      </w:r>
      <w:r w:rsidRPr="00E31FBF">
        <w:rPr>
          <w:lang w:val="fr-FR"/>
        </w:rPr>
        <w:t xml:space="preserve">le statut </w:t>
      </w:r>
      <w:r>
        <w:rPr>
          <w:lang w:val="fr-FR"/>
        </w:rPr>
        <w:t xml:space="preserve">juridique </w:t>
      </w:r>
      <w:r w:rsidRPr="00E31FBF">
        <w:rPr>
          <w:lang w:val="fr-FR"/>
        </w:rPr>
        <w:t>de la piraterie était identique en temps de paix et en temps de conflit armé.</w:t>
      </w:r>
    </w:p>
    <w:p w14:paraId="0B51CB79" w14:textId="77777777" w:rsidR="007A322E" w:rsidRPr="00E31FBF" w:rsidRDefault="007A322E" w:rsidP="007A322E">
      <w:pPr>
        <w:pStyle w:val="SingleTxtG"/>
        <w:rPr>
          <w:lang w:val="fr-CA"/>
        </w:rPr>
      </w:pPr>
      <w:r>
        <w:rPr>
          <w:lang w:val="fr-FR"/>
        </w:rPr>
        <w:t>136</w:t>
      </w:r>
      <w:r w:rsidRPr="00E31FBF">
        <w:rPr>
          <w:lang w:val="fr-FR"/>
        </w:rPr>
        <w:t>.</w:t>
      </w:r>
      <w:r w:rsidRPr="00E31FBF">
        <w:rPr>
          <w:lang w:val="fr-FR"/>
        </w:rPr>
        <w:tab/>
        <w:t>En ce qui concerne le projet d</w:t>
      </w:r>
      <w:r>
        <w:rPr>
          <w:lang w:val="fr-FR"/>
        </w:rPr>
        <w:t>’</w:t>
      </w:r>
      <w:r w:rsidRPr="00E31FBF">
        <w:rPr>
          <w:lang w:val="fr-FR"/>
        </w:rPr>
        <w:t>article 5, le Rapporteur spécial a indiqué qu</w:t>
      </w:r>
      <w:r>
        <w:rPr>
          <w:lang w:val="fr-FR"/>
        </w:rPr>
        <w:t>’</w:t>
      </w:r>
      <w:r w:rsidRPr="00E31FBF">
        <w:rPr>
          <w:lang w:val="fr-FR"/>
        </w:rPr>
        <w:t>il tenait à proposer une disposition sur la prévention, estimant qu</w:t>
      </w:r>
      <w:r>
        <w:rPr>
          <w:lang w:val="fr-FR"/>
        </w:rPr>
        <w:t>’</w:t>
      </w:r>
      <w:r w:rsidRPr="00E31FBF">
        <w:rPr>
          <w:lang w:val="fr-FR"/>
        </w:rPr>
        <w:t>elle découlait naturellement de l</w:t>
      </w:r>
      <w:r>
        <w:rPr>
          <w:lang w:val="fr-FR"/>
        </w:rPr>
        <w:t>’</w:t>
      </w:r>
      <w:r w:rsidRPr="00E31FBF">
        <w:rPr>
          <w:lang w:val="fr-FR"/>
        </w:rPr>
        <w:t>obligation de coopérer au sens de l</w:t>
      </w:r>
      <w:r>
        <w:rPr>
          <w:lang w:val="fr-FR"/>
        </w:rPr>
        <w:t>’</w:t>
      </w:r>
      <w:r w:rsidRPr="00E31FBF">
        <w:rPr>
          <w:lang w:val="fr-FR"/>
        </w:rPr>
        <w:t>article 100 de la Convention des Nations Unies sur le droit de la mer. S</w:t>
      </w:r>
      <w:r>
        <w:rPr>
          <w:lang w:val="fr-FR"/>
        </w:rPr>
        <w:t>’</w:t>
      </w:r>
      <w:r w:rsidRPr="00E31FBF">
        <w:rPr>
          <w:lang w:val="fr-FR"/>
        </w:rPr>
        <w:t>il a noté que cet article ne faisait pas mention de l</w:t>
      </w:r>
      <w:r>
        <w:rPr>
          <w:lang w:val="fr-FR"/>
        </w:rPr>
        <w:t>’</w:t>
      </w:r>
      <w:r w:rsidRPr="00E31FBF">
        <w:rPr>
          <w:lang w:val="fr-FR"/>
        </w:rPr>
        <w:t>obligation de prévention, il a rappelé que l</w:t>
      </w:r>
      <w:r>
        <w:rPr>
          <w:lang w:val="fr-FR"/>
        </w:rPr>
        <w:t>’</w:t>
      </w:r>
      <w:r w:rsidRPr="00E31FBF">
        <w:rPr>
          <w:lang w:val="fr-FR"/>
        </w:rPr>
        <w:t>Institut de droit international avait fait remarquer dans son rapport de 2023</w:t>
      </w:r>
      <w:r w:rsidRPr="00E31FBF">
        <w:rPr>
          <w:rStyle w:val="Appelnotedebasdep"/>
          <w:lang w:val="fr-FR"/>
        </w:rPr>
        <w:footnoteReference w:id="207"/>
      </w:r>
      <w:r w:rsidRPr="00E31FBF">
        <w:rPr>
          <w:lang w:val="fr-FR"/>
        </w:rPr>
        <w:t xml:space="preserve"> que l</w:t>
      </w:r>
      <w:r>
        <w:rPr>
          <w:lang w:val="fr-FR"/>
        </w:rPr>
        <w:t>’</w:t>
      </w:r>
      <w:r w:rsidRPr="00E31FBF">
        <w:rPr>
          <w:lang w:val="fr-FR"/>
        </w:rPr>
        <w:t>obligation de répression incluait ou englobait l</w:t>
      </w:r>
      <w:r>
        <w:rPr>
          <w:lang w:val="fr-FR"/>
        </w:rPr>
        <w:t>’</w:t>
      </w:r>
      <w:r w:rsidRPr="00E31FBF">
        <w:rPr>
          <w:lang w:val="fr-FR"/>
        </w:rPr>
        <w:t>obligation de prévention et qu</w:t>
      </w:r>
      <w:r>
        <w:rPr>
          <w:lang w:val="fr-FR"/>
        </w:rPr>
        <w:t>’</w:t>
      </w:r>
      <w:r w:rsidRPr="00E31FBF">
        <w:rPr>
          <w:lang w:val="fr-FR"/>
        </w:rPr>
        <w:t>il n</w:t>
      </w:r>
      <w:r>
        <w:rPr>
          <w:lang w:val="fr-FR"/>
        </w:rPr>
        <w:t>’</w:t>
      </w:r>
      <w:r w:rsidRPr="00E31FBF">
        <w:rPr>
          <w:lang w:val="fr-FR"/>
        </w:rPr>
        <w:t>y avait pas lieu de faire une distinction entre les deux.</w:t>
      </w:r>
    </w:p>
    <w:p w14:paraId="5BF78C44" w14:textId="77777777" w:rsidR="007A322E" w:rsidRDefault="007A322E" w:rsidP="007A322E">
      <w:pPr>
        <w:pStyle w:val="SingleTxtG"/>
        <w:rPr>
          <w:lang w:val="fr-FR"/>
        </w:rPr>
      </w:pPr>
      <w:r>
        <w:rPr>
          <w:lang w:val="fr-FR"/>
        </w:rPr>
        <w:lastRenderedPageBreak/>
        <w:t>137</w:t>
      </w:r>
      <w:r w:rsidRPr="00E31FBF">
        <w:rPr>
          <w:lang w:val="fr-FR"/>
        </w:rPr>
        <w:t>.</w:t>
      </w:r>
      <w:r>
        <w:rPr>
          <w:lang w:val="fr-FR"/>
        </w:rPr>
        <w:tab/>
      </w:r>
      <w:r w:rsidRPr="00E31FBF">
        <w:rPr>
          <w:lang w:val="fr-FR"/>
        </w:rPr>
        <w:t>En conclusion, le Rapporteur spécial a remercié les membres de leurs observations et propositions et dit qu</w:t>
      </w:r>
      <w:r>
        <w:rPr>
          <w:lang w:val="fr-FR"/>
        </w:rPr>
        <w:t>’</w:t>
      </w:r>
      <w:r w:rsidRPr="00E31FBF">
        <w:rPr>
          <w:lang w:val="fr-FR"/>
        </w:rPr>
        <w:t>il espérait que le sujet dans son ensemble et l</w:t>
      </w:r>
      <w:r>
        <w:rPr>
          <w:lang w:val="fr-FR"/>
        </w:rPr>
        <w:t>’</w:t>
      </w:r>
      <w:r w:rsidRPr="00E31FBF">
        <w:rPr>
          <w:lang w:val="fr-FR"/>
        </w:rPr>
        <w:t>orientation future à lui donner feraient l</w:t>
      </w:r>
      <w:r>
        <w:rPr>
          <w:lang w:val="fr-FR"/>
        </w:rPr>
        <w:t>’</w:t>
      </w:r>
      <w:r w:rsidRPr="00E31FBF">
        <w:rPr>
          <w:lang w:val="fr-FR"/>
        </w:rPr>
        <w:t>objet d</w:t>
      </w:r>
      <w:r>
        <w:rPr>
          <w:lang w:val="fr-FR"/>
        </w:rPr>
        <w:t>’</w:t>
      </w:r>
      <w:r w:rsidRPr="00E31FBF">
        <w:rPr>
          <w:lang w:val="fr-FR"/>
        </w:rPr>
        <w:t>une discussion constructive au sein du Comité de rédaction.</w:t>
      </w:r>
    </w:p>
    <w:p w14:paraId="6933840C" w14:textId="3914C7CD" w:rsidR="00244EE0" w:rsidRDefault="00244EE0" w:rsidP="00244EE0">
      <w:pPr>
        <w:pStyle w:val="HChG"/>
        <w:rPr>
          <w:lang w:val="fr-FR"/>
        </w:rPr>
      </w:pPr>
      <w:r>
        <w:rPr>
          <w:lang w:val="fr-FR"/>
        </w:rPr>
        <w:br w:type="page"/>
      </w:r>
    </w:p>
    <w:p w14:paraId="605EA10F" w14:textId="77777777" w:rsidR="003F7DA4" w:rsidRPr="0048459D" w:rsidRDefault="003F7DA4" w:rsidP="003F7DA4">
      <w:pPr>
        <w:pStyle w:val="HChG"/>
        <w:rPr>
          <w:shd w:val="clear" w:color="000000" w:fill="FFFFFF"/>
          <w:lang w:val="fr-FR"/>
        </w:rPr>
      </w:pPr>
      <w:r w:rsidRPr="0048459D">
        <w:rPr>
          <w:lang w:val="fr-FR"/>
        </w:rPr>
        <w:lastRenderedPageBreak/>
        <w:tab/>
      </w:r>
      <w:r w:rsidRPr="0048459D">
        <w:rPr>
          <w:lang w:val="fr-FR"/>
        </w:rPr>
        <w:tab/>
      </w:r>
      <w:r w:rsidRPr="0048459D">
        <w:rPr>
          <w:lang w:val="fr-FR"/>
        </w:rPr>
        <w:tab/>
        <w:t>Chapitre VII</w:t>
      </w:r>
      <w:r w:rsidRPr="0048459D">
        <w:rPr>
          <w:lang w:val="fr-FR"/>
        </w:rPr>
        <w:br/>
      </w:r>
      <w:bookmarkStart w:id="81" w:name="_Hlk175322963"/>
      <w:r w:rsidRPr="0048459D">
        <w:rPr>
          <w:lang w:val="fr-FR"/>
        </w:rPr>
        <w:tab/>
        <w:t>Immunité de juridiction pénale étrangère des représentants de l</w:t>
      </w:r>
      <w:r>
        <w:rPr>
          <w:lang w:val="fr-FR"/>
        </w:rPr>
        <w:t>’</w:t>
      </w:r>
      <w:r w:rsidRPr="0048459D">
        <w:rPr>
          <w:lang w:val="fr-FR"/>
        </w:rPr>
        <w:t>État</w:t>
      </w:r>
      <w:bookmarkEnd w:id="81"/>
    </w:p>
    <w:p w14:paraId="295596E4" w14:textId="77777777" w:rsidR="003F7DA4" w:rsidRPr="0048459D" w:rsidRDefault="003F7DA4" w:rsidP="003F7DA4">
      <w:pPr>
        <w:pStyle w:val="H1G"/>
        <w:rPr>
          <w:lang w:val="fr-FR"/>
        </w:rPr>
      </w:pPr>
      <w:r w:rsidRPr="0048459D">
        <w:rPr>
          <w:lang w:val="fr-FR"/>
        </w:rPr>
        <w:tab/>
        <w:t>A.</w:t>
      </w:r>
      <w:r w:rsidRPr="0048459D">
        <w:rPr>
          <w:lang w:val="fr-FR"/>
        </w:rPr>
        <w:tab/>
      </w:r>
      <w:bookmarkStart w:id="82" w:name="_Hlk175323571"/>
      <w:r w:rsidRPr="0048459D">
        <w:rPr>
          <w:lang w:val="fr-FR"/>
        </w:rPr>
        <w:t>Introduction</w:t>
      </w:r>
      <w:bookmarkStart w:id="83" w:name="_Toc522896403"/>
      <w:bookmarkStart w:id="84" w:name="_Toc523727713"/>
      <w:bookmarkStart w:id="85" w:name="_Toc17455466"/>
      <w:bookmarkStart w:id="86" w:name="_Toc19001816"/>
      <w:bookmarkStart w:id="87" w:name="_Toc80171851"/>
      <w:bookmarkStart w:id="88" w:name="_Toc111554732"/>
      <w:bookmarkStart w:id="89" w:name="_Toc111555114"/>
      <w:bookmarkEnd w:id="83"/>
      <w:bookmarkEnd w:id="84"/>
      <w:bookmarkEnd w:id="85"/>
      <w:bookmarkEnd w:id="86"/>
      <w:bookmarkEnd w:id="87"/>
      <w:bookmarkEnd w:id="88"/>
      <w:bookmarkEnd w:id="89"/>
      <w:bookmarkEnd w:id="82"/>
    </w:p>
    <w:p w14:paraId="538A6585" w14:textId="77777777" w:rsidR="003F7DA4" w:rsidRPr="0048459D" w:rsidRDefault="003F7DA4" w:rsidP="003F7DA4">
      <w:pPr>
        <w:pStyle w:val="SingleTxtG"/>
        <w:rPr>
          <w:rStyle w:val="Appelnotedebasdep"/>
          <w:lang w:val="fr-FR"/>
        </w:rPr>
      </w:pPr>
      <w:r w:rsidRPr="0048459D">
        <w:rPr>
          <w:lang w:val="fr-FR"/>
        </w:rPr>
        <w:t>1</w:t>
      </w:r>
      <w:r>
        <w:rPr>
          <w:lang w:val="fr-FR"/>
        </w:rPr>
        <w:t>38</w:t>
      </w:r>
      <w:r w:rsidRPr="0048459D">
        <w:rPr>
          <w:lang w:val="fr-FR"/>
        </w:rPr>
        <w:t>.</w:t>
      </w:r>
      <w:r w:rsidRPr="0048459D">
        <w:rPr>
          <w:lang w:val="fr-FR"/>
        </w:rPr>
        <w:tab/>
        <w:t>À sa cinquante-neuvième session (2007), la Commission a décidé d</w:t>
      </w:r>
      <w:r>
        <w:rPr>
          <w:lang w:val="fr-FR"/>
        </w:rPr>
        <w:t>’</w:t>
      </w:r>
      <w:r w:rsidRPr="0048459D">
        <w:rPr>
          <w:lang w:val="fr-FR"/>
        </w:rPr>
        <w:t>inscrire le sujet « Immunité de juridiction pénale étrangère des représentants de l</w:t>
      </w:r>
      <w:r>
        <w:rPr>
          <w:lang w:val="fr-FR"/>
        </w:rPr>
        <w:t>’</w:t>
      </w:r>
      <w:r w:rsidRPr="0048459D">
        <w:rPr>
          <w:lang w:val="fr-FR"/>
        </w:rPr>
        <w:t xml:space="preserve">État » à son programme de travail et a désigné M. Roman A. </w:t>
      </w:r>
      <w:proofErr w:type="spellStart"/>
      <w:r w:rsidRPr="0048459D">
        <w:rPr>
          <w:lang w:val="fr-FR"/>
        </w:rPr>
        <w:t>Kolodkin</w:t>
      </w:r>
      <w:proofErr w:type="spellEnd"/>
      <w:r w:rsidRPr="0048459D">
        <w:rPr>
          <w:lang w:val="fr-FR"/>
        </w:rPr>
        <w:t xml:space="preserve"> Rapporteur spécial</w:t>
      </w:r>
      <w:r w:rsidRPr="0048459D">
        <w:rPr>
          <w:rStyle w:val="Appelnotedebasdep"/>
          <w:lang w:val="fr-FR"/>
        </w:rPr>
        <w:footnoteReference w:id="208"/>
      </w:r>
      <w:r w:rsidRPr="0048459D">
        <w:rPr>
          <w:lang w:val="fr-FR"/>
        </w:rPr>
        <w:t>. À la même session, elle a prié le Secrétariat d</w:t>
      </w:r>
      <w:r>
        <w:rPr>
          <w:lang w:val="fr-FR"/>
        </w:rPr>
        <w:t>’</w:t>
      </w:r>
      <w:r w:rsidRPr="0048459D">
        <w:rPr>
          <w:lang w:val="fr-FR"/>
        </w:rPr>
        <w:t>établir une étude sur le sujet, laquelle lui a été communiquée à sa soixantième session (2008)</w:t>
      </w:r>
      <w:r w:rsidRPr="0048459D">
        <w:rPr>
          <w:rStyle w:val="Appelnotedebasdep"/>
          <w:lang w:val="fr-FR"/>
        </w:rPr>
        <w:footnoteReference w:id="209"/>
      </w:r>
      <w:r w:rsidRPr="0048459D">
        <w:rPr>
          <w:lang w:val="fr-FR"/>
        </w:rPr>
        <w:t>.</w:t>
      </w:r>
    </w:p>
    <w:p w14:paraId="7F657E19" w14:textId="77777777" w:rsidR="003F7DA4" w:rsidRPr="0048459D" w:rsidRDefault="003F7DA4" w:rsidP="003F7DA4">
      <w:pPr>
        <w:pStyle w:val="SingleTxtG"/>
        <w:rPr>
          <w:rStyle w:val="Appelnotedebasdep"/>
          <w:lang w:val="fr-FR"/>
        </w:rPr>
      </w:pPr>
      <w:r>
        <w:rPr>
          <w:lang w:val="fr-FR"/>
        </w:rPr>
        <w:t>139</w:t>
      </w:r>
      <w:r w:rsidRPr="0048459D">
        <w:rPr>
          <w:lang w:val="fr-FR"/>
        </w:rPr>
        <w:t>.</w:t>
      </w:r>
      <w:r w:rsidRPr="0048459D">
        <w:rPr>
          <w:lang w:val="fr-FR"/>
        </w:rPr>
        <w:tab/>
        <w:t>Le Rapporteur spécial a présenté trois rapports. La Commission a reçu et examiné le rapport préliminaire à sa soixantième session (2008) et les deuxième et troisième rapports à sa soixante-troisième session (2011)</w:t>
      </w:r>
      <w:r w:rsidRPr="0048459D">
        <w:rPr>
          <w:rStyle w:val="Appelnotedebasdep"/>
          <w:lang w:val="fr-FR"/>
        </w:rPr>
        <w:footnoteReference w:id="210"/>
      </w:r>
      <w:r w:rsidRPr="0048459D">
        <w:rPr>
          <w:lang w:val="fr-FR"/>
        </w:rPr>
        <w:t>. Elle n</w:t>
      </w:r>
      <w:r>
        <w:rPr>
          <w:lang w:val="fr-FR"/>
        </w:rPr>
        <w:t>’</w:t>
      </w:r>
      <w:r w:rsidRPr="0048459D">
        <w:rPr>
          <w:lang w:val="fr-FR"/>
        </w:rPr>
        <w:t>a pas pu examiner le sujet à ses soixante et unième et soixante-deuxième session</w:t>
      </w:r>
      <w:r>
        <w:rPr>
          <w:lang w:val="fr-FR"/>
        </w:rPr>
        <w:t>s</w:t>
      </w:r>
      <w:r w:rsidRPr="0048459D">
        <w:rPr>
          <w:lang w:val="fr-FR"/>
        </w:rPr>
        <w:t xml:space="preserve"> (2009 et 2010)</w:t>
      </w:r>
      <w:r w:rsidRPr="0048459D">
        <w:rPr>
          <w:rStyle w:val="Appelnotedebasdep"/>
          <w:lang w:val="fr-FR"/>
        </w:rPr>
        <w:footnoteReference w:id="211"/>
      </w:r>
      <w:r w:rsidRPr="0048459D">
        <w:rPr>
          <w:lang w:val="fr-FR"/>
        </w:rPr>
        <w:t>.</w:t>
      </w:r>
    </w:p>
    <w:p w14:paraId="73A37CAA" w14:textId="36804BCF" w:rsidR="003F7DA4" w:rsidRPr="0048459D" w:rsidRDefault="003F7DA4" w:rsidP="003F7DA4">
      <w:pPr>
        <w:pStyle w:val="SingleTxtG"/>
        <w:rPr>
          <w:lang w:val="fr-FR"/>
        </w:rPr>
      </w:pPr>
      <w:r>
        <w:rPr>
          <w:lang w:val="fr-FR"/>
        </w:rPr>
        <w:t>140</w:t>
      </w:r>
      <w:r w:rsidRPr="0048459D">
        <w:rPr>
          <w:lang w:val="fr-FR"/>
        </w:rPr>
        <w:t>.</w:t>
      </w:r>
      <w:r w:rsidRPr="0048459D">
        <w:rPr>
          <w:lang w:val="fr-FR"/>
        </w:rPr>
        <w:tab/>
        <w:t>À sa soixante-quatrième session (2012), la Commission a nommé M</w:t>
      </w:r>
      <w:r w:rsidRPr="0048459D">
        <w:rPr>
          <w:vertAlign w:val="superscript"/>
          <w:lang w:val="fr-FR"/>
        </w:rPr>
        <w:t>me</w:t>
      </w:r>
      <w:r w:rsidRPr="0048459D">
        <w:rPr>
          <w:lang w:val="fr-FR"/>
        </w:rPr>
        <w:t> Concepción</w:t>
      </w:r>
      <w:r>
        <w:rPr>
          <w:lang w:val="fr-FR"/>
        </w:rPr>
        <w:t> </w:t>
      </w:r>
      <w:r w:rsidRPr="0048459D">
        <w:rPr>
          <w:lang w:val="fr-FR"/>
        </w:rPr>
        <w:t>Escobar Hernández Rapporteuse spéciale en remplacement de M. </w:t>
      </w:r>
      <w:proofErr w:type="spellStart"/>
      <w:r w:rsidRPr="0048459D">
        <w:rPr>
          <w:lang w:val="fr-FR"/>
        </w:rPr>
        <w:t>Kolodkin</w:t>
      </w:r>
      <w:proofErr w:type="spellEnd"/>
      <w:r w:rsidRPr="0048459D">
        <w:rPr>
          <w:lang w:val="fr-FR"/>
        </w:rPr>
        <w:t>, qui n</w:t>
      </w:r>
      <w:r>
        <w:rPr>
          <w:lang w:val="fr-FR"/>
        </w:rPr>
        <w:t>’</w:t>
      </w:r>
      <w:r w:rsidRPr="0048459D">
        <w:rPr>
          <w:lang w:val="fr-FR"/>
        </w:rPr>
        <w:t>était plus membre de la Commission</w:t>
      </w:r>
      <w:r w:rsidRPr="0048459D">
        <w:rPr>
          <w:rStyle w:val="Appelnotedebasdep"/>
          <w:lang w:val="fr-FR"/>
        </w:rPr>
        <w:footnoteReference w:id="212"/>
      </w:r>
      <w:r w:rsidRPr="0048459D">
        <w:rPr>
          <w:lang w:val="fr-FR"/>
        </w:rPr>
        <w:t>. La Rapporteuse spéciale a présenté huit rapports. La Commission a reçu et examiné le rapport préliminaire de la Rapporteuse spéciale à la même session (2012), le deuxième rapport à sa soixante-cinquième session (2013), le troisième rapport à sa soixante-sixième session (2014), le quatrième rapport à sa soixante-septième session (2015), le cinquième rapport à ses soixante-huitième et soixante-neuvième sessions (2016 et 2017), le sixième rapport à ses soixante-dixième et soixante et onzième sessions (2018 et 2019), le septième rapport à sa soixante et onzième session (2019) et le huitième rapport à sa soixante-douzième session (2021)</w:t>
      </w:r>
      <w:r w:rsidRPr="0048459D">
        <w:rPr>
          <w:rStyle w:val="Appelnotedebasdep"/>
          <w:lang w:val="fr-FR"/>
        </w:rPr>
        <w:footnoteReference w:id="213"/>
      </w:r>
      <w:r w:rsidRPr="0048459D">
        <w:rPr>
          <w:lang w:val="fr-FR"/>
        </w:rPr>
        <w:t>.</w:t>
      </w:r>
    </w:p>
    <w:p w14:paraId="61F28210" w14:textId="77777777" w:rsidR="003F7DA4" w:rsidRPr="0048459D" w:rsidRDefault="003F7DA4" w:rsidP="003F7DA4">
      <w:pPr>
        <w:pStyle w:val="SingleTxtG"/>
        <w:rPr>
          <w:lang w:val="fr-FR"/>
        </w:rPr>
      </w:pPr>
      <w:r>
        <w:rPr>
          <w:lang w:val="fr-FR"/>
        </w:rPr>
        <w:t>141</w:t>
      </w:r>
      <w:r w:rsidRPr="0048459D">
        <w:rPr>
          <w:lang w:val="fr-FR"/>
        </w:rPr>
        <w:t>.</w:t>
      </w:r>
      <w:r w:rsidRPr="0048459D">
        <w:rPr>
          <w:lang w:val="fr-FR"/>
        </w:rPr>
        <w:tab/>
        <w:t>À sa soixante-treizième session (2022), la Commission a adopté en première lecture l</w:t>
      </w:r>
      <w:r>
        <w:rPr>
          <w:lang w:val="fr-FR"/>
        </w:rPr>
        <w:t>’</w:t>
      </w:r>
      <w:r w:rsidRPr="0048459D">
        <w:rPr>
          <w:lang w:val="fr-FR"/>
        </w:rPr>
        <w:t>ensemble du projet d</w:t>
      </w:r>
      <w:r>
        <w:rPr>
          <w:lang w:val="fr-FR"/>
        </w:rPr>
        <w:t>’</w:t>
      </w:r>
      <w:r w:rsidRPr="0048459D">
        <w:rPr>
          <w:lang w:val="fr-FR"/>
        </w:rPr>
        <w:t>articles sur l</w:t>
      </w:r>
      <w:r>
        <w:rPr>
          <w:lang w:val="fr-FR"/>
        </w:rPr>
        <w:t>’</w:t>
      </w:r>
      <w:r w:rsidRPr="0048459D">
        <w:rPr>
          <w:lang w:val="fr-FR"/>
        </w:rPr>
        <w:t>immunité de juridiction pénale étrangère des représentants de l</w:t>
      </w:r>
      <w:r>
        <w:rPr>
          <w:lang w:val="fr-FR"/>
        </w:rPr>
        <w:t>’</w:t>
      </w:r>
      <w:r w:rsidRPr="0048459D">
        <w:rPr>
          <w:lang w:val="fr-FR"/>
        </w:rPr>
        <w:t>État, qui se compose de 18 projets d</w:t>
      </w:r>
      <w:r>
        <w:rPr>
          <w:lang w:val="fr-FR"/>
        </w:rPr>
        <w:t>’</w:t>
      </w:r>
      <w:r w:rsidRPr="0048459D">
        <w:rPr>
          <w:lang w:val="fr-FR"/>
        </w:rPr>
        <w:t>article et d</w:t>
      </w:r>
      <w:r>
        <w:rPr>
          <w:lang w:val="fr-FR"/>
        </w:rPr>
        <w:t>’</w:t>
      </w:r>
      <w:r w:rsidRPr="0048459D">
        <w:rPr>
          <w:lang w:val="fr-FR"/>
        </w:rPr>
        <w:t>un projet d</w:t>
      </w:r>
      <w:r>
        <w:rPr>
          <w:lang w:val="fr-FR"/>
        </w:rPr>
        <w:t>’</w:t>
      </w:r>
      <w:r w:rsidRPr="0048459D">
        <w:rPr>
          <w:lang w:val="fr-FR"/>
        </w:rPr>
        <w:t>annexe ainsi que des commentaires y relatifs</w:t>
      </w:r>
      <w:r w:rsidRPr="0048459D">
        <w:rPr>
          <w:rStyle w:val="Appelnotedebasdep"/>
          <w:lang w:val="fr-FR"/>
        </w:rPr>
        <w:footnoteReference w:id="214"/>
      </w:r>
      <w:r w:rsidRPr="0048459D">
        <w:rPr>
          <w:lang w:val="fr-FR"/>
        </w:rPr>
        <w:t>. Elle a décidé, conformément aux articles 16 à 21 de son statut, de transmettre ces projets d</w:t>
      </w:r>
      <w:r>
        <w:rPr>
          <w:lang w:val="fr-FR"/>
        </w:rPr>
        <w:t>’</w:t>
      </w:r>
      <w:r w:rsidRPr="0048459D">
        <w:rPr>
          <w:lang w:val="fr-FR"/>
        </w:rPr>
        <w:t>article aux États, par l</w:t>
      </w:r>
      <w:r>
        <w:rPr>
          <w:lang w:val="fr-FR"/>
        </w:rPr>
        <w:t>’</w:t>
      </w:r>
      <w:r w:rsidRPr="0048459D">
        <w:rPr>
          <w:lang w:val="fr-FR"/>
        </w:rPr>
        <w:t>entremise du Secrétaire général, pour commentaires et observations</w:t>
      </w:r>
      <w:r w:rsidRPr="0048459D">
        <w:rPr>
          <w:rStyle w:val="Appelnotedebasdep"/>
          <w:lang w:val="fr-FR"/>
        </w:rPr>
        <w:footnoteReference w:id="215"/>
      </w:r>
      <w:r w:rsidRPr="0048459D">
        <w:rPr>
          <w:lang w:val="fr-FR"/>
        </w:rPr>
        <w:t>.</w:t>
      </w:r>
    </w:p>
    <w:p w14:paraId="2F7486D7" w14:textId="1EABC4F8" w:rsidR="003F7DA4" w:rsidRPr="0048459D" w:rsidRDefault="003F7DA4" w:rsidP="003F7DA4">
      <w:pPr>
        <w:pStyle w:val="SingleTxtG"/>
        <w:rPr>
          <w:lang w:val="fr-FR"/>
        </w:rPr>
      </w:pPr>
      <w:r>
        <w:rPr>
          <w:lang w:val="fr-FR"/>
        </w:rPr>
        <w:t>142</w:t>
      </w:r>
      <w:r w:rsidRPr="0048459D">
        <w:rPr>
          <w:lang w:val="fr-FR"/>
        </w:rPr>
        <w:t>.</w:t>
      </w:r>
      <w:r w:rsidRPr="0048459D">
        <w:rPr>
          <w:lang w:val="fr-FR"/>
        </w:rPr>
        <w:tab/>
        <w:t>À sa soixante-quatorzième session (2023), la Commission a nommé M. Claudio</w:t>
      </w:r>
      <w:r>
        <w:rPr>
          <w:lang w:val="fr-FR"/>
        </w:rPr>
        <w:t> </w:t>
      </w:r>
      <w:r w:rsidRPr="0048459D">
        <w:rPr>
          <w:lang w:val="fr-FR"/>
        </w:rPr>
        <w:t xml:space="preserve">Grossman </w:t>
      </w:r>
      <w:proofErr w:type="spellStart"/>
      <w:r w:rsidRPr="0048459D">
        <w:rPr>
          <w:lang w:val="fr-FR"/>
        </w:rPr>
        <w:t>Guiloff</w:t>
      </w:r>
      <w:proofErr w:type="spellEnd"/>
      <w:r w:rsidRPr="0048459D">
        <w:rPr>
          <w:lang w:val="fr-FR"/>
        </w:rPr>
        <w:t xml:space="preserve"> Rapporteur spécial en remplacement de M</w:t>
      </w:r>
      <w:r w:rsidRPr="0048459D">
        <w:rPr>
          <w:vertAlign w:val="superscript"/>
          <w:lang w:val="fr-FR"/>
        </w:rPr>
        <w:t>me</w:t>
      </w:r>
      <w:r w:rsidRPr="0048459D">
        <w:rPr>
          <w:lang w:val="fr-FR"/>
        </w:rPr>
        <w:t> Escobar</w:t>
      </w:r>
      <w:r>
        <w:rPr>
          <w:lang w:val="fr-FR"/>
        </w:rPr>
        <w:t> </w:t>
      </w:r>
      <w:r w:rsidRPr="0048459D">
        <w:rPr>
          <w:lang w:val="fr-FR"/>
        </w:rPr>
        <w:t>Hernández, qui n</w:t>
      </w:r>
      <w:r>
        <w:rPr>
          <w:lang w:val="fr-FR"/>
        </w:rPr>
        <w:t>’</w:t>
      </w:r>
      <w:r w:rsidRPr="0048459D">
        <w:rPr>
          <w:lang w:val="fr-FR"/>
        </w:rPr>
        <w:t>était plus membre de la Commission</w:t>
      </w:r>
      <w:r w:rsidRPr="0048459D">
        <w:rPr>
          <w:rStyle w:val="Appelnotedebasdep"/>
          <w:lang w:val="fr-FR"/>
        </w:rPr>
        <w:footnoteReference w:id="216"/>
      </w:r>
      <w:r w:rsidRPr="0048459D">
        <w:rPr>
          <w:lang w:val="fr-FR"/>
        </w:rPr>
        <w:t>.</w:t>
      </w:r>
    </w:p>
    <w:p w14:paraId="2465B695" w14:textId="77777777" w:rsidR="003F7DA4" w:rsidRPr="0048459D" w:rsidRDefault="003F7DA4" w:rsidP="003F7DA4">
      <w:pPr>
        <w:pStyle w:val="H1G"/>
        <w:rPr>
          <w:lang w:val="fr-FR"/>
        </w:rPr>
      </w:pPr>
      <w:r w:rsidRPr="0048459D">
        <w:rPr>
          <w:lang w:val="fr-FR"/>
        </w:rPr>
        <w:lastRenderedPageBreak/>
        <w:tab/>
        <w:t>B.</w:t>
      </w:r>
      <w:r w:rsidRPr="0048459D">
        <w:rPr>
          <w:lang w:val="fr-FR"/>
        </w:rPr>
        <w:tab/>
      </w:r>
      <w:bookmarkStart w:id="90" w:name="_Hlk175323578"/>
      <w:r w:rsidRPr="0048459D">
        <w:rPr>
          <w:lang w:val="fr-FR"/>
        </w:rPr>
        <w:t>Examen du sujet à la présente session</w:t>
      </w:r>
      <w:bookmarkStart w:id="91" w:name="_Toc398107312"/>
      <w:bookmarkStart w:id="92" w:name="_Toc427938137"/>
      <w:bookmarkStart w:id="93" w:name="_Toc522896404"/>
      <w:bookmarkStart w:id="94" w:name="_Toc523727714"/>
      <w:bookmarkStart w:id="95" w:name="_Toc17455467"/>
      <w:bookmarkStart w:id="96" w:name="_Toc19001817"/>
      <w:bookmarkStart w:id="97" w:name="_Toc80171852"/>
      <w:bookmarkStart w:id="98" w:name="_Toc111554733"/>
      <w:bookmarkStart w:id="99" w:name="_Toc111555115"/>
      <w:bookmarkEnd w:id="91"/>
      <w:bookmarkEnd w:id="92"/>
      <w:bookmarkEnd w:id="93"/>
      <w:bookmarkEnd w:id="94"/>
      <w:bookmarkEnd w:id="95"/>
      <w:bookmarkEnd w:id="96"/>
      <w:bookmarkEnd w:id="97"/>
      <w:bookmarkEnd w:id="98"/>
      <w:bookmarkEnd w:id="99"/>
      <w:bookmarkEnd w:id="90"/>
    </w:p>
    <w:p w14:paraId="6D1A28C0" w14:textId="7F117AB2" w:rsidR="003F7DA4" w:rsidRPr="0048459D" w:rsidRDefault="003F7DA4" w:rsidP="003F7DA4">
      <w:pPr>
        <w:pStyle w:val="SingleTxtG"/>
        <w:rPr>
          <w:lang w:val="fr-FR"/>
        </w:rPr>
      </w:pPr>
      <w:r>
        <w:rPr>
          <w:lang w:val="fr-FR"/>
        </w:rPr>
        <w:t>143</w:t>
      </w:r>
      <w:r w:rsidRPr="0048459D">
        <w:rPr>
          <w:lang w:val="fr-FR"/>
        </w:rPr>
        <w:t>.</w:t>
      </w:r>
      <w:r w:rsidRPr="0048459D">
        <w:rPr>
          <w:lang w:val="fr-FR"/>
        </w:rPr>
        <w:tab/>
        <w:t>À la présente session, la Commission était saisie du premier rapport du Rapporteur spécial (</w:t>
      </w:r>
      <w:hyperlink r:id="rId63" w:history="1">
        <w:r w:rsidRPr="0048459D">
          <w:rPr>
            <w:rStyle w:val="Lienhypertexte"/>
            <w:lang w:val="fr-FR"/>
          </w:rPr>
          <w:t>A/CN.4/755</w:t>
        </w:r>
      </w:hyperlink>
      <w:r w:rsidRPr="0048459D">
        <w:rPr>
          <w:lang w:val="fr-FR"/>
        </w:rPr>
        <w:t>) ainsi que des commentaires et observations reçus des États (</w:t>
      </w:r>
      <w:hyperlink r:id="rId64" w:history="1">
        <w:r w:rsidRPr="0048459D">
          <w:rPr>
            <w:rStyle w:val="Lienhypertexte"/>
            <w:lang w:val="fr-FR"/>
          </w:rPr>
          <w:t>A/CN.4/771</w:t>
        </w:r>
      </w:hyperlink>
      <w:r w:rsidRPr="0048459D">
        <w:rPr>
          <w:lang w:val="fr-FR"/>
        </w:rPr>
        <w:t xml:space="preserve"> et </w:t>
      </w:r>
      <w:hyperlink r:id="rId65" w:history="1">
        <w:r w:rsidRPr="0048459D">
          <w:rPr>
            <w:rStyle w:val="Lienhypertexte"/>
            <w:lang w:val="fr-FR"/>
          </w:rPr>
          <w:t>Add.1</w:t>
        </w:r>
      </w:hyperlink>
      <w:r w:rsidRPr="0048459D">
        <w:rPr>
          <w:lang w:val="fr-FR"/>
        </w:rPr>
        <w:t xml:space="preserve"> et </w:t>
      </w:r>
      <w:hyperlink r:id="rId66" w:history="1">
        <w:r w:rsidRPr="0048459D">
          <w:rPr>
            <w:rStyle w:val="Lienhypertexte"/>
            <w:lang w:val="fr-FR"/>
          </w:rPr>
          <w:t>2</w:t>
        </w:r>
      </w:hyperlink>
      <w:r w:rsidRPr="0048459D">
        <w:rPr>
          <w:lang w:val="fr-FR"/>
        </w:rPr>
        <w:t>). Dans son premier rapport, le Rapporteur spécial examinait les commentaires et observations d</w:t>
      </w:r>
      <w:r>
        <w:rPr>
          <w:lang w:val="fr-FR"/>
        </w:rPr>
        <w:t>’</w:t>
      </w:r>
      <w:r w:rsidRPr="0048459D">
        <w:rPr>
          <w:lang w:val="fr-FR"/>
        </w:rPr>
        <w:t>ordre général reçus des États à propos du projet d</w:t>
      </w:r>
      <w:r>
        <w:rPr>
          <w:lang w:val="fr-FR"/>
        </w:rPr>
        <w:t>’</w:t>
      </w:r>
      <w:r w:rsidRPr="0048459D">
        <w:rPr>
          <w:lang w:val="fr-FR"/>
        </w:rPr>
        <w:t>articles ainsi que les commentaires et observations reçus des États concernant plus particulièrement les projets d</w:t>
      </w:r>
      <w:r>
        <w:rPr>
          <w:lang w:val="fr-FR"/>
        </w:rPr>
        <w:t>’</w:t>
      </w:r>
      <w:r w:rsidRPr="0048459D">
        <w:rPr>
          <w:lang w:val="fr-FR"/>
        </w:rPr>
        <w:t xml:space="preserve">articles </w:t>
      </w:r>
      <w:r>
        <w:rPr>
          <w:lang w:val="fr-FR"/>
        </w:rPr>
        <w:t xml:space="preserve">1 </w:t>
      </w:r>
      <w:r w:rsidRPr="0048459D">
        <w:rPr>
          <w:lang w:val="fr-FR"/>
        </w:rPr>
        <w:t xml:space="preserve">à 6 adoptés en première lecture. </w:t>
      </w:r>
      <w:r>
        <w:rPr>
          <w:lang w:val="fr-FR"/>
        </w:rPr>
        <w:t>À la lumière des commentaires et observations formulés par les États tant par écrit qu’à la Sixième Commission</w:t>
      </w:r>
      <w:r w:rsidRPr="0048459D">
        <w:rPr>
          <w:lang w:val="fr-FR"/>
        </w:rPr>
        <w:t>, il formulait des propositions relatives aux projets d</w:t>
      </w:r>
      <w:r>
        <w:rPr>
          <w:lang w:val="fr-FR"/>
        </w:rPr>
        <w:t>’</w:t>
      </w:r>
      <w:r w:rsidRPr="0048459D">
        <w:rPr>
          <w:lang w:val="fr-FR"/>
        </w:rPr>
        <w:t xml:space="preserve">articles </w:t>
      </w:r>
      <w:r>
        <w:rPr>
          <w:lang w:val="fr-FR"/>
        </w:rPr>
        <w:t xml:space="preserve">1 </w:t>
      </w:r>
      <w:r w:rsidRPr="0048459D">
        <w:rPr>
          <w:lang w:val="fr-FR"/>
        </w:rPr>
        <w:t>à 6, pour examen au stade de la seconde lecture.</w:t>
      </w:r>
    </w:p>
    <w:p w14:paraId="1F9A378D" w14:textId="7F505BBA" w:rsidR="003F7DA4" w:rsidRPr="0048459D" w:rsidRDefault="003F7DA4" w:rsidP="003F7DA4">
      <w:pPr>
        <w:pStyle w:val="SingleTxtG"/>
        <w:rPr>
          <w:lang w:val="fr-FR"/>
        </w:rPr>
      </w:pPr>
      <w:r>
        <w:rPr>
          <w:lang w:val="fr-FR"/>
        </w:rPr>
        <w:t>144</w:t>
      </w:r>
      <w:r w:rsidRPr="0048459D">
        <w:rPr>
          <w:lang w:val="fr-FR"/>
        </w:rPr>
        <w:t>.</w:t>
      </w:r>
      <w:r w:rsidRPr="0048459D">
        <w:rPr>
          <w:lang w:val="fr-FR"/>
        </w:rPr>
        <w:tab/>
        <w:t>De sa 3674</w:t>
      </w:r>
      <w:r w:rsidRPr="0048459D">
        <w:rPr>
          <w:vertAlign w:val="superscript"/>
          <w:lang w:val="fr-FR"/>
        </w:rPr>
        <w:t>e</w:t>
      </w:r>
      <w:r w:rsidRPr="0048459D">
        <w:rPr>
          <w:lang w:val="fr-FR"/>
        </w:rPr>
        <w:t xml:space="preserve"> à sa 36</w:t>
      </w:r>
      <w:r>
        <w:rPr>
          <w:lang w:val="fr-FR"/>
        </w:rPr>
        <w:t>80</w:t>
      </w:r>
      <w:r w:rsidRPr="0048459D">
        <w:rPr>
          <w:vertAlign w:val="superscript"/>
          <w:lang w:val="fr-FR"/>
        </w:rPr>
        <w:t>e</w:t>
      </w:r>
      <w:r w:rsidRPr="0048459D">
        <w:rPr>
          <w:lang w:val="fr-FR"/>
        </w:rPr>
        <w:t> séance, du 1</w:t>
      </w:r>
      <w:r w:rsidRPr="0048459D">
        <w:rPr>
          <w:vertAlign w:val="superscript"/>
          <w:lang w:val="fr-FR"/>
        </w:rPr>
        <w:t>er</w:t>
      </w:r>
      <w:r w:rsidRPr="0048459D">
        <w:rPr>
          <w:lang w:val="fr-FR"/>
        </w:rPr>
        <w:t xml:space="preserve"> au 9 juillet 2024, la Commission a examiné le premier rapport du Rapporteur spécial. À sa 3680</w:t>
      </w:r>
      <w:r w:rsidRPr="0048459D">
        <w:rPr>
          <w:vertAlign w:val="superscript"/>
          <w:lang w:val="fr-FR"/>
        </w:rPr>
        <w:t>e</w:t>
      </w:r>
      <w:r w:rsidRPr="0048459D">
        <w:rPr>
          <w:lang w:val="fr-FR"/>
        </w:rPr>
        <w:t> séance, le 9 juillet 2024, elle a décidé de renvoyer les projets d</w:t>
      </w:r>
      <w:r>
        <w:rPr>
          <w:lang w:val="fr-FR"/>
        </w:rPr>
        <w:t>’</w:t>
      </w:r>
      <w:r w:rsidRPr="0048459D">
        <w:rPr>
          <w:lang w:val="fr-FR"/>
        </w:rPr>
        <w:t xml:space="preserve">articles </w:t>
      </w:r>
      <w:r>
        <w:rPr>
          <w:lang w:val="fr-FR"/>
        </w:rPr>
        <w:t xml:space="preserve">1 </w:t>
      </w:r>
      <w:r w:rsidRPr="0048459D">
        <w:rPr>
          <w:lang w:val="fr-FR"/>
        </w:rPr>
        <w:t>à 6 au Comité de rédaction compte tenu des commentaires et observations formulés durant le débat en plénière.</w:t>
      </w:r>
      <w:r>
        <w:rPr>
          <w:lang w:val="fr-FR"/>
        </w:rPr>
        <w:t xml:space="preserve"> On trouvera le résumé de ce débat au</w:t>
      </w:r>
      <w:r w:rsidR="00710F31">
        <w:rPr>
          <w:lang w:val="fr-FR"/>
        </w:rPr>
        <w:t>x</w:t>
      </w:r>
      <w:r>
        <w:rPr>
          <w:lang w:val="fr-FR"/>
        </w:rPr>
        <w:t xml:space="preserve"> paragraphes 146 à 214.</w:t>
      </w:r>
    </w:p>
    <w:p w14:paraId="7A51E1FA" w14:textId="23BEB6B9" w:rsidR="003F7DA4" w:rsidRPr="0048459D" w:rsidRDefault="003F7DA4" w:rsidP="003F7DA4">
      <w:pPr>
        <w:pStyle w:val="SingleTxtG"/>
        <w:rPr>
          <w:lang w:val="fr-FR"/>
        </w:rPr>
      </w:pPr>
      <w:r w:rsidRPr="001B2081">
        <w:rPr>
          <w:lang w:val="fr-FR"/>
        </w:rPr>
        <w:t>145.</w:t>
      </w:r>
      <w:r w:rsidRPr="001B2081">
        <w:rPr>
          <w:lang w:val="fr-FR"/>
        </w:rPr>
        <w:tab/>
        <w:t>À sa 3698</w:t>
      </w:r>
      <w:r w:rsidRPr="001B2081">
        <w:rPr>
          <w:vertAlign w:val="superscript"/>
          <w:lang w:val="fr-FR"/>
        </w:rPr>
        <w:t>e</w:t>
      </w:r>
      <w:r w:rsidRPr="001B2081">
        <w:rPr>
          <w:lang w:val="fr-FR"/>
        </w:rPr>
        <w:t xml:space="preserve"> séance, le 30 juillet 2024, la Présidente du Comité de rédaction a présenté</w:t>
      </w:r>
      <w:r w:rsidRPr="001B2081">
        <w:rPr>
          <w:rStyle w:val="Appelnotedebasdep"/>
          <w:lang w:val="fr-FR"/>
        </w:rPr>
        <w:footnoteReference w:id="217"/>
      </w:r>
      <w:r w:rsidRPr="001B2081">
        <w:rPr>
          <w:lang w:val="fr-FR"/>
        </w:rPr>
        <w:t xml:space="preserve"> le rapport du Comité de rédaction (voir </w:t>
      </w:r>
      <w:hyperlink r:id="rId67" w:history="1">
        <w:r w:rsidRPr="001B2081">
          <w:rPr>
            <w:rStyle w:val="Lienhypertexte"/>
            <w:lang w:val="fr-FR"/>
          </w:rPr>
          <w:t>A/CN.4/L.1001</w:t>
        </w:r>
      </w:hyperlink>
      <w:r w:rsidRPr="001B2081">
        <w:rPr>
          <w:lang w:val="fr-FR"/>
        </w:rPr>
        <w:t>). À la même séance, la Commission a pris note des projets d’articles 1, 3, 4 et 5.</w:t>
      </w:r>
    </w:p>
    <w:p w14:paraId="32573825" w14:textId="77777777" w:rsidR="003F7DA4" w:rsidRPr="0048459D" w:rsidRDefault="003F7DA4" w:rsidP="001B2081">
      <w:pPr>
        <w:pStyle w:val="H23G"/>
        <w:rPr>
          <w:rFonts w:eastAsia="SimSun"/>
          <w:lang w:val="fr-FR"/>
        </w:rPr>
      </w:pPr>
      <w:r w:rsidRPr="0048459D">
        <w:rPr>
          <w:lang w:val="fr-FR"/>
        </w:rPr>
        <w:tab/>
        <w:t>1.</w:t>
      </w:r>
      <w:r w:rsidRPr="0048459D">
        <w:rPr>
          <w:lang w:val="fr-FR"/>
        </w:rPr>
        <w:tab/>
      </w:r>
      <w:bookmarkStart w:id="100" w:name="_Hlk175323585"/>
      <w:r w:rsidRPr="0048459D">
        <w:rPr>
          <w:lang w:val="fr-FR"/>
        </w:rPr>
        <w:t>Présentation par le Rapporteur spécial de son premier rapport</w:t>
      </w:r>
      <w:bookmarkEnd w:id="100"/>
    </w:p>
    <w:p w14:paraId="5711B4E3" w14:textId="77777777" w:rsidR="003F7DA4" w:rsidRPr="0048459D" w:rsidRDefault="003F7DA4" w:rsidP="003F7DA4">
      <w:pPr>
        <w:pStyle w:val="SingleTxtG"/>
        <w:rPr>
          <w:rFonts w:eastAsia="Times New Roman"/>
          <w:lang w:val="fr-FR"/>
        </w:rPr>
      </w:pPr>
      <w:r>
        <w:rPr>
          <w:lang w:val="fr-FR"/>
        </w:rPr>
        <w:t>146</w:t>
      </w:r>
      <w:r w:rsidRPr="0048459D">
        <w:rPr>
          <w:lang w:val="fr-FR"/>
        </w:rPr>
        <w:t>.</w:t>
      </w:r>
      <w:r w:rsidRPr="0048459D">
        <w:rPr>
          <w:lang w:val="fr-FR"/>
        </w:rPr>
        <w:tab/>
        <w:t xml:space="preserve">Le Rapporteur spécial a </w:t>
      </w:r>
      <w:r>
        <w:rPr>
          <w:lang w:val="fr-FR"/>
        </w:rPr>
        <w:t xml:space="preserve">souligné que la Commission en était à la seconde lecture des travaux sur le sujet, stade auquel les points de vue des États et les évolutions survenues avaient une importance primordiale pour les travaux de la Commission. Il a </w:t>
      </w:r>
      <w:r w:rsidRPr="0048459D">
        <w:rPr>
          <w:lang w:val="fr-FR"/>
        </w:rPr>
        <w:t>commencé par souligner l</w:t>
      </w:r>
      <w:r>
        <w:rPr>
          <w:lang w:val="fr-FR"/>
        </w:rPr>
        <w:t>’</w:t>
      </w:r>
      <w:r w:rsidRPr="0048459D">
        <w:rPr>
          <w:lang w:val="fr-FR"/>
        </w:rPr>
        <w:t>importance du sujet, qui était une priorité pour la Commission depuis 2007. Il a rappelé les progrès accomplis jusqu</w:t>
      </w:r>
      <w:r>
        <w:rPr>
          <w:lang w:val="fr-FR"/>
        </w:rPr>
        <w:t>’</w:t>
      </w:r>
      <w:r w:rsidRPr="0048459D">
        <w:rPr>
          <w:lang w:val="fr-FR"/>
        </w:rPr>
        <w:t>alors par la Commission, notamment l</w:t>
      </w:r>
      <w:r>
        <w:rPr>
          <w:lang w:val="fr-FR"/>
        </w:rPr>
        <w:t>’</w:t>
      </w:r>
      <w:r w:rsidRPr="0048459D">
        <w:rPr>
          <w:lang w:val="fr-FR"/>
        </w:rPr>
        <w:t>adoption en première lecture, à la soixante-</w:t>
      </w:r>
      <w:r>
        <w:rPr>
          <w:lang w:val="fr-FR"/>
        </w:rPr>
        <w:t>treizième</w:t>
      </w:r>
      <w:r w:rsidRPr="0048459D">
        <w:rPr>
          <w:lang w:val="fr-FR"/>
        </w:rPr>
        <w:t xml:space="preserve"> session (2022), de 18 projets d</w:t>
      </w:r>
      <w:r>
        <w:rPr>
          <w:lang w:val="fr-FR"/>
        </w:rPr>
        <w:t>’</w:t>
      </w:r>
      <w:r w:rsidRPr="0048459D">
        <w:rPr>
          <w:lang w:val="fr-FR"/>
        </w:rPr>
        <w:t>article ainsi que de l</w:t>
      </w:r>
      <w:r>
        <w:rPr>
          <w:lang w:val="fr-FR"/>
        </w:rPr>
        <w:t>’</w:t>
      </w:r>
      <w:r w:rsidRPr="0048459D">
        <w:rPr>
          <w:lang w:val="fr-FR"/>
        </w:rPr>
        <w:t>annexe et des commentaires.</w:t>
      </w:r>
    </w:p>
    <w:p w14:paraId="5D555350" w14:textId="4794AC2D" w:rsidR="003F7DA4" w:rsidRPr="0048459D" w:rsidRDefault="003F7DA4" w:rsidP="003F7DA4">
      <w:pPr>
        <w:pStyle w:val="SingleTxtG"/>
        <w:rPr>
          <w:rFonts w:eastAsia="Times New Roman"/>
          <w:lang w:val="fr-FR"/>
        </w:rPr>
      </w:pPr>
      <w:r w:rsidRPr="001B2081">
        <w:rPr>
          <w:lang w:val="fr-FR"/>
        </w:rPr>
        <w:t>147.</w:t>
      </w:r>
      <w:r w:rsidRPr="001B2081">
        <w:rPr>
          <w:lang w:val="fr-FR"/>
        </w:rPr>
        <w:tab/>
        <w:t>Le Rapporteur spécial a ensuite présenté en détail son premier rapport, dans lequel il résumait les commentaires et observations formulés par les États sur les projets d’article adoptés en première lecture, ana</w:t>
      </w:r>
      <w:r w:rsidRPr="0048459D">
        <w:rPr>
          <w:lang w:val="fr-FR"/>
        </w:rPr>
        <w:t>lysait le sujet et faisait part de ses réflexions sur les</w:t>
      </w:r>
      <w:r>
        <w:rPr>
          <w:lang w:val="fr-FR"/>
        </w:rPr>
        <w:t>dits</w:t>
      </w:r>
      <w:r w:rsidRPr="0048459D">
        <w:rPr>
          <w:lang w:val="fr-FR"/>
        </w:rPr>
        <w:t xml:space="preserve"> </w:t>
      </w:r>
      <w:r>
        <w:rPr>
          <w:lang w:val="fr-FR"/>
        </w:rPr>
        <w:t xml:space="preserve">commentaires et </w:t>
      </w:r>
      <w:r w:rsidRPr="0048459D">
        <w:rPr>
          <w:lang w:val="fr-FR"/>
        </w:rPr>
        <w:t>observations. Son premier rapport était consacré aux projets d</w:t>
      </w:r>
      <w:r>
        <w:rPr>
          <w:lang w:val="fr-FR"/>
        </w:rPr>
        <w:t>’</w:t>
      </w:r>
      <w:r w:rsidRPr="0048459D">
        <w:rPr>
          <w:lang w:val="fr-FR"/>
        </w:rPr>
        <w:t>articles</w:t>
      </w:r>
      <w:r w:rsidR="001B2081">
        <w:rPr>
          <w:lang w:val="fr-FR"/>
        </w:rPr>
        <w:t> 1</w:t>
      </w:r>
      <w:r w:rsidRPr="0048459D">
        <w:rPr>
          <w:lang w:val="fr-FR"/>
        </w:rPr>
        <w:t xml:space="preserve"> à 6. Le Rapporteur spécial a expliqué qu</w:t>
      </w:r>
      <w:r>
        <w:rPr>
          <w:lang w:val="fr-FR"/>
        </w:rPr>
        <w:t>’</w:t>
      </w:r>
      <w:r w:rsidRPr="0048459D">
        <w:rPr>
          <w:lang w:val="fr-FR"/>
        </w:rPr>
        <w:t>il aurait été difficile de passer en revue tous les projets d</w:t>
      </w:r>
      <w:r>
        <w:rPr>
          <w:lang w:val="fr-FR"/>
        </w:rPr>
        <w:t>’</w:t>
      </w:r>
      <w:r w:rsidRPr="0048459D">
        <w:rPr>
          <w:lang w:val="fr-FR"/>
        </w:rPr>
        <w:t xml:space="preserve">article aux fins de la seconde lecture </w:t>
      </w:r>
      <w:r>
        <w:rPr>
          <w:lang w:val="fr-FR"/>
        </w:rPr>
        <w:t xml:space="preserve">pour deux raisons. Premièrement, </w:t>
      </w:r>
      <w:r w:rsidRPr="0048459D">
        <w:rPr>
          <w:lang w:val="fr-FR"/>
        </w:rPr>
        <w:t>les réponses de certains États avaient été soumises tardivement, ce qui avait retardé leur traduction.</w:t>
      </w:r>
      <w:r>
        <w:rPr>
          <w:lang w:val="fr-FR"/>
        </w:rPr>
        <w:t xml:space="preserve"> Deuxièmement, le Rapporteur spécial a mentionné que des États avaient demandé davantage de temps pour formuler des commentaires sur l’ensemble du projet d’articles.</w:t>
      </w:r>
      <w:r w:rsidRPr="0048459D">
        <w:rPr>
          <w:lang w:val="fr-FR"/>
        </w:rPr>
        <w:t xml:space="preserve"> Il a annoncé qu</w:t>
      </w:r>
      <w:r>
        <w:rPr>
          <w:lang w:val="fr-FR"/>
        </w:rPr>
        <w:t>’</w:t>
      </w:r>
      <w:r w:rsidRPr="0048459D">
        <w:rPr>
          <w:lang w:val="fr-FR"/>
        </w:rPr>
        <w:t xml:space="preserve">il entendait présenter un rapport sur </w:t>
      </w:r>
      <w:r>
        <w:rPr>
          <w:lang w:val="fr-FR"/>
        </w:rPr>
        <w:t>le reste des</w:t>
      </w:r>
      <w:r w:rsidRPr="0048459D">
        <w:rPr>
          <w:lang w:val="fr-FR"/>
        </w:rPr>
        <w:t xml:space="preserve"> projets d</w:t>
      </w:r>
      <w:r>
        <w:rPr>
          <w:lang w:val="fr-FR"/>
        </w:rPr>
        <w:t>’</w:t>
      </w:r>
      <w:r w:rsidRPr="0048459D">
        <w:rPr>
          <w:lang w:val="fr-FR"/>
        </w:rPr>
        <w:t xml:space="preserve">article </w:t>
      </w:r>
      <w:r>
        <w:rPr>
          <w:lang w:val="fr-FR"/>
        </w:rPr>
        <w:t>à la soixante-seizième session (</w:t>
      </w:r>
      <w:r w:rsidRPr="0048459D">
        <w:rPr>
          <w:lang w:val="fr-FR"/>
        </w:rPr>
        <w:t>2025</w:t>
      </w:r>
      <w:r>
        <w:rPr>
          <w:lang w:val="fr-FR"/>
        </w:rPr>
        <w:t>)</w:t>
      </w:r>
      <w:r w:rsidRPr="0048459D">
        <w:rPr>
          <w:lang w:val="fr-FR"/>
        </w:rPr>
        <w:t xml:space="preserve"> et a dit espérer qu</w:t>
      </w:r>
      <w:r>
        <w:rPr>
          <w:lang w:val="fr-FR"/>
        </w:rPr>
        <w:t>’</w:t>
      </w:r>
      <w:r w:rsidRPr="0048459D">
        <w:rPr>
          <w:lang w:val="fr-FR"/>
        </w:rPr>
        <w:t xml:space="preserve">en étalant la seconde lecture sur deux sessions, la Commission aurait suffisamment de temps pour examiner en profondeur les points de vue des États. </w:t>
      </w:r>
      <w:r>
        <w:rPr>
          <w:lang w:val="fr-FR"/>
        </w:rPr>
        <w:t>En outre, il a proposé que la Commission donne aux États jusqu’à la première semaine de novembre pour faire part de leurs commentaires sur les projets d’articles 7 à 18, qui seraient examinés à la session suivante.</w:t>
      </w:r>
    </w:p>
    <w:p w14:paraId="2D69FEA7" w14:textId="77777777" w:rsidR="003F7DA4" w:rsidRPr="0048459D" w:rsidRDefault="003F7DA4" w:rsidP="003F7DA4">
      <w:pPr>
        <w:pStyle w:val="SingleTxtG"/>
        <w:rPr>
          <w:rFonts w:eastAsia="Times New Roman"/>
          <w:lang w:val="fr-FR"/>
        </w:rPr>
      </w:pPr>
      <w:r w:rsidRPr="001B2081">
        <w:rPr>
          <w:lang w:val="fr-FR"/>
        </w:rPr>
        <w:t>148.</w:t>
      </w:r>
      <w:r w:rsidRPr="001B2081">
        <w:rPr>
          <w:lang w:val="fr-FR"/>
        </w:rPr>
        <w:tab/>
        <w:t>Le Rapporteur spécial a constaté que, parmi les 35 États qui avaient soumis des commentaires, plusieurs avaient souligné que la promotion des relations amicales entre États et la stabilité des relations internationales étaient les grands principes qui sous-tendaient et motivaient les travaux de la</w:t>
      </w:r>
      <w:r w:rsidRPr="0048459D">
        <w:rPr>
          <w:lang w:val="fr-FR"/>
        </w:rPr>
        <w:t xml:space="preserve"> Commission sur le sujet. Il a en outre observé que, de manière générale, les États convenaient qu</w:t>
      </w:r>
      <w:r>
        <w:rPr>
          <w:lang w:val="fr-FR"/>
        </w:rPr>
        <w:t>’</w:t>
      </w:r>
      <w:r w:rsidRPr="0048459D">
        <w:rPr>
          <w:lang w:val="fr-FR"/>
        </w:rPr>
        <w:t>il importait de trouver un équilibre entre le principe de l</w:t>
      </w:r>
      <w:r>
        <w:rPr>
          <w:lang w:val="fr-FR"/>
        </w:rPr>
        <w:t>’</w:t>
      </w:r>
      <w:r w:rsidRPr="0048459D">
        <w:rPr>
          <w:lang w:val="fr-FR"/>
        </w:rPr>
        <w:t>égalité souveraine des États et le principe de la responsabilité pour les crimes internationaux. Il a également constaté que, selon certains États, il fallait concilier ces principes avec le maintien de la paix et de la sécurité internationales et a recommandé que la Commission approfondisse cette question lorsqu</w:t>
      </w:r>
      <w:r>
        <w:rPr>
          <w:lang w:val="fr-FR"/>
        </w:rPr>
        <w:t>’</w:t>
      </w:r>
      <w:r w:rsidRPr="0048459D">
        <w:rPr>
          <w:lang w:val="fr-FR"/>
        </w:rPr>
        <w:t>elle examinerait les projets d</w:t>
      </w:r>
      <w:r>
        <w:rPr>
          <w:lang w:val="fr-FR"/>
        </w:rPr>
        <w:t>’</w:t>
      </w:r>
      <w:r w:rsidRPr="0048459D">
        <w:rPr>
          <w:lang w:val="fr-FR"/>
        </w:rPr>
        <w:t>articles 7 à 18.</w:t>
      </w:r>
    </w:p>
    <w:p w14:paraId="565B174C" w14:textId="77777777" w:rsidR="003F7DA4" w:rsidRPr="0048459D" w:rsidRDefault="003F7DA4" w:rsidP="003F7DA4">
      <w:pPr>
        <w:pStyle w:val="SingleTxtG"/>
        <w:rPr>
          <w:rFonts w:eastAsia="Times New Roman"/>
          <w:lang w:val="fr-FR"/>
        </w:rPr>
      </w:pPr>
      <w:r w:rsidRPr="0048459D">
        <w:rPr>
          <w:lang w:val="fr-FR"/>
        </w:rPr>
        <w:lastRenderedPageBreak/>
        <w:t>1</w:t>
      </w:r>
      <w:r>
        <w:rPr>
          <w:lang w:val="fr-FR"/>
        </w:rPr>
        <w:t>49</w:t>
      </w:r>
      <w:r w:rsidRPr="0048459D">
        <w:rPr>
          <w:lang w:val="fr-FR"/>
        </w:rPr>
        <w:t>.</w:t>
      </w:r>
      <w:r w:rsidRPr="0048459D">
        <w:rPr>
          <w:lang w:val="fr-FR"/>
        </w:rPr>
        <w:tab/>
        <w:t>Le Rapporteur spécial a pris note des différents points de vue des États sur la question de savoir si le projet d</w:t>
      </w:r>
      <w:r>
        <w:rPr>
          <w:lang w:val="fr-FR"/>
        </w:rPr>
        <w:t>’</w:t>
      </w:r>
      <w:r w:rsidRPr="0048459D">
        <w:rPr>
          <w:lang w:val="fr-FR"/>
        </w:rPr>
        <w:t>articles relevait de la codification du droit international coutumier existant ou du développement progressif du droit international. Néanmoins, il a rappelé que le paragraphe 12 du commentaire général du projet d</w:t>
      </w:r>
      <w:r>
        <w:rPr>
          <w:lang w:val="fr-FR"/>
        </w:rPr>
        <w:t>’</w:t>
      </w:r>
      <w:r w:rsidRPr="0048459D">
        <w:rPr>
          <w:lang w:val="fr-FR"/>
        </w:rPr>
        <w:t>articles précisait que le texte contenait des propositions dont certaines relevaient de la codification et d</w:t>
      </w:r>
      <w:r>
        <w:rPr>
          <w:lang w:val="fr-FR"/>
        </w:rPr>
        <w:t>’</w:t>
      </w:r>
      <w:r w:rsidRPr="0048459D">
        <w:rPr>
          <w:lang w:val="fr-FR"/>
        </w:rPr>
        <w:t>autres du développement progressif</w:t>
      </w:r>
      <w:r>
        <w:rPr>
          <w:lang w:val="fr-FR"/>
        </w:rPr>
        <w:t>, selon qu’il convenait,</w:t>
      </w:r>
      <w:r w:rsidRPr="0048459D">
        <w:rPr>
          <w:lang w:val="fr-FR"/>
        </w:rPr>
        <w:t xml:space="preserve"> et a expliqué que l</w:t>
      </w:r>
      <w:r>
        <w:rPr>
          <w:lang w:val="fr-FR"/>
        </w:rPr>
        <w:t>’</w:t>
      </w:r>
      <w:r w:rsidRPr="0048459D">
        <w:rPr>
          <w:lang w:val="fr-FR"/>
        </w:rPr>
        <w:t>on s</w:t>
      </w:r>
      <w:r>
        <w:rPr>
          <w:lang w:val="fr-FR"/>
        </w:rPr>
        <w:t>’</w:t>
      </w:r>
      <w:r w:rsidRPr="0048459D">
        <w:rPr>
          <w:lang w:val="fr-FR"/>
        </w:rPr>
        <w:t>efforcerait dans le commentaire de fournir aux États suffisamment d</w:t>
      </w:r>
      <w:r>
        <w:rPr>
          <w:lang w:val="fr-FR"/>
        </w:rPr>
        <w:t>’</w:t>
      </w:r>
      <w:r w:rsidRPr="0048459D">
        <w:rPr>
          <w:lang w:val="fr-FR"/>
        </w:rPr>
        <w:t xml:space="preserve">informations pour garantir la transparence. </w:t>
      </w:r>
    </w:p>
    <w:p w14:paraId="7F999526" w14:textId="3715CCFF" w:rsidR="003F7DA4" w:rsidRPr="0048459D" w:rsidRDefault="003F7DA4" w:rsidP="003F7DA4">
      <w:pPr>
        <w:pStyle w:val="SingleTxtG"/>
        <w:rPr>
          <w:rFonts w:eastAsia="Times New Roman"/>
          <w:lang w:val="fr-FR"/>
        </w:rPr>
      </w:pPr>
      <w:r w:rsidRPr="0048459D">
        <w:rPr>
          <w:lang w:val="fr-FR"/>
        </w:rPr>
        <w:t>1</w:t>
      </w:r>
      <w:r>
        <w:rPr>
          <w:lang w:val="fr-FR"/>
        </w:rPr>
        <w:t>50</w:t>
      </w:r>
      <w:r w:rsidRPr="0048459D">
        <w:rPr>
          <w:lang w:val="fr-FR"/>
        </w:rPr>
        <w:t>.</w:t>
      </w:r>
      <w:r w:rsidRPr="0048459D">
        <w:rPr>
          <w:lang w:val="fr-FR"/>
        </w:rPr>
        <w:tab/>
        <w:t>Le Rapporteur spécial s</w:t>
      </w:r>
      <w:r>
        <w:rPr>
          <w:lang w:val="fr-FR"/>
        </w:rPr>
        <w:t>’</w:t>
      </w:r>
      <w:r w:rsidRPr="0048459D">
        <w:rPr>
          <w:lang w:val="fr-FR"/>
        </w:rPr>
        <w:t>est également arrêté sur les divergences de vues des États quant à la forme finale des travaux de la Commission : certains États préconisaient à un projet de traité, tandis que d</w:t>
      </w:r>
      <w:r>
        <w:rPr>
          <w:lang w:val="fr-FR"/>
        </w:rPr>
        <w:t>’</w:t>
      </w:r>
      <w:r w:rsidRPr="0048459D">
        <w:rPr>
          <w:lang w:val="fr-FR"/>
        </w:rPr>
        <w:t>autres proposaient que le texte reste un projet d</w:t>
      </w:r>
      <w:r>
        <w:rPr>
          <w:lang w:val="fr-FR"/>
        </w:rPr>
        <w:t>’</w:t>
      </w:r>
      <w:r w:rsidRPr="0048459D">
        <w:rPr>
          <w:lang w:val="fr-FR"/>
        </w:rPr>
        <w:t>articles et d</w:t>
      </w:r>
      <w:r>
        <w:rPr>
          <w:lang w:val="fr-FR"/>
        </w:rPr>
        <w:t>’</w:t>
      </w:r>
      <w:r w:rsidRPr="0048459D">
        <w:rPr>
          <w:lang w:val="fr-FR"/>
        </w:rPr>
        <w:t>autres encore suggéraient une solution combinant projet d</w:t>
      </w:r>
      <w:r>
        <w:rPr>
          <w:lang w:val="fr-FR"/>
        </w:rPr>
        <w:t>’</w:t>
      </w:r>
      <w:r w:rsidRPr="0048459D">
        <w:rPr>
          <w:lang w:val="fr-FR"/>
        </w:rPr>
        <w:t xml:space="preserve">articles et projet de directives. </w:t>
      </w:r>
      <w:r>
        <w:rPr>
          <w:lang w:val="fr-FR"/>
        </w:rPr>
        <w:t xml:space="preserve">Il a rappelé la question qui était posée aux États au paragraphe 13 du commentaire adopté en première lecture et a dit qu’il était selon lui </w:t>
      </w:r>
      <w:r w:rsidRPr="0048459D">
        <w:rPr>
          <w:lang w:val="fr-FR"/>
        </w:rPr>
        <w:t xml:space="preserve">important </w:t>
      </w:r>
      <w:r>
        <w:rPr>
          <w:lang w:val="fr-FR"/>
        </w:rPr>
        <w:t>que la Commission</w:t>
      </w:r>
      <w:r w:rsidRPr="0048459D">
        <w:rPr>
          <w:lang w:val="fr-FR"/>
        </w:rPr>
        <w:t xml:space="preserve"> détermine la forme finale à donner à ses travaux à ce stade.</w:t>
      </w:r>
    </w:p>
    <w:p w14:paraId="41FBCB24" w14:textId="0BF357B5" w:rsidR="003F7DA4" w:rsidRPr="0048459D" w:rsidRDefault="003F7DA4" w:rsidP="003F7DA4">
      <w:pPr>
        <w:pStyle w:val="SingleTxtG"/>
        <w:rPr>
          <w:lang w:val="fr-FR"/>
        </w:rPr>
      </w:pPr>
      <w:r>
        <w:rPr>
          <w:lang w:val="fr-FR"/>
        </w:rPr>
        <w:t>151</w:t>
      </w:r>
      <w:r w:rsidRPr="0048459D">
        <w:rPr>
          <w:lang w:val="fr-FR"/>
        </w:rPr>
        <w:t>.</w:t>
      </w:r>
      <w:r w:rsidRPr="0048459D">
        <w:rPr>
          <w:lang w:val="fr-FR"/>
        </w:rPr>
        <w:tab/>
        <w:t>En ce qui concerne le projet d</w:t>
      </w:r>
      <w:r>
        <w:rPr>
          <w:lang w:val="fr-FR"/>
        </w:rPr>
        <w:t>’</w:t>
      </w:r>
      <w:r w:rsidRPr="0048459D">
        <w:rPr>
          <w:lang w:val="fr-FR"/>
        </w:rPr>
        <w:t xml:space="preserve">article </w:t>
      </w:r>
      <w:r w:rsidR="001B2081">
        <w:rPr>
          <w:lang w:val="fr-FR"/>
        </w:rPr>
        <w:t>1</w:t>
      </w:r>
      <w:r w:rsidRPr="0048459D">
        <w:rPr>
          <w:lang w:val="fr-FR"/>
        </w:rPr>
        <w:t>, le Rapporteur spécial a expliqué que cette disposition portait sur le champ d</w:t>
      </w:r>
      <w:r>
        <w:rPr>
          <w:lang w:val="fr-FR"/>
        </w:rPr>
        <w:t>’</w:t>
      </w:r>
      <w:r w:rsidRPr="0048459D">
        <w:rPr>
          <w:lang w:val="fr-FR"/>
        </w:rPr>
        <w:t>application du projet, qu</w:t>
      </w:r>
      <w:r>
        <w:rPr>
          <w:lang w:val="fr-FR"/>
        </w:rPr>
        <w:t>’</w:t>
      </w:r>
      <w:r w:rsidRPr="0048459D">
        <w:rPr>
          <w:lang w:val="fr-FR"/>
        </w:rPr>
        <w:t>elle limitait à la juridiction pénale étrangère. Il a souligné que les régimes juridiques spéciaux, y compris les obligations des États en vertu d</w:t>
      </w:r>
      <w:r>
        <w:rPr>
          <w:lang w:val="fr-FR"/>
        </w:rPr>
        <w:t>’</w:t>
      </w:r>
      <w:r w:rsidRPr="0048459D">
        <w:rPr>
          <w:lang w:val="fr-FR"/>
        </w:rPr>
        <w:t>accords internationaux particuliers, ne relevaient pas des travaux sur le sujet. Il s</w:t>
      </w:r>
      <w:r>
        <w:rPr>
          <w:lang w:val="fr-FR"/>
        </w:rPr>
        <w:t>’</w:t>
      </w:r>
      <w:r w:rsidRPr="0048459D">
        <w:rPr>
          <w:lang w:val="fr-FR"/>
        </w:rPr>
        <w:t>est rangé à l</w:t>
      </w:r>
      <w:r>
        <w:rPr>
          <w:lang w:val="fr-FR"/>
        </w:rPr>
        <w:t>’</w:t>
      </w:r>
      <w:r w:rsidRPr="0048459D">
        <w:rPr>
          <w:lang w:val="fr-FR"/>
        </w:rPr>
        <w:t>avis des États qui avaient demandé des éclaircissements sur l</w:t>
      </w:r>
      <w:r>
        <w:rPr>
          <w:lang w:val="fr-FR"/>
        </w:rPr>
        <w:t>’</w:t>
      </w:r>
      <w:r w:rsidRPr="0048459D">
        <w:rPr>
          <w:lang w:val="fr-FR"/>
        </w:rPr>
        <w:t>articulation entre immunité et inviolabilité et a dit qu</w:t>
      </w:r>
      <w:r>
        <w:rPr>
          <w:lang w:val="fr-FR"/>
        </w:rPr>
        <w:t>’</w:t>
      </w:r>
      <w:r w:rsidRPr="0048459D">
        <w:rPr>
          <w:lang w:val="fr-FR"/>
        </w:rPr>
        <w:t>il entendait fournir les précisions requises dans le commentaire. Il a proposé que le paragraphe 3 du projet d</w:t>
      </w:r>
      <w:r>
        <w:rPr>
          <w:lang w:val="fr-FR"/>
        </w:rPr>
        <w:t>’</w:t>
      </w:r>
      <w:r w:rsidRPr="0048459D">
        <w:rPr>
          <w:lang w:val="fr-FR"/>
        </w:rPr>
        <w:t xml:space="preserve">article </w:t>
      </w:r>
      <w:r w:rsidR="001B2081">
        <w:rPr>
          <w:lang w:val="fr-FR"/>
        </w:rPr>
        <w:t>1</w:t>
      </w:r>
      <w:r w:rsidRPr="0048459D">
        <w:rPr>
          <w:lang w:val="fr-FR"/>
        </w:rPr>
        <w:t xml:space="preserve"> soit reformulé afin de distinguer les juridictions pénales internationales instituées par des traités de celles instituées par des résolutions contraignantes.</w:t>
      </w:r>
    </w:p>
    <w:p w14:paraId="73ACF320" w14:textId="77777777" w:rsidR="003F7DA4" w:rsidRPr="0048459D" w:rsidRDefault="003F7DA4" w:rsidP="003F7DA4">
      <w:pPr>
        <w:pStyle w:val="SingleTxtG"/>
        <w:rPr>
          <w:rFonts w:eastAsia="Times New Roman"/>
          <w:lang w:val="fr-FR"/>
        </w:rPr>
      </w:pPr>
      <w:r w:rsidRPr="0048459D">
        <w:rPr>
          <w:lang w:val="fr-FR"/>
        </w:rPr>
        <w:t>15</w:t>
      </w:r>
      <w:r>
        <w:rPr>
          <w:lang w:val="fr-FR"/>
        </w:rPr>
        <w:t>2</w:t>
      </w:r>
      <w:r w:rsidRPr="0048459D">
        <w:rPr>
          <w:lang w:val="fr-FR"/>
        </w:rPr>
        <w:t>.</w:t>
      </w:r>
      <w:r w:rsidRPr="0048459D">
        <w:rPr>
          <w:lang w:val="fr-FR"/>
        </w:rPr>
        <w:tab/>
        <w:t>En ce qui concerne l</w:t>
      </w:r>
      <w:r>
        <w:rPr>
          <w:lang w:val="fr-FR"/>
        </w:rPr>
        <w:t>’</w:t>
      </w:r>
      <w:r w:rsidRPr="0048459D">
        <w:rPr>
          <w:lang w:val="fr-FR"/>
        </w:rPr>
        <w:t>alinéa a) du projet d</w:t>
      </w:r>
      <w:r>
        <w:rPr>
          <w:lang w:val="fr-FR"/>
        </w:rPr>
        <w:t>’</w:t>
      </w:r>
      <w:r w:rsidRPr="0048459D">
        <w:rPr>
          <w:lang w:val="fr-FR"/>
        </w:rPr>
        <w:t>article 2, définissant le terme « représentant de l</w:t>
      </w:r>
      <w:r>
        <w:rPr>
          <w:lang w:val="fr-FR"/>
        </w:rPr>
        <w:t>’</w:t>
      </w:r>
      <w:r w:rsidRPr="0048459D">
        <w:rPr>
          <w:lang w:val="fr-FR"/>
        </w:rPr>
        <w:t>État », le Rapporteur spécial a expliqué qu</w:t>
      </w:r>
      <w:r>
        <w:rPr>
          <w:lang w:val="fr-FR"/>
        </w:rPr>
        <w:t>’</w:t>
      </w:r>
      <w:r w:rsidRPr="0048459D">
        <w:rPr>
          <w:lang w:val="fr-FR"/>
        </w:rPr>
        <w:t>il souscrivait à la proposition d</w:t>
      </w:r>
      <w:r>
        <w:rPr>
          <w:lang w:val="fr-FR"/>
        </w:rPr>
        <w:t>’</w:t>
      </w:r>
      <w:r w:rsidRPr="0048459D">
        <w:rPr>
          <w:lang w:val="fr-FR"/>
        </w:rPr>
        <w:t>employer le terme « agent de l</w:t>
      </w:r>
      <w:r>
        <w:rPr>
          <w:lang w:val="fr-FR"/>
        </w:rPr>
        <w:t>’</w:t>
      </w:r>
      <w:r w:rsidRPr="0048459D">
        <w:rPr>
          <w:lang w:val="fr-FR"/>
        </w:rPr>
        <w:t>État » au lieu du terme « représentant de l</w:t>
      </w:r>
      <w:r>
        <w:rPr>
          <w:lang w:val="fr-FR"/>
        </w:rPr>
        <w:t>’</w:t>
      </w:r>
      <w:r w:rsidRPr="0048459D">
        <w:rPr>
          <w:lang w:val="fr-FR"/>
        </w:rPr>
        <w:t>État » pour traduire « </w:t>
      </w:r>
      <w:r w:rsidRPr="0048459D">
        <w:rPr>
          <w:i/>
          <w:iCs/>
          <w:lang w:val="fr-FR"/>
        </w:rPr>
        <w:t>State official</w:t>
      </w:r>
      <w:r w:rsidRPr="0048459D">
        <w:rPr>
          <w:lang w:val="fr-FR"/>
        </w:rPr>
        <w:t> ». S</w:t>
      </w:r>
      <w:r>
        <w:rPr>
          <w:lang w:val="fr-FR"/>
        </w:rPr>
        <w:t>’</w:t>
      </w:r>
      <w:r w:rsidRPr="0048459D">
        <w:rPr>
          <w:lang w:val="fr-FR"/>
        </w:rPr>
        <w:t>il était d</w:t>
      </w:r>
      <w:r>
        <w:rPr>
          <w:lang w:val="fr-FR"/>
        </w:rPr>
        <w:t>’</w:t>
      </w:r>
      <w:r w:rsidRPr="0048459D">
        <w:rPr>
          <w:lang w:val="fr-FR"/>
        </w:rPr>
        <w:t>accord avec les États qui estimaient qu</w:t>
      </w:r>
      <w:r>
        <w:rPr>
          <w:lang w:val="fr-FR"/>
        </w:rPr>
        <w:t>’</w:t>
      </w:r>
      <w:r w:rsidRPr="0048459D">
        <w:rPr>
          <w:lang w:val="fr-FR"/>
        </w:rPr>
        <w:t>il serait inapproprié de dresser une liste de catégories de représentants de l</w:t>
      </w:r>
      <w:r>
        <w:rPr>
          <w:lang w:val="fr-FR"/>
        </w:rPr>
        <w:t>’</w:t>
      </w:r>
      <w:r w:rsidRPr="0048459D">
        <w:rPr>
          <w:lang w:val="fr-FR"/>
        </w:rPr>
        <w:t>État dans le texte de cette disposition, il a dit qu</w:t>
      </w:r>
      <w:r>
        <w:rPr>
          <w:lang w:val="fr-FR"/>
        </w:rPr>
        <w:t>’</w:t>
      </w:r>
      <w:r w:rsidRPr="0048459D">
        <w:rPr>
          <w:lang w:val="fr-FR"/>
        </w:rPr>
        <w:t>il entendait donner davantage d</w:t>
      </w:r>
      <w:r>
        <w:rPr>
          <w:lang w:val="fr-FR"/>
        </w:rPr>
        <w:t>’</w:t>
      </w:r>
      <w:r w:rsidRPr="0048459D">
        <w:rPr>
          <w:lang w:val="fr-FR"/>
        </w:rPr>
        <w:t xml:space="preserve">exemples dans le commentaire. </w:t>
      </w:r>
    </w:p>
    <w:p w14:paraId="4CF804AA" w14:textId="77777777" w:rsidR="003F7DA4" w:rsidRPr="0048459D" w:rsidRDefault="003F7DA4" w:rsidP="003F7DA4">
      <w:pPr>
        <w:pStyle w:val="SingleTxtG"/>
        <w:rPr>
          <w:rFonts w:eastAsia="Times New Roman"/>
          <w:lang w:val="fr-FR"/>
        </w:rPr>
      </w:pPr>
      <w:r>
        <w:rPr>
          <w:lang w:val="fr-FR"/>
        </w:rPr>
        <w:t>153</w:t>
      </w:r>
      <w:r w:rsidRPr="0048459D">
        <w:rPr>
          <w:lang w:val="fr-FR"/>
        </w:rPr>
        <w:t>.</w:t>
      </w:r>
      <w:r w:rsidRPr="0048459D">
        <w:rPr>
          <w:lang w:val="fr-FR"/>
        </w:rPr>
        <w:tab/>
        <w:t>S</w:t>
      </w:r>
      <w:r>
        <w:rPr>
          <w:lang w:val="fr-FR"/>
        </w:rPr>
        <w:t>’</w:t>
      </w:r>
      <w:r w:rsidRPr="0048459D">
        <w:rPr>
          <w:lang w:val="fr-FR"/>
        </w:rPr>
        <w:t>agissant de l</w:t>
      </w:r>
      <w:r>
        <w:rPr>
          <w:lang w:val="fr-FR"/>
        </w:rPr>
        <w:t>’</w:t>
      </w:r>
      <w:r w:rsidRPr="0048459D">
        <w:rPr>
          <w:lang w:val="fr-FR"/>
        </w:rPr>
        <w:t>alinéa b), définissant l</w:t>
      </w:r>
      <w:r>
        <w:rPr>
          <w:lang w:val="fr-FR"/>
        </w:rPr>
        <w:t>’</w:t>
      </w:r>
      <w:r w:rsidRPr="0048459D">
        <w:rPr>
          <w:lang w:val="fr-FR"/>
        </w:rPr>
        <w:t xml:space="preserve">expression « acte accompli à titre officiel », le Rapporteur spécial a pris note des demandes de clarification formulées par les États concernant le régime des actes </w:t>
      </w:r>
      <w:r w:rsidRPr="0048459D">
        <w:rPr>
          <w:i/>
          <w:iCs/>
          <w:lang w:val="fr-FR"/>
        </w:rPr>
        <w:t>ultra vires</w:t>
      </w:r>
      <w:r w:rsidRPr="0048459D">
        <w:rPr>
          <w:lang w:val="fr-FR"/>
        </w:rPr>
        <w:t>. En outre, il a noté qu</w:t>
      </w:r>
      <w:r>
        <w:rPr>
          <w:lang w:val="fr-FR"/>
        </w:rPr>
        <w:t>’</w:t>
      </w:r>
      <w:r w:rsidRPr="0048459D">
        <w:rPr>
          <w:lang w:val="fr-FR"/>
        </w:rPr>
        <w:t>un État avait demandé que le terme « juridiction pénale » soit défini et que des préoccupations avai</w:t>
      </w:r>
      <w:r>
        <w:rPr>
          <w:lang w:val="fr-FR"/>
        </w:rPr>
        <w:t>en</w:t>
      </w:r>
      <w:r w:rsidRPr="0048459D">
        <w:rPr>
          <w:lang w:val="fr-FR"/>
        </w:rPr>
        <w:t>t été exprimées au sujet de la relation entre le projet d</w:t>
      </w:r>
      <w:r>
        <w:rPr>
          <w:lang w:val="fr-FR"/>
        </w:rPr>
        <w:t>’</w:t>
      </w:r>
      <w:r w:rsidRPr="0048459D">
        <w:rPr>
          <w:lang w:val="fr-FR"/>
        </w:rPr>
        <w:t>articles et les règles relatives à la responsabilité de l</w:t>
      </w:r>
      <w:r>
        <w:rPr>
          <w:lang w:val="fr-FR"/>
        </w:rPr>
        <w:t>’</w:t>
      </w:r>
      <w:r w:rsidRPr="0048459D">
        <w:rPr>
          <w:lang w:val="fr-FR"/>
        </w:rPr>
        <w:t>État pour fait internationalement illicite. Il a indiqué qu</w:t>
      </w:r>
      <w:r>
        <w:rPr>
          <w:lang w:val="fr-FR"/>
        </w:rPr>
        <w:t>’</w:t>
      </w:r>
      <w:r w:rsidRPr="0048459D">
        <w:rPr>
          <w:lang w:val="fr-FR"/>
        </w:rPr>
        <w:t>il ne lui semblait pas nécessaire de modifier le texte du projet d</w:t>
      </w:r>
      <w:r>
        <w:rPr>
          <w:lang w:val="fr-FR"/>
        </w:rPr>
        <w:t>’</w:t>
      </w:r>
      <w:r w:rsidRPr="0048459D">
        <w:rPr>
          <w:lang w:val="fr-FR"/>
        </w:rPr>
        <w:t>article 2, mais les questions soulevées par les États pourraient être abordées dans le commentaire dans la mesure où elles ne l</w:t>
      </w:r>
      <w:r>
        <w:rPr>
          <w:lang w:val="fr-FR"/>
        </w:rPr>
        <w:t>’</w:t>
      </w:r>
      <w:r w:rsidRPr="0048459D">
        <w:rPr>
          <w:lang w:val="fr-FR"/>
        </w:rPr>
        <w:t>avaient pas déjà été.</w:t>
      </w:r>
    </w:p>
    <w:p w14:paraId="61D7D947" w14:textId="77777777" w:rsidR="003F7DA4" w:rsidRPr="0048459D" w:rsidRDefault="003F7DA4" w:rsidP="003F7DA4">
      <w:pPr>
        <w:pStyle w:val="SingleTxtG"/>
        <w:rPr>
          <w:rFonts w:eastAsia="Times New Roman"/>
          <w:lang w:val="fr-FR"/>
        </w:rPr>
      </w:pPr>
      <w:r>
        <w:rPr>
          <w:lang w:val="fr-FR"/>
        </w:rPr>
        <w:t>154</w:t>
      </w:r>
      <w:r w:rsidRPr="0048459D">
        <w:rPr>
          <w:lang w:val="fr-FR"/>
        </w:rPr>
        <w:t>.</w:t>
      </w:r>
      <w:r w:rsidRPr="0048459D">
        <w:rPr>
          <w:lang w:val="fr-FR"/>
        </w:rPr>
        <w:tab/>
        <w:t>En ce qui concerne le projet d</w:t>
      </w:r>
      <w:r>
        <w:rPr>
          <w:lang w:val="fr-FR"/>
        </w:rPr>
        <w:t>’</w:t>
      </w:r>
      <w:r w:rsidRPr="0048459D">
        <w:rPr>
          <w:lang w:val="fr-FR"/>
        </w:rPr>
        <w:t>article 3, déterminant les bénéficiaires de l</w:t>
      </w:r>
      <w:r>
        <w:rPr>
          <w:lang w:val="fr-FR"/>
        </w:rPr>
        <w:t>’</w:t>
      </w:r>
      <w:r w:rsidRPr="0048459D">
        <w:rPr>
          <w:lang w:val="fr-FR"/>
        </w:rPr>
        <w:t xml:space="preserve">immunité </w:t>
      </w:r>
      <w:r w:rsidRPr="0048459D">
        <w:rPr>
          <w:i/>
          <w:iCs/>
          <w:lang w:val="fr-FR"/>
        </w:rPr>
        <w:t>ratione personae</w:t>
      </w:r>
      <w:r w:rsidRPr="0048459D">
        <w:rPr>
          <w:lang w:val="fr-FR"/>
        </w:rPr>
        <w:t>, le Rapporteur spécial a constaté que, de manière générale, les États estimaient que cette disposition reflétait le droit international coutumier. S</w:t>
      </w:r>
      <w:r>
        <w:rPr>
          <w:lang w:val="fr-FR"/>
        </w:rPr>
        <w:t>’</w:t>
      </w:r>
      <w:r w:rsidRPr="0048459D">
        <w:rPr>
          <w:lang w:val="fr-FR"/>
        </w:rPr>
        <w:t>il a noté que certains États suggéraient que le bénéfice de l</w:t>
      </w:r>
      <w:r>
        <w:rPr>
          <w:lang w:val="fr-FR"/>
        </w:rPr>
        <w:t>’</w:t>
      </w:r>
      <w:r w:rsidRPr="0048459D">
        <w:rPr>
          <w:lang w:val="fr-FR"/>
        </w:rPr>
        <w:t>immunité soit étendu à d</w:t>
      </w:r>
      <w:r>
        <w:rPr>
          <w:lang w:val="fr-FR"/>
        </w:rPr>
        <w:t>’</w:t>
      </w:r>
      <w:r w:rsidRPr="0048459D">
        <w:rPr>
          <w:lang w:val="fr-FR"/>
        </w:rPr>
        <w:t>autres catégories de représentants que les chefs d</w:t>
      </w:r>
      <w:r>
        <w:rPr>
          <w:lang w:val="fr-FR"/>
        </w:rPr>
        <w:t>’</w:t>
      </w:r>
      <w:r w:rsidRPr="0048459D">
        <w:rPr>
          <w:lang w:val="fr-FR"/>
        </w:rPr>
        <w:t>État, les chefs de gouvernement et les ministres des affaires étrangères, il a proposé de conserver le texte du projet d</w:t>
      </w:r>
      <w:r>
        <w:rPr>
          <w:lang w:val="fr-FR"/>
        </w:rPr>
        <w:t>’</w:t>
      </w:r>
      <w:r w:rsidRPr="0048459D">
        <w:rPr>
          <w:lang w:val="fr-FR"/>
        </w:rPr>
        <w:t>article 3 tel quel car il n</w:t>
      </w:r>
      <w:r>
        <w:rPr>
          <w:lang w:val="fr-FR"/>
        </w:rPr>
        <w:t>’</w:t>
      </w:r>
      <w:r w:rsidRPr="0048459D">
        <w:rPr>
          <w:lang w:val="fr-FR"/>
        </w:rPr>
        <w:t>y avait pas selon lui d</w:t>
      </w:r>
      <w:r>
        <w:rPr>
          <w:lang w:val="fr-FR"/>
        </w:rPr>
        <w:t>’</w:t>
      </w:r>
      <w:r w:rsidRPr="0048459D">
        <w:rPr>
          <w:lang w:val="fr-FR"/>
        </w:rPr>
        <w:t>arguments juridiques suffisants justifiant cette suggestion.</w:t>
      </w:r>
      <w:r>
        <w:rPr>
          <w:lang w:val="fr-FR"/>
        </w:rPr>
        <w:t xml:space="preserve"> À ses yeux, rien n’indiquait qu’il existait une pratique étatique constante appuyant l’extension.</w:t>
      </w:r>
      <w:r w:rsidRPr="0048459D">
        <w:rPr>
          <w:lang w:val="fr-FR"/>
        </w:rPr>
        <w:t xml:space="preserve"> </w:t>
      </w:r>
      <w:r>
        <w:rPr>
          <w:lang w:val="fr-FR"/>
        </w:rPr>
        <w:t xml:space="preserve">Le Rapporteur spécial </w:t>
      </w:r>
      <w:r w:rsidRPr="0048459D">
        <w:rPr>
          <w:lang w:val="fr-FR"/>
        </w:rPr>
        <w:t>a rappelé que d</w:t>
      </w:r>
      <w:r>
        <w:rPr>
          <w:lang w:val="fr-FR"/>
        </w:rPr>
        <w:t>’</w:t>
      </w:r>
      <w:r w:rsidRPr="0048459D">
        <w:rPr>
          <w:lang w:val="fr-FR"/>
        </w:rPr>
        <w:t>autres catégories de représentants pouvaient néanmoins jouir d</w:t>
      </w:r>
      <w:r>
        <w:rPr>
          <w:lang w:val="fr-FR"/>
        </w:rPr>
        <w:t>’</w:t>
      </w:r>
      <w:r w:rsidRPr="0048459D">
        <w:rPr>
          <w:lang w:val="fr-FR"/>
        </w:rPr>
        <w:t>une immunité en vertu d</w:t>
      </w:r>
      <w:r>
        <w:rPr>
          <w:lang w:val="fr-FR"/>
        </w:rPr>
        <w:t>’</w:t>
      </w:r>
      <w:r w:rsidRPr="0048459D">
        <w:rPr>
          <w:lang w:val="fr-FR"/>
        </w:rPr>
        <w:t xml:space="preserve">autres règles juridiques, par exemple celles relatives aux missions spéciales ou aux visites officielles. </w:t>
      </w:r>
    </w:p>
    <w:p w14:paraId="30B76BBC" w14:textId="788FED61" w:rsidR="003F7DA4" w:rsidRPr="0048459D" w:rsidRDefault="003F7DA4" w:rsidP="003F7DA4">
      <w:pPr>
        <w:pStyle w:val="SingleTxtG"/>
        <w:rPr>
          <w:rFonts w:eastAsia="Times New Roman"/>
          <w:lang w:val="fr-FR"/>
        </w:rPr>
      </w:pPr>
      <w:r>
        <w:rPr>
          <w:lang w:val="fr-FR"/>
        </w:rPr>
        <w:t>155</w:t>
      </w:r>
      <w:r w:rsidRPr="0048459D">
        <w:rPr>
          <w:lang w:val="fr-FR"/>
        </w:rPr>
        <w:t>.</w:t>
      </w:r>
      <w:r w:rsidRPr="0048459D">
        <w:rPr>
          <w:lang w:val="fr-FR"/>
        </w:rPr>
        <w:tab/>
        <w:t>Le Rapporteur spécial a observé que, dans l</w:t>
      </w:r>
      <w:r>
        <w:rPr>
          <w:lang w:val="fr-FR"/>
        </w:rPr>
        <w:t>’</w:t>
      </w:r>
      <w:r w:rsidRPr="0048459D">
        <w:rPr>
          <w:lang w:val="fr-FR"/>
        </w:rPr>
        <w:t>ensemble, les États approuvaient la teneur du projet d</w:t>
      </w:r>
      <w:r>
        <w:rPr>
          <w:lang w:val="fr-FR"/>
        </w:rPr>
        <w:t>’</w:t>
      </w:r>
      <w:r w:rsidRPr="0048459D">
        <w:rPr>
          <w:lang w:val="fr-FR"/>
        </w:rPr>
        <w:t>article 4, concernant la portée de l</w:t>
      </w:r>
      <w:r>
        <w:rPr>
          <w:lang w:val="fr-FR"/>
        </w:rPr>
        <w:t>’</w:t>
      </w:r>
      <w:r w:rsidRPr="0048459D">
        <w:rPr>
          <w:lang w:val="fr-FR"/>
        </w:rPr>
        <w:t xml:space="preserve">immunité </w:t>
      </w:r>
      <w:r w:rsidRPr="0048459D">
        <w:rPr>
          <w:i/>
          <w:iCs/>
          <w:lang w:val="fr-FR"/>
        </w:rPr>
        <w:t>ratione personae</w:t>
      </w:r>
      <w:r w:rsidRPr="0048459D">
        <w:rPr>
          <w:lang w:val="fr-FR"/>
        </w:rPr>
        <w:t>, et que leurs suggestions portaient principalement sur la terminologie employée et l</w:t>
      </w:r>
      <w:r>
        <w:rPr>
          <w:lang w:val="fr-FR"/>
        </w:rPr>
        <w:t>’</w:t>
      </w:r>
      <w:r w:rsidRPr="0048459D">
        <w:rPr>
          <w:lang w:val="fr-FR"/>
        </w:rPr>
        <w:t>organisation de la disposition. S</w:t>
      </w:r>
      <w:r>
        <w:rPr>
          <w:lang w:val="fr-FR"/>
        </w:rPr>
        <w:t>’</w:t>
      </w:r>
      <w:r w:rsidRPr="0048459D">
        <w:rPr>
          <w:lang w:val="fr-FR"/>
        </w:rPr>
        <w:t>il convenait que le terme « mandat » pouvait ne pas être approprié pour les représentants occupant des fonctions pour une durée indéterminée, il estimait qu</w:t>
      </w:r>
      <w:r>
        <w:rPr>
          <w:lang w:val="fr-FR"/>
        </w:rPr>
        <w:t>’</w:t>
      </w:r>
      <w:r w:rsidRPr="0048459D">
        <w:rPr>
          <w:lang w:val="fr-FR"/>
        </w:rPr>
        <w:t xml:space="preserve">il serait préférable de traiter cette question dans le commentaire. Il a constaté que certains États souhaitaient que le paragraphe 3 soit formulé </w:t>
      </w:r>
      <w:r w:rsidR="0007548B">
        <w:rPr>
          <w:lang w:val="fr-FR"/>
        </w:rPr>
        <w:t>comme une clause</w:t>
      </w:r>
      <w:r w:rsidRPr="0048459D">
        <w:rPr>
          <w:lang w:val="fr-FR"/>
        </w:rPr>
        <w:t xml:space="preserve"> « sans préjudice » et a proposé </w:t>
      </w:r>
      <w:r w:rsidR="0007548B">
        <w:rPr>
          <w:lang w:val="fr-FR"/>
        </w:rPr>
        <w:t>que les</w:t>
      </w:r>
      <w:r w:rsidRPr="0048459D">
        <w:rPr>
          <w:lang w:val="fr-FR"/>
        </w:rPr>
        <w:t xml:space="preserve"> mots « des règles du droit international relatives à »</w:t>
      </w:r>
      <w:r w:rsidR="0007548B">
        <w:rPr>
          <w:lang w:val="fr-FR"/>
        </w:rPr>
        <w:t xml:space="preserve"> soient supprimés et </w:t>
      </w:r>
      <w:r w:rsidR="0007548B">
        <w:rPr>
          <w:lang w:val="fr-FR"/>
        </w:rPr>
        <w:lastRenderedPageBreak/>
        <w:t>remplacés par la préposition « de »</w:t>
      </w:r>
      <w:r w:rsidRPr="0048459D">
        <w:rPr>
          <w:lang w:val="fr-FR"/>
        </w:rPr>
        <w:t>. Il a par ailleurs souscrit à la proposition de remplacer le terme « extinction » par le terme « cessation » dans la version française du paragraphe 3. Il s</w:t>
      </w:r>
      <w:r>
        <w:rPr>
          <w:lang w:val="fr-FR"/>
        </w:rPr>
        <w:t>’</w:t>
      </w:r>
      <w:r w:rsidRPr="0048459D">
        <w:rPr>
          <w:lang w:val="fr-FR"/>
        </w:rPr>
        <w:t>est dit ouvert à une réorganisation de la disposition et a indiqué que les questions relatives à la portée temporelle de l</w:t>
      </w:r>
      <w:r>
        <w:rPr>
          <w:lang w:val="fr-FR"/>
        </w:rPr>
        <w:t>’</w:t>
      </w:r>
      <w:r w:rsidRPr="0048459D">
        <w:rPr>
          <w:lang w:val="fr-FR"/>
        </w:rPr>
        <w:t xml:space="preserve">immunité </w:t>
      </w:r>
      <w:r w:rsidRPr="0048459D">
        <w:rPr>
          <w:i/>
          <w:iCs/>
          <w:lang w:val="fr-FR"/>
        </w:rPr>
        <w:t>ratione personae</w:t>
      </w:r>
      <w:r w:rsidRPr="0048459D">
        <w:rPr>
          <w:lang w:val="fr-FR"/>
        </w:rPr>
        <w:t xml:space="preserve"> et à l</w:t>
      </w:r>
      <w:r>
        <w:rPr>
          <w:lang w:val="fr-FR"/>
        </w:rPr>
        <w:t>’</w:t>
      </w:r>
      <w:r w:rsidRPr="0048459D">
        <w:rPr>
          <w:lang w:val="fr-FR"/>
        </w:rPr>
        <w:t xml:space="preserve">inviolabilité seraient examinées plus avant dans le commentaire. </w:t>
      </w:r>
    </w:p>
    <w:p w14:paraId="07ACD734" w14:textId="77777777" w:rsidR="003F7DA4" w:rsidRPr="0048459D" w:rsidRDefault="003F7DA4" w:rsidP="003F7DA4">
      <w:pPr>
        <w:pStyle w:val="SingleTxtG"/>
        <w:rPr>
          <w:rFonts w:eastAsia="Times New Roman"/>
          <w:lang w:val="fr-FR"/>
        </w:rPr>
      </w:pPr>
      <w:r>
        <w:rPr>
          <w:lang w:val="fr-FR"/>
        </w:rPr>
        <w:t>156</w:t>
      </w:r>
      <w:r w:rsidRPr="0048459D">
        <w:rPr>
          <w:lang w:val="fr-FR"/>
        </w:rPr>
        <w:t>.</w:t>
      </w:r>
      <w:r w:rsidRPr="0048459D">
        <w:rPr>
          <w:lang w:val="fr-FR"/>
        </w:rPr>
        <w:tab/>
        <w:t>En ce qui concerne le projet d</w:t>
      </w:r>
      <w:r>
        <w:rPr>
          <w:lang w:val="fr-FR"/>
        </w:rPr>
        <w:t>’</w:t>
      </w:r>
      <w:r w:rsidRPr="0048459D">
        <w:rPr>
          <w:lang w:val="fr-FR"/>
        </w:rPr>
        <w:t>article 5, le Rapporteur spécial a dit partager les préoccupations exprimées par les États concernant la formule « agissant à ce titre », qui prêtait à confusion selon certains et était superflue selon d</w:t>
      </w:r>
      <w:r>
        <w:rPr>
          <w:lang w:val="fr-FR"/>
        </w:rPr>
        <w:t>’</w:t>
      </w:r>
      <w:r w:rsidRPr="0048459D">
        <w:rPr>
          <w:lang w:val="fr-FR"/>
        </w:rPr>
        <w:t>autres. Il a souligné qu</w:t>
      </w:r>
      <w:r>
        <w:rPr>
          <w:lang w:val="fr-FR"/>
        </w:rPr>
        <w:t>’</w:t>
      </w:r>
      <w:r w:rsidRPr="0048459D">
        <w:rPr>
          <w:lang w:val="fr-FR"/>
        </w:rPr>
        <w:t xml:space="preserve">il avait proposé </w:t>
      </w:r>
      <w:r>
        <w:rPr>
          <w:lang w:val="fr-FR"/>
        </w:rPr>
        <w:t>de supprimer</w:t>
      </w:r>
      <w:r w:rsidRPr="0048459D">
        <w:rPr>
          <w:lang w:val="fr-FR"/>
        </w:rPr>
        <w:t xml:space="preserve"> de cette formule et </w:t>
      </w:r>
      <w:r>
        <w:rPr>
          <w:lang w:val="fr-FR"/>
        </w:rPr>
        <w:t>d’envisager d’insérer les</w:t>
      </w:r>
      <w:r w:rsidRPr="0048459D">
        <w:rPr>
          <w:lang w:val="fr-FR"/>
        </w:rPr>
        <w:t xml:space="preserve"> mots « conformément au projet d</w:t>
      </w:r>
      <w:r>
        <w:rPr>
          <w:lang w:val="fr-FR"/>
        </w:rPr>
        <w:t>’</w:t>
      </w:r>
      <w:r w:rsidRPr="0048459D">
        <w:rPr>
          <w:lang w:val="fr-FR"/>
        </w:rPr>
        <w:t>article 6 » pour faire le lien avec le projet d</w:t>
      </w:r>
      <w:r>
        <w:rPr>
          <w:lang w:val="fr-FR"/>
        </w:rPr>
        <w:t>’</w:t>
      </w:r>
      <w:r w:rsidRPr="0048459D">
        <w:rPr>
          <w:lang w:val="fr-FR"/>
        </w:rPr>
        <w:t xml:space="preserve">article suivant. </w:t>
      </w:r>
    </w:p>
    <w:p w14:paraId="0CC89972" w14:textId="77777777" w:rsidR="003F7DA4" w:rsidRPr="0048459D" w:rsidRDefault="003F7DA4" w:rsidP="003F7DA4">
      <w:pPr>
        <w:pStyle w:val="SingleTxtG"/>
        <w:keepLines/>
        <w:rPr>
          <w:rFonts w:eastAsia="Times New Roman"/>
          <w:lang w:val="fr-FR"/>
        </w:rPr>
      </w:pPr>
      <w:r>
        <w:rPr>
          <w:lang w:val="fr-FR"/>
        </w:rPr>
        <w:t>157</w:t>
      </w:r>
      <w:r w:rsidRPr="0048459D">
        <w:rPr>
          <w:lang w:val="fr-FR"/>
        </w:rPr>
        <w:t>.</w:t>
      </w:r>
      <w:r w:rsidRPr="0048459D">
        <w:rPr>
          <w:lang w:val="fr-FR"/>
        </w:rPr>
        <w:tab/>
        <w:t>S</w:t>
      </w:r>
      <w:r>
        <w:rPr>
          <w:lang w:val="fr-FR"/>
        </w:rPr>
        <w:t>’</w:t>
      </w:r>
      <w:r w:rsidRPr="0048459D">
        <w:rPr>
          <w:lang w:val="fr-FR"/>
        </w:rPr>
        <w:t>agissant du projet d</w:t>
      </w:r>
      <w:r>
        <w:rPr>
          <w:lang w:val="fr-FR"/>
        </w:rPr>
        <w:t>’</w:t>
      </w:r>
      <w:r w:rsidRPr="0048459D">
        <w:rPr>
          <w:lang w:val="fr-FR"/>
        </w:rPr>
        <w:t>article 6, le Rapporteur spécial a souligné que les États en approuvaient la teneur, mais a toutefois pris note du fait que, selon certains, le paragraphe 2 ne rendait peut-être pas dûment compte des exceptions à l</w:t>
      </w:r>
      <w:r>
        <w:rPr>
          <w:lang w:val="fr-FR"/>
        </w:rPr>
        <w:t>’</w:t>
      </w:r>
      <w:r w:rsidRPr="0048459D">
        <w:rPr>
          <w:lang w:val="fr-FR"/>
        </w:rPr>
        <w:t xml:space="preserve">immunité </w:t>
      </w:r>
      <w:r w:rsidRPr="0048459D">
        <w:rPr>
          <w:i/>
          <w:iCs/>
          <w:lang w:val="fr-FR"/>
        </w:rPr>
        <w:t>ratione materiae</w:t>
      </w:r>
      <w:r w:rsidRPr="0048459D">
        <w:rPr>
          <w:lang w:val="fr-FR"/>
        </w:rPr>
        <w:t>. Il a souscrit aux propositions visant à clarifier le paragraphe et a proposé d</w:t>
      </w:r>
      <w:r>
        <w:rPr>
          <w:lang w:val="fr-FR"/>
        </w:rPr>
        <w:t>’</w:t>
      </w:r>
      <w:r w:rsidRPr="0048459D">
        <w:rPr>
          <w:lang w:val="fr-FR"/>
        </w:rPr>
        <w:t>indiquer expressément dans le texte que l</w:t>
      </w:r>
      <w:r>
        <w:rPr>
          <w:lang w:val="fr-FR"/>
        </w:rPr>
        <w:t>’</w:t>
      </w:r>
      <w:r w:rsidRPr="0048459D">
        <w:rPr>
          <w:lang w:val="fr-FR"/>
        </w:rPr>
        <w:t>immunité « </w:t>
      </w:r>
      <w:r w:rsidRPr="0048459D">
        <w:rPr>
          <w:i/>
          <w:iCs/>
          <w:lang w:val="fr-FR"/>
        </w:rPr>
        <w:t>ratione materiae</w:t>
      </w:r>
      <w:r w:rsidRPr="0048459D">
        <w:rPr>
          <w:lang w:val="fr-FR"/>
        </w:rPr>
        <w:t> » subsiste pour les membres de la troïka après la cessation de l</w:t>
      </w:r>
      <w:r>
        <w:rPr>
          <w:lang w:val="fr-FR"/>
        </w:rPr>
        <w:t>’</w:t>
      </w:r>
      <w:r w:rsidRPr="0048459D">
        <w:rPr>
          <w:lang w:val="fr-FR"/>
        </w:rPr>
        <w:t xml:space="preserve">immunité </w:t>
      </w:r>
      <w:r w:rsidRPr="0048459D">
        <w:rPr>
          <w:i/>
          <w:iCs/>
          <w:lang w:val="fr-FR"/>
        </w:rPr>
        <w:t>ratione personae</w:t>
      </w:r>
      <w:r w:rsidRPr="0048459D">
        <w:rPr>
          <w:lang w:val="fr-FR"/>
        </w:rPr>
        <w:t xml:space="preserve">. </w:t>
      </w:r>
    </w:p>
    <w:p w14:paraId="06B35CB2" w14:textId="77777777" w:rsidR="003F7DA4" w:rsidRPr="0048459D" w:rsidRDefault="003F7DA4" w:rsidP="003F7DA4">
      <w:pPr>
        <w:pStyle w:val="SingleTxtG"/>
        <w:rPr>
          <w:rFonts w:eastAsia="Times New Roman"/>
          <w:lang w:val="fr-FR"/>
        </w:rPr>
      </w:pPr>
      <w:r>
        <w:rPr>
          <w:lang w:val="fr-FR"/>
        </w:rPr>
        <w:t>158</w:t>
      </w:r>
      <w:r w:rsidRPr="0048459D">
        <w:rPr>
          <w:lang w:val="fr-FR"/>
        </w:rPr>
        <w:t>.</w:t>
      </w:r>
      <w:r w:rsidRPr="0048459D">
        <w:rPr>
          <w:lang w:val="fr-FR"/>
        </w:rPr>
        <w:tab/>
        <w:t>Le Rapporteur spécial a également pris note des propositions visant à fusionner plusieurs dispositions. Il a rappelé qu</w:t>
      </w:r>
      <w:r>
        <w:rPr>
          <w:lang w:val="fr-FR"/>
        </w:rPr>
        <w:t>’</w:t>
      </w:r>
      <w:r w:rsidRPr="0048459D">
        <w:rPr>
          <w:lang w:val="fr-FR"/>
        </w:rPr>
        <w:t>il avait été proposé d</w:t>
      </w:r>
      <w:r>
        <w:rPr>
          <w:lang w:val="fr-FR"/>
        </w:rPr>
        <w:t>’</w:t>
      </w:r>
      <w:r w:rsidRPr="0048459D">
        <w:rPr>
          <w:lang w:val="fr-FR"/>
        </w:rPr>
        <w:t>incorporer les définitions contenues dans le projet d</w:t>
      </w:r>
      <w:r>
        <w:rPr>
          <w:lang w:val="fr-FR"/>
        </w:rPr>
        <w:t>’</w:t>
      </w:r>
      <w:r w:rsidRPr="0048459D">
        <w:rPr>
          <w:lang w:val="fr-FR"/>
        </w:rPr>
        <w:t>article 2 dans d</w:t>
      </w:r>
      <w:r>
        <w:rPr>
          <w:lang w:val="fr-FR"/>
        </w:rPr>
        <w:t>’</w:t>
      </w:r>
      <w:r w:rsidRPr="0048459D">
        <w:rPr>
          <w:lang w:val="fr-FR"/>
        </w:rPr>
        <w:t>autres dispositions de fond. S</w:t>
      </w:r>
      <w:r>
        <w:rPr>
          <w:lang w:val="fr-FR"/>
        </w:rPr>
        <w:t>’</w:t>
      </w:r>
      <w:r w:rsidRPr="0048459D">
        <w:rPr>
          <w:lang w:val="fr-FR"/>
        </w:rPr>
        <w:t>agissant des projets d</w:t>
      </w:r>
      <w:r>
        <w:rPr>
          <w:lang w:val="fr-FR"/>
        </w:rPr>
        <w:t>’</w:t>
      </w:r>
      <w:r w:rsidRPr="0048459D">
        <w:rPr>
          <w:lang w:val="fr-FR"/>
        </w:rPr>
        <w:t>articles 5 et 6, le Rapporteur spécial a estimé qu</w:t>
      </w:r>
      <w:r>
        <w:rPr>
          <w:lang w:val="fr-FR"/>
        </w:rPr>
        <w:t>’</w:t>
      </w:r>
      <w:r w:rsidRPr="0048459D">
        <w:rPr>
          <w:lang w:val="fr-FR"/>
        </w:rPr>
        <w:t>il valait mieux que le premier reste une disposition autonome. Il était d</w:t>
      </w:r>
      <w:r>
        <w:rPr>
          <w:lang w:val="fr-FR"/>
        </w:rPr>
        <w:t>’</w:t>
      </w:r>
      <w:r w:rsidRPr="0048459D">
        <w:rPr>
          <w:lang w:val="fr-FR"/>
        </w:rPr>
        <w:t>avis que les propositions de fusionner les paragraphes 3 des projets d</w:t>
      </w:r>
      <w:r>
        <w:rPr>
          <w:lang w:val="fr-FR"/>
        </w:rPr>
        <w:t>’</w:t>
      </w:r>
      <w:r w:rsidRPr="0048459D">
        <w:rPr>
          <w:lang w:val="fr-FR"/>
        </w:rPr>
        <w:t xml:space="preserve">articles 4 et 6, respectivement, pourraient être examinées par </w:t>
      </w:r>
      <w:r>
        <w:rPr>
          <w:lang w:val="fr-FR"/>
        </w:rPr>
        <w:t>le Comité de rédaction</w:t>
      </w:r>
      <w:r w:rsidRPr="0048459D">
        <w:rPr>
          <w:lang w:val="fr-FR"/>
        </w:rPr>
        <w:t xml:space="preserve">. </w:t>
      </w:r>
    </w:p>
    <w:p w14:paraId="29F7C792" w14:textId="77777777" w:rsidR="003F7DA4" w:rsidRPr="0048459D" w:rsidRDefault="003F7DA4" w:rsidP="003F7DA4">
      <w:pPr>
        <w:pStyle w:val="SingleTxtG"/>
        <w:rPr>
          <w:rFonts w:eastAsia="Times New Roman"/>
          <w:lang w:val="fr-FR"/>
        </w:rPr>
      </w:pPr>
      <w:r>
        <w:rPr>
          <w:lang w:val="fr-FR"/>
        </w:rPr>
        <w:t>159</w:t>
      </w:r>
      <w:r w:rsidRPr="0048459D">
        <w:rPr>
          <w:lang w:val="fr-FR"/>
        </w:rPr>
        <w:t>.</w:t>
      </w:r>
      <w:r w:rsidRPr="0048459D">
        <w:rPr>
          <w:lang w:val="fr-FR"/>
        </w:rPr>
        <w:tab/>
        <w:t>Le Rapporteur spécial a conclu ses observations liminaires en remerciant les autres membres de la Commission et le Secrétariat de l</w:t>
      </w:r>
      <w:r>
        <w:rPr>
          <w:lang w:val="fr-FR"/>
        </w:rPr>
        <w:t>’</w:t>
      </w:r>
      <w:r w:rsidRPr="0048459D">
        <w:rPr>
          <w:lang w:val="fr-FR"/>
        </w:rPr>
        <w:t>aide qu</w:t>
      </w:r>
      <w:r>
        <w:rPr>
          <w:lang w:val="fr-FR"/>
        </w:rPr>
        <w:t>’</w:t>
      </w:r>
      <w:r w:rsidRPr="0048459D">
        <w:rPr>
          <w:lang w:val="fr-FR"/>
        </w:rPr>
        <w:t xml:space="preserve">ils lui avaient apportée. </w:t>
      </w:r>
    </w:p>
    <w:p w14:paraId="21AFFAA4" w14:textId="77777777" w:rsidR="003F7DA4" w:rsidRPr="0048459D" w:rsidRDefault="003F7DA4" w:rsidP="00ED7CF2">
      <w:pPr>
        <w:pStyle w:val="H23G"/>
        <w:rPr>
          <w:rFonts w:eastAsia="SimSun"/>
          <w:lang w:val="fr-FR"/>
        </w:rPr>
      </w:pPr>
      <w:r w:rsidRPr="0048459D">
        <w:rPr>
          <w:lang w:val="fr-FR"/>
        </w:rPr>
        <w:tab/>
        <w:t>2.</w:t>
      </w:r>
      <w:r w:rsidRPr="0048459D">
        <w:rPr>
          <w:lang w:val="fr-FR"/>
        </w:rPr>
        <w:tab/>
      </w:r>
      <w:bookmarkStart w:id="101" w:name="_Hlk175323591"/>
      <w:r w:rsidRPr="0048459D">
        <w:rPr>
          <w:lang w:val="fr-FR"/>
        </w:rPr>
        <w:t>Résumé du débat</w:t>
      </w:r>
      <w:bookmarkEnd w:id="101"/>
    </w:p>
    <w:p w14:paraId="772F2DCE" w14:textId="77777777" w:rsidR="003F7DA4" w:rsidRPr="0048459D" w:rsidRDefault="003F7DA4" w:rsidP="00ED7CF2">
      <w:pPr>
        <w:pStyle w:val="H23G"/>
        <w:rPr>
          <w:rFonts w:eastAsia="SimSun"/>
          <w:lang w:val="fr-FR"/>
        </w:rPr>
      </w:pPr>
      <w:r w:rsidRPr="0048459D">
        <w:rPr>
          <w:lang w:val="fr-FR"/>
        </w:rPr>
        <w:tab/>
        <w:t>a)</w:t>
      </w:r>
      <w:r w:rsidRPr="0048459D">
        <w:rPr>
          <w:lang w:val="fr-FR"/>
        </w:rPr>
        <w:tab/>
        <w:t xml:space="preserve">Observations </w:t>
      </w:r>
      <w:r>
        <w:rPr>
          <w:lang w:val="fr-FR"/>
        </w:rPr>
        <w:t>d’ordre général</w:t>
      </w:r>
    </w:p>
    <w:p w14:paraId="67FD3BEF" w14:textId="531B6B43" w:rsidR="003F7DA4" w:rsidRPr="0048459D" w:rsidRDefault="003F7DA4" w:rsidP="003F7DA4">
      <w:pPr>
        <w:pStyle w:val="SingleTxtG"/>
        <w:rPr>
          <w:lang w:val="fr-FR"/>
        </w:rPr>
      </w:pPr>
      <w:r>
        <w:rPr>
          <w:lang w:val="fr-FR"/>
        </w:rPr>
        <w:t>160</w:t>
      </w:r>
      <w:r w:rsidRPr="0048459D">
        <w:rPr>
          <w:lang w:val="fr-FR"/>
        </w:rPr>
        <w:t>.</w:t>
      </w:r>
      <w:r w:rsidRPr="0048459D">
        <w:rPr>
          <w:lang w:val="fr-FR"/>
        </w:rPr>
        <w:tab/>
        <w:t>Les membres ont dans l</w:t>
      </w:r>
      <w:r>
        <w:rPr>
          <w:lang w:val="fr-FR"/>
        </w:rPr>
        <w:t>’</w:t>
      </w:r>
      <w:r w:rsidRPr="0048459D">
        <w:rPr>
          <w:lang w:val="fr-FR"/>
        </w:rPr>
        <w:t xml:space="preserve">ensemble favorablement accueilli le premier rapport du Rapporteur spécial. Plusieurs </w:t>
      </w:r>
      <w:r>
        <w:rPr>
          <w:lang w:val="fr-FR"/>
        </w:rPr>
        <w:t xml:space="preserve">membres </w:t>
      </w:r>
      <w:r w:rsidRPr="0048459D">
        <w:rPr>
          <w:lang w:val="fr-FR"/>
        </w:rPr>
        <w:t>ont remercié</w:t>
      </w:r>
      <w:r>
        <w:rPr>
          <w:lang w:val="fr-FR"/>
        </w:rPr>
        <w:t xml:space="preserve"> le Rapporteur spécial</w:t>
      </w:r>
      <w:r w:rsidRPr="0048459D">
        <w:rPr>
          <w:lang w:val="fr-FR"/>
        </w:rPr>
        <w:t xml:space="preserve"> de s</w:t>
      </w:r>
      <w:r>
        <w:rPr>
          <w:lang w:val="fr-FR"/>
        </w:rPr>
        <w:t>’</w:t>
      </w:r>
      <w:r w:rsidRPr="0048459D">
        <w:rPr>
          <w:lang w:val="fr-FR"/>
        </w:rPr>
        <w:t xml:space="preserve">être efforcé de répondre aux préoccupations exprimées par les États dans leurs </w:t>
      </w:r>
      <w:r>
        <w:rPr>
          <w:lang w:val="fr-FR"/>
        </w:rPr>
        <w:t xml:space="preserve">observations et </w:t>
      </w:r>
      <w:r w:rsidRPr="0048459D">
        <w:rPr>
          <w:lang w:val="fr-FR"/>
        </w:rPr>
        <w:t xml:space="preserve">commentaires </w:t>
      </w:r>
      <w:r>
        <w:rPr>
          <w:lang w:val="fr-FR"/>
        </w:rPr>
        <w:t>écrits ainsi qu’</w:t>
      </w:r>
      <w:r w:rsidRPr="0048459D">
        <w:rPr>
          <w:lang w:val="fr-FR"/>
        </w:rPr>
        <w:t>à la Sixième Commission. Des membres se sont en outre félicités qu</w:t>
      </w:r>
      <w:r>
        <w:rPr>
          <w:lang w:val="fr-FR"/>
        </w:rPr>
        <w:t>’</w:t>
      </w:r>
      <w:r w:rsidRPr="0048459D">
        <w:rPr>
          <w:lang w:val="fr-FR"/>
        </w:rPr>
        <w:t>il n</w:t>
      </w:r>
      <w:r>
        <w:rPr>
          <w:lang w:val="fr-FR"/>
        </w:rPr>
        <w:t>’</w:t>
      </w:r>
      <w:r w:rsidRPr="0048459D">
        <w:rPr>
          <w:lang w:val="fr-FR"/>
        </w:rPr>
        <w:t>ait proposé que de modestes modifications aux projets d</w:t>
      </w:r>
      <w:r>
        <w:rPr>
          <w:lang w:val="fr-FR"/>
        </w:rPr>
        <w:t>’</w:t>
      </w:r>
      <w:r w:rsidRPr="0048459D">
        <w:rPr>
          <w:lang w:val="fr-FR"/>
        </w:rPr>
        <w:t xml:space="preserve">articles </w:t>
      </w:r>
      <w:r w:rsidR="001B2081">
        <w:rPr>
          <w:lang w:val="fr-FR"/>
        </w:rPr>
        <w:t>1</w:t>
      </w:r>
      <w:r w:rsidRPr="0048459D">
        <w:rPr>
          <w:lang w:val="fr-FR"/>
        </w:rPr>
        <w:t xml:space="preserve"> à 6 adoptés en première lecture. De surcroît, plusieurs membres ont salué le travail des deux précédents rapporteurs spéciaux pour le sujet, M. </w:t>
      </w:r>
      <w:proofErr w:type="spellStart"/>
      <w:r w:rsidRPr="0048459D">
        <w:rPr>
          <w:lang w:val="fr-FR"/>
        </w:rPr>
        <w:t>Kolodkin</w:t>
      </w:r>
      <w:proofErr w:type="spellEnd"/>
      <w:r w:rsidRPr="0048459D">
        <w:rPr>
          <w:lang w:val="fr-FR"/>
        </w:rPr>
        <w:t xml:space="preserve"> et M</w:t>
      </w:r>
      <w:r w:rsidRPr="0048459D">
        <w:rPr>
          <w:vertAlign w:val="superscript"/>
          <w:lang w:val="fr-FR"/>
        </w:rPr>
        <w:t>me</w:t>
      </w:r>
      <w:r w:rsidRPr="0048459D">
        <w:rPr>
          <w:lang w:val="fr-FR"/>
        </w:rPr>
        <w:t> Escobar Hernández, et pris note avec satisfaction de la compilation des commentaires et observations reçus des États.</w:t>
      </w:r>
    </w:p>
    <w:p w14:paraId="78F122A7" w14:textId="77777777" w:rsidR="003F7DA4" w:rsidRPr="0048459D" w:rsidRDefault="003F7DA4" w:rsidP="003F7DA4">
      <w:pPr>
        <w:pStyle w:val="SingleTxtG"/>
        <w:rPr>
          <w:lang w:val="fr-FR"/>
        </w:rPr>
      </w:pPr>
      <w:r>
        <w:rPr>
          <w:lang w:val="fr-FR"/>
        </w:rPr>
        <w:t>161</w:t>
      </w:r>
      <w:r w:rsidRPr="0048459D">
        <w:rPr>
          <w:lang w:val="fr-FR"/>
        </w:rPr>
        <w:t>.</w:t>
      </w:r>
      <w:r w:rsidRPr="0048459D">
        <w:rPr>
          <w:lang w:val="fr-FR"/>
        </w:rPr>
        <w:tab/>
        <w:t>Plusieurs membres ont souligné que le sujet était d</w:t>
      </w:r>
      <w:r>
        <w:rPr>
          <w:lang w:val="fr-FR"/>
        </w:rPr>
        <w:t>’</w:t>
      </w:r>
      <w:r w:rsidRPr="0048459D">
        <w:rPr>
          <w:lang w:val="fr-FR"/>
        </w:rPr>
        <w:t>importance pour les États et que la Commission devait trouver un juste équilibre entre le respect de l</w:t>
      </w:r>
      <w:r>
        <w:rPr>
          <w:lang w:val="fr-FR"/>
        </w:rPr>
        <w:t>’</w:t>
      </w:r>
      <w:r w:rsidRPr="0048459D">
        <w:rPr>
          <w:lang w:val="fr-FR"/>
        </w:rPr>
        <w:t>égalité souveraine des États et la nécessité de faire en sorte que les auteurs des crimes de droit international les plus graves soient amenés à répondre de leurs actes. D</w:t>
      </w:r>
      <w:r>
        <w:rPr>
          <w:lang w:val="fr-FR"/>
        </w:rPr>
        <w:t>’</w:t>
      </w:r>
      <w:r w:rsidRPr="0048459D">
        <w:rPr>
          <w:lang w:val="fr-FR"/>
        </w:rPr>
        <w:t>autres ont souligné qu</w:t>
      </w:r>
      <w:r>
        <w:rPr>
          <w:lang w:val="fr-FR"/>
        </w:rPr>
        <w:t>’</w:t>
      </w:r>
      <w:r w:rsidRPr="0048459D">
        <w:rPr>
          <w:lang w:val="fr-FR"/>
        </w:rPr>
        <w:t>il fallait préserver les relations amicales entre États et maintenir la paix et la sécurité internationales. Il a été rappelé que l</w:t>
      </w:r>
      <w:r>
        <w:rPr>
          <w:lang w:val="fr-FR"/>
        </w:rPr>
        <w:t>’</w:t>
      </w:r>
      <w:r w:rsidRPr="0048459D">
        <w:rPr>
          <w:lang w:val="fr-FR"/>
        </w:rPr>
        <w:t>immunité des représentants de l</w:t>
      </w:r>
      <w:r>
        <w:rPr>
          <w:lang w:val="fr-FR"/>
        </w:rPr>
        <w:t>’</w:t>
      </w:r>
      <w:r w:rsidRPr="0048459D">
        <w:rPr>
          <w:lang w:val="fr-FR"/>
        </w:rPr>
        <w:t>État découlait à la fois du caractère étatique des fonctions des intéressés et du fait que ces derniers devaient être en mesure de représenter l</w:t>
      </w:r>
      <w:r>
        <w:rPr>
          <w:lang w:val="fr-FR"/>
        </w:rPr>
        <w:t>’</w:t>
      </w:r>
      <w:r w:rsidRPr="0048459D">
        <w:rPr>
          <w:lang w:val="fr-FR"/>
        </w:rPr>
        <w:t>État. Il a été dit que l</w:t>
      </w:r>
      <w:r>
        <w:rPr>
          <w:lang w:val="fr-FR"/>
        </w:rPr>
        <w:t>’</w:t>
      </w:r>
      <w:r w:rsidRPr="0048459D">
        <w:rPr>
          <w:lang w:val="fr-FR"/>
        </w:rPr>
        <w:t>immunité était un obstacle procédural à l</w:t>
      </w:r>
      <w:r>
        <w:rPr>
          <w:lang w:val="fr-FR"/>
        </w:rPr>
        <w:t>’</w:t>
      </w:r>
      <w:r w:rsidRPr="0048459D">
        <w:rPr>
          <w:lang w:val="fr-FR"/>
        </w:rPr>
        <w:t xml:space="preserve">exercice de la compétence et ne pouvait effacer la responsabilité des auteurs de violations. </w:t>
      </w:r>
    </w:p>
    <w:p w14:paraId="55CB50E9" w14:textId="77777777" w:rsidR="003F7DA4" w:rsidRPr="0048459D" w:rsidRDefault="003F7DA4" w:rsidP="003F7DA4">
      <w:pPr>
        <w:pStyle w:val="SingleTxtG"/>
        <w:rPr>
          <w:lang w:val="fr-FR"/>
        </w:rPr>
      </w:pPr>
      <w:r>
        <w:rPr>
          <w:lang w:val="fr-FR"/>
        </w:rPr>
        <w:t>162</w:t>
      </w:r>
      <w:r w:rsidRPr="0048459D">
        <w:rPr>
          <w:lang w:val="fr-FR"/>
        </w:rPr>
        <w:t>.</w:t>
      </w:r>
      <w:r w:rsidRPr="0048459D">
        <w:rPr>
          <w:lang w:val="fr-FR"/>
        </w:rPr>
        <w:tab/>
        <w:t>Plusieurs membres ont fait observer que le contenu du projet d</w:t>
      </w:r>
      <w:r>
        <w:rPr>
          <w:lang w:val="fr-FR"/>
        </w:rPr>
        <w:t>’</w:t>
      </w:r>
      <w:r w:rsidRPr="0048459D">
        <w:rPr>
          <w:lang w:val="fr-FR"/>
        </w:rPr>
        <w:t>article 7 serait capital pour le succès du projet d</w:t>
      </w:r>
      <w:r>
        <w:rPr>
          <w:lang w:val="fr-FR"/>
        </w:rPr>
        <w:t>’</w:t>
      </w:r>
      <w:r w:rsidRPr="0048459D">
        <w:rPr>
          <w:lang w:val="fr-FR"/>
        </w:rPr>
        <w:t>articles dans son ensemble. Cette disposition, y compris l</w:t>
      </w:r>
      <w:r>
        <w:rPr>
          <w:lang w:val="fr-FR"/>
        </w:rPr>
        <w:t>’</w:t>
      </w:r>
      <w:r w:rsidRPr="0048459D">
        <w:rPr>
          <w:lang w:val="fr-FR"/>
        </w:rPr>
        <w:t>inclusion du crime d</w:t>
      </w:r>
      <w:r>
        <w:rPr>
          <w:lang w:val="fr-FR"/>
        </w:rPr>
        <w:t>’</w:t>
      </w:r>
      <w:r w:rsidRPr="0048459D">
        <w:rPr>
          <w:lang w:val="fr-FR"/>
        </w:rPr>
        <w:t>agression dans son champ d</w:t>
      </w:r>
      <w:r>
        <w:rPr>
          <w:lang w:val="fr-FR"/>
        </w:rPr>
        <w:t>’</w:t>
      </w:r>
      <w:r w:rsidRPr="0048459D">
        <w:rPr>
          <w:lang w:val="fr-FR"/>
        </w:rPr>
        <w:t>application, a été bien accueillie</w:t>
      </w:r>
      <w:r>
        <w:rPr>
          <w:lang w:val="fr-FR"/>
        </w:rPr>
        <w:t> ; n</w:t>
      </w:r>
      <w:r w:rsidRPr="0048459D">
        <w:rPr>
          <w:lang w:val="fr-FR"/>
        </w:rPr>
        <w:t>éanmoins, il a aussi été rappelé que son contenu suscitait des préoccupations. Il a été fait référence à des décisions récemment rendues par des juridictions nationales dont certaines étaient conformes au projet d</w:t>
      </w:r>
      <w:r>
        <w:rPr>
          <w:lang w:val="fr-FR"/>
        </w:rPr>
        <w:t>’</w:t>
      </w:r>
      <w:r w:rsidRPr="0048459D">
        <w:rPr>
          <w:lang w:val="fr-FR"/>
        </w:rPr>
        <w:t>article 7 et d</w:t>
      </w:r>
      <w:r>
        <w:rPr>
          <w:lang w:val="fr-FR"/>
        </w:rPr>
        <w:t>’</w:t>
      </w:r>
      <w:r w:rsidRPr="0048459D">
        <w:rPr>
          <w:lang w:val="fr-FR"/>
        </w:rPr>
        <w:t>autres confirmaient l</w:t>
      </w:r>
      <w:r>
        <w:rPr>
          <w:lang w:val="fr-FR"/>
        </w:rPr>
        <w:t>’</w:t>
      </w:r>
      <w:r w:rsidRPr="0048459D">
        <w:rPr>
          <w:lang w:val="fr-FR"/>
        </w:rPr>
        <w:t>immunité pour des crimes relevant de cette disposition et la nécessité d</w:t>
      </w:r>
      <w:r>
        <w:rPr>
          <w:lang w:val="fr-FR"/>
        </w:rPr>
        <w:t>’</w:t>
      </w:r>
      <w:r w:rsidRPr="0048459D">
        <w:rPr>
          <w:lang w:val="fr-FR"/>
        </w:rPr>
        <w:t>actualiser le commentaire pertinent à cet égard a été soulignée. Il a été observé que, si le projet d</w:t>
      </w:r>
      <w:r>
        <w:rPr>
          <w:lang w:val="fr-FR"/>
        </w:rPr>
        <w:t>’</w:t>
      </w:r>
      <w:r w:rsidRPr="0048459D">
        <w:rPr>
          <w:lang w:val="fr-FR"/>
        </w:rPr>
        <w:t>article 7 prévoyait une exception à l</w:t>
      </w:r>
      <w:r>
        <w:rPr>
          <w:lang w:val="fr-FR"/>
        </w:rPr>
        <w:t>’</w:t>
      </w:r>
      <w:r w:rsidRPr="0048459D">
        <w:rPr>
          <w:lang w:val="fr-FR"/>
        </w:rPr>
        <w:t>immunité, l</w:t>
      </w:r>
      <w:r>
        <w:rPr>
          <w:lang w:val="fr-FR"/>
        </w:rPr>
        <w:t>’</w:t>
      </w:r>
      <w:r w:rsidRPr="0048459D">
        <w:rPr>
          <w:lang w:val="fr-FR"/>
        </w:rPr>
        <w:t>immunité elle-même pouvait être considérée comme une exception à la règle générale de la souveraineté territoriale de l</w:t>
      </w:r>
      <w:r>
        <w:rPr>
          <w:lang w:val="fr-FR"/>
        </w:rPr>
        <w:t>’</w:t>
      </w:r>
      <w:r w:rsidRPr="0048459D">
        <w:rPr>
          <w:lang w:val="fr-FR"/>
        </w:rPr>
        <w:t>État du for, comme c</w:t>
      </w:r>
      <w:r>
        <w:rPr>
          <w:lang w:val="fr-FR"/>
        </w:rPr>
        <w:t>’</w:t>
      </w:r>
      <w:r w:rsidRPr="0048459D">
        <w:rPr>
          <w:lang w:val="fr-FR"/>
        </w:rPr>
        <w:t xml:space="preserve">était le cas dans le projet de déclaration </w:t>
      </w:r>
      <w:r w:rsidRPr="0048459D">
        <w:rPr>
          <w:lang w:val="fr-FR"/>
        </w:rPr>
        <w:lastRenderedPageBreak/>
        <w:t>des droits et des devoirs des États adopté en 1949 par la Commission</w:t>
      </w:r>
      <w:r w:rsidRPr="0048459D">
        <w:rPr>
          <w:rStyle w:val="Appelnotedebasdep"/>
          <w:lang w:val="fr-FR"/>
        </w:rPr>
        <w:footnoteReference w:id="218"/>
      </w:r>
      <w:r w:rsidRPr="0048459D">
        <w:rPr>
          <w:lang w:val="fr-FR"/>
        </w:rPr>
        <w:t xml:space="preserve">. À cet égard, </w:t>
      </w:r>
      <w:r>
        <w:rPr>
          <w:lang w:val="fr-FR"/>
        </w:rPr>
        <w:t xml:space="preserve">certains membres </w:t>
      </w:r>
      <w:r w:rsidRPr="0048459D">
        <w:rPr>
          <w:lang w:val="fr-FR"/>
        </w:rPr>
        <w:t>se sont demandé si la pratique des États permettait d</w:t>
      </w:r>
      <w:r>
        <w:rPr>
          <w:lang w:val="fr-FR"/>
        </w:rPr>
        <w:t>’</w:t>
      </w:r>
      <w:r w:rsidRPr="0048459D">
        <w:rPr>
          <w:lang w:val="fr-FR"/>
        </w:rPr>
        <w:t>établir l</w:t>
      </w:r>
      <w:r>
        <w:rPr>
          <w:lang w:val="fr-FR"/>
        </w:rPr>
        <w:t>’</w:t>
      </w:r>
      <w:r w:rsidRPr="0048459D">
        <w:rPr>
          <w:lang w:val="fr-FR"/>
        </w:rPr>
        <w:t>existence d</w:t>
      </w:r>
      <w:r>
        <w:rPr>
          <w:lang w:val="fr-FR"/>
        </w:rPr>
        <w:t>’</w:t>
      </w:r>
      <w:r w:rsidRPr="0048459D">
        <w:rPr>
          <w:lang w:val="fr-FR"/>
        </w:rPr>
        <w:t>une règle de droit international coutumier prévoyant l</w:t>
      </w:r>
      <w:r>
        <w:rPr>
          <w:lang w:val="fr-FR"/>
        </w:rPr>
        <w:t>’</w:t>
      </w:r>
      <w:r w:rsidRPr="0048459D">
        <w:rPr>
          <w:lang w:val="fr-FR"/>
        </w:rPr>
        <w:t xml:space="preserve">immunité dans tous les cas. </w:t>
      </w:r>
      <w:r>
        <w:rPr>
          <w:lang w:val="fr-FR"/>
        </w:rPr>
        <w:t xml:space="preserve">D’autres ont suggéré que ce n’était pas le cas. </w:t>
      </w:r>
      <w:r w:rsidRPr="0048459D">
        <w:rPr>
          <w:lang w:val="fr-FR"/>
        </w:rPr>
        <w:t>Il a été demandé que le commentaire apporte des éclaircissements sur la question de savoir</w:t>
      </w:r>
      <w:r>
        <w:rPr>
          <w:lang w:val="fr-FR"/>
        </w:rPr>
        <w:t xml:space="preserve"> </w:t>
      </w:r>
      <w:r w:rsidRPr="0048459D">
        <w:rPr>
          <w:lang w:val="fr-FR"/>
        </w:rPr>
        <w:t>si les actes constitutifs de crimes relevant du projet d</w:t>
      </w:r>
      <w:r>
        <w:rPr>
          <w:lang w:val="fr-FR"/>
        </w:rPr>
        <w:t>’</w:t>
      </w:r>
      <w:r w:rsidRPr="0048459D">
        <w:rPr>
          <w:lang w:val="fr-FR"/>
        </w:rPr>
        <w:t>article 7 pouvaient être qualifiés d</w:t>
      </w:r>
      <w:r>
        <w:rPr>
          <w:lang w:val="fr-FR"/>
        </w:rPr>
        <w:t>’</w:t>
      </w:r>
      <w:r w:rsidRPr="0048459D">
        <w:rPr>
          <w:lang w:val="fr-FR"/>
        </w:rPr>
        <w:t>actes accomplis à titre officiel.</w:t>
      </w:r>
    </w:p>
    <w:p w14:paraId="73EBD861" w14:textId="77777777" w:rsidR="003F7DA4" w:rsidRPr="0048459D" w:rsidRDefault="003F7DA4" w:rsidP="003F7DA4">
      <w:pPr>
        <w:pStyle w:val="SingleTxtG"/>
        <w:rPr>
          <w:lang w:val="fr-FR"/>
        </w:rPr>
      </w:pPr>
      <w:r>
        <w:rPr>
          <w:lang w:val="fr-FR"/>
        </w:rPr>
        <w:t>163</w:t>
      </w:r>
      <w:r w:rsidRPr="0048459D">
        <w:rPr>
          <w:lang w:val="fr-FR"/>
        </w:rPr>
        <w:t>.</w:t>
      </w:r>
      <w:r w:rsidRPr="0048459D">
        <w:rPr>
          <w:lang w:val="fr-FR"/>
        </w:rPr>
        <w:tab/>
        <w:t>Concernant les demandes de précisions formulées par les États sur la question de savoir si telles ou telles dispositions reflétaient des règles existantes du droit international coutumier ou participaient de propositions de développement progressif du droit, plusieurs membres sont convenus avec le Rapporteur spécial que la Commission avait dûment traité la question au paragraphe 12 du commentaire général du projet d</w:t>
      </w:r>
      <w:r>
        <w:rPr>
          <w:lang w:val="fr-FR"/>
        </w:rPr>
        <w:t>’</w:t>
      </w:r>
      <w:r w:rsidRPr="0048459D">
        <w:rPr>
          <w:lang w:val="fr-FR"/>
        </w:rPr>
        <w:t xml:space="preserve">articles. Néanmoins, </w:t>
      </w:r>
      <w:r>
        <w:rPr>
          <w:lang w:val="fr-FR"/>
        </w:rPr>
        <w:t xml:space="preserve">quelques membres ont invité </w:t>
      </w:r>
      <w:r w:rsidRPr="0048459D">
        <w:rPr>
          <w:lang w:val="fr-FR"/>
        </w:rPr>
        <w:t xml:space="preserve">la Commission à envisager de fournir des informations supplémentaires sur les points sur lesquels les États en avaient demandé. Il a en outre été souligné que tout énoncé du droit devait être dûment étayé. </w:t>
      </w:r>
    </w:p>
    <w:p w14:paraId="39D8E3FF" w14:textId="77777777" w:rsidR="003F7DA4" w:rsidRPr="0048459D" w:rsidRDefault="003F7DA4" w:rsidP="003F7DA4">
      <w:pPr>
        <w:pStyle w:val="SingleTxtG"/>
        <w:rPr>
          <w:lang w:val="fr-FR"/>
        </w:rPr>
      </w:pPr>
      <w:r>
        <w:rPr>
          <w:lang w:val="fr-FR"/>
        </w:rPr>
        <w:t>164</w:t>
      </w:r>
      <w:r w:rsidRPr="0048459D">
        <w:rPr>
          <w:lang w:val="fr-FR"/>
        </w:rPr>
        <w:t>.</w:t>
      </w:r>
      <w:r w:rsidRPr="0048459D">
        <w:rPr>
          <w:lang w:val="fr-FR"/>
        </w:rPr>
        <w:tab/>
        <w:t>S</w:t>
      </w:r>
      <w:r>
        <w:rPr>
          <w:lang w:val="fr-FR"/>
        </w:rPr>
        <w:t>’</w:t>
      </w:r>
      <w:r w:rsidRPr="0048459D">
        <w:rPr>
          <w:lang w:val="fr-FR"/>
        </w:rPr>
        <w:t>agissant de l</w:t>
      </w:r>
      <w:r>
        <w:rPr>
          <w:lang w:val="fr-FR"/>
        </w:rPr>
        <w:t>’</w:t>
      </w:r>
      <w:r w:rsidRPr="0048459D">
        <w:rPr>
          <w:lang w:val="fr-FR"/>
        </w:rPr>
        <w:t>approche que la Commission devait adopter en seconde lecture, plusieurs membres ont dit que, selon eux, il ne fallait apporter aux projets d</w:t>
      </w:r>
      <w:r>
        <w:rPr>
          <w:lang w:val="fr-FR"/>
        </w:rPr>
        <w:t>’</w:t>
      </w:r>
      <w:r w:rsidRPr="0048459D">
        <w:rPr>
          <w:lang w:val="fr-FR"/>
        </w:rPr>
        <w:t>articles et aux commentaires y afférents que les modifications nécessaires eu égard aux observations des États et aux évolutions survenues depuis la première lecture. Cependant, il a aussi été dit que la Commission ne devrait pas trop hésiter à faire des ajustements sachant que ce serait la première fois que les membres nommés après 2022 auraient l</w:t>
      </w:r>
      <w:r>
        <w:rPr>
          <w:lang w:val="fr-FR"/>
        </w:rPr>
        <w:t>’</w:t>
      </w:r>
      <w:r w:rsidRPr="0048459D">
        <w:rPr>
          <w:lang w:val="fr-FR"/>
        </w:rPr>
        <w:t>occasion de contribuer aux travaux sur le sujet. Il a été rappelé que seules des modifications de « toilettage » avaient été apportées au projet d</w:t>
      </w:r>
      <w:r>
        <w:rPr>
          <w:lang w:val="fr-FR"/>
        </w:rPr>
        <w:t>’</w:t>
      </w:r>
      <w:r w:rsidRPr="0048459D">
        <w:rPr>
          <w:lang w:val="fr-FR"/>
        </w:rPr>
        <w:t>articles à l</w:t>
      </w:r>
      <w:r>
        <w:rPr>
          <w:lang w:val="fr-FR"/>
        </w:rPr>
        <w:t>’</w:t>
      </w:r>
      <w:r w:rsidRPr="0048459D">
        <w:rPr>
          <w:lang w:val="fr-FR"/>
        </w:rPr>
        <w:t>issue de la première lecture en 2022. La possibilité de corriger d</w:t>
      </w:r>
      <w:r>
        <w:rPr>
          <w:lang w:val="fr-FR"/>
        </w:rPr>
        <w:t>’</w:t>
      </w:r>
      <w:r w:rsidRPr="0048459D">
        <w:rPr>
          <w:lang w:val="fr-FR"/>
        </w:rPr>
        <w:t>éventuelles incohérences dans le texte du projet d</w:t>
      </w:r>
      <w:r>
        <w:rPr>
          <w:lang w:val="fr-FR"/>
        </w:rPr>
        <w:t>’</w:t>
      </w:r>
      <w:r w:rsidRPr="0048459D">
        <w:rPr>
          <w:lang w:val="fr-FR"/>
        </w:rPr>
        <w:t>articles et des commentaires adoptés en première lecture a été envisagée.</w:t>
      </w:r>
      <w:r>
        <w:rPr>
          <w:lang w:val="fr-FR"/>
        </w:rPr>
        <w:t xml:space="preserve"> D’un autre côté, il a été rappelé que le projet d’articles avait été adopté en 2022 et que les références jurisprudentielles qu’il contenait s’arrêtaient à cette année-là.</w:t>
      </w:r>
    </w:p>
    <w:p w14:paraId="50AF70B2" w14:textId="45D0B059" w:rsidR="003F7DA4" w:rsidRPr="0048459D" w:rsidRDefault="003F7DA4" w:rsidP="003F7DA4">
      <w:pPr>
        <w:pStyle w:val="SingleTxtG"/>
        <w:rPr>
          <w:lang w:val="fr-FR"/>
        </w:rPr>
      </w:pPr>
      <w:r>
        <w:rPr>
          <w:lang w:val="fr-FR"/>
        </w:rPr>
        <w:t>165</w:t>
      </w:r>
      <w:r w:rsidRPr="0048459D">
        <w:rPr>
          <w:lang w:val="fr-FR"/>
        </w:rPr>
        <w:t>.</w:t>
      </w:r>
      <w:r w:rsidRPr="0048459D">
        <w:rPr>
          <w:lang w:val="fr-FR"/>
        </w:rPr>
        <w:tab/>
        <w:t>Plusieurs membres ont insisté sur le rôle central que les commentaires des États devaient jouer dans l</w:t>
      </w:r>
      <w:r>
        <w:rPr>
          <w:lang w:val="fr-FR"/>
        </w:rPr>
        <w:t>’</w:t>
      </w:r>
      <w:r w:rsidRPr="0048459D">
        <w:rPr>
          <w:lang w:val="fr-FR"/>
        </w:rPr>
        <w:t>examen effectué par la Commission en seconde lecture.</w:t>
      </w:r>
      <w:r>
        <w:rPr>
          <w:lang w:val="fr-FR"/>
        </w:rPr>
        <w:t xml:space="preserve"> </w:t>
      </w:r>
      <w:r w:rsidRPr="0076084F">
        <w:rPr>
          <w:lang w:val="fr-FR"/>
        </w:rPr>
        <w:t>Certains membres ont rappelé les observations formulées par les États avant que la première lecture soit achevée, suggérant qu</w:t>
      </w:r>
      <w:r>
        <w:rPr>
          <w:lang w:val="fr-FR"/>
        </w:rPr>
        <w:t>’</w:t>
      </w:r>
      <w:r w:rsidRPr="0076084F">
        <w:rPr>
          <w:lang w:val="fr-FR"/>
        </w:rPr>
        <w:t>elles pourraient être pertinentes pour les travaux de la Commission à ce stade</w:t>
      </w:r>
      <w:r>
        <w:rPr>
          <w:rFonts w:ascii="Segoe UI" w:hAnsi="Segoe UI" w:cs="Segoe UI"/>
        </w:rPr>
        <w:t xml:space="preserve">. </w:t>
      </w:r>
      <w:r w:rsidRPr="0076084F">
        <w:rPr>
          <w:lang w:val="fr-FR"/>
        </w:rPr>
        <w:t>D</w:t>
      </w:r>
      <w:r>
        <w:rPr>
          <w:lang w:val="fr-FR"/>
        </w:rPr>
        <w:t>’</w:t>
      </w:r>
      <w:r w:rsidRPr="0076084F">
        <w:rPr>
          <w:lang w:val="fr-FR"/>
        </w:rPr>
        <w:t xml:space="preserve">autres membres ont appuyé la méthode adoptée par le Rapporteur spécial. </w:t>
      </w:r>
      <w:r>
        <w:rPr>
          <w:lang w:val="fr-FR"/>
        </w:rPr>
        <w:t xml:space="preserve">Il a été </w:t>
      </w:r>
      <w:r w:rsidRPr="0048459D">
        <w:rPr>
          <w:lang w:val="fr-FR"/>
        </w:rPr>
        <w:t>souligné qu</w:t>
      </w:r>
      <w:r>
        <w:rPr>
          <w:lang w:val="fr-FR"/>
        </w:rPr>
        <w:t>’</w:t>
      </w:r>
      <w:r w:rsidRPr="0048459D">
        <w:rPr>
          <w:lang w:val="fr-FR"/>
        </w:rPr>
        <w:t>il importait de prendre dûment en considération les points de vue des États de toutes les régions, sur un pied d</w:t>
      </w:r>
      <w:r>
        <w:rPr>
          <w:lang w:val="fr-FR"/>
        </w:rPr>
        <w:t>’</w:t>
      </w:r>
      <w:r w:rsidRPr="0048459D">
        <w:rPr>
          <w:lang w:val="fr-FR"/>
        </w:rPr>
        <w:t>égalité. La Commission a été encouragée à tenir compte des points de vue pertinents exprimés par les États en dehors</w:t>
      </w:r>
      <w:r>
        <w:rPr>
          <w:lang w:val="fr-FR"/>
        </w:rPr>
        <w:t xml:space="preserve"> de la procédure formelle de consultations</w:t>
      </w:r>
      <w:r w:rsidRPr="0048459D">
        <w:rPr>
          <w:lang w:val="fr-FR"/>
        </w:rPr>
        <w:t xml:space="preserve"> de la Commission. Il a été observé qu</w:t>
      </w:r>
      <w:r>
        <w:rPr>
          <w:lang w:val="fr-FR"/>
        </w:rPr>
        <w:t>’</w:t>
      </w:r>
      <w:r w:rsidRPr="0048459D">
        <w:rPr>
          <w:lang w:val="fr-FR"/>
        </w:rPr>
        <w:t>il était difficile d</w:t>
      </w:r>
      <w:r>
        <w:rPr>
          <w:lang w:val="fr-FR"/>
        </w:rPr>
        <w:t>’</w:t>
      </w:r>
      <w:r w:rsidRPr="0048459D">
        <w:rPr>
          <w:lang w:val="fr-FR"/>
        </w:rPr>
        <w:t>interpréter le silence des États qui n</w:t>
      </w:r>
      <w:r>
        <w:rPr>
          <w:lang w:val="fr-FR"/>
        </w:rPr>
        <w:t>’</w:t>
      </w:r>
      <w:r w:rsidRPr="0048459D">
        <w:rPr>
          <w:lang w:val="fr-FR"/>
        </w:rPr>
        <w:t>avaient pas communiqué d</w:t>
      </w:r>
      <w:r>
        <w:rPr>
          <w:lang w:val="fr-FR"/>
        </w:rPr>
        <w:t>’</w:t>
      </w:r>
      <w:r w:rsidRPr="0048459D">
        <w:rPr>
          <w:lang w:val="fr-FR"/>
        </w:rPr>
        <w:t>observations et qu</w:t>
      </w:r>
      <w:r>
        <w:rPr>
          <w:lang w:val="fr-FR"/>
        </w:rPr>
        <w:t>’</w:t>
      </w:r>
      <w:r w:rsidRPr="0048459D">
        <w:rPr>
          <w:lang w:val="fr-FR"/>
        </w:rPr>
        <w:t>il était à espérer que davantage de délégations présenteraient leurs points de vue au cours des débats que la Sixième Commission consacrerait au présent rapport. Il a été souligné que l</w:t>
      </w:r>
      <w:r>
        <w:rPr>
          <w:lang w:val="fr-FR"/>
        </w:rPr>
        <w:t>’</w:t>
      </w:r>
      <w:r w:rsidRPr="0048459D">
        <w:rPr>
          <w:lang w:val="fr-FR"/>
        </w:rPr>
        <w:t>objectif était de dégager un consensus à partir des différents points de vue des États.</w:t>
      </w:r>
    </w:p>
    <w:p w14:paraId="75834C4E" w14:textId="4C5AC46B" w:rsidR="003F7DA4" w:rsidRPr="0048459D" w:rsidRDefault="003F7DA4" w:rsidP="003F7DA4">
      <w:pPr>
        <w:pStyle w:val="SingleTxtG"/>
        <w:rPr>
          <w:lang w:val="fr-FR"/>
        </w:rPr>
      </w:pPr>
      <w:r>
        <w:rPr>
          <w:lang w:val="fr-FR"/>
        </w:rPr>
        <w:t>166</w:t>
      </w:r>
      <w:r w:rsidRPr="0048459D">
        <w:rPr>
          <w:lang w:val="fr-FR"/>
        </w:rPr>
        <w:t>.</w:t>
      </w:r>
      <w:r w:rsidRPr="0048459D">
        <w:rPr>
          <w:lang w:val="fr-FR"/>
        </w:rPr>
        <w:tab/>
        <w:t>Des membres ont par ailleurs souligné qu</w:t>
      </w:r>
      <w:r>
        <w:rPr>
          <w:lang w:val="fr-FR"/>
        </w:rPr>
        <w:t>’</w:t>
      </w:r>
      <w:r w:rsidRPr="0048459D">
        <w:rPr>
          <w:lang w:val="fr-FR"/>
        </w:rPr>
        <w:t>il fallait prendre en considération l</w:t>
      </w:r>
      <w:r>
        <w:rPr>
          <w:lang w:val="fr-FR"/>
        </w:rPr>
        <w:t>’</w:t>
      </w:r>
      <w:r w:rsidRPr="0048459D">
        <w:rPr>
          <w:lang w:val="fr-FR"/>
        </w:rPr>
        <w:t>évolution de la pratique des États, de la jurisprudence et de la doctrine sur le sujet, à plus forte raison vu le temps écoulé depuis l</w:t>
      </w:r>
      <w:r>
        <w:rPr>
          <w:lang w:val="fr-FR"/>
        </w:rPr>
        <w:t>’</w:t>
      </w:r>
      <w:r w:rsidRPr="0048459D">
        <w:rPr>
          <w:lang w:val="fr-FR"/>
        </w:rPr>
        <w:t>adoption provisoire des projets d</w:t>
      </w:r>
      <w:r>
        <w:rPr>
          <w:lang w:val="fr-FR"/>
        </w:rPr>
        <w:t>’</w:t>
      </w:r>
      <w:r w:rsidRPr="0048459D">
        <w:rPr>
          <w:lang w:val="fr-FR"/>
        </w:rPr>
        <w:t xml:space="preserve">articles </w:t>
      </w:r>
      <w:r w:rsidR="001B2081">
        <w:rPr>
          <w:lang w:val="fr-FR"/>
        </w:rPr>
        <w:t>1</w:t>
      </w:r>
      <w:r w:rsidRPr="0048459D">
        <w:rPr>
          <w:lang w:val="fr-FR"/>
        </w:rPr>
        <w:t xml:space="preserve"> à 6 en première lecture. L</w:t>
      </w:r>
      <w:r>
        <w:rPr>
          <w:lang w:val="fr-FR"/>
        </w:rPr>
        <w:t>’</w:t>
      </w:r>
      <w:r w:rsidRPr="0048459D">
        <w:rPr>
          <w:lang w:val="fr-FR"/>
        </w:rPr>
        <w:t>importance de la pratique des États en dehors des décisions judiciaires a également été mise en avant. La nécessité de réexaminer les affaires auxquelles il est fait référence dans le commentaire a aussi été soulignée et la question de la pertinence des affaires ayant trait à l</w:t>
      </w:r>
      <w:r>
        <w:rPr>
          <w:lang w:val="fr-FR"/>
        </w:rPr>
        <w:t>’</w:t>
      </w:r>
      <w:r w:rsidRPr="0048459D">
        <w:rPr>
          <w:lang w:val="fr-FR"/>
        </w:rPr>
        <w:t>immunité souveraine et à l</w:t>
      </w:r>
      <w:r>
        <w:rPr>
          <w:lang w:val="fr-FR"/>
        </w:rPr>
        <w:t>’</w:t>
      </w:r>
      <w:r w:rsidRPr="0048459D">
        <w:rPr>
          <w:lang w:val="fr-FR"/>
        </w:rPr>
        <w:t>immunité de juridiction civile et des affaires dans lesquelles l</w:t>
      </w:r>
      <w:r>
        <w:rPr>
          <w:lang w:val="fr-FR"/>
        </w:rPr>
        <w:t>’</w:t>
      </w:r>
      <w:r w:rsidRPr="0048459D">
        <w:rPr>
          <w:lang w:val="fr-FR"/>
        </w:rPr>
        <w:t>immunité n</w:t>
      </w:r>
      <w:r>
        <w:rPr>
          <w:lang w:val="fr-FR"/>
        </w:rPr>
        <w:t>’</w:t>
      </w:r>
      <w:r w:rsidRPr="0048459D">
        <w:rPr>
          <w:lang w:val="fr-FR"/>
        </w:rPr>
        <w:t>était pas invoquée a été soulevée.</w:t>
      </w:r>
      <w:r>
        <w:rPr>
          <w:lang w:val="fr-FR"/>
        </w:rPr>
        <w:t xml:space="preserve"> D’autres membres ont réaffirmé que les projets d’articles </w:t>
      </w:r>
      <w:r w:rsidR="001B2081">
        <w:rPr>
          <w:lang w:val="fr-FR"/>
        </w:rPr>
        <w:t>1</w:t>
      </w:r>
      <w:r>
        <w:rPr>
          <w:lang w:val="fr-FR"/>
        </w:rPr>
        <w:t xml:space="preserve"> à 6 avaient été provisoirement adoptés en 2022 et que la jurisprudence citée montrait qu’il avait à l’époque été procédé à un examen approfondi. </w:t>
      </w:r>
    </w:p>
    <w:p w14:paraId="49133EE7" w14:textId="77777777" w:rsidR="003F7DA4" w:rsidRPr="0048459D" w:rsidRDefault="003F7DA4" w:rsidP="003F7DA4">
      <w:pPr>
        <w:pStyle w:val="SingleTxtG"/>
        <w:rPr>
          <w:lang w:val="fr-FR"/>
        </w:rPr>
      </w:pPr>
      <w:r>
        <w:rPr>
          <w:lang w:val="fr-FR"/>
        </w:rPr>
        <w:t>167</w:t>
      </w:r>
      <w:r w:rsidRPr="0048459D">
        <w:rPr>
          <w:lang w:val="fr-FR"/>
        </w:rPr>
        <w:t>.</w:t>
      </w:r>
      <w:r w:rsidRPr="0048459D">
        <w:rPr>
          <w:lang w:val="fr-FR"/>
        </w:rPr>
        <w:tab/>
        <w:t>Les membres se sont penchés sur les difficultés auxquelles la Commission se heurterait dans le cadre de la seconde lecture du projet d</w:t>
      </w:r>
      <w:r>
        <w:rPr>
          <w:lang w:val="fr-FR"/>
        </w:rPr>
        <w:t>’</w:t>
      </w:r>
      <w:r w:rsidRPr="0048459D">
        <w:rPr>
          <w:lang w:val="fr-FR"/>
        </w:rPr>
        <w:t>articles. La Commission a été encouragée à rechercher des solutions susceptibles d</w:t>
      </w:r>
      <w:r>
        <w:rPr>
          <w:lang w:val="fr-FR"/>
        </w:rPr>
        <w:t>’</w:t>
      </w:r>
      <w:r w:rsidRPr="0048459D">
        <w:rPr>
          <w:lang w:val="fr-FR"/>
        </w:rPr>
        <w:t xml:space="preserve">être largement appliquées </w:t>
      </w:r>
      <w:r>
        <w:rPr>
          <w:lang w:val="fr-FR"/>
        </w:rPr>
        <w:t>à la lumière des</w:t>
      </w:r>
      <w:r w:rsidRPr="0048459D">
        <w:rPr>
          <w:lang w:val="fr-FR"/>
        </w:rPr>
        <w:t xml:space="preserve"> subtilités du sujet et </w:t>
      </w:r>
      <w:r>
        <w:rPr>
          <w:lang w:val="fr-FR"/>
        </w:rPr>
        <w:t>des</w:t>
      </w:r>
      <w:r w:rsidRPr="0048459D">
        <w:rPr>
          <w:lang w:val="fr-FR"/>
        </w:rPr>
        <w:t xml:space="preserve"> divergences de vues entre les États. Il a été souligné qu</w:t>
      </w:r>
      <w:r>
        <w:rPr>
          <w:lang w:val="fr-FR"/>
        </w:rPr>
        <w:t>’</w:t>
      </w:r>
      <w:r w:rsidRPr="0048459D">
        <w:rPr>
          <w:lang w:val="fr-FR"/>
        </w:rPr>
        <w:t xml:space="preserve">il importait de rendre compte du droit international coutumier en termes techniques et </w:t>
      </w:r>
      <w:r w:rsidRPr="0048459D">
        <w:rPr>
          <w:lang w:val="fr-FR"/>
        </w:rPr>
        <w:lastRenderedPageBreak/>
        <w:t>apolitiques et il a été pris note du fait que la Commission s</w:t>
      </w:r>
      <w:r>
        <w:rPr>
          <w:lang w:val="fr-FR"/>
        </w:rPr>
        <w:t>’</w:t>
      </w:r>
      <w:r w:rsidRPr="0048459D">
        <w:rPr>
          <w:lang w:val="fr-FR"/>
        </w:rPr>
        <w:t>était vu demander de réorienter ses travaux pour les axer vers la codification des règles existantes. La Commission a aussi été encouragée à apporter une valeur ajoutée en faisant œuvre de développement progressif. Plusieurs membres ont fait observer que la Commission devait se garder d</w:t>
      </w:r>
      <w:r>
        <w:rPr>
          <w:lang w:val="fr-FR"/>
        </w:rPr>
        <w:t>’</w:t>
      </w:r>
      <w:r w:rsidRPr="0048459D">
        <w:rPr>
          <w:lang w:val="fr-FR"/>
        </w:rPr>
        <w:t xml:space="preserve">entraver le développement du droit international ou de proposer des modifications de nature à le faire régresser. </w:t>
      </w:r>
    </w:p>
    <w:p w14:paraId="0260F36C" w14:textId="7393EE79" w:rsidR="003F7DA4" w:rsidRPr="0048459D" w:rsidRDefault="003F7DA4" w:rsidP="003F7DA4">
      <w:pPr>
        <w:pStyle w:val="H23G"/>
        <w:rPr>
          <w:rFonts w:eastAsia="SimSun"/>
          <w:lang w:val="fr-FR"/>
        </w:rPr>
      </w:pPr>
      <w:r w:rsidRPr="0048459D">
        <w:rPr>
          <w:lang w:val="fr-FR"/>
        </w:rPr>
        <w:tab/>
        <w:t>b)</w:t>
      </w:r>
      <w:r w:rsidRPr="0048459D">
        <w:rPr>
          <w:lang w:val="fr-FR"/>
        </w:rPr>
        <w:tab/>
        <w:t>Projet d</w:t>
      </w:r>
      <w:r>
        <w:rPr>
          <w:lang w:val="fr-FR"/>
        </w:rPr>
        <w:t>’</w:t>
      </w:r>
      <w:r w:rsidRPr="0048459D">
        <w:rPr>
          <w:lang w:val="fr-FR"/>
        </w:rPr>
        <w:t xml:space="preserve">article </w:t>
      </w:r>
      <w:r w:rsidR="001B2081">
        <w:rPr>
          <w:lang w:val="fr-FR"/>
        </w:rPr>
        <w:t>1</w:t>
      </w:r>
      <w:r w:rsidRPr="0048459D">
        <w:rPr>
          <w:lang w:val="fr-FR"/>
        </w:rPr>
        <w:t xml:space="preserve"> (Champ d</w:t>
      </w:r>
      <w:r>
        <w:rPr>
          <w:lang w:val="fr-FR"/>
        </w:rPr>
        <w:t>’</w:t>
      </w:r>
      <w:r w:rsidRPr="0048459D">
        <w:rPr>
          <w:lang w:val="fr-FR"/>
        </w:rPr>
        <w:t>application du présent projet d</w:t>
      </w:r>
      <w:r>
        <w:rPr>
          <w:lang w:val="fr-FR"/>
        </w:rPr>
        <w:t>’</w:t>
      </w:r>
      <w:r w:rsidRPr="0048459D">
        <w:rPr>
          <w:lang w:val="fr-FR"/>
        </w:rPr>
        <w:t>articles)</w:t>
      </w:r>
    </w:p>
    <w:p w14:paraId="5C671EFE" w14:textId="0BDF8E5F" w:rsidR="003F7DA4" w:rsidRPr="0048459D" w:rsidRDefault="003F7DA4" w:rsidP="003F7DA4">
      <w:pPr>
        <w:pStyle w:val="SingleTxtG"/>
        <w:rPr>
          <w:lang w:val="fr-FR"/>
        </w:rPr>
      </w:pPr>
      <w:r>
        <w:rPr>
          <w:lang w:val="fr-FR"/>
        </w:rPr>
        <w:t>168</w:t>
      </w:r>
      <w:r w:rsidRPr="0048459D">
        <w:rPr>
          <w:lang w:val="fr-FR"/>
        </w:rPr>
        <w:t>.</w:t>
      </w:r>
      <w:r w:rsidRPr="0048459D">
        <w:rPr>
          <w:lang w:val="fr-FR"/>
        </w:rPr>
        <w:tab/>
        <w:t>Lors du débat sur le projet d</w:t>
      </w:r>
      <w:r>
        <w:rPr>
          <w:lang w:val="fr-FR"/>
        </w:rPr>
        <w:t>’</w:t>
      </w:r>
      <w:r w:rsidRPr="0048459D">
        <w:rPr>
          <w:lang w:val="fr-FR"/>
        </w:rPr>
        <w:t xml:space="preserve">article </w:t>
      </w:r>
      <w:r w:rsidR="001B2081">
        <w:rPr>
          <w:lang w:val="fr-FR"/>
        </w:rPr>
        <w:t>1</w:t>
      </w:r>
      <w:r w:rsidRPr="0048459D">
        <w:rPr>
          <w:lang w:val="fr-FR"/>
        </w:rPr>
        <w:t>, un certain nombre de questions ont été soulevées à propos du champ d</w:t>
      </w:r>
      <w:r>
        <w:rPr>
          <w:lang w:val="fr-FR"/>
        </w:rPr>
        <w:t>’</w:t>
      </w:r>
      <w:r w:rsidRPr="0048459D">
        <w:rPr>
          <w:lang w:val="fr-FR"/>
        </w:rPr>
        <w:t>application du projet d</w:t>
      </w:r>
      <w:r>
        <w:rPr>
          <w:lang w:val="fr-FR"/>
        </w:rPr>
        <w:t>’</w:t>
      </w:r>
      <w:r w:rsidRPr="0048459D">
        <w:rPr>
          <w:lang w:val="fr-FR"/>
        </w:rPr>
        <w:t>articles. Certains membres estimaient qu</w:t>
      </w:r>
      <w:r>
        <w:rPr>
          <w:lang w:val="fr-FR"/>
        </w:rPr>
        <w:t>’</w:t>
      </w:r>
      <w:r w:rsidRPr="0048459D">
        <w:rPr>
          <w:lang w:val="fr-FR"/>
        </w:rPr>
        <w:t>il était nécessaire de définir les termes « juridiction pénale » et« exercice de la juridiction pénale », au moins dans le commentaire. D</w:t>
      </w:r>
      <w:r>
        <w:rPr>
          <w:lang w:val="fr-FR"/>
        </w:rPr>
        <w:t>’</w:t>
      </w:r>
      <w:r w:rsidRPr="0048459D">
        <w:rPr>
          <w:lang w:val="fr-FR"/>
        </w:rPr>
        <w:t xml:space="preserve">autres étaient </w:t>
      </w:r>
      <w:r>
        <w:rPr>
          <w:lang w:val="fr-FR"/>
        </w:rPr>
        <w:t>d’accord avec le Rapporteur spécial</w:t>
      </w:r>
      <w:r w:rsidRPr="0048459D">
        <w:rPr>
          <w:lang w:val="fr-FR"/>
        </w:rPr>
        <w:t xml:space="preserve"> que ce n</w:t>
      </w:r>
      <w:r>
        <w:rPr>
          <w:lang w:val="fr-FR"/>
        </w:rPr>
        <w:t>’</w:t>
      </w:r>
      <w:r w:rsidRPr="0048459D">
        <w:rPr>
          <w:lang w:val="fr-FR"/>
        </w:rPr>
        <w:t>était pas indispensable. Il a été dit que le paragraphe 5 du commentaire du projet d</w:t>
      </w:r>
      <w:r>
        <w:rPr>
          <w:lang w:val="fr-FR"/>
        </w:rPr>
        <w:t>’</w:t>
      </w:r>
      <w:r w:rsidRPr="0048459D">
        <w:rPr>
          <w:lang w:val="fr-FR"/>
        </w:rPr>
        <w:t>article 9 contenait des réflexions sur la notion d</w:t>
      </w:r>
      <w:r>
        <w:rPr>
          <w:lang w:val="fr-FR"/>
        </w:rPr>
        <w:t>’</w:t>
      </w:r>
      <w:r w:rsidRPr="0048459D">
        <w:rPr>
          <w:lang w:val="fr-FR"/>
        </w:rPr>
        <w:t>exercice de la juridiction pénale qui auraient peut</w:t>
      </w:r>
      <w:r w:rsidR="00D77453">
        <w:rPr>
          <w:lang w:val="fr-FR"/>
        </w:rPr>
        <w:noBreakHyphen/>
      </w:r>
      <w:r w:rsidRPr="0048459D">
        <w:rPr>
          <w:lang w:val="fr-FR"/>
        </w:rPr>
        <w:t>être davantage leur place dans le commentaire général. Il a été rappelé que le premier Rapporteur spécial avait expliqué que l</w:t>
      </w:r>
      <w:r>
        <w:rPr>
          <w:lang w:val="fr-FR"/>
        </w:rPr>
        <w:t>’</w:t>
      </w:r>
      <w:r w:rsidRPr="0048459D">
        <w:rPr>
          <w:lang w:val="fr-FR"/>
        </w:rPr>
        <w:t xml:space="preserve">immunité ne </w:t>
      </w:r>
      <w:r>
        <w:rPr>
          <w:lang w:val="fr-FR"/>
        </w:rPr>
        <w:t>concernait que les</w:t>
      </w:r>
      <w:r w:rsidRPr="0048459D">
        <w:rPr>
          <w:lang w:val="fr-FR"/>
        </w:rPr>
        <w:t xml:space="preserve"> « mesures de procédure pénale qui </w:t>
      </w:r>
      <w:proofErr w:type="spellStart"/>
      <w:r w:rsidRPr="0048459D">
        <w:rPr>
          <w:lang w:val="fr-FR"/>
        </w:rPr>
        <w:t>impos</w:t>
      </w:r>
      <w:proofErr w:type="spellEnd"/>
      <w:r w:rsidRPr="0048459D">
        <w:rPr>
          <w:lang w:val="fr-FR"/>
        </w:rPr>
        <w:t>[ai]</w:t>
      </w:r>
      <w:proofErr w:type="spellStart"/>
      <w:r w:rsidRPr="0048459D">
        <w:rPr>
          <w:lang w:val="fr-FR"/>
        </w:rPr>
        <w:t>ent</w:t>
      </w:r>
      <w:proofErr w:type="spellEnd"/>
      <w:r w:rsidRPr="0048459D">
        <w:rPr>
          <w:lang w:val="fr-FR"/>
        </w:rPr>
        <w:t xml:space="preserve"> une obligation au représentant ou [étaient] contraignantes</w:t>
      </w:r>
      <w:r w:rsidRPr="0048459D">
        <w:rPr>
          <w:rStyle w:val="Appelnotedebasdep"/>
          <w:lang w:val="fr-FR"/>
        </w:rPr>
        <w:footnoteReference w:id="219"/>
      </w:r>
      <w:r w:rsidRPr="0048459D">
        <w:rPr>
          <w:lang w:val="fr-FR"/>
        </w:rPr>
        <w:t> ». Il a été dit qu</w:t>
      </w:r>
      <w:r>
        <w:rPr>
          <w:lang w:val="fr-FR"/>
        </w:rPr>
        <w:t>’</w:t>
      </w:r>
      <w:r w:rsidRPr="0048459D">
        <w:rPr>
          <w:lang w:val="fr-FR"/>
        </w:rPr>
        <w:t>il importait d</w:t>
      </w:r>
      <w:r>
        <w:rPr>
          <w:lang w:val="fr-FR"/>
        </w:rPr>
        <w:t>’</w:t>
      </w:r>
      <w:r w:rsidRPr="0048459D">
        <w:rPr>
          <w:lang w:val="fr-FR"/>
        </w:rPr>
        <w:t>examiner la distinction entre l</w:t>
      </w:r>
      <w:r>
        <w:rPr>
          <w:lang w:val="fr-FR"/>
        </w:rPr>
        <w:t>’</w:t>
      </w:r>
      <w:r w:rsidRPr="0048459D">
        <w:rPr>
          <w:lang w:val="fr-FR"/>
        </w:rPr>
        <w:t>immunité de juridiction pénale et l</w:t>
      </w:r>
      <w:r>
        <w:rPr>
          <w:lang w:val="fr-FR"/>
        </w:rPr>
        <w:t>’</w:t>
      </w:r>
      <w:r w:rsidRPr="0048459D">
        <w:rPr>
          <w:lang w:val="fr-FR"/>
        </w:rPr>
        <w:t>immunité d</w:t>
      </w:r>
      <w:r>
        <w:rPr>
          <w:lang w:val="fr-FR"/>
        </w:rPr>
        <w:t>’</w:t>
      </w:r>
      <w:r w:rsidRPr="0048459D">
        <w:rPr>
          <w:lang w:val="fr-FR"/>
        </w:rPr>
        <w:t>autres formes de juridiction, y compris la juridiction civile et la juridiction administrative. Il a aussi été dit qu</w:t>
      </w:r>
      <w:r>
        <w:rPr>
          <w:lang w:val="fr-FR"/>
        </w:rPr>
        <w:t>’</w:t>
      </w:r>
      <w:r w:rsidRPr="0048459D">
        <w:rPr>
          <w:lang w:val="fr-FR"/>
        </w:rPr>
        <w:t>il faudrait laisser aux systèmes juridiques nationaux le soin de se pencher sur ce type de distinction.</w:t>
      </w:r>
    </w:p>
    <w:p w14:paraId="7B1CEF48" w14:textId="6B1E80F1" w:rsidR="003F7DA4" w:rsidRPr="0048459D" w:rsidRDefault="003F7DA4" w:rsidP="003F7DA4">
      <w:pPr>
        <w:pStyle w:val="SingleTxtG"/>
        <w:rPr>
          <w:lang w:val="fr-FR"/>
        </w:rPr>
      </w:pPr>
      <w:r>
        <w:rPr>
          <w:lang w:val="fr-FR"/>
        </w:rPr>
        <w:t>169</w:t>
      </w:r>
      <w:r w:rsidRPr="0048459D">
        <w:rPr>
          <w:lang w:val="fr-FR"/>
        </w:rPr>
        <w:t>.</w:t>
      </w:r>
      <w:r w:rsidRPr="0048459D">
        <w:rPr>
          <w:lang w:val="fr-FR"/>
        </w:rPr>
        <w:tab/>
        <w:t xml:space="preserve">Plusieurs membres ont souscrit à la proposition du Rapporteur spécial de clarifier la distinction entre immunité et inviolabilité dans les commentaires. Il a été constaté que la Cour internationale de Justice </w:t>
      </w:r>
      <w:r>
        <w:rPr>
          <w:lang w:val="fr-FR"/>
        </w:rPr>
        <w:t>avait examiné</w:t>
      </w:r>
      <w:r w:rsidRPr="0048459D">
        <w:rPr>
          <w:lang w:val="fr-FR"/>
        </w:rPr>
        <w:t xml:space="preserve"> les deux notions </w:t>
      </w:r>
      <w:r>
        <w:rPr>
          <w:lang w:val="fr-FR"/>
        </w:rPr>
        <w:t>ensemble</w:t>
      </w:r>
      <w:r w:rsidRPr="0048459D">
        <w:rPr>
          <w:lang w:val="fr-FR"/>
        </w:rPr>
        <w:t xml:space="preserve"> dans ses décisions. D</w:t>
      </w:r>
      <w:r>
        <w:rPr>
          <w:lang w:val="fr-FR"/>
        </w:rPr>
        <w:t>’</w:t>
      </w:r>
      <w:r w:rsidRPr="0048459D">
        <w:rPr>
          <w:lang w:val="fr-FR"/>
        </w:rPr>
        <w:t>aucuns ont dit que l</w:t>
      </w:r>
      <w:r>
        <w:rPr>
          <w:lang w:val="fr-FR"/>
        </w:rPr>
        <w:t>’</w:t>
      </w:r>
      <w:r w:rsidRPr="0048459D">
        <w:rPr>
          <w:lang w:val="fr-FR"/>
        </w:rPr>
        <w:t>inviolabilité pouvait être considérée comme emportant une forme d</w:t>
      </w:r>
      <w:r>
        <w:rPr>
          <w:lang w:val="fr-FR"/>
        </w:rPr>
        <w:t>’</w:t>
      </w:r>
      <w:r w:rsidRPr="0048459D">
        <w:rPr>
          <w:lang w:val="fr-FR"/>
        </w:rPr>
        <w:t>immunité à l</w:t>
      </w:r>
      <w:r>
        <w:rPr>
          <w:lang w:val="fr-FR"/>
        </w:rPr>
        <w:t>’</w:t>
      </w:r>
      <w:r w:rsidRPr="0048459D">
        <w:rPr>
          <w:lang w:val="fr-FR"/>
        </w:rPr>
        <w:t>égard de la juridiction d</w:t>
      </w:r>
      <w:r>
        <w:rPr>
          <w:lang w:val="fr-FR"/>
        </w:rPr>
        <w:t>’</w:t>
      </w:r>
      <w:r w:rsidRPr="0048459D">
        <w:rPr>
          <w:lang w:val="fr-FR"/>
        </w:rPr>
        <w:t>exécution. Il a été observé que des actes pouvaient concerner l</w:t>
      </w:r>
      <w:r>
        <w:rPr>
          <w:lang w:val="fr-FR"/>
        </w:rPr>
        <w:t>’</w:t>
      </w:r>
      <w:r w:rsidRPr="0048459D">
        <w:rPr>
          <w:lang w:val="fr-FR"/>
        </w:rPr>
        <w:t>inviolabilité d</w:t>
      </w:r>
      <w:r>
        <w:rPr>
          <w:lang w:val="fr-FR"/>
        </w:rPr>
        <w:t>’</w:t>
      </w:r>
      <w:r w:rsidRPr="0048459D">
        <w:rPr>
          <w:lang w:val="fr-FR"/>
        </w:rPr>
        <w:t>un représentant de l</w:t>
      </w:r>
      <w:r>
        <w:rPr>
          <w:lang w:val="fr-FR"/>
        </w:rPr>
        <w:t>’</w:t>
      </w:r>
      <w:r w:rsidRPr="0048459D">
        <w:rPr>
          <w:lang w:val="fr-FR"/>
        </w:rPr>
        <w:t>État sans pour autant entrer dans le champ d</w:t>
      </w:r>
      <w:r>
        <w:rPr>
          <w:lang w:val="fr-FR"/>
        </w:rPr>
        <w:t>’</w:t>
      </w:r>
      <w:r w:rsidRPr="0048459D">
        <w:rPr>
          <w:lang w:val="fr-FR"/>
        </w:rPr>
        <w:t>application du sujet parce qu</w:t>
      </w:r>
      <w:r>
        <w:rPr>
          <w:lang w:val="fr-FR"/>
        </w:rPr>
        <w:t>’</w:t>
      </w:r>
      <w:r w:rsidRPr="0048459D">
        <w:rPr>
          <w:lang w:val="fr-FR"/>
        </w:rPr>
        <w:t>ils ne relevaient pas de l</w:t>
      </w:r>
      <w:r>
        <w:rPr>
          <w:lang w:val="fr-FR"/>
        </w:rPr>
        <w:t>’</w:t>
      </w:r>
      <w:r w:rsidRPr="0048459D">
        <w:rPr>
          <w:lang w:val="fr-FR"/>
        </w:rPr>
        <w:t>exercice de la juridiction pénale. La pertinence des projets d</w:t>
      </w:r>
      <w:r>
        <w:rPr>
          <w:lang w:val="fr-FR"/>
        </w:rPr>
        <w:t>’</w:t>
      </w:r>
      <w:r w:rsidRPr="0048459D">
        <w:rPr>
          <w:lang w:val="fr-FR"/>
        </w:rPr>
        <w:t>articles 9 et 14 à l</w:t>
      </w:r>
      <w:r>
        <w:rPr>
          <w:lang w:val="fr-FR"/>
        </w:rPr>
        <w:t>’</w:t>
      </w:r>
      <w:r w:rsidRPr="0048459D">
        <w:rPr>
          <w:lang w:val="fr-FR"/>
        </w:rPr>
        <w:t>égard de l</w:t>
      </w:r>
      <w:r>
        <w:rPr>
          <w:lang w:val="fr-FR"/>
        </w:rPr>
        <w:t>’</w:t>
      </w:r>
      <w:r w:rsidRPr="0048459D">
        <w:rPr>
          <w:lang w:val="fr-FR"/>
        </w:rPr>
        <w:t>inviolabilité a été soulignée. Il a été proposé de faire figurer dans le commentaire des exemples concrets de procédures autorisées et de procédures non autorisées. Certains membres ont proposé que les références à l</w:t>
      </w:r>
      <w:r>
        <w:rPr>
          <w:lang w:val="fr-FR"/>
        </w:rPr>
        <w:t>’</w:t>
      </w:r>
      <w:r w:rsidRPr="0048459D">
        <w:rPr>
          <w:lang w:val="fr-FR"/>
        </w:rPr>
        <w:t>inviolabilité figurant dans le commentaire du projet d</w:t>
      </w:r>
      <w:r>
        <w:rPr>
          <w:lang w:val="fr-FR"/>
        </w:rPr>
        <w:t>’</w:t>
      </w:r>
      <w:r w:rsidRPr="0048459D">
        <w:rPr>
          <w:lang w:val="fr-FR"/>
        </w:rPr>
        <w:t>article 9 soient déplacées dans celui du projet d</w:t>
      </w:r>
      <w:r>
        <w:rPr>
          <w:lang w:val="fr-FR"/>
        </w:rPr>
        <w:t>’</w:t>
      </w:r>
      <w:r w:rsidRPr="0048459D">
        <w:rPr>
          <w:lang w:val="fr-FR"/>
        </w:rPr>
        <w:t xml:space="preserve">article </w:t>
      </w:r>
      <w:r w:rsidR="001B2081">
        <w:rPr>
          <w:lang w:val="fr-FR"/>
        </w:rPr>
        <w:t>1</w:t>
      </w:r>
      <w:r w:rsidRPr="0048459D">
        <w:rPr>
          <w:lang w:val="fr-FR"/>
        </w:rPr>
        <w:t>. Il a aussi été proposé qu</w:t>
      </w:r>
      <w:r>
        <w:rPr>
          <w:lang w:val="fr-FR"/>
        </w:rPr>
        <w:t>’</w:t>
      </w:r>
      <w:r w:rsidRPr="0048459D">
        <w:rPr>
          <w:lang w:val="fr-FR"/>
        </w:rPr>
        <w:t>il soit fait référence à l</w:t>
      </w:r>
      <w:r>
        <w:rPr>
          <w:lang w:val="fr-FR"/>
        </w:rPr>
        <w:t>’</w:t>
      </w:r>
      <w:r w:rsidRPr="0048459D">
        <w:rPr>
          <w:lang w:val="fr-FR"/>
        </w:rPr>
        <w:t xml:space="preserve">affaire relative au </w:t>
      </w:r>
      <w:r w:rsidRPr="0048459D">
        <w:rPr>
          <w:i/>
          <w:iCs/>
          <w:lang w:val="fr-FR"/>
        </w:rPr>
        <w:t>Mandat d</w:t>
      </w:r>
      <w:r>
        <w:rPr>
          <w:i/>
          <w:iCs/>
          <w:lang w:val="fr-FR"/>
        </w:rPr>
        <w:t>’</w:t>
      </w:r>
      <w:r w:rsidRPr="0048459D">
        <w:rPr>
          <w:i/>
          <w:iCs/>
          <w:lang w:val="fr-FR"/>
        </w:rPr>
        <w:t>arrêt</w:t>
      </w:r>
      <w:bookmarkStart w:id="102" w:name="_Ref172881324"/>
      <w:r w:rsidRPr="0048459D">
        <w:rPr>
          <w:rStyle w:val="Appelnotedebasdep"/>
          <w:lang w:val="fr-FR"/>
        </w:rPr>
        <w:footnoteReference w:id="220"/>
      </w:r>
      <w:bookmarkEnd w:id="102"/>
      <w:r w:rsidRPr="0048459D">
        <w:rPr>
          <w:lang w:val="fr-FR"/>
        </w:rPr>
        <w:t>, à l</w:t>
      </w:r>
      <w:r>
        <w:rPr>
          <w:lang w:val="fr-FR"/>
        </w:rPr>
        <w:t>’</w:t>
      </w:r>
      <w:r w:rsidRPr="0048459D">
        <w:rPr>
          <w:lang w:val="fr-FR"/>
        </w:rPr>
        <w:t xml:space="preserve">affaire relative au </w:t>
      </w:r>
      <w:r w:rsidRPr="0048459D">
        <w:rPr>
          <w:i/>
          <w:iCs/>
          <w:lang w:val="fr-FR"/>
        </w:rPr>
        <w:t>Personnel diplomatique et consulaire des États</w:t>
      </w:r>
      <w:r w:rsidRPr="0048459D">
        <w:rPr>
          <w:i/>
          <w:iCs/>
          <w:lang w:val="fr-FR"/>
        </w:rPr>
        <w:noBreakHyphen/>
        <w:t>Unis à Téhéran</w:t>
      </w:r>
      <w:r w:rsidRPr="0048459D">
        <w:rPr>
          <w:rStyle w:val="Appelnotedebasdep"/>
          <w:lang w:val="fr-FR"/>
        </w:rPr>
        <w:footnoteReference w:id="221"/>
      </w:r>
      <w:r w:rsidRPr="0048459D">
        <w:rPr>
          <w:lang w:val="fr-FR"/>
        </w:rPr>
        <w:t xml:space="preserve"> et à l</w:t>
      </w:r>
      <w:r>
        <w:rPr>
          <w:lang w:val="fr-FR"/>
        </w:rPr>
        <w:t>’</w:t>
      </w:r>
      <w:r w:rsidRPr="0048459D">
        <w:rPr>
          <w:lang w:val="fr-FR"/>
        </w:rPr>
        <w:t>article 29 de la Convention de Vienne sur les relations diplomatiques</w:t>
      </w:r>
      <w:r w:rsidRPr="0048459D">
        <w:rPr>
          <w:rStyle w:val="Appelnotedebasdep"/>
          <w:lang w:val="fr-FR"/>
        </w:rPr>
        <w:footnoteReference w:id="222"/>
      </w:r>
      <w:r w:rsidRPr="0048459D">
        <w:rPr>
          <w:lang w:val="fr-FR"/>
        </w:rPr>
        <w:t>. Il a également été suggéré que la question de l</w:t>
      </w:r>
      <w:r>
        <w:rPr>
          <w:lang w:val="fr-FR"/>
        </w:rPr>
        <w:t>’</w:t>
      </w:r>
      <w:r w:rsidRPr="0048459D">
        <w:rPr>
          <w:lang w:val="fr-FR"/>
        </w:rPr>
        <w:t>inviolabilité soit traitée moyennant l</w:t>
      </w:r>
      <w:r>
        <w:rPr>
          <w:lang w:val="fr-FR"/>
        </w:rPr>
        <w:t>’</w:t>
      </w:r>
      <w:r w:rsidRPr="0048459D">
        <w:rPr>
          <w:lang w:val="fr-FR"/>
        </w:rPr>
        <w:t>ajout d</w:t>
      </w:r>
      <w:r>
        <w:rPr>
          <w:lang w:val="fr-FR"/>
        </w:rPr>
        <w:t>’</w:t>
      </w:r>
      <w:r w:rsidRPr="0048459D">
        <w:rPr>
          <w:lang w:val="fr-FR"/>
        </w:rPr>
        <w:t>une clause « sans préjudice » ou d</w:t>
      </w:r>
      <w:r>
        <w:rPr>
          <w:lang w:val="fr-FR"/>
        </w:rPr>
        <w:t>’</w:t>
      </w:r>
      <w:r w:rsidRPr="0048459D">
        <w:rPr>
          <w:lang w:val="fr-FR"/>
        </w:rPr>
        <w:t>une clause « s</w:t>
      </w:r>
      <w:r>
        <w:rPr>
          <w:lang w:val="fr-FR"/>
        </w:rPr>
        <w:t>’</w:t>
      </w:r>
      <w:r w:rsidRPr="0048459D">
        <w:rPr>
          <w:lang w:val="fr-FR"/>
        </w:rPr>
        <w:t>il y a lieu ».</w:t>
      </w:r>
      <w:bookmarkStart w:id="103" w:name="_Ref172027584"/>
      <w:bookmarkEnd w:id="103"/>
    </w:p>
    <w:p w14:paraId="20149B6A" w14:textId="65F8647A" w:rsidR="003F7DA4" w:rsidRPr="0048459D" w:rsidRDefault="003F7DA4" w:rsidP="003F7DA4">
      <w:pPr>
        <w:pStyle w:val="SingleTxtG"/>
        <w:rPr>
          <w:lang w:val="fr-FR"/>
        </w:rPr>
      </w:pPr>
      <w:r>
        <w:rPr>
          <w:lang w:val="fr-FR"/>
        </w:rPr>
        <w:t>170</w:t>
      </w:r>
      <w:r w:rsidRPr="0048459D">
        <w:rPr>
          <w:lang w:val="fr-FR"/>
        </w:rPr>
        <w:t>.</w:t>
      </w:r>
      <w:r w:rsidRPr="0048459D">
        <w:rPr>
          <w:lang w:val="fr-FR"/>
        </w:rPr>
        <w:tab/>
        <w:t>En ce qui concerne le paragraphe 1 du projet d</w:t>
      </w:r>
      <w:r>
        <w:rPr>
          <w:lang w:val="fr-FR"/>
        </w:rPr>
        <w:t>’</w:t>
      </w:r>
      <w:r w:rsidRPr="0048459D">
        <w:rPr>
          <w:lang w:val="fr-FR"/>
        </w:rPr>
        <w:t xml:space="preserve">article </w:t>
      </w:r>
      <w:r w:rsidR="001B2081">
        <w:rPr>
          <w:lang w:val="fr-FR"/>
        </w:rPr>
        <w:t>1</w:t>
      </w:r>
      <w:r w:rsidRPr="0048459D">
        <w:rPr>
          <w:lang w:val="fr-FR"/>
        </w:rPr>
        <w:t>, certains membres ont proposé des modifications rédactionnelles. Il a été proposé de faire référence dans le texte aux « représentants en exercice » et aux « anciens représentants » afin de mettre en évidence le fait que les anciens représentants de l</w:t>
      </w:r>
      <w:r>
        <w:rPr>
          <w:lang w:val="fr-FR"/>
        </w:rPr>
        <w:t>’</w:t>
      </w:r>
      <w:r w:rsidRPr="0048459D">
        <w:rPr>
          <w:lang w:val="fr-FR"/>
        </w:rPr>
        <w:t>État pouvaient aussi jouir de l</w:t>
      </w:r>
      <w:r>
        <w:rPr>
          <w:lang w:val="fr-FR"/>
        </w:rPr>
        <w:t>’</w:t>
      </w:r>
      <w:r w:rsidRPr="0048459D">
        <w:rPr>
          <w:lang w:val="fr-FR"/>
        </w:rPr>
        <w:t xml:space="preserve">immunité </w:t>
      </w:r>
      <w:r w:rsidRPr="0048459D">
        <w:rPr>
          <w:i/>
          <w:iCs/>
          <w:lang w:val="fr-FR"/>
        </w:rPr>
        <w:t>ratione materiae</w:t>
      </w:r>
      <w:r w:rsidRPr="0048459D">
        <w:rPr>
          <w:lang w:val="fr-FR"/>
        </w:rPr>
        <w:t>. Il a également été proposé de faire référence à l</w:t>
      </w:r>
      <w:r>
        <w:rPr>
          <w:lang w:val="fr-FR"/>
        </w:rPr>
        <w:t>’</w:t>
      </w:r>
      <w:r w:rsidRPr="0048459D">
        <w:rPr>
          <w:lang w:val="fr-FR"/>
        </w:rPr>
        <w:t>immunité « de l</w:t>
      </w:r>
      <w:r>
        <w:rPr>
          <w:lang w:val="fr-FR"/>
        </w:rPr>
        <w:t>’</w:t>
      </w:r>
      <w:r w:rsidRPr="0048459D">
        <w:rPr>
          <w:lang w:val="fr-FR"/>
        </w:rPr>
        <w:t>exercice de la juridiction pénale », en particulier pour éviter de laisser entendre qu</w:t>
      </w:r>
      <w:r>
        <w:rPr>
          <w:lang w:val="fr-FR"/>
        </w:rPr>
        <w:t>’</w:t>
      </w:r>
      <w:r w:rsidRPr="0048459D">
        <w:rPr>
          <w:lang w:val="fr-FR"/>
        </w:rPr>
        <w:t>il existe une immunité de juridiction. Toutefois, d</w:t>
      </w:r>
      <w:r>
        <w:rPr>
          <w:lang w:val="fr-FR"/>
        </w:rPr>
        <w:t>’</w:t>
      </w:r>
      <w:r w:rsidRPr="0048459D">
        <w:rPr>
          <w:lang w:val="fr-FR"/>
        </w:rPr>
        <w:t>aucuns se sont inquiétés de ce qu</w:t>
      </w:r>
      <w:r>
        <w:rPr>
          <w:lang w:val="fr-FR"/>
        </w:rPr>
        <w:t>’</w:t>
      </w:r>
      <w:r w:rsidRPr="0048459D">
        <w:rPr>
          <w:lang w:val="fr-FR"/>
        </w:rPr>
        <w:t>une telle modification risquait de restreindre excessivement le champ d</w:t>
      </w:r>
      <w:r>
        <w:rPr>
          <w:lang w:val="fr-FR"/>
        </w:rPr>
        <w:t>’</w:t>
      </w:r>
      <w:r w:rsidRPr="0048459D">
        <w:rPr>
          <w:lang w:val="fr-FR"/>
        </w:rPr>
        <w:t>application du projet d</w:t>
      </w:r>
      <w:r>
        <w:rPr>
          <w:lang w:val="fr-FR"/>
        </w:rPr>
        <w:t>’</w:t>
      </w:r>
      <w:r w:rsidRPr="0048459D">
        <w:rPr>
          <w:lang w:val="fr-FR"/>
        </w:rPr>
        <w:t>articles.</w:t>
      </w:r>
    </w:p>
    <w:p w14:paraId="519AE788" w14:textId="77777777" w:rsidR="003F7DA4" w:rsidRPr="0048459D" w:rsidRDefault="003F7DA4" w:rsidP="003F7DA4">
      <w:pPr>
        <w:pStyle w:val="SingleTxtG"/>
        <w:rPr>
          <w:lang w:val="fr-FR"/>
        </w:rPr>
      </w:pPr>
      <w:r>
        <w:rPr>
          <w:lang w:val="fr-FR"/>
        </w:rPr>
        <w:t>171</w:t>
      </w:r>
      <w:r w:rsidRPr="0048459D">
        <w:rPr>
          <w:lang w:val="fr-FR"/>
        </w:rPr>
        <w:t>.</w:t>
      </w:r>
      <w:r w:rsidRPr="0048459D">
        <w:rPr>
          <w:lang w:val="fr-FR"/>
        </w:rPr>
        <w:tab/>
        <w:t>Les membres sont dans l</w:t>
      </w:r>
      <w:r>
        <w:rPr>
          <w:lang w:val="fr-FR"/>
        </w:rPr>
        <w:t>’</w:t>
      </w:r>
      <w:r w:rsidRPr="0048459D">
        <w:rPr>
          <w:lang w:val="fr-FR"/>
        </w:rPr>
        <w:t>ensemble convenus avec le Rapporteur spécial qu</w:t>
      </w:r>
      <w:r>
        <w:rPr>
          <w:lang w:val="fr-FR"/>
        </w:rPr>
        <w:t>’</w:t>
      </w:r>
      <w:r w:rsidRPr="0048459D">
        <w:rPr>
          <w:lang w:val="fr-FR"/>
        </w:rPr>
        <w:t>il n</w:t>
      </w:r>
      <w:r>
        <w:rPr>
          <w:lang w:val="fr-FR"/>
        </w:rPr>
        <w:t>’</w:t>
      </w:r>
      <w:r w:rsidRPr="0048459D">
        <w:rPr>
          <w:lang w:val="fr-FR"/>
        </w:rPr>
        <w:t>était pas nécessaire de modifier le paragraphe 2. Toutefois, il a été recommandé d</w:t>
      </w:r>
      <w:r>
        <w:rPr>
          <w:lang w:val="fr-FR"/>
        </w:rPr>
        <w:t>’</w:t>
      </w:r>
      <w:r w:rsidRPr="0048459D">
        <w:rPr>
          <w:lang w:val="fr-FR"/>
        </w:rPr>
        <w:t>inclure dans le commentaire davantage d</w:t>
      </w:r>
      <w:r>
        <w:rPr>
          <w:lang w:val="fr-FR"/>
        </w:rPr>
        <w:t>’</w:t>
      </w:r>
      <w:r w:rsidRPr="0048459D">
        <w:rPr>
          <w:lang w:val="fr-FR"/>
        </w:rPr>
        <w:t xml:space="preserve">exemples des règles spéciales mentionnées par les États, notamment celles relatives aux conférences internationales, aux commissions internationales </w:t>
      </w:r>
      <w:r w:rsidRPr="0048459D">
        <w:rPr>
          <w:lang w:val="fr-FR"/>
        </w:rPr>
        <w:lastRenderedPageBreak/>
        <w:t>et aux procédures judiciaires ou arbitrales internationales. Il a en outre été dit qu</w:t>
      </w:r>
      <w:r>
        <w:rPr>
          <w:lang w:val="fr-FR"/>
        </w:rPr>
        <w:t>’</w:t>
      </w:r>
      <w:r w:rsidRPr="0048459D">
        <w:rPr>
          <w:lang w:val="fr-FR"/>
        </w:rPr>
        <w:t>il faudrait expliquer plus clairement dans le commentaire que les membres des forces armées n</w:t>
      </w:r>
      <w:r>
        <w:rPr>
          <w:lang w:val="fr-FR"/>
        </w:rPr>
        <w:t>’</w:t>
      </w:r>
      <w:r w:rsidRPr="0048459D">
        <w:rPr>
          <w:lang w:val="fr-FR"/>
        </w:rPr>
        <w:t>étaient pas nécessairement exclus du champ d</w:t>
      </w:r>
      <w:r>
        <w:rPr>
          <w:lang w:val="fr-FR"/>
        </w:rPr>
        <w:t>’</w:t>
      </w:r>
      <w:r w:rsidRPr="0048459D">
        <w:rPr>
          <w:lang w:val="fr-FR"/>
        </w:rPr>
        <w:t>application du projet d</w:t>
      </w:r>
      <w:r>
        <w:rPr>
          <w:lang w:val="fr-FR"/>
        </w:rPr>
        <w:t>’</w:t>
      </w:r>
      <w:r w:rsidRPr="0048459D">
        <w:rPr>
          <w:lang w:val="fr-FR"/>
        </w:rPr>
        <w:t>articles, en particulier lorsqu</w:t>
      </w:r>
      <w:r>
        <w:rPr>
          <w:lang w:val="fr-FR"/>
        </w:rPr>
        <w:t>’</w:t>
      </w:r>
      <w:r w:rsidRPr="0048459D">
        <w:rPr>
          <w:lang w:val="fr-FR"/>
        </w:rPr>
        <w:t>ils participaient à un conflit armé</w:t>
      </w:r>
      <w:r>
        <w:rPr>
          <w:lang w:val="fr-FR"/>
        </w:rPr>
        <w:t>. Il a aussi été dit qu’ils</w:t>
      </w:r>
      <w:r w:rsidRPr="0048459D">
        <w:rPr>
          <w:lang w:val="fr-FR"/>
        </w:rPr>
        <w:t xml:space="preserve"> jouissaient de l</w:t>
      </w:r>
      <w:r>
        <w:rPr>
          <w:lang w:val="fr-FR"/>
        </w:rPr>
        <w:t>’</w:t>
      </w:r>
      <w:r w:rsidRPr="0048459D">
        <w:rPr>
          <w:lang w:val="fr-FR"/>
        </w:rPr>
        <w:t>immunité accordée aux combattants. D</w:t>
      </w:r>
      <w:r>
        <w:rPr>
          <w:lang w:val="fr-FR"/>
        </w:rPr>
        <w:t>’</w:t>
      </w:r>
      <w:r w:rsidRPr="0048459D">
        <w:rPr>
          <w:lang w:val="fr-FR"/>
        </w:rPr>
        <w:t>aucuns ont posé la question de savoir si l</w:t>
      </w:r>
      <w:r>
        <w:rPr>
          <w:lang w:val="fr-FR"/>
        </w:rPr>
        <w:t>’</w:t>
      </w:r>
      <w:r w:rsidRPr="0048459D">
        <w:rPr>
          <w:lang w:val="fr-FR"/>
        </w:rPr>
        <w:t xml:space="preserve">immunité </w:t>
      </w:r>
      <w:r w:rsidRPr="0048459D">
        <w:rPr>
          <w:i/>
          <w:iCs/>
          <w:lang w:val="fr-FR"/>
        </w:rPr>
        <w:t>ratione personae</w:t>
      </w:r>
      <w:r w:rsidRPr="0048459D">
        <w:rPr>
          <w:lang w:val="fr-FR"/>
        </w:rPr>
        <w:t xml:space="preserve"> s</w:t>
      </w:r>
      <w:r>
        <w:rPr>
          <w:lang w:val="fr-FR"/>
        </w:rPr>
        <w:t>’</w:t>
      </w:r>
      <w:r w:rsidRPr="0048459D">
        <w:rPr>
          <w:lang w:val="fr-FR"/>
        </w:rPr>
        <w:t>appliquait entre États belligérants dans les situations de conflit. En outre, il a été demandé que des éclaircissements supplémentaires soient apportés dans le commentaire concernant la raison pour laquelle les paragraphes 2 et 3 étaient libellés différemment.</w:t>
      </w:r>
    </w:p>
    <w:p w14:paraId="3EB124D2" w14:textId="1A65926E" w:rsidR="003F7DA4" w:rsidRPr="0048459D" w:rsidRDefault="003F7DA4" w:rsidP="003F7DA4">
      <w:pPr>
        <w:pStyle w:val="SingleTxtG"/>
        <w:rPr>
          <w:lang w:val="fr-FR"/>
        </w:rPr>
      </w:pPr>
      <w:r>
        <w:rPr>
          <w:lang w:val="fr-FR"/>
        </w:rPr>
        <w:t>172</w:t>
      </w:r>
      <w:r w:rsidRPr="0048459D">
        <w:rPr>
          <w:lang w:val="fr-FR"/>
        </w:rPr>
        <w:t>.</w:t>
      </w:r>
      <w:r w:rsidRPr="0048459D">
        <w:rPr>
          <w:lang w:val="fr-FR"/>
        </w:rPr>
        <w:tab/>
        <w:t>Plusieurs membres ont appuyé l</w:t>
      </w:r>
      <w:r>
        <w:rPr>
          <w:lang w:val="fr-FR"/>
        </w:rPr>
        <w:t>’</w:t>
      </w:r>
      <w:r w:rsidRPr="0048459D">
        <w:rPr>
          <w:lang w:val="fr-FR"/>
        </w:rPr>
        <w:t>inclusion du paragraphe 3 en ce qu</w:t>
      </w:r>
      <w:r>
        <w:rPr>
          <w:lang w:val="fr-FR"/>
        </w:rPr>
        <w:t>’</w:t>
      </w:r>
      <w:r w:rsidRPr="0048459D">
        <w:rPr>
          <w:lang w:val="fr-FR"/>
        </w:rPr>
        <w:t>il faisait clairement ressortir que le projet d</w:t>
      </w:r>
      <w:r>
        <w:rPr>
          <w:lang w:val="fr-FR"/>
        </w:rPr>
        <w:t>’</w:t>
      </w:r>
      <w:r w:rsidRPr="0048459D">
        <w:rPr>
          <w:lang w:val="fr-FR"/>
        </w:rPr>
        <w:t>articles était sans préjudice des régimes spéciaux applicables aux tribunaux pénaux internationaux. Il a été souligné que ce paragraphe serait important si le projet d</w:t>
      </w:r>
      <w:r>
        <w:rPr>
          <w:lang w:val="fr-FR"/>
        </w:rPr>
        <w:t>’</w:t>
      </w:r>
      <w:r w:rsidRPr="0048459D">
        <w:rPr>
          <w:lang w:val="fr-FR"/>
        </w:rPr>
        <w:t>articles devait devenir un traité car, sans lui, la règle énoncée à l</w:t>
      </w:r>
      <w:r>
        <w:rPr>
          <w:lang w:val="fr-FR"/>
        </w:rPr>
        <w:t>’</w:t>
      </w:r>
      <w:r w:rsidRPr="0048459D">
        <w:rPr>
          <w:lang w:val="fr-FR"/>
        </w:rPr>
        <w:t>article 30 de la Convention de Vienne sur le droit des traités</w:t>
      </w:r>
      <w:r>
        <w:rPr>
          <w:lang w:val="fr-FR"/>
        </w:rPr>
        <w:t>,</w:t>
      </w:r>
      <w:r w:rsidRPr="0048459D">
        <w:rPr>
          <w:lang w:val="fr-FR"/>
        </w:rPr>
        <w:t xml:space="preserve"> selon laquelle un traité postérieur l</w:t>
      </w:r>
      <w:r>
        <w:rPr>
          <w:lang w:val="fr-FR"/>
        </w:rPr>
        <w:t>’</w:t>
      </w:r>
      <w:r w:rsidRPr="0048459D">
        <w:rPr>
          <w:lang w:val="fr-FR"/>
        </w:rPr>
        <w:t>emporte sur un traité antérieur</w:t>
      </w:r>
      <w:r w:rsidRPr="0048459D">
        <w:rPr>
          <w:rStyle w:val="Appelnotedebasdep"/>
          <w:lang w:val="fr-FR"/>
        </w:rPr>
        <w:footnoteReference w:id="223"/>
      </w:r>
      <w:r w:rsidRPr="0048459D">
        <w:rPr>
          <w:lang w:val="fr-FR"/>
        </w:rPr>
        <w:t>, s</w:t>
      </w:r>
      <w:r>
        <w:rPr>
          <w:lang w:val="fr-FR"/>
        </w:rPr>
        <w:t>’</w:t>
      </w:r>
      <w:r w:rsidRPr="0048459D">
        <w:rPr>
          <w:lang w:val="fr-FR"/>
        </w:rPr>
        <w:t>appliquerait. Toutefois, un certain nombre de membres ont dit être d</w:t>
      </w:r>
      <w:r>
        <w:rPr>
          <w:lang w:val="fr-FR"/>
        </w:rPr>
        <w:t>’</w:t>
      </w:r>
      <w:r w:rsidRPr="0048459D">
        <w:rPr>
          <w:lang w:val="fr-FR"/>
        </w:rPr>
        <w:t>accord avec le Rapporteur spécial que le paragraphe devait être modifié et plusieurs d</w:t>
      </w:r>
      <w:r>
        <w:rPr>
          <w:lang w:val="fr-FR"/>
        </w:rPr>
        <w:t>’</w:t>
      </w:r>
      <w:r w:rsidRPr="0048459D">
        <w:rPr>
          <w:lang w:val="fr-FR"/>
        </w:rPr>
        <w:t xml:space="preserve">entre eux ont appuyé ses propositions de modification. Il a été considéré que ses propositions pourraient rendre le paragraphe à la fois plus clair et plus inclusif. </w:t>
      </w:r>
    </w:p>
    <w:p w14:paraId="2CDE7304" w14:textId="77777777" w:rsidR="003F7DA4" w:rsidRPr="0048459D" w:rsidRDefault="003F7DA4" w:rsidP="003F7DA4">
      <w:pPr>
        <w:pStyle w:val="SingleTxtG"/>
        <w:rPr>
          <w:lang w:val="fr-FR"/>
        </w:rPr>
      </w:pPr>
      <w:r>
        <w:rPr>
          <w:lang w:val="fr-FR"/>
        </w:rPr>
        <w:t>173</w:t>
      </w:r>
      <w:r w:rsidRPr="0048459D">
        <w:rPr>
          <w:lang w:val="fr-FR"/>
        </w:rPr>
        <w:t>.</w:t>
      </w:r>
      <w:r w:rsidRPr="0048459D">
        <w:rPr>
          <w:lang w:val="fr-FR"/>
        </w:rPr>
        <w:tab/>
        <w:t>Les membres ont débattu de la portée des termes « traité » et « accord » au regard du paragraphe. Plusieurs membres ont exprimé une préférence pour l</w:t>
      </w:r>
      <w:r>
        <w:rPr>
          <w:lang w:val="fr-FR"/>
        </w:rPr>
        <w:t>’</w:t>
      </w:r>
      <w:r w:rsidRPr="0048459D">
        <w:rPr>
          <w:lang w:val="fr-FR"/>
        </w:rPr>
        <w:t>un ou l</w:t>
      </w:r>
      <w:r>
        <w:rPr>
          <w:lang w:val="fr-FR"/>
        </w:rPr>
        <w:t>’</w:t>
      </w:r>
      <w:r w:rsidRPr="0048459D">
        <w:rPr>
          <w:lang w:val="fr-FR"/>
        </w:rPr>
        <w:t>autre, la plupart étant favorables à l</w:t>
      </w:r>
      <w:r>
        <w:rPr>
          <w:lang w:val="fr-FR"/>
        </w:rPr>
        <w:t>’</w:t>
      </w:r>
      <w:r w:rsidRPr="0048459D">
        <w:rPr>
          <w:lang w:val="fr-FR"/>
        </w:rPr>
        <w:t>emploi systématique du même terme. Certains membres ont fait observer que le texte adopté en première lecture pouvait être interprété comme ne couvrant pas toutes les modalités régissant l</w:t>
      </w:r>
      <w:r>
        <w:rPr>
          <w:lang w:val="fr-FR"/>
        </w:rPr>
        <w:t>’</w:t>
      </w:r>
      <w:r w:rsidRPr="0048459D">
        <w:rPr>
          <w:lang w:val="fr-FR"/>
        </w:rPr>
        <w:t>institution des tribunaux pénaux internationaux, par exemple les tribunaux ad hoc créés par le Conseil de sécurité. Toutefois, il a également été observé que le fondement juridique de ces tribunaux était, en dernière analyse, un traité, à savoir la Charte des Nations Unies. Il a été dit qu</w:t>
      </w:r>
      <w:r>
        <w:rPr>
          <w:lang w:val="fr-FR"/>
        </w:rPr>
        <w:t>’</w:t>
      </w:r>
      <w:r w:rsidRPr="0048459D">
        <w:rPr>
          <w:lang w:val="fr-FR"/>
        </w:rPr>
        <w:t>un paragraphe concernant les « traités servant de fondement juridique à l</w:t>
      </w:r>
      <w:r>
        <w:rPr>
          <w:lang w:val="fr-FR"/>
        </w:rPr>
        <w:t>’</w:t>
      </w:r>
      <w:r w:rsidRPr="0048459D">
        <w:rPr>
          <w:lang w:val="fr-FR"/>
        </w:rPr>
        <w:t>institution » de juridictions pénales internationales pourrait permettre de faire entrer ces tribunaux dans le champ d</w:t>
      </w:r>
      <w:r>
        <w:rPr>
          <w:lang w:val="fr-FR"/>
        </w:rPr>
        <w:t>’</w:t>
      </w:r>
      <w:r w:rsidRPr="0048459D">
        <w:rPr>
          <w:lang w:val="fr-FR"/>
        </w:rPr>
        <w:t>application de la disposition. Plusieurs membres ont suggéré d</w:t>
      </w:r>
      <w:r>
        <w:rPr>
          <w:lang w:val="fr-FR"/>
        </w:rPr>
        <w:t>’</w:t>
      </w:r>
      <w:r w:rsidRPr="0048459D">
        <w:rPr>
          <w:lang w:val="fr-FR"/>
        </w:rPr>
        <w:t>employer les termes « instruments » et « instruments contraignants » afin d</w:t>
      </w:r>
      <w:r>
        <w:rPr>
          <w:lang w:val="fr-FR"/>
        </w:rPr>
        <w:t>’</w:t>
      </w:r>
      <w:r w:rsidRPr="0048459D">
        <w:rPr>
          <w:lang w:val="fr-FR"/>
        </w:rPr>
        <w:t>englober les tribunaux institués par des traités et sous les auspices d</w:t>
      </w:r>
      <w:r>
        <w:rPr>
          <w:lang w:val="fr-FR"/>
        </w:rPr>
        <w:t>’</w:t>
      </w:r>
      <w:r w:rsidRPr="0048459D">
        <w:rPr>
          <w:lang w:val="fr-FR"/>
        </w:rPr>
        <w:t>organisations internationales. En outre, des membres étaient favorables à ce qu</w:t>
      </w:r>
      <w:r>
        <w:rPr>
          <w:lang w:val="fr-FR"/>
        </w:rPr>
        <w:t>’</w:t>
      </w:r>
      <w:r w:rsidRPr="0048459D">
        <w:rPr>
          <w:lang w:val="fr-FR"/>
        </w:rPr>
        <w:t>il soit fait référence à des instruments « instituant des juridictions pénales internationales ou portant sur leur fonctionnement », comme certains États l</w:t>
      </w:r>
      <w:r>
        <w:rPr>
          <w:lang w:val="fr-FR"/>
        </w:rPr>
        <w:t>’</w:t>
      </w:r>
      <w:r w:rsidRPr="0048459D">
        <w:rPr>
          <w:lang w:val="fr-FR"/>
        </w:rPr>
        <w:t>avaient proposé.</w:t>
      </w:r>
    </w:p>
    <w:p w14:paraId="6CEF3B6A" w14:textId="77777777" w:rsidR="003F7DA4" w:rsidRPr="0048459D" w:rsidRDefault="003F7DA4" w:rsidP="003F7DA4">
      <w:pPr>
        <w:pStyle w:val="SingleTxtG"/>
        <w:rPr>
          <w:lang w:val="fr-FR"/>
        </w:rPr>
      </w:pPr>
      <w:r>
        <w:rPr>
          <w:lang w:val="fr-FR"/>
        </w:rPr>
        <w:t>174</w:t>
      </w:r>
      <w:r w:rsidRPr="0048459D">
        <w:rPr>
          <w:lang w:val="fr-FR"/>
        </w:rPr>
        <w:t>.</w:t>
      </w:r>
      <w:r w:rsidRPr="0048459D">
        <w:rPr>
          <w:lang w:val="fr-FR"/>
        </w:rPr>
        <w:tab/>
      </w:r>
      <w:r>
        <w:rPr>
          <w:lang w:val="fr-FR"/>
        </w:rPr>
        <w:t>Certains membres ont constaté avec préoccupation qu’on ne voyait pas bien si</w:t>
      </w:r>
      <w:r w:rsidRPr="0048459D">
        <w:rPr>
          <w:lang w:val="fr-FR"/>
        </w:rPr>
        <w:t xml:space="preserve"> les tribunaux hybrides et internationalisés</w:t>
      </w:r>
      <w:r>
        <w:rPr>
          <w:lang w:val="fr-FR"/>
        </w:rPr>
        <w:t xml:space="preserve"> étaient inclus</w:t>
      </w:r>
      <w:r w:rsidRPr="0048459D">
        <w:rPr>
          <w:lang w:val="fr-FR"/>
        </w:rPr>
        <w:t xml:space="preserve"> dans le champ d</w:t>
      </w:r>
      <w:r>
        <w:rPr>
          <w:lang w:val="fr-FR"/>
        </w:rPr>
        <w:t>’</w:t>
      </w:r>
      <w:r w:rsidRPr="0048459D">
        <w:rPr>
          <w:lang w:val="fr-FR"/>
        </w:rPr>
        <w:t>application de la disposition et il a été dit qu</w:t>
      </w:r>
      <w:r>
        <w:rPr>
          <w:lang w:val="fr-FR"/>
        </w:rPr>
        <w:t>’</w:t>
      </w:r>
      <w:r w:rsidRPr="0048459D">
        <w:rPr>
          <w:lang w:val="fr-FR"/>
        </w:rPr>
        <w:t>il pourrait être nécessaire d</w:t>
      </w:r>
      <w:r>
        <w:rPr>
          <w:lang w:val="fr-FR"/>
        </w:rPr>
        <w:t>’</w:t>
      </w:r>
      <w:r w:rsidRPr="0048459D">
        <w:rPr>
          <w:lang w:val="fr-FR"/>
        </w:rPr>
        <w:t>ajouter un alinéa distinct à cette fin. Il a aussi été proposé de nuancer le commentaire en ce qui concernait les facteurs permettant de déterminer qu</w:t>
      </w:r>
      <w:r>
        <w:rPr>
          <w:lang w:val="fr-FR"/>
        </w:rPr>
        <w:t>’</w:t>
      </w:r>
      <w:r w:rsidRPr="0048459D">
        <w:rPr>
          <w:lang w:val="fr-FR"/>
        </w:rPr>
        <w:t>un tribunal pénal est international, question qui avait été abordée par la Chambre d</w:t>
      </w:r>
      <w:r>
        <w:rPr>
          <w:lang w:val="fr-FR"/>
        </w:rPr>
        <w:t>’</w:t>
      </w:r>
      <w:r w:rsidRPr="0048459D">
        <w:rPr>
          <w:lang w:val="fr-FR"/>
        </w:rPr>
        <w:t>appel du Tribunal spécial pour la Sierra Leone dans l</w:t>
      </w:r>
      <w:r>
        <w:rPr>
          <w:lang w:val="fr-FR"/>
        </w:rPr>
        <w:t>’</w:t>
      </w:r>
      <w:r w:rsidRPr="0048459D">
        <w:rPr>
          <w:lang w:val="fr-FR"/>
        </w:rPr>
        <w:t xml:space="preserve">affaire </w:t>
      </w:r>
      <w:r w:rsidRPr="0048459D">
        <w:rPr>
          <w:i/>
          <w:iCs/>
          <w:lang w:val="fr-FR"/>
        </w:rPr>
        <w:t>Taylor</w:t>
      </w:r>
      <w:r w:rsidRPr="0048459D">
        <w:rPr>
          <w:rStyle w:val="Appelnotedebasdep"/>
          <w:lang w:val="fr-FR"/>
        </w:rPr>
        <w:footnoteReference w:id="224"/>
      </w:r>
      <w:r w:rsidRPr="0048459D">
        <w:rPr>
          <w:lang w:val="fr-FR"/>
        </w:rPr>
        <w:t>. Une autre approche envisagée pour garantir l</w:t>
      </w:r>
      <w:r>
        <w:rPr>
          <w:lang w:val="fr-FR"/>
        </w:rPr>
        <w:t>’</w:t>
      </w:r>
      <w:r w:rsidRPr="0048459D">
        <w:rPr>
          <w:lang w:val="fr-FR"/>
        </w:rPr>
        <w:t>inclusivité consistait à employer une formulation négative, comme « une ou des juridiction(s) pénale(s) autre(s) que celle(s) d</w:t>
      </w:r>
      <w:r>
        <w:rPr>
          <w:lang w:val="fr-FR"/>
        </w:rPr>
        <w:t>’</w:t>
      </w:r>
      <w:r w:rsidRPr="0048459D">
        <w:rPr>
          <w:lang w:val="fr-FR"/>
        </w:rPr>
        <w:t>un autre État ».</w:t>
      </w:r>
    </w:p>
    <w:p w14:paraId="30C73EFB" w14:textId="77777777" w:rsidR="003F7DA4" w:rsidRPr="0048459D" w:rsidRDefault="003F7DA4" w:rsidP="003F7DA4">
      <w:pPr>
        <w:pStyle w:val="SingleTxtG"/>
        <w:rPr>
          <w:lang w:val="fr-FR"/>
        </w:rPr>
      </w:pPr>
      <w:r>
        <w:rPr>
          <w:lang w:val="fr-FR"/>
        </w:rPr>
        <w:t>175</w:t>
      </w:r>
      <w:r w:rsidRPr="0048459D">
        <w:rPr>
          <w:lang w:val="fr-FR"/>
        </w:rPr>
        <w:t>.</w:t>
      </w:r>
      <w:r w:rsidRPr="0048459D">
        <w:rPr>
          <w:lang w:val="fr-FR"/>
        </w:rPr>
        <w:tab/>
        <w:t>En ce qui concerne l</w:t>
      </w:r>
      <w:r>
        <w:rPr>
          <w:lang w:val="fr-FR"/>
        </w:rPr>
        <w:t>’</w:t>
      </w:r>
      <w:r w:rsidRPr="0048459D">
        <w:rPr>
          <w:lang w:val="fr-FR"/>
        </w:rPr>
        <w:t>alinéa a) tel que proposé par le Rapporteur spécial, certains membres ont demandé la suppression du membre de phrase « dans les relations entre les parties à ces accords », qui, selon eux, posait problème en ce qu</w:t>
      </w:r>
      <w:r>
        <w:rPr>
          <w:lang w:val="fr-FR"/>
        </w:rPr>
        <w:t>’</w:t>
      </w:r>
      <w:r w:rsidRPr="0048459D">
        <w:rPr>
          <w:lang w:val="fr-FR"/>
        </w:rPr>
        <w:t>il risquait de remettre en cause la compétence de la Cour pénale internationale et l</w:t>
      </w:r>
      <w:r>
        <w:rPr>
          <w:lang w:val="fr-FR"/>
        </w:rPr>
        <w:t>’</w:t>
      </w:r>
      <w:r w:rsidRPr="0048459D">
        <w:rPr>
          <w:lang w:val="fr-FR"/>
        </w:rPr>
        <w:t>obligation qu</w:t>
      </w:r>
      <w:r>
        <w:rPr>
          <w:lang w:val="fr-FR"/>
        </w:rPr>
        <w:t>’</w:t>
      </w:r>
      <w:r w:rsidRPr="0048459D">
        <w:rPr>
          <w:lang w:val="fr-FR"/>
        </w:rPr>
        <w:t>avaient les États parties de coopérer avec elle en vertu du Statut de Rome</w:t>
      </w:r>
      <w:r w:rsidRPr="0048459D">
        <w:rPr>
          <w:rStyle w:val="Appelnotedebasdep"/>
          <w:lang w:val="fr-FR"/>
        </w:rPr>
        <w:footnoteReference w:id="225"/>
      </w:r>
      <w:r w:rsidRPr="0048459D">
        <w:rPr>
          <w:lang w:val="fr-FR"/>
        </w:rPr>
        <w:t>. D</w:t>
      </w:r>
      <w:r>
        <w:rPr>
          <w:lang w:val="fr-FR"/>
        </w:rPr>
        <w:t>’</w:t>
      </w:r>
      <w:r w:rsidRPr="0048459D">
        <w:rPr>
          <w:lang w:val="fr-FR"/>
        </w:rPr>
        <w:t>autres membres ont dit qu</w:t>
      </w:r>
      <w:r>
        <w:rPr>
          <w:lang w:val="fr-FR"/>
        </w:rPr>
        <w:t>’</w:t>
      </w:r>
      <w:r w:rsidRPr="0048459D">
        <w:rPr>
          <w:lang w:val="fr-FR"/>
        </w:rPr>
        <w:t>il fallait conserver ce membre de phrase qui, à leur avis, réaffirmait le principe fondamental du droit des traités selon lequel un traité ne peut pas créer d</w:t>
      </w:r>
      <w:r>
        <w:rPr>
          <w:lang w:val="fr-FR"/>
        </w:rPr>
        <w:t>’</w:t>
      </w:r>
      <w:r w:rsidRPr="0048459D">
        <w:rPr>
          <w:lang w:val="fr-FR"/>
        </w:rPr>
        <w:t>obligations pour les États qui n</w:t>
      </w:r>
      <w:r>
        <w:rPr>
          <w:lang w:val="fr-FR"/>
        </w:rPr>
        <w:t>’</w:t>
      </w:r>
      <w:r w:rsidRPr="0048459D">
        <w:rPr>
          <w:lang w:val="fr-FR"/>
        </w:rPr>
        <w:t xml:space="preserve">y sont pas parties. </w:t>
      </w:r>
    </w:p>
    <w:p w14:paraId="66C7E532" w14:textId="77777777" w:rsidR="003F7DA4" w:rsidRPr="0048459D" w:rsidRDefault="003F7DA4" w:rsidP="003F7DA4">
      <w:pPr>
        <w:pStyle w:val="SingleTxtG"/>
        <w:rPr>
          <w:lang w:val="fr-FR"/>
        </w:rPr>
      </w:pPr>
      <w:r>
        <w:rPr>
          <w:lang w:val="fr-FR"/>
        </w:rPr>
        <w:lastRenderedPageBreak/>
        <w:t>176</w:t>
      </w:r>
      <w:r w:rsidRPr="0048459D">
        <w:rPr>
          <w:lang w:val="fr-FR"/>
        </w:rPr>
        <w:t>.</w:t>
      </w:r>
      <w:r w:rsidRPr="0048459D">
        <w:rPr>
          <w:lang w:val="fr-FR"/>
        </w:rPr>
        <w:tab/>
        <w:t>Plusieurs membres ont appuyé l</w:t>
      </w:r>
      <w:r>
        <w:rPr>
          <w:lang w:val="fr-FR"/>
        </w:rPr>
        <w:t>’</w:t>
      </w:r>
      <w:r w:rsidRPr="0048459D">
        <w:rPr>
          <w:lang w:val="fr-FR"/>
        </w:rPr>
        <w:t>alinéa b) tel que proposé, estimant qu</w:t>
      </w:r>
      <w:r>
        <w:rPr>
          <w:lang w:val="fr-FR"/>
        </w:rPr>
        <w:t>’</w:t>
      </w:r>
      <w:r w:rsidRPr="0048459D">
        <w:rPr>
          <w:lang w:val="fr-FR"/>
        </w:rPr>
        <w:t>il permettait d</w:t>
      </w:r>
      <w:r>
        <w:rPr>
          <w:lang w:val="fr-FR"/>
        </w:rPr>
        <w:t>’</w:t>
      </w:r>
      <w:r w:rsidRPr="0048459D">
        <w:rPr>
          <w:lang w:val="fr-FR"/>
        </w:rPr>
        <w:t>apaiser certaines des préoccupations concernant les tribunaux qui n</w:t>
      </w:r>
      <w:r>
        <w:rPr>
          <w:lang w:val="fr-FR"/>
        </w:rPr>
        <w:t>’</w:t>
      </w:r>
      <w:r w:rsidRPr="0048459D">
        <w:rPr>
          <w:lang w:val="fr-FR"/>
        </w:rPr>
        <w:t>étaient pas institués directement par un traité. Toutefois, des membres étaient d</w:t>
      </w:r>
      <w:r>
        <w:rPr>
          <w:lang w:val="fr-FR"/>
        </w:rPr>
        <w:t>’</w:t>
      </w:r>
      <w:r w:rsidRPr="0048459D">
        <w:rPr>
          <w:lang w:val="fr-FR"/>
        </w:rPr>
        <w:t>avis qu</w:t>
      </w:r>
      <w:r>
        <w:rPr>
          <w:lang w:val="fr-FR"/>
        </w:rPr>
        <w:t>’</w:t>
      </w:r>
      <w:r w:rsidRPr="0048459D">
        <w:rPr>
          <w:lang w:val="fr-FR"/>
        </w:rPr>
        <w:t>il fallait préciser quels actes des organisations internationales et quels États étaient visés par cette disposition. S</w:t>
      </w:r>
      <w:r>
        <w:rPr>
          <w:lang w:val="fr-FR"/>
        </w:rPr>
        <w:t>’</w:t>
      </w:r>
      <w:r w:rsidRPr="0048459D">
        <w:rPr>
          <w:lang w:val="fr-FR"/>
        </w:rPr>
        <w:t>agissant des actes, il a été proposé de parler de « résolutions juridiquement contraignantes ». Il a également été proposé que la question du caractère contraignant soit tranchée en fonction des règles de l</w:t>
      </w:r>
      <w:r>
        <w:rPr>
          <w:lang w:val="fr-FR"/>
        </w:rPr>
        <w:t>’</w:t>
      </w:r>
      <w:r w:rsidRPr="0048459D">
        <w:rPr>
          <w:lang w:val="fr-FR"/>
        </w:rPr>
        <w:t>organisation concernée. Enfin, il a été proposé d</w:t>
      </w:r>
      <w:r>
        <w:rPr>
          <w:lang w:val="fr-FR"/>
        </w:rPr>
        <w:t>’</w:t>
      </w:r>
      <w:r w:rsidRPr="0048459D">
        <w:rPr>
          <w:lang w:val="fr-FR"/>
        </w:rPr>
        <w:t>employer la formule « actes d</w:t>
      </w:r>
      <w:r>
        <w:rPr>
          <w:lang w:val="fr-FR"/>
        </w:rPr>
        <w:t>’</w:t>
      </w:r>
      <w:r w:rsidRPr="0048459D">
        <w:rPr>
          <w:lang w:val="fr-FR"/>
        </w:rPr>
        <w:t>une organisation internationale » afin d</w:t>
      </w:r>
      <w:r>
        <w:rPr>
          <w:lang w:val="fr-FR"/>
        </w:rPr>
        <w:t>’</w:t>
      </w:r>
      <w:r w:rsidRPr="0048459D">
        <w:rPr>
          <w:lang w:val="fr-FR"/>
        </w:rPr>
        <w:t>aligner le texte sur les travaux antérieurs de la Commission.</w:t>
      </w:r>
    </w:p>
    <w:p w14:paraId="1DB089FB" w14:textId="77777777" w:rsidR="003F7DA4" w:rsidRPr="0048459D" w:rsidRDefault="003F7DA4" w:rsidP="003F7DA4">
      <w:pPr>
        <w:pStyle w:val="SingleTxtG"/>
        <w:rPr>
          <w:lang w:val="fr-FR"/>
        </w:rPr>
      </w:pPr>
      <w:r>
        <w:rPr>
          <w:lang w:val="fr-FR"/>
        </w:rPr>
        <w:t>177</w:t>
      </w:r>
      <w:r w:rsidRPr="0048459D">
        <w:rPr>
          <w:lang w:val="fr-FR"/>
        </w:rPr>
        <w:t>.</w:t>
      </w:r>
      <w:r w:rsidRPr="0048459D">
        <w:rPr>
          <w:lang w:val="fr-FR"/>
        </w:rPr>
        <w:tab/>
        <w:t>Plusieurs membres estimaient que le paragraphe devrait préciser qu</w:t>
      </w:r>
      <w:r>
        <w:rPr>
          <w:lang w:val="fr-FR"/>
        </w:rPr>
        <w:t>’</w:t>
      </w:r>
      <w:r w:rsidRPr="0048459D">
        <w:rPr>
          <w:lang w:val="fr-FR"/>
        </w:rPr>
        <w:t>il ne visait que les États liés par la résolution concernée et ont proposé une formulation allant en ce sens. Une solution proposée par certains membres était de limiter le champ d</w:t>
      </w:r>
      <w:r>
        <w:rPr>
          <w:lang w:val="fr-FR"/>
        </w:rPr>
        <w:t>’</w:t>
      </w:r>
      <w:r w:rsidRPr="0048459D">
        <w:rPr>
          <w:lang w:val="fr-FR"/>
        </w:rPr>
        <w:t>application de la disposition aux décisions du Conseil de sécurité, que tous les États Membres étaient convenus d</w:t>
      </w:r>
      <w:r>
        <w:rPr>
          <w:lang w:val="fr-FR"/>
        </w:rPr>
        <w:t>’</w:t>
      </w:r>
      <w:r w:rsidRPr="0048459D">
        <w:rPr>
          <w:lang w:val="fr-FR"/>
        </w:rPr>
        <w:t>accepter et d</w:t>
      </w:r>
      <w:r>
        <w:rPr>
          <w:lang w:val="fr-FR"/>
        </w:rPr>
        <w:t>’</w:t>
      </w:r>
      <w:r w:rsidRPr="0048459D">
        <w:rPr>
          <w:lang w:val="fr-FR"/>
        </w:rPr>
        <w:t>appliquer. Néanmoins, d</w:t>
      </w:r>
      <w:r>
        <w:rPr>
          <w:lang w:val="fr-FR"/>
        </w:rPr>
        <w:t>’</w:t>
      </w:r>
      <w:r w:rsidRPr="0048459D">
        <w:rPr>
          <w:lang w:val="fr-FR"/>
        </w:rPr>
        <w:t>autres membres se sont opposés à cette solution car ils voulaient éviter de fermer la porte à d</w:t>
      </w:r>
      <w:r>
        <w:rPr>
          <w:lang w:val="fr-FR"/>
        </w:rPr>
        <w:t>’</w:t>
      </w:r>
      <w:r w:rsidRPr="0048459D">
        <w:rPr>
          <w:lang w:val="fr-FR"/>
        </w:rPr>
        <w:t>éventuelles évolutions. Il était important de procéder ainsi compte tenu des débats en cours sur les moyens acceptables d</w:t>
      </w:r>
      <w:r>
        <w:rPr>
          <w:lang w:val="fr-FR"/>
        </w:rPr>
        <w:t>’</w:t>
      </w:r>
      <w:r w:rsidRPr="0048459D">
        <w:rPr>
          <w:lang w:val="fr-FR"/>
        </w:rPr>
        <w:t>instituer des juridictions pénales internationales.</w:t>
      </w:r>
    </w:p>
    <w:p w14:paraId="18AA1B5B" w14:textId="77777777" w:rsidR="003F7DA4" w:rsidRPr="0048459D" w:rsidRDefault="003F7DA4" w:rsidP="003F7DA4">
      <w:pPr>
        <w:pStyle w:val="SingleTxtG"/>
        <w:rPr>
          <w:lang w:val="fr-FR"/>
        </w:rPr>
      </w:pPr>
      <w:r>
        <w:rPr>
          <w:lang w:val="fr-FR"/>
        </w:rPr>
        <w:t>178</w:t>
      </w:r>
      <w:r w:rsidRPr="0048459D">
        <w:rPr>
          <w:lang w:val="fr-FR"/>
        </w:rPr>
        <w:t>.</w:t>
      </w:r>
      <w:r w:rsidRPr="0048459D">
        <w:rPr>
          <w:lang w:val="fr-FR"/>
        </w:rPr>
        <w:tab/>
        <w:t>Certains membres ont proposé la suppression du paragraphe 3. Il a été dit que cette suppression était nécessaire pour éviter que le projet d</w:t>
      </w:r>
      <w:r>
        <w:rPr>
          <w:lang w:val="fr-FR"/>
        </w:rPr>
        <w:t>’</w:t>
      </w:r>
      <w:r w:rsidRPr="0048459D">
        <w:rPr>
          <w:lang w:val="fr-FR"/>
        </w:rPr>
        <w:t>articles aille à l</w:t>
      </w:r>
      <w:r>
        <w:rPr>
          <w:lang w:val="fr-FR"/>
        </w:rPr>
        <w:t>’</w:t>
      </w:r>
      <w:r w:rsidRPr="0048459D">
        <w:rPr>
          <w:lang w:val="fr-FR"/>
        </w:rPr>
        <w:t>encontre des évolutions qui étaient venues limiter la portée de l</w:t>
      </w:r>
      <w:r>
        <w:rPr>
          <w:lang w:val="fr-FR"/>
        </w:rPr>
        <w:t>’</w:t>
      </w:r>
      <w:r w:rsidRPr="0048459D">
        <w:rPr>
          <w:lang w:val="fr-FR"/>
        </w:rPr>
        <w:t>immunité des représentants de l</w:t>
      </w:r>
      <w:r>
        <w:rPr>
          <w:lang w:val="fr-FR"/>
        </w:rPr>
        <w:t>’</w:t>
      </w:r>
      <w:r w:rsidRPr="0048459D">
        <w:rPr>
          <w:lang w:val="fr-FR"/>
        </w:rPr>
        <w:t>État et avaient coïncidé avec l</w:t>
      </w:r>
      <w:r>
        <w:rPr>
          <w:lang w:val="fr-FR"/>
        </w:rPr>
        <w:t>’</w:t>
      </w:r>
      <w:r w:rsidRPr="0048459D">
        <w:rPr>
          <w:lang w:val="fr-FR"/>
        </w:rPr>
        <w:t>évolution du droit international</w:t>
      </w:r>
      <w:r w:rsidRPr="0059714C">
        <w:rPr>
          <w:lang w:val="fr-FR"/>
        </w:rPr>
        <w:t xml:space="preserve"> </w:t>
      </w:r>
      <w:r w:rsidRPr="0048459D">
        <w:rPr>
          <w:lang w:val="fr-FR"/>
        </w:rPr>
        <w:t>pénal. Il a également été dit que la question pourrait être suffisamment explicitée dans le commentaire.</w:t>
      </w:r>
    </w:p>
    <w:p w14:paraId="50E83C3D" w14:textId="77777777" w:rsidR="003F7DA4" w:rsidRPr="0048459D" w:rsidRDefault="003F7DA4" w:rsidP="003F7DA4">
      <w:pPr>
        <w:pStyle w:val="H23G"/>
        <w:rPr>
          <w:rFonts w:eastAsia="SimSun"/>
          <w:lang w:val="fr-FR"/>
        </w:rPr>
      </w:pPr>
      <w:r w:rsidRPr="0048459D">
        <w:rPr>
          <w:lang w:val="fr-FR"/>
        </w:rPr>
        <w:tab/>
        <w:t>c)</w:t>
      </w:r>
      <w:r w:rsidRPr="0048459D">
        <w:rPr>
          <w:lang w:val="fr-FR"/>
        </w:rPr>
        <w:tab/>
      </w:r>
      <w:r w:rsidRPr="0048459D">
        <w:rPr>
          <w:lang w:val="fr-FR"/>
        </w:rPr>
        <w:tab/>
        <w:t>Projet d</w:t>
      </w:r>
      <w:r>
        <w:rPr>
          <w:lang w:val="fr-FR"/>
        </w:rPr>
        <w:t>’</w:t>
      </w:r>
      <w:r w:rsidRPr="0048459D">
        <w:rPr>
          <w:lang w:val="fr-FR"/>
        </w:rPr>
        <w:t>article 2 (Définitions)</w:t>
      </w:r>
    </w:p>
    <w:p w14:paraId="785BC341" w14:textId="3C11B571" w:rsidR="003F7DA4" w:rsidRPr="0048459D" w:rsidRDefault="003F7DA4" w:rsidP="003F7DA4">
      <w:pPr>
        <w:pStyle w:val="SingleTxtG"/>
        <w:rPr>
          <w:rFonts w:asciiTheme="majorBidi" w:hAnsiTheme="majorBidi" w:cstheme="majorBidi"/>
          <w:lang w:val="fr-FR"/>
        </w:rPr>
      </w:pPr>
      <w:r>
        <w:rPr>
          <w:lang w:val="fr-FR"/>
        </w:rPr>
        <w:t>179</w:t>
      </w:r>
      <w:r w:rsidRPr="0048459D">
        <w:rPr>
          <w:lang w:val="fr-FR"/>
        </w:rPr>
        <w:t>.</w:t>
      </w:r>
      <w:r w:rsidRPr="0048459D">
        <w:rPr>
          <w:lang w:val="fr-FR"/>
        </w:rPr>
        <w:tab/>
        <w:t>En ce qui concerne l</w:t>
      </w:r>
      <w:r>
        <w:rPr>
          <w:lang w:val="fr-FR"/>
        </w:rPr>
        <w:t>’</w:t>
      </w:r>
      <w:r w:rsidRPr="0048459D">
        <w:rPr>
          <w:lang w:val="fr-FR"/>
        </w:rPr>
        <w:t>alinéa a) du projet d</w:t>
      </w:r>
      <w:r>
        <w:rPr>
          <w:lang w:val="fr-FR"/>
        </w:rPr>
        <w:t>’</w:t>
      </w:r>
      <w:r w:rsidRPr="0048459D">
        <w:rPr>
          <w:lang w:val="fr-FR"/>
        </w:rPr>
        <w:t>article 2, sur la définition de « représentant de l</w:t>
      </w:r>
      <w:r>
        <w:rPr>
          <w:lang w:val="fr-FR"/>
        </w:rPr>
        <w:t>’</w:t>
      </w:r>
      <w:r w:rsidRPr="0048459D">
        <w:rPr>
          <w:lang w:val="fr-FR"/>
        </w:rPr>
        <w:t>État », le débat s</w:t>
      </w:r>
      <w:r>
        <w:rPr>
          <w:lang w:val="fr-FR"/>
        </w:rPr>
        <w:t>’</w:t>
      </w:r>
      <w:r w:rsidRPr="0048459D">
        <w:rPr>
          <w:lang w:val="fr-FR"/>
        </w:rPr>
        <w:t>est concentré sur l</w:t>
      </w:r>
      <w:r>
        <w:rPr>
          <w:lang w:val="fr-FR"/>
        </w:rPr>
        <w:t>’</w:t>
      </w:r>
      <w:r w:rsidRPr="0048459D">
        <w:rPr>
          <w:lang w:val="fr-FR"/>
        </w:rPr>
        <w:t>emploi de la formule « les représentants en fonction et les anciens représentants ». Certains membres ont suggéré de supprimer cette formule afin de simplifier le texte et son application à l</w:t>
      </w:r>
      <w:r>
        <w:rPr>
          <w:lang w:val="fr-FR"/>
        </w:rPr>
        <w:t>’</w:t>
      </w:r>
      <w:r w:rsidRPr="0048459D">
        <w:rPr>
          <w:lang w:val="fr-FR"/>
        </w:rPr>
        <w:t>égard du projet d</w:t>
      </w:r>
      <w:r>
        <w:rPr>
          <w:lang w:val="fr-FR"/>
        </w:rPr>
        <w:t>’</w:t>
      </w:r>
      <w:r w:rsidRPr="0048459D">
        <w:rPr>
          <w:lang w:val="fr-FR"/>
        </w:rPr>
        <w:t>article 6, sur la portée de l</w:t>
      </w:r>
      <w:r>
        <w:rPr>
          <w:lang w:val="fr-FR"/>
        </w:rPr>
        <w:t>’</w:t>
      </w:r>
      <w:r w:rsidRPr="0048459D">
        <w:rPr>
          <w:lang w:val="fr-FR"/>
        </w:rPr>
        <w:t xml:space="preserve">immunité </w:t>
      </w:r>
      <w:r w:rsidRPr="0048459D">
        <w:rPr>
          <w:i/>
          <w:iCs/>
          <w:lang w:val="fr-FR"/>
        </w:rPr>
        <w:t>ratione materiae</w:t>
      </w:r>
      <w:r w:rsidRPr="0048459D">
        <w:rPr>
          <w:lang w:val="fr-FR"/>
        </w:rPr>
        <w:t>. Il a aussi été proposé d</w:t>
      </w:r>
      <w:r>
        <w:rPr>
          <w:lang w:val="fr-FR"/>
        </w:rPr>
        <w:t>’</w:t>
      </w:r>
      <w:r w:rsidRPr="0048459D">
        <w:rPr>
          <w:lang w:val="fr-FR"/>
        </w:rPr>
        <w:t>incorporer le contenu de l</w:t>
      </w:r>
      <w:r>
        <w:rPr>
          <w:lang w:val="fr-FR"/>
        </w:rPr>
        <w:t>’</w:t>
      </w:r>
      <w:r w:rsidRPr="0048459D">
        <w:rPr>
          <w:lang w:val="fr-FR"/>
        </w:rPr>
        <w:t>alinéa a) dans le projet d</w:t>
      </w:r>
      <w:r>
        <w:rPr>
          <w:lang w:val="fr-FR"/>
        </w:rPr>
        <w:t>’</w:t>
      </w:r>
      <w:r w:rsidRPr="0048459D">
        <w:rPr>
          <w:lang w:val="fr-FR"/>
        </w:rPr>
        <w:t>article 5 ou le projet d</w:t>
      </w:r>
      <w:r>
        <w:rPr>
          <w:lang w:val="fr-FR"/>
        </w:rPr>
        <w:t>’</w:t>
      </w:r>
      <w:r w:rsidRPr="0048459D">
        <w:rPr>
          <w:lang w:val="fr-FR"/>
        </w:rPr>
        <w:t>article 6. Néanmoins, plusieurs membres ont accepté la proposition du Rapporteur spécial de ne pas modifier le projet d</w:t>
      </w:r>
      <w:r>
        <w:rPr>
          <w:lang w:val="fr-FR"/>
        </w:rPr>
        <w:t>’</w:t>
      </w:r>
      <w:r w:rsidRPr="0048459D">
        <w:rPr>
          <w:lang w:val="fr-FR"/>
        </w:rPr>
        <w:t>article 2, estimant que tout éclaircissement nécessaire concernant cette disposition pourrait être apporté dans le commentaire et qu</w:t>
      </w:r>
      <w:r>
        <w:rPr>
          <w:lang w:val="fr-FR"/>
        </w:rPr>
        <w:t>’</w:t>
      </w:r>
      <w:r w:rsidRPr="0048459D">
        <w:rPr>
          <w:lang w:val="fr-FR"/>
        </w:rPr>
        <w:t>aucune modification textuelle n</w:t>
      </w:r>
      <w:r>
        <w:rPr>
          <w:lang w:val="fr-FR"/>
        </w:rPr>
        <w:t>’</w:t>
      </w:r>
      <w:r w:rsidRPr="0048459D">
        <w:rPr>
          <w:lang w:val="fr-FR"/>
        </w:rPr>
        <w:t>était donc requise. Il a aussi été dit que la définition du représentant de l</w:t>
      </w:r>
      <w:r>
        <w:rPr>
          <w:lang w:val="fr-FR"/>
        </w:rPr>
        <w:t>’</w:t>
      </w:r>
      <w:r w:rsidRPr="0048459D">
        <w:rPr>
          <w:lang w:val="fr-FR"/>
        </w:rPr>
        <w:t>État ne concernait pas uniquement, ni principalement, l</w:t>
      </w:r>
      <w:r>
        <w:rPr>
          <w:lang w:val="fr-FR"/>
        </w:rPr>
        <w:t>’</w:t>
      </w:r>
      <w:r w:rsidRPr="0048459D">
        <w:rPr>
          <w:lang w:val="fr-FR"/>
        </w:rPr>
        <w:t xml:space="preserve">immunité </w:t>
      </w:r>
      <w:r w:rsidRPr="0048459D">
        <w:rPr>
          <w:i/>
          <w:iCs/>
          <w:lang w:val="fr-FR"/>
        </w:rPr>
        <w:t>ratione materiae</w:t>
      </w:r>
      <w:r w:rsidRPr="0048459D">
        <w:rPr>
          <w:lang w:val="fr-FR"/>
        </w:rPr>
        <w:t xml:space="preserve"> et que, par conséquent, il ne serait pas approprié de l</w:t>
      </w:r>
      <w:r>
        <w:rPr>
          <w:lang w:val="fr-FR"/>
        </w:rPr>
        <w:t>’</w:t>
      </w:r>
      <w:r w:rsidRPr="0048459D">
        <w:rPr>
          <w:lang w:val="fr-FR"/>
        </w:rPr>
        <w:t>incorporer au projet d</w:t>
      </w:r>
      <w:r>
        <w:rPr>
          <w:lang w:val="fr-FR"/>
        </w:rPr>
        <w:t>’</w:t>
      </w:r>
      <w:r w:rsidRPr="0048459D">
        <w:rPr>
          <w:lang w:val="fr-FR"/>
        </w:rPr>
        <w:t>article 6. Si certains membres ont appuyé la décision de la Commission de ne pas donner une liste d</w:t>
      </w:r>
      <w:r>
        <w:rPr>
          <w:lang w:val="fr-FR"/>
        </w:rPr>
        <w:t>’</w:t>
      </w:r>
      <w:r w:rsidRPr="0048459D">
        <w:rPr>
          <w:lang w:val="fr-FR"/>
        </w:rPr>
        <w:t>exemples de représentants de l</w:t>
      </w:r>
      <w:r>
        <w:rPr>
          <w:lang w:val="fr-FR"/>
        </w:rPr>
        <w:t>’</w:t>
      </w:r>
      <w:r w:rsidRPr="0048459D">
        <w:rPr>
          <w:lang w:val="fr-FR"/>
        </w:rPr>
        <w:t>État, il a été souligné qu</w:t>
      </w:r>
      <w:r>
        <w:rPr>
          <w:lang w:val="fr-FR"/>
        </w:rPr>
        <w:t>’</w:t>
      </w:r>
      <w:r w:rsidRPr="0048459D">
        <w:rPr>
          <w:lang w:val="fr-FR"/>
        </w:rPr>
        <w:t>il faudrait ajouter dans le commentaire des orientations pratiques visant à permettre de déterminer si une personne donnée a ou non la qualité de représentant de l</w:t>
      </w:r>
      <w:r>
        <w:rPr>
          <w:lang w:val="fr-FR"/>
        </w:rPr>
        <w:t>’</w:t>
      </w:r>
      <w:r w:rsidRPr="0048459D">
        <w:rPr>
          <w:lang w:val="fr-FR"/>
        </w:rPr>
        <w:t>État. Certains membres ont également estimé que le terme français « représentants », adopté en première lecture, devrait être conservé au lieu d</w:t>
      </w:r>
      <w:r>
        <w:rPr>
          <w:lang w:val="fr-FR"/>
        </w:rPr>
        <w:t>’</w:t>
      </w:r>
      <w:r w:rsidRPr="0048459D">
        <w:rPr>
          <w:lang w:val="fr-FR"/>
        </w:rPr>
        <w:t xml:space="preserve">être remplacé par « agents » ; il a été rappelé, entre autres, que le texte adopté en première lecture avait été examiné et adopté en trois langues (anglais, </w:t>
      </w:r>
      <w:r w:rsidR="000C0EDF" w:rsidRPr="0048459D">
        <w:rPr>
          <w:lang w:val="fr-FR"/>
        </w:rPr>
        <w:t xml:space="preserve">espagnol </w:t>
      </w:r>
      <w:r w:rsidR="000C0EDF">
        <w:rPr>
          <w:lang w:val="fr-FR"/>
        </w:rPr>
        <w:t xml:space="preserve">et </w:t>
      </w:r>
      <w:r w:rsidRPr="0048459D">
        <w:rPr>
          <w:lang w:val="fr-FR"/>
        </w:rPr>
        <w:t>français)</w:t>
      </w:r>
      <w:r>
        <w:rPr>
          <w:lang w:val="fr-FR"/>
        </w:rPr>
        <w:t xml:space="preserve"> par le Comité de rédaction</w:t>
      </w:r>
      <w:r w:rsidRPr="0048459D">
        <w:rPr>
          <w:lang w:val="fr-FR"/>
        </w:rPr>
        <w:t xml:space="preserve">, que les deux termes étaient employés indifféremment dans la jurisprudence applicable et que le terme « représentants » était employé dans les travaux antérieurs de la Commission sur le sujet « Immunités juridictionnelles des États et de leurs biens ». </w:t>
      </w:r>
    </w:p>
    <w:p w14:paraId="735E7F4F" w14:textId="77777777" w:rsidR="003F7DA4" w:rsidRPr="0048459D" w:rsidRDefault="003F7DA4" w:rsidP="003F7DA4">
      <w:pPr>
        <w:pStyle w:val="SingleTxtG"/>
        <w:rPr>
          <w:rFonts w:asciiTheme="majorBidi" w:hAnsiTheme="majorBidi" w:cstheme="majorBidi"/>
          <w:lang w:val="fr-FR"/>
        </w:rPr>
      </w:pPr>
      <w:r>
        <w:rPr>
          <w:lang w:val="fr-FR"/>
        </w:rPr>
        <w:t>180</w:t>
      </w:r>
      <w:r w:rsidRPr="0048459D">
        <w:rPr>
          <w:lang w:val="fr-FR"/>
        </w:rPr>
        <w:t>.</w:t>
      </w:r>
      <w:r w:rsidRPr="0048459D">
        <w:rPr>
          <w:lang w:val="fr-FR"/>
        </w:rPr>
        <w:tab/>
        <w:t>Concernant l</w:t>
      </w:r>
      <w:r>
        <w:rPr>
          <w:lang w:val="fr-FR"/>
        </w:rPr>
        <w:t>’</w:t>
      </w:r>
      <w:r w:rsidRPr="0048459D">
        <w:rPr>
          <w:lang w:val="fr-FR"/>
        </w:rPr>
        <w:t>alinéa b), sur la définition de l</w:t>
      </w:r>
      <w:r>
        <w:rPr>
          <w:lang w:val="fr-FR"/>
        </w:rPr>
        <w:t>’</w:t>
      </w:r>
      <w:r w:rsidRPr="0048459D">
        <w:rPr>
          <w:lang w:val="fr-FR"/>
        </w:rPr>
        <w:t>« acte accompli à titre officiel », certains membres ont dit préférer conserver le texte tel qu</w:t>
      </w:r>
      <w:r>
        <w:rPr>
          <w:lang w:val="fr-FR"/>
        </w:rPr>
        <w:t>’</w:t>
      </w:r>
      <w:r w:rsidRPr="0048459D">
        <w:rPr>
          <w:lang w:val="fr-FR"/>
        </w:rPr>
        <w:t>adopté en première lecture, tandis que d</w:t>
      </w:r>
      <w:r>
        <w:rPr>
          <w:lang w:val="fr-FR"/>
        </w:rPr>
        <w:t>’</w:t>
      </w:r>
      <w:r w:rsidRPr="0048459D">
        <w:rPr>
          <w:lang w:val="fr-FR"/>
        </w:rPr>
        <w:t>autres se sont demandé si cette disposition était nécessaire ou s</w:t>
      </w:r>
      <w:r>
        <w:rPr>
          <w:lang w:val="fr-FR"/>
        </w:rPr>
        <w:t>’</w:t>
      </w:r>
      <w:r w:rsidRPr="0048459D">
        <w:rPr>
          <w:lang w:val="fr-FR"/>
        </w:rPr>
        <w:t>il ne serait pas plus approprié de l</w:t>
      </w:r>
      <w:r>
        <w:rPr>
          <w:lang w:val="fr-FR"/>
        </w:rPr>
        <w:t>’</w:t>
      </w:r>
      <w:r w:rsidRPr="0048459D">
        <w:rPr>
          <w:lang w:val="fr-FR"/>
        </w:rPr>
        <w:t>incorporer dans le projet d</w:t>
      </w:r>
      <w:r>
        <w:rPr>
          <w:lang w:val="fr-FR"/>
        </w:rPr>
        <w:t>’</w:t>
      </w:r>
      <w:r w:rsidRPr="0048459D">
        <w:rPr>
          <w:lang w:val="fr-FR"/>
        </w:rPr>
        <w:t xml:space="preserve">article 6. En ce qui concerne les différences entre les actes accomplis à titre officiel, les actes </w:t>
      </w:r>
      <w:r w:rsidRPr="0048459D">
        <w:rPr>
          <w:i/>
          <w:iCs/>
          <w:lang w:val="fr-FR"/>
        </w:rPr>
        <w:t>ultra vires</w:t>
      </w:r>
      <w:r w:rsidRPr="0048459D">
        <w:rPr>
          <w:lang w:val="fr-FR"/>
        </w:rPr>
        <w:t xml:space="preserve"> et les actes illicites, plusieurs membres ont estimé qu</w:t>
      </w:r>
      <w:r>
        <w:rPr>
          <w:lang w:val="fr-FR"/>
        </w:rPr>
        <w:t>’</w:t>
      </w:r>
      <w:r w:rsidRPr="0048459D">
        <w:rPr>
          <w:lang w:val="fr-FR"/>
        </w:rPr>
        <w:t>il subsistait une certaine confusion et qu</w:t>
      </w:r>
      <w:r>
        <w:rPr>
          <w:lang w:val="fr-FR"/>
        </w:rPr>
        <w:t>’</w:t>
      </w:r>
      <w:r w:rsidRPr="0048459D">
        <w:rPr>
          <w:lang w:val="fr-FR"/>
        </w:rPr>
        <w:t>il faudrait que des explications complémentaires soient données dans le commentaire. Les membres ont exprimé différents points de vue quant au fond. Certains membres ont dit que l</w:t>
      </w:r>
      <w:r>
        <w:rPr>
          <w:lang w:val="fr-FR"/>
        </w:rPr>
        <w:t>’</w:t>
      </w:r>
      <w:r w:rsidRPr="0048459D">
        <w:rPr>
          <w:lang w:val="fr-FR"/>
        </w:rPr>
        <w:t>immunité, parce qu</w:t>
      </w:r>
      <w:r>
        <w:rPr>
          <w:lang w:val="fr-FR"/>
        </w:rPr>
        <w:t>’</w:t>
      </w:r>
      <w:r w:rsidRPr="0048459D">
        <w:rPr>
          <w:lang w:val="fr-FR"/>
        </w:rPr>
        <w:t>elle était une restriction procédurale à l</w:t>
      </w:r>
      <w:r>
        <w:rPr>
          <w:lang w:val="fr-FR"/>
        </w:rPr>
        <w:t>’</w:t>
      </w:r>
      <w:r w:rsidRPr="0048459D">
        <w:rPr>
          <w:lang w:val="fr-FR"/>
        </w:rPr>
        <w:t>exercice de la compétence, empêchait un État étranger de décider de manière indépendante si tel ou tel acte d</w:t>
      </w:r>
      <w:r>
        <w:rPr>
          <w:lang w:val="fr-FR"/>
        </w:rPr>
        <w:t>’</w:t>
      </w:r>
      <w:r w:rsidRPr="0048459D">
        <w:rPr>
          <w:lang w:val="fr-FR"/>
        </w:rPr>
        <w:t>un représentant étaient ou non accomplis à titre officiel. Si d</w:t>
      </w:r>
      <w:r>
        <w:rPr>
          <w:lang w:val="fr-FR"/>
        </w:rPr>
        <w:t>’</w:t>
      </w:r>
      <w:r w:rsidRPr="0048459D">
        <w:rPr>
          <w:lang w:val="fr-FR"/>
        </w:rPr>
        <w:t>aucuns ont exprimé l</w:t>
      </w:r>
      <w:r>
        <w:rPr>
          <w:lang w:val="fr-FR"/>
        </w:rPr>
        <w:t>’</w:t>
      </w:r>
      <w:r w:rsidRPr="0048459D">
        <w:rPr>
          <w:lang w:val="fr-FR"/>
        </w:rPr>
        <w:t>avis que l</w:t>
      </w:r>
      <w:r>
        <w:rPr>
          <w:lang w:val="fr-FR"/>
        </w:rPr>
        <w:t>’</w:t>
      </w:r>
      <w:r w:rsidRPr="0048459D">
        <w:rPr>
          <w:lang w:val="fr-FR"/>
        </w:rPr>
        <w:t>immunité ne s</w:t>
      </w:r>
      <w:r>
        <w:rPr>
          <w:lang w:val="fr-FR"/>
        </w:rPr>
        <w:t>’</w:t>
      </w:r>
      <w:r w:rsidRPr="0048459D">
        <w:rPr>
          <w:lang w:val="fr-FR"/>
        </w:rPr>
        <w:t xml:space="preserve">appliquait pas aux actes </w:t>
      </w:r>
      <w:r w:rsidRPr="0048459D">
        <w:rPr>
          <w:i/>
          <w:iCs/>
          <w:lang w:val="fr-FR"/>
        </w:rPr>
        <w:lastRenderedPageBreak/>
        <w:t>ultra vires</w:t>
      </w:r>
      <w:r w:rsidRPr="0048459D">
        <w:rPr>
          <w:lang w:val="fr-FR"/>
        </w:rPr>
        <w:t>, d</w:t>
      </w:r>
      <w:r>
        <w:rPr>
          <w:lang w:val="fr-FR"/>
        </w:rPr>
        <w:t>’</w:t>
      </w:r>
      <w:r w:rsidRPr="0048459D">
        <w:rPr>
          <w:lang w:val="fr-FR"/>
        </w:rPr>
        <w:t>autres ont fait valoir qu</w:t>
      </w:r>
      <w:r>
        <w:rPr>
          <w:lang w:val="fr-FR"/>
        </w:rPr>
        <w:t>’</w:t>
      </w:r>
      <w:r w:rsidRPr="0048459D">
        <w:rPr>
          <w:lang w:val="fr-FR"/>
        </w:rPr>
        <w:t>il n</w:t>
      </w:r>
      <w:r>
        <w:rPr>
          <w:lang w:val="fr-FR"/>
        </w:rPr>
        <w:t>’</w:t>
      </w:r>
      <w:r w:rsidRPr="0048459D">
        <w:rPr>
          <w:lang w:val="fr-FR"/>
        </w:rPr>
        <w:t>y avait dans la pratique guère d</w:t>
      </w:r>
      <w:r>
        <w:rPr>
          <w:lang w:val="fr-FR"/>
        </w:rPr>
        <w:t>’</w:t>
      </w:r>
      <w:r w:rsidRPr="0048459D">
        <w:rPr>
          <w:lang w:val="fr-FR"/>
        </w:rPr>
        <w:t>éléments venant étayer la conclusion selon laquelle un comportement officiel doit être licite pour être couvert par l</w:t>
      </w:r>
      <w:r>
        <w:rPr>
          <w:lang w:val="fr-FR"/>
        </w:rPr>
        <w:t>’</w:t>
      </w:r>
      <w:r w:rsidRPr="0048459D">
        <w:rPr>
          <w:lang w:val="fr-FR"/>
        </w:rPr>
        <w:t>immunité. À cet égard, il a été souligné qu</w:t>
      </w:r>
      <w:r>
        <w:rPr>
          <w:lang w:val="fr-FR"/>
        </w:rPr>
        <w:t>’</w:t>
      </w:r>
      <w:r w:rsidRPr="0048459D">
        <w:rPr>
          <w:lang w:val="fr-FR"/>
        </w:rPr>
        <w:t xml:space="preserve">on ne saurait suggérer que, du simple fait que tel ou tel acte a été accompli </w:t>
      </w:r>
      <w:r w:rsidRPr="0048459D">
        <w:rPr>
          <w:i/>
          <w:iCs/>
          <w:lang w:val="fr-FR"/>
        </w:rPr>
        <w:t>ultra vires</w:t>
      </w:r>
      <w:r w:rsidRPr="0048459D">
        <w:rPr>
          <w:lang w:val="fr-FR"/>
        </w:rPr>
        <w:t>, il n</w:t>
      </w:r>
      <w:r>
        <w:rPr>
          <w:lang w:val="fr-FR"/>
        </w:rPr>
        <w:t>’</w:t>
      </w:r>
      <w:r w:rsidRPr="0048459D">
        <w:rPr>
          <w:lang w:val="fr-FR"/>
        </w:rPr>
        <w:t>a pas été accompli à titre officiel et n</w:t>
      </w:r>
      <w:r>
        <w:rPr>
          <w:lang w:val="fr-FR"/>
        </w:rPr>
        <w:t>’</w:t>
      </w:r>
      <w:r w:rsidRPr="0048459D">
        <w:rPr>
          <w:lang w:val="fr-FR"/>
        </w:rPr>
        <w:t>est donc pas couvert par l</w:t>
      </w:r>
      <w:r>
        <w:rPr>
          <w:lang w:val="fr-FR"/>
        </w:rPr>
        <w:t>’</w:t>
      </w:r>
      <w:r w:rsidRPr="0048459D">
        <w:rPr>
          <w:lang w:val="fr-FR"/>
        </w:rPr>
        <w:t xml:space="preserve">immunité. Certains membres ont demandé des éclaircissements sur ce que la Commission entend par « actes accomplis </w:t>
      </w:r>
      <w:r w:rsidRPr="0048459D">
        <w:rPr>
          <w:i/>
          <w:iCs/>
          <w:lang w:val="fr-FR"/>
        </w:rPr>
        <w:t>ultra vires</w:t>
      </w:r>
      <w:r w:rsidRPr="0048459D">
        <w:rPr>
          <w:lang w:val="fr-FR"/>
        </w:rPr>
        <w:t> ». Il a été dit que la Commission devait orienter les États vers la cohérence normative en fournissant un ensemble de critères permettant de juger le comportement de l</w:t>
      </w:r>
      <w:r>
        <w:rPr>
          <w:lang w:val="fr-FR"/>
        </w:rPr>
        <w:t>’</w:t>
      </w:r>
      <w:r w:rsidRPr="0048459D">
        <w:rPr>
          <w:lang w:val="fr-FR"/>
        </w:rPr>
        <w:t>État, et d</w:t>
      </w:r>
      <w:r>
        <w:rPr>
          <w:lang w:val="fr-FR"/>
        </w:rPr>
        <w:t>’</w:t>
      </w:r>
      <w:r w:rsidRPr="0048459D">
        <w:rPr>
          <w:lang w:val="fr-FR"/>
        </w:rPr>
        <w:t>aucuns ont suggéré qu</w:t>
      </w:r>
      <w:r>
        <w:rPr>
          <w:lang w:val="fr-FR"/>
        </w:rPr>
        <w:t>’</w:t>
      </w:r>
      <w:r w:rsidRPr="0048459D">
        <w:rPr>
          <w:lang w:val="fr-FR"/>
        </w:rPr>
        <w:t>elle donne une liste indicative et non exhaustive d</w:t>
      </w:r>
      <w:r>
        <w:rPr>
          <w:lang w:val="fr-FR"/>
        </w:rPr>
        <w:t>’</w:t>
      </w:r>
      <w:r w:rsidRPr="0048459D">
        <w:rPr>
          <w:lang w:val="fr-FR"/>
        </w:rPr>
        <w:t>actes accomplis à titre officiel. Il a été dit également que le projet d</w:t>
      </w:r>
      <w:r>
        <w:rPr>
          <w:lang w:val="fr-FR"/>
        </w:rPr>
        <w:t>’</w:t>
      </w:r>
      <w:r w:rsidRPr="0048459D">
        <w:rPr>
          <w:lang w:val="fr-FR"/>
        </w:rPr>
        <w:t>article devait préciser quels actes sont couverts par l</w:t>
      </w:r>
      <w:r>
        <w:rPr>
          <w:lang w:val="fr-FR"/>
        </w:rPr>
        <w:t>’</w:t>
      </w:r>
      <w:r w:rsidRPr="0048459D">
        <w:rPr>
          <w:lang w:val="fr-FR"/>
        </w:rPr>
        <w:t xml:space="preserve">immunité </w:t>
      </w:r>
      <w:r w:rsidRPr="0048459D">
        <w:rPr>
          <w:i/>
          <w:iCs/>
          <w:lang w:val="fr-FR"/>
        </w:rPr>
        <w:t xml:space="preserve">ratione materiae </w:t>
      </w:r>
      <w:r w:rsidRPr="0048459D">
        <w:rPr>
          <w:lang w:val="fr-FR"/>
        </w:rPr>
        <w:t xml:space="preserve">en ce qui concerne les actes </w:t>
      </w:r>
      <w:r w:rsidRPr="0048459D">
        <w:rPr>
          <w:i/>
          <w:iCs/>
          <w:lang w:val="fr-FR"/>
        </w:rPr>
        <w:t>ultra vires</w:t>
      </w:r>
      <w:r w:rsidRPr="0048459D">
        <w:rPr>
          <w:lang w:val="fr-FR"/>
        </w:rPr>
        <w:t xml:space="preserve"> et étoffer la définition de l</w:t>
      </w:r>
      <w:r>
        <w:rPr>
          <w:lang w:val="fr-FR"/>
        </w:rPr>
        <w:t>’</w:t>
      </w:r>
      <w:r w:rsidRPr="0048459D">
        <w:rPr>
          <w:lang w:val="fr-FR"/>
        </w:rPr>
        <w:t xml:space="preserve">acte </w:t>
      </w:r>
      <w:r w:rsidRPr="0048459D">
        <w:rPr>
          <w:i/>
          <w:iCs/>
          <w:lang w:val="fr-FR"/>
        </w:rPr>
        <w:t>ultra vires</w:t>
      </w:r>
      <w:r w:rsidRPr="0048459D">
        <w:rPr>
          <w:lang w:val="fr-FR"/>
        </w:rPr>
        <w:t xml:space="preserve">. </w:t>
      </w:r>
    </w:p>
    <w:p w14:paraId="0B46ECB8" w14:textId="77777777" w:rsidR="003F7DA4" w:rsidRPr="0048459D" w:rsidRDefault="003F7DA4" w:rsidP="003F7DA4">
      <w:pPr>
        <w:pStyle w:val="SingleTxtG"/>
        <w:rPr>
          <w:rFonts w:asciiTheme="majorBidi" w:hAnsiTheme="majorBidi" w:cstheme="majorBidi"/>
          <w:lang w:val="fr-FR"/>
        </w:rPr>
      </w:pPr>
      <w:r>
        <w:rPr>
          <w:lang w:val="fr-FR"/>
        </w:rPr>
        <w:t>181</w:t>
      </w:r>
      <w:r w:rsidRPr="0048459D">
        <w:rPr>
          <w:lang w:val="fr-FR"/>
        </w:rPr>
        <w:t>.</w:t>
      </w:r>
      <w:r w:rsidRPr="0048459D">
        <w:rPr>
          <w:lang w:val="fr-FR"/>
        </w:rPr>
        <w:tab/>
        <w:t>Plusieurs membres ont abordé la relation entre les articles sur la responsabilité de l</w:t>
      </w:r>
      <w:r>
        <w:rPr>
          <w:lang w:val="fr-FR"/>
        </w:rPr>
        <w:t>’</w:t>
      </w:r>
      <w:r w:rsidRPr="0048459D">
        <w:rPr>
          <w:lang w:val="fr-FR"/>
        </w:rPr>
        <w:t>État pour fait internationalement illicite et le projet d</w:t>
      </w:r>
      <w:r>
        <w:rPr>
          <w:lang w:val="fr-FR"/>
        </w:rPr>
        <w:t>’</w:t>
      </w:r>
      <w:r w:rsidRPr="0048459D">
        <w:rPr>
          <w:lang w:val="fr-FR"/>
        </w:rPr>
        <w:t>article 2, en particulier les règles concernant l</w:t>
      </w:r>
      <w:r>
        <w:rPr>
          <w:lang w:val="fr-FR"/>
        </w:rPr>
        <w:t>’</w:t>
      </w:r>
      <w:r w:rsidRPr="0048459D">
        <w:rPr>
          <w:lang w:val="fr-FR"/>
        </w:rPr>
        <w:t>attribution. Il a été dit qu</w:t>
      </w:r>
      <w:r>
        <w:rPr>
          <w:lang w:val="fr-FR"/>
        </w:rPr>
        <w:t>’</w:t>
      </w:r>
      <w:r w:rsidRPr="0048459D">
        <w:rPr>
          <w:lang w:val="fr-FR"/>
        </w:rPr>
        <w:t>il fallait soigneusement examiner la relation et les différences entre les deux régimes et faire une analyse détaillée de la question dans le commentaire. Il a été souligné que, s</w:t>
      </w:r>
      <w:r>
        <w:rPr>
          <w:lang w:val="fr-FR"/>
        </w:rPr>
        <w:t>’</w:t>
      </w:r>
      <w:r w:rsidRPr="0048459D">
        <w:rPr>
          <w:lang w:val="fr-FR"/>
        </w:rPr>
        <w:t>il fallait reconnaître le lien entre les deux régimes, il fallait aussi expliquer les différences entre eux. Selon un point de vue, le régime de l</w:t>
      </w:r>
      <w:r>
        <w:rPr>
          <w:lang w:val="fr-FR"/>
        </w:rPr>
        <w:t>’</w:t>
      </w:r>
      <w:r w:rsidRPr="0048459D">
        <w:rPr>
          <w:lang w:val="fr-FR"/>
        </w:rPr>
        <w:t>immunité et le régime de l</w:t>
      </w:r>
      <w:r>
        <w:rPr>
          <w:lang w:val="fr-FR"/>
        </w:rPr>
        <w:t>’</w:t>
      </w:r>
      <w:r w:rsidRPr="0048459D">
        <w:rPr>
          <w:lang w:val="fr-FR"/>
        </w:rPr>
        <w:t>attribution en droit de la responsabilité de l</w:t>
      </w:r>
      <w:r>
        <w:rPr>
          <w:lang w:val="fr-FR"/>
        </w:rPr>
        <w:t>’</w:t>
      </w:r>
      <w:r w:rsidRPr="0048459D">
        <w:rPr>
          <w:lang w:val="fr-FR"/>
        </w:rPr>
        <w:t>État se correspondaient ; l</w:t>
      </w:r>
      <w:r>
        <w:rPr>
          <w:lang w:val="fr-FR"/>
        </w:rPr>
        <w:t>’</w:t>
      </w:r>
      <w:r w:rsidRPr="0048459D">
        <w:rPr>
          <w:lang w:val="fr-FR"/>
        </w:rPr>
        <w:t>article 7 des articles sur la responsabilité de l</w:t>
      </w:r>
      <w:r>
        <w:rPr>
          <w:lang w:val="fr-FR"/>
        </w:rPr>
        <w:t>’</w:t>
      </w:r>
      <w:r w:rsidRPr="0048459D">
        <w:rPr>
          <w:lang w:val="fr-FR"/>
        </w:rPr>
        <w:t>État pour fait internationalement illicite a été invoqué à cet égard. Selon un autre point de vue, il faudrait harmoniser les deux domaines, et il a été proposé de remplacer la formule « dans l</w:t>
      </w:r>
      <w:r>
        <w:rPr>
          <w:lang w:val="fr-FR"/>
        </w:rPr>
        <w:t>’</w:t>
      </w:r>
      <w:r w:rsidRPr="0048459D">
        <w:rPr>
          <w:lang w:val="fr-FR"/>
        </w:rPr>
        <w:t>exercice de l</w:t>
      </w:r>
      <w:r>
        <w:rPr>
          <w:lang w:val="fr-FR"/>
        </w:rPr>
        <w:t>’</w:t>
      </w:r>
      <w:r w:rsidRPr="0048459D">
        <w:rPr>
          <w:lang w:val="fr-FR"/>
        </w:rPr>
        <w:t>autorité étatique », employée à l</w:t>
      </w:r>
      <w:r>
        <w:rPr>
          <w:lang w:val="fr-FR"/>
        </w:rPr>
        <w:t>’</w:t>
      </w:r>
      <w:r w:rsidRPr="0048459D">
        <w:rPr>
          <w:lang w:val="fr-FR"/>
        </w:rPr>
        <w:t>alinéa b), par « dans l</w:t>
      </w:r>
      <w:r>
        <w:rPr>
          <w:lang w:val="fr-FR"/>
        </w:rPr>
        <w:t>’</w:t>
      </w:r>
      <w:r w:rsidRPr="0048459D">
        <w:rPr>
          <w:lang w:val="fr-FR"/>
        </w:rPr>
        <w:t>exercice des prérogatives de puissance publique », compte tenu de l</w:t>
      </w:r>
      <w:r>
        <w:rPr>
          <w:lang w:val="fr-FR"/>
        </w:rPr>
        <w:t>’</w:t>
      </w:r>
      <w:r w:rsidRPr="0048459D">
        <w:rPr>
          <w:lang w:val="fr-FR"/>
        </w:rPr>
        <w:t xml:space="preserve">affaire relative à </w:t>
      </w:r>
      <w:r w:rsidRPr="0048459D">
        <w:rPr>
          <w:i/>
          <w:iCs/>
          <w:lang w:val="fr-FR"/>
        </w:rPr>
        <w:t>Certaines questions concernant l</w:t>
      </w:r>
      <w:r>
        <w:rPr>
          <w:i/>
          <w:iCs/>
          <w:lang w:val="fr-FR"/>
        </w:rPr>
        <w:t>’</w:t>
      </w:r>
      <w:r w:rsidRPr="0048459D">
        <w:rPr>
          <w:i/>
          <w:iCs/>
          <w:lang w:val="fr-FR"/>
        </w:rPr>
        <w:t>entraide judiciaire en matière pénale</w:t>
      </w:r>
      <w:bookmarkStart w:id="104" w:name="_Ref172881370"/>
      <w:r w:rsidRPr="0048459D">
        <w:rPr>
          <w:rStyle w:val="Appelnotedebasdep"/>
          <w:lang w:val="fr-FR"/>
        </w:rPr>
        <w:footnoteReference w:id="226"/>
      </w:r>
      <w:bookmarkEnd w:id="104"/>
      <w:r w:rsidRPr="0048459D">
        <w:rPr>
          <w:lang w:val="fr-FR"/>
        </w:rPr>
        <w:t xml:space="preserve">. Il a également été proposé </w:t>
      </w:r>
      <w:r>
        <w:rPr>
          <w:lang w:val="fr-FR"/>
        </w:rPr>
        <w:t>de formuler</w:t>
      </w:r>
      <w:r w:rsidRPr="0048459D">
        <w:rPr>
          <w:lang w:val="fr-FR"/>
        </w:rPr>
        <w:t xml:space="preserve"> un nouveau projet d</w:t>
      </w:r>
      <w:r>
        <w:rPr>
          <w:lang w:val="fr-FR"/>
        </w:rPr>
        <w:t>’</w:t>
      </w:r>
      <w:r w:rsidRPr="0048459D">
        <w:rPr>
          <w:lang w:val="fr-FR"/>
        </w:rPr>
        <w:t>article sur la relation entre l</w:t>
      </w:r>
      <w:r>
        <w:rPr>
          <w:lang w:val="fr-FR"/>
        </w:rPr>
        <w:t>’</w:t>
      </w:r>
      <w:r w:rsidRPr="0048459D">
        <w:rPr>
          <w:lang w:val="fr-FR"/>
        </w:rPr>
        <w:t>immunité et la responsabilité de l</w:t>
      </w:r>
      <w:r>
        <w:rPr>
          <w:lang w:val="fr-FR"/>
        </w:rPr>
        <w:t>’</w:t>
      </w:r>
      <w:r w:rsidRPr="0048459D">
        <w:rPr>
          <w:lang w:val="fr-FR"/>
        </w:rPr>
        <w:t>État, comme suite à l</w:t>
      </w:r>
      <w:r>
        <w:rPr>
          <w:lang w:val="fr-FR"/>
        </w:rPr>
        <w:t>’</w:t>
      </w:r>
      <w:r w:rsidRPr="0048459D">
        <w:rPr>
          <w:lang w:val="fr-FR"/>
        </w:rPr>
        <w:t xml:space="preserve">affaire relative à </w:t>
      </w:r>
      <w:r w:rsidRPr="0048459D">
        <w:rPr>
          <w:i/>
          <w:iCs/>
          <w:lang w:val="fr-FR"/>
        </w:rPr>
        <w:t>Certaines questions concernant l</w:t>
      </w:r>
      <w:r>
        <w:rPr>
          <w:i/>
          <w:iCs/>
          <w:lang w:val="fr-FR"/>
        </w:rPr>
        <w:t>’</w:t>
      </w:r>
      <w:r w:rsidRPr="0048459D">
        <w:rPr>
          <w:i/>
          <w:iCs/>
          <w:lang w:val="fr-FR"/>
        </w:rPr>
        <w:t>entraide judiciaire en matière pénale</w:t>
      </w:r>
      <w:r w:rsidRPr="0048459D">
        <w:rPr>
          <w:lang w:val="fr-FR"/>
        </w:rPr>
        <w:t>, afin d</w:t>
      </w:r>
      <w:r>
        <w:rPr>
          <w:lang w:val="fr-FR"/>
        </w:rPr>
        <w:t>’</w:t>
      </w:r>
      <w:r w:rsidRPr="0048459D">
        <w:rPr>
          <w:lang w:val="fr-FR"/>
        </w:rPr>
        <w:t>améliorer l</w:t>
      </w:r>
      <w:r>
        <w:rPr>
          <w:lang w:val="fr-FR"/>
        </w:rPr>
        <w:t>’</w:t>
      </w:r>
      <w:r w:rsidRPr="0048459D">
        <w:rPr>
          <w:lang w:val="fr-FR"/>
        </w:rPr>
        <w:t>équilibre entre immunité et lutte contre l</w:t>
      </w:r>
      <w:r>
        <w:rPr>
          <w:lang w:val="fr-FR"/>
        </w:rPr>
        <w:t>’</w:t>
      </w:r>
      <w:r w:rsidRPr="0048459D">
        <w:rPr>
          <w:lang w:val="fr-FR"/>
        </w:rPr>
        <w:t>impunité</w:t>
      </w:r>
      <w:r w:rsidRPr="0048459D">
        <w:rPr>
          <w:rStyle w:val="Appelnotedebasdep"/>
          <w:lang w:val="fr-FR"/>
        </w:rPr>
        <w:footnoteReference w:id="227"/>
      </w:r>
      <w:r w:rsidRPr="0048459D">
        <w:rPr>
          <w:lang w:val="fr-FR"/>
        </w:rPr>
        <w:t>.</w:t>
      </w:r>
      <w:bookmarkStart w:id="105" w:name="_Ref172027667"/>
      <w:bookmarkEnd w:id="105"/>
    </w:p>
    <w:p w14:paraId="3AF3FB6D" w14:textId="77777777" w:rsidR="003F7DA4" w:rsidRPr="0048459D" w:rsidRDefault="003F7DA4" w:rsidP="003F7DA4">
      <w:pPr>
        <w:pStyle w:val="SingleTxtG"/>
        <w:rPr>
          <w:rFonts w:asciiTheme="majorBidi" w:hAnsiTheme="majorBidi" w:cstheme="majorBidi"/>
          <w:lang w:val="fr-FR"/>
        </w:rPr>
      </w:pPr>
      <w:r>
        <w:rPr>
          <w:lang w:val="fr-FR"/>
        </w:rPr>
        <w:t>182</w:t>
      </w:r>
      <w:r w:rsidRPr="0048459D">
        <w:rPr>
          <w:lang w:val="fr-FR"/>
        </w:rPr>
        <w:t>.</w:t>
      </w:r>
      <w:r w:rsidRPr="0048459D">
        <w:rPr>
          <w:lang w:val="fr-FR"/>
        </w:rPr>
        <w:tab/>
        <w:t>Certains membres ont proposé que davantage de termes soient définis dans le projet d</w:t>
      </w:r>
      <w:r>
        <w:rPr>
          <w:lang w:val="fr-FR"/>
        </w:rPr>
        <w:t>’</w:t>
      </w:r>
      <w:r w:rsidRPr="0048459D">
        <w:rPr>
          <w:lang w:val="fr-FR"/>
        </w:rPr>
        <w:t>article 2, notamment les termes « immunité », « compétence pénale », « compétence », « exercice de la compétence pénale » et « inviolabilité », mais ont néanmoins observé qu</w:t>
      </w:r>
      <w:r>
        <w:rPr>
          <w:lang w:val="fr-FR"/>
        </w:rPr>
        <w:t>’</w:t>
      </w:r>
      <w:r w:rsidRPr="0048459D">
        <w:rPr>
          <w:lang w:val="fr-FR"/>
        </w:rPr>
        <w:t>on pouvait aussi ajouter les explications nécessaires dans le commentaire plutôt que dans la disposition elle-même. La Commission a été exhortée à faire preuve de prudence s</w:t>
      </w:r>
      <w:r>
        <w:rPr>
          <w:lang w:val="fr-FR"/>
        </w:rPr>
        <w:t>’</w:t>
      </w:r>
      <w:r w:rsidRPr="0048459D">
        <w:rPr>
          <w:lang w:val="fr-FR"/>
        </w:rPr>
        <w:t>agissant de la question de savoir s</w:t>
      </w:r>
      <w:r>
        <w:rPr>
          <w:lang w:val="fr-FR"/>
        </w:rPr>
        <w:t>’</w:t>
      </w:r>
      <w:r w:rsidRPr="0048459D">
        <w:rPr>
          <w:lang w:val="fr-FR"/>
        </w:rPr>
        <w:t>il faut ou non ajouter des définitions dans le projet d</w:t>
      </w:r>
      <w:r>
        <w:rPr>
          <w:lang w:val="fr-FR"/>
        </w:rPr>
        <w:t>’</w:t>
      </w:r>
      <w:r w:rsidRPr="0048459D">
        <w:rPr>
          <w:lang w:val="fr-FR"/>
        </w:rPr>
        <w:t>article 2, en particulier à l</w:t>
      </w:r>
      <w:r>
        <w:rPr>
          <w:lang w:val="fr-FR"/>
        </w:rPr>
        <w:t>’</w:t>
      </w:r>
      <w:r w:rsidRPr="0048459D">
        <w:rPr>
          <w:lang w:val="fr-FR"/>
        </w:rPr>
        <w:t>égard de la différence entre compétence pénale et exercice de la compétence pénale. Il a été dit qu</w:t>
      </w:r>
      <w:r>
        <w:rPr>
          <w:lang w:val="fr-FR"/>
        </w:rPr>
        <w:t>’</w:t>
      </w:r>
      <w:r w:rsidRPr="0048459D">
        <w:rPr>
          <w:lang w:val="fr-FR"/>
        </w:rPr>
        <w:t xml:space="preserve">il fallait expliquer plus clairement dans le commentaire la distinction entre immunité et inviolabilité ; les affaires relatives au </w:t>
      </w:r>
      <w:r w:rsidRPr="0048459D">
        <w:rPr>
          <w:i/>
          <w:iCs/>
          <w:lang w:val="fr-FR"/>
        </w:rPr>
        <w:t>Mandat d</w:t>
      </w:r>
      <w:r>
        <w:rPr>
          <w:i/>
          <w:iCs/>
          <w:lang w:val="fr-FR"/>
        </w:rPr>
        <w:t>’</w:t>
      </w:r>
      <w:r w:rsidRPr="0048459D">
        <w:rPr>
          <w:i/>
          <w:iCs/>
          <w:lang w:val="fr-FR"/>
        </w:rPr>
        <w:t>arrêt</w:t>
      </w:r>
      <w:r w:rsidRPr="0048459D">
        <w:rPr>
          <w:rStyle w:val="Appelnotedebasdep"/>
          <w:lang w:val="fr-FR"/>
        </w:rPr>
        <w:footnoteReference w:id="228"/>
      </w:r>
      <w:r w:rsidRPr="0048459D">
        <w:rPr>
          <w:lang w:val="fr-FR"/>
        </w:rPr>
        <w:t xml:space="preserve"> et à </w:t>
      </w:r>
      <w:r w:rsidRPr="0048459D">
        <w:rPr>
          <w:i/>
          <w:iCs/>
          <w:lang w:val="fr-FR"/>
        </w:rPr>
        <w:t>Certaines questions concernant l</w:t>
      </w:r>
      <w:r>
        <w:rPr>
          <w:i/>
          <w:iCs/>
          <w:lang w:val="fr-FR"/>
        </w:rPr>
        <w:t>’</w:t>
      </w:r>
      <w:r w:rsidRPr="0048459D">
        <w:rPr>
          <w:i/>
          <w:iCs/>
          <w:lang w:val="fr-FR"/>
        </w:rPr>
        <w:t>entraide judiciaire en matière pénale</w:t>
      </w:r>
      <w:r w:rsidRPr="0048459D">
        <w:rPr>
          <w:lang w:val="fr-FR"/>
        </w:rPr>
        <w:t xml:space="preserve"> ont été invoquées à cet égard. Il a été dit que, comme le projet d</w:t>
      </w:r>
      <w:r>
        <w:rPr>
          <w:lang w:val="fr-FR"/>
        </w:rPr>
        <w:t>’</w:t>
      </w:r>
      <w:r w:rsidRPr="0048459D">
        <w:rPr>
          <w:lang w:val="fr-FR"/>
        </w:rPr>
        <w:t>article 2 concerne les définitions, il fallait en reporter l</w:t>
      </w:r>
      <w:r>
        <w:rPr>
          <w:lang w:val="fr-FR"/>
        </w:rPr>
        <w:t>’</w:t>
      </w:r>
      <w:r w:rsidRPr="0048459D">
        <w:rPr>
          <w:lang w:val="fr-FR"/>
        </w:rPr>
        <w:t>examen jusqu</w:t>
      </w:r>
      <w:r>
        <w:rPr>
          <w:lang w:val="fr-FR"/>
        </w:rPr>
        <w:t>’</w:t>
      </w:r>
      <w:r w:rsidRPr="0048459D">
        <w:rPr>
          <w:lang w:val="fr-FR"/>
        </w:rPr>
        <w:t>à ce que la Commission dispose du texte intégral du projet d</w:t>
      </w:r>
      <w:r>
        <w:rPr>
          <w:lang w:val="fr-FR"/>
        </w:rPr>
        <w:t>’</w:t>
      </w:r>
      <w:r w:rsidRPr="0048459D">
        <w:rPr>
          <w:lang w:val="fr-FR"/>
        </w:rPr>
        <w:t>articles.</w:t>
      </w:r>
    </w:p>
    <w:p w14:paraId="3D01615C" w14:textId="4ACF3B1C" w:rsidR="003F7DA4" w:rsidRPr="0048459D" w:rsidRDefault="003F7DA4" w:rsidP="003F7DA4">
      <w:pPr>
        <w:pStyle w:val="SingleTxtG"/>
        <w:rPr>
          <w:lang w:val="fr-FR"/>
        </w:rPr>
      </w:pPr>
      <w:r>
        <w:rPr>
          <w:lang w:val="fr-FR"/>
        </w:rPr>
        <w:t>183</w:t>
      </w:r>
      <w:r w:rsidRPr="0048459D">
        <w:rPr>
          <w:lang w:val="fr-FR"/>
        </w:rPr>
        <w:t>.</w:t>
      </w:r>
      <w:r w:rsidRPr="0048459D">
        <w:rPr>
          <w:lang w:val="fr-FR"/>
        </w:rPr>
        <w:tab/>
        <w:t>Il a été proposé que la question de la nationalité du représentant de l</w:t>
      </w:r>
      <w:r>
        <w:rPr>
          <w:lang w:val="fr-FR"/>
        </w:rPr>
        <w:t>’</w:t>
      </w:r>
      <w:r w:rsidRPr="0048459D">
        <w:rPr>
          <w:lang w:val="fr-FR"/>
        </w:rPr>
        <w:t>État, par exemple les cas dans lesquels le représentant est national d</w:t>
      </w:r>
      <w:r>
        <w:rPr>
          <w:lang w:val="fr-FR"/>
        </w:rPr>
        <w:t>’</w:t>
      </w:r>
      <w:r w:rsidRPr="0048459D">
        <w:rPr>
          <w:lang w:val="fr-FR"/>
        </w:rPr>
        <w:t>un État, mais exerce les fonctions de représentant d</w:t>
      </w:r>
      <w:r>
        <w:rPr>
          <w:lang w:val="fr-FR"/>
        </w:rPr>
        <w:t>’</w:t>
      </w:r>
      <w:r w:rsidRPr="0048459D">
        <w:rPr>
          <w:lang w:val="fr-FR"/>
        </w:rPr>
        <w:t xml:space="preserve">un autre État, soit examinée </w:t>
      </w:r>
      <w:r>
        <w:rPr>
          <w:lang w:val="fr-FR"/>
        </w:rPr>
        <w:t xml:space="preserve">de manière plus approfondie </w:t>
      </w:r>
      <w:r w:rsidRPr="0048459D">
        <w:rPr>
          <w:lang w:val="fr-FR"/>
        </w:rPr>
        <w:t xml:space="preserve">dans le commentaire. Il a également été proposé que les questions </w:t>
      </w:r>
      <w:r>
        <w:rPr>
          <w:lang w:val="fr-FR"/>
        </w:rPr>
        <w:t>concernant les</w:t>
      </w:r>
      <w:r w:rsidRPr="0048459D">
        <w:rPr>
          <w:lang w:val="fr-FR"/>
        </w:rPr>
        <w:t xml:space="preserve"> accords sur le statut des forces</w:t>
      </w:r>
      <w:r>
        <w:rPr>
          <w:lang w:val="fr-FR"/>
        </w:rPr>
        <w:t>, les accords sur le statut de la mission</w:t>
      </w:r>
      <w:r w:rsidRPr="0048459D">
        <w:rPr>
          <w:lang w:val="fr-FR"/>
        </w:rPr>
        <w:t xml:space="preserve"> et la responsabilité première de l</w:t>
      </w:r>
      <w:r>
        <w:rPr>
          <w:lang w:val="fr-FR"/>
        </w:rPr>
        <w:t>’</w:t>
      </w:r>
      <w:r w:rsidRPr="0048459D">
        <w:rPr>
          <w:lang w:val="fr-FR"/>
        </w:rPr>
        <w:t xml:space="preserve">État de nationalité soient éclaircies dans le commentaire. </w:t>
      </w:r>
    </w:p>
    <w:p w14:paraId="7900DB50" w14:textId="77777777" w:rsidR="003F7DA4" w:rsidRPr="0048459D" w:rsidRDefault="003F7DA4" w:rsidP="003F7DA4">
      <w:pPr>
        <w:pStyle w:val="H23G"/>
        <w:rPr>
          <w:rFonts w:eastAsia="SimSun"/>
          <w:lang w:val="fr-FR"/>
        </w:rPr>
      </w:pPr>
      <w:r w:rsidRPr="0048459D">
        <w:rPr>
          <w:lang w:val="fr-FR"/>
        </w:rPr>
        <w:tab/>
        <w:t>d)</w:t>
      </w:r>
      <w:r w:rsidRPr="0048459D">
        <w:rPr>
          <w:lang w:val="fr-FR"/>
        </w:rPr>
        <w:tab/>
      </w:r>
      <w:r w:rsidRPr="0048459D">
        <w:rPr>
          <w:lang w:val="fr-FR"/>
        </w:rPr>
        <w:tab/>
        <w:t>Projet d</w:t>
      </w:r>
      <w:r>
        <w:rPr>
          <w:lang w:val="fr-FR"/>
        </w:rPr>
        <w:t>’</w:t>
      </w:r>
      <w:r w:rsidRPr="0048459D">
        <w:rPr>
          <w:lang w:val="fr-FR"/>
        </w:rPr>
        <w:t>article 3 (Bénéficiaires de l</w:t>
      </w:r>
      <w:r>
        <w:rPr>
          <w:lang w:val="fr-FR"/>
        </w:rPr>
        <w:t>’</w:t>
      </w:r>
      <w:r w:rsidRPr="0048459D">
        <w:rPr>
          <w:lang w:val="fr-FR"/>
        </w:rPr>
        <w:t xml:space="preserve">immunité </w:t>
      </w:r>
      <w:r w:rsidRPr="0048459D">
        <w:rPr>
          <w:i/>
          <w:iCs/>
          <w:lang w:val="fr-FR"/>
        </w:rPr>
        <w:t>ratione personae</w:t>
      </w:r>
      <w:r w:rsidRPr="0048459D">
        <w:rPr>
          <w:lang w:val="fr-FR"/>
        </w:rPr>
        <w:t>)</w:t>
      </w:r>
    </w:p>
    <w:p w14:paraId="30EA848C" w14:textId="46301687" w:rsidR="003F7DA4" w:rsidRPr="0048459D" w:rsidRDefault="003F7DA4" w:rsidP="003F7DA4">
      <w:pPr>
        <w:pStyle w:val="SingleTxtG"/>
        <w:rPr>
          <w:rFonts w:asciiTheme="majorBidi" w:hAnsiTheme="majorBidi" w:cstheme="majorBidi"/>
          <w:lang w:val="fr-FR"/>
        </w:rPr>
      </w:pPr>
      <w:r>
        <w:rPr>
          <w:lang w:val="fr-FR"/>
        </w:rPr>
        <w:t>184</w:t>
      </w:r>
      <w:r w:rsidRPr="0048459D">
        <w:rPr>
          <w:lang w:val="fr-FR"/>
        </w:rPr>
        <w:t>.</w:t>
      </w:r>
      <w:r w:rsidRPr="0048459D">
        <w:rPr>
          <w:lang w:val="fr-FR"/>
        </w:rPr>
        <w:tab/>
      </w:r>
      <w:r>
        <w:rPr>
          <w:lang w:val="fr-FR"/>
        </w:rPr>
        <w:t>Les</w:t>
      </w:r>
      <w:r w:rsidRPr="0048459D">
        <w:rPr>
          <w:lang w:val="fr-FR"/>
        </w:rPr>
        <w:t xml:space="preserve"> membres ont</w:t>
      </w:r>
      <w:r>
        <w:rPr>
          <w:lang w:val="fr-FR"/>
        </w:rPr>
        <w:t xml:space="preserve"> dans l’ensemble</w:t>
      </w:r>
      <w:r w:rsidRPr="0048459D">
        <w:rPr>
          <w:lang w:val="fr-FR"/>
        </w:rPr>
        <w:t xml:space="preserve"> appuyé la proposition du Rapporteur spécial de ne pas modifier le projet d</w:t>
      </w:r>
      <w:r>
        <w:rPr>
          <w:lang w:val="fr-FR"/>
        </w:rPr>
        <w:t>’</w:t>
      </w:r>
      <w:r w:rsidRPr="0048459D">
        <w:rPr>
          <w:lang w:val="fr-FR"/>
        </w:rPr>
        <w:t>article 3 et donc de ne pas étendre l</w:t>
      </w:r>
      <w:r>
        <w:rPr>
          <w:lang w:val="fr-FR"/>
        </w:rPr>
        <w:t>’</w:t>
      </w:r>
      <w:r w:rsidRPr="0048459D">
        <w:rPr>
          <w:lang w:val="fr-FR"/>
        </w:rPr>
        <w:t xml:space="preserve">immunité </w:t>
      </w:r>
      <w:r w:rsidRPr="0048459D">
        <w:rPr>
          <w:i/>
          <w:iCs/>
          <w:lang w:val="fr-FR"/>
        </w:rPr>
        <w:t>ratione personae</w:t>
      </w:r>
      <w:r w:rsidRPr="0048459D">
        <w:rPr>
          <w:lang w:val="fr-FR"/>
        </w:rPr>
        <w:t xml:space="preserve"> à d</w:t>
      </w:r>
      <w:r>
        <w:rPr>
          <w:lang w:val="fr-FR"/>
        </w:rPr>
        <w:t>’</w:t>
      </w:r>
      <w:r w:rsidRPr="0048459D">
        <w:rPr>
          <w:lang w:val="fr-FR"/>
        </w:rPr>
        <w:t>autres représentants de l</w:t>
      </w:r>
      <w:r>
        <w:rPr>
          <w:lang w:val="fr-FR"/>
        </w:rPr>
        <w:t>’</w:t>
      </w:r>
      <w:r w:rsidRPr="0048459D">
        <w:rPr>
          <w:lang w:val="fr-FR"/>
        </w:rPr>
        <w:t>État que ceux envisagés au projet d</w:t>
      </w:r>
      <w:r>
        <w:rPr>
          <w:lang w:val="fr-FR"/>
        </w:rPr>
        <w:t>’</w:t>
      </w:r>
      <w:r w:rsidRPr="0048459D">
        <w:rPr>
          <w:lang w:val="fr-FR"/>
        </w:rPr>
        <w:t>article 3, c</w:t>
      </w:r>
      <w:r>
        <w:rPr>
          <w:lang w:val="fr-FR"/>
        </w:rPr>
        <w:t>’</w:t>
      </w:r>
      <w:r w:rsidRPr="0048459D">
        <w:rPr>
          <w:lang w:val="fr-FR"/>
        </w:rPr>
        <w:t>est-à-dire les chefs d</w:t>
      </w:r>
      <w:r>
        <w:rPr>
          <w:lang w:val="fr-FR"/>
        </w:rPr>
        <w:t>’</w:t>
      </w:r>
      <w:r w:rsidRPr="0048459D">
        <w:rPr>
          <w:lang w:val="fr-FR"/>
        </w:rPr>
        <w:t>État, les chefs de gouvernement et les ministres des affaires étrangères (la « troïka »).</w:t>
      </w:r>
      <w:r w:rsidR="00F94769">
        <w:rPr>
          <w:lang w:val="fr-FR"/>
        </w:rPr>
        <w:t xml:space="preserve"> </w:t>
      </w:r>
      <w:r>
        <w:rPr>
          <w:lang w:val="fr-FR"/>
        </w:rPr>
        <w:t>Il</w:t>
      </w:r>
      <w:r w:rsidRPr="0048459D">
        <w:rPr>
          <w:lang w:val="fr-FR"/>
        </w:rPr>
        <w:t xml:space="preserve"> y avait plusieurs raisons </w:t>
      </w:r>
      <w:r>
        <w:rPr>
          <w:lang w:val="fr-FR"/>
        </w:rPr>
        <w:t>à cela</w:t>
      </w:r>
      <w:r w:rsidRPr="0048459D">
        <w:rPr>
          <w:lang w:val="fr-FR"/>
        </w:rPr>
        <w:t>, à savoir : a) le projet d</w:t>
      </w:r>
      <w:r>
        <w:rPr>
          <w:lang w:val="fr-FR"/>
        </w:rPr>
        <w:t>’</w:t>
      </w:r>
      <w:r w:rsidRPr="0048459D">
        <w:rPr>
          <w:lang w:val="fr-FR"/>
        </w:rPr>
        <w:t xml:space="preserve">article 3 était conforme au droit </w:t>
      </w:r>
      <w:r w:rsidRPr="0048459D">
        <w:rPr>
          <w:lang w:val="fr-FR"/>
        </w:rPr>
        <w:lastRenderedPageBreak/>
        <w:t>international coutumier établi et le reflétait ; b) à la lumière de l</w:t>
      </w:r>
      <w:r>
        <w:rPr>
          <w:lang w:val="fr-FR"/>
        </w:rPr>
        <w:t>’</w:t>
      </w:r>
      <w:r w:rsidRPr="0048459D">
        <w:rPr>
          <w:lang w:val="fr-FR"/>
        </w:rPr>
        <w:t xml:space="preserve">affaire relative à </w:t>
      </w:r>
      <w:r w:rsidRPr="0048459D">
        <w:rPr>
          <w:i/>
          <w:iCs/>
          <w:lang w:val="fr-FR"/>
        </w:rPr>
        <w:t>Certaines questions d</w:t>
      </w:r>
      <w:r>
        <w:rPr>
          <w:i/>
          <w:iCs/>
          <w:lang w:val="fr-FR"/>
        </w:rPr>
        <w:t>’</w:t>
      </w:r>
      <w:r w:rsidRPr="0048459D">
        <w:rPr>
          <w:i/>
          <w:iCs/>
          <w:lang w:val="fr-FR"/>
        </w:rPr>
        <w:t>entraide judiciaire en matière pénale</w:t>
      </w:r>
      <w:r w:rsidRPr="0048459D">
        <w:rPr>
          <w:lang w:val="fr-FR"/>
        </w:rPr>
        <w:t>, il n</w:t>
      </w:r>
      <w:r>
        <w:rPr>
          <w:lang w:val="fr-FR"/>
        </w:rPr>
        <w:t>’</w:t>
      </w:r>
      <w:r w:rsidRPr="0048459D">
        <w:rPr>
          <w:lang w:val="fr-FR"/>
        </w:rPr>
        <w:t>existait aucune base légale permettant d</w:t>
      </w:r>
      <w:r>
        <w:rPr>
          <w:lang w:val="fr-FR"/>
        </w:rPr>
        <w:t>’</w:t>
      </w:r>
      <w:r w:rsidRPr="0048459D">
        <w:rPr>
          <w:lang w:val="fr-FR"/>
        </w:rPr>
        <w:t>étendre le champ d</w:t>
      </w:r>
      <w:r>
        <w:rPr>
          <w:lang w:val="fr-FR"/>
        </w:rPr>
        <w:t>’</w:t>
      </w:r>
      <w:r w:rsidRPr="0048459D">
        <w:rPr>
          <w:lang w:val="fr-FR"/>
        </w:rPr>
        <w:t>application de la disposition</w:t>
      </w:r>
      <w:r w:rsidRPr="0048459D">
        <w:rPr>
          <w:rStyle w:val="Appelnotedebasdep"/>
          <w:lang w:val="fr-FR"/>
        </w:rPr>
        <w:footnoteReference w:id="229"/>
      </w:r>
      <w:r w:rsidR="00F94769">
        <w:rPr>
          <w:lang w:val="fr-FR"/>
        </w:rPr>
        <w:t> </w:t>
      </w:r>
      <w:r w:rsidRPr="0048459D">
        <w:rPr>
          <w:lang w:val="fr-FR"/>
        </w:rPr>
        <w:t>; c) rien dans la pratique récente ne justifiait une modification de la disposition</w:t>
      </w:r>
      <w:r>
        <w:rPr>
          <w:lang w:val="fr-FR"/>
        </w:rPr>
        <w:t> ;</w:t>
      </w:r>
      <w:r w:rsidRPr="0048459D">
        <w:rPr>
          <w:lang w:val="fr-FR"/>
        </w:rPr>
        <w:t xml:space="preserve"> d) dans le droit international contemporain, il n</w:t>
      </w:r>
      <w:r>
        <w:rPr>
          <w:lang w:val="fr-FR"/>
        </w:rPr>
        <w:t>’</w:t>
      </w:r>
      <w:r w:rsidRPr="0048459D">
        <w:rPr>
          <w:lang w:val="fr-FR"/>
        </w:rPr>
        <w:t>existait pas de pratique générale ni de pratique claire et établie ou d</w:t>
      </w:r>
      <w:r>
        <w:rPr>
          <w:lang w:val="fr-FR"/>
        </w:rPr>
        <w:t>’</w:t>
      </w:r>
      <w:proofErr w:type="spellStart"/>
      <w:r w:rsidRPr="0048459D">
        <w:rPr>
          <w:i/>
          <w:iCs/>
          <w:lang w:val="fr-FR"/>
        </w:rPr>
        <w:t>opinio</w:t>
      </w:r>
      <w:proofErr w:type="spellEnd"/>
      <w:r w:rsidRPr="0048459D">
        <w:rPr>
          <w:i/>
          <w:iCs/>
          <w:lang w:val="fr-FR"/>
        </w:rPr>
        <w:t xml:space="preserve"> </w:t>
      </w:r>
      <w:proofErr w:type="spellStart"/>
      <w:r w:rsidRPr="0048459D">
        <w:rPr>
          <w:i/>
          <w:iCs/>
          <w:lang w:val="fr-FR"/>
        </w:rPr>
        <w:t>juris</w:t>
      </w:r>
      <w:proofErr w:type="spellEnd"/>
      <w:r w:rsidRPr="0048459D">
        <w:rPr>
          <w:lang w:val="fr-FR"/>
        </w:rPr>
        <w:t xml:space="preserve"> permettant d</w:t>
      </w:r>
      <w:r>
        <w:rPr>
          <w:lang w:val="fr-FR"/>
        </w:rPr>
        <w:t>’</w:t>
      </w:r>
      <w:r w:rsidRPr="0048459D">
        <w:rPr>
          <w:lang w:val="fr-FR"/>
        </w:rPr>
        <w:t>étendre l</w:t>
      </w:r>
      <w:r>
        <w:rPr>
          <w:lang w:val="fr-FR"/>
        </w:rPr>
        <w:t>’</w:t>
      </w:r>
      <w:r w:rsidRPr="0048459D">
        <w:rPr>
          <w:lang w:val="fr-FR"/>
        </w:rPr>
        <w:t xml:space="preserve">immunité </w:t>
      </w:r>
      <w:r w:rsidRPr="0048459D">
        <w:rPr>
          <w:i/>
          <w:iCs/>
          <w:lang w:val="fr-FR"/>
        </w:rPr>
        <w:t>ratione personae</w:t>
      </w:r>
      <w:r w:rsidRPr="0048459D">
        <w:rPr>
          <w:lang w:val="fr-FR"/>
        </w:rPr>
        <w:t xml:space="preserve"> à d</w:t>
      </w:r>
      <w:r>
        <w:rPr>
          <w:lang w:val="fr-FR"/>
        </w:rPr>
        <w:t>’</w:t>
      </w:r>
      <w:r w:rsidRPr="0048459D">
        <w:rPr>
          <w:lang w:val="fr-FR"/>
        </w:rPr>
        <w:t>autres représentants de l</w:t>
      </w:r>
      <w:r>
        <w:rPr>
          <w:lang w:val="fr-FR"/>
        </w:rPr>
        <w:t>’</w:t>
      </w:r>
      <w:r w:rsidRPr="0048459D">
        <w:rPr>
          <w:lang w:val="fr-FR"/>
        </w:rPr>
        <w:t>État ; e) les régimes applicables aux fonctionnaires de haut rang variaient d</w:t>
      </w:r>
      <w:r>
        <w:rPr>
          <w:lang w:val="fr-FR"/>
        </w:rPr>
        <w:t>’</w:t>
      </w:r>
      <w:r w:rsidRPr="0048459D">
        <w:rPr>
          <w:lang w:val="fr-FR"/>
        </w:rPr>
        <w:t>un pays à l</w:t>
      </w:r>
      <w:r>
        <w:rPr>
          <w:lang w:val="fr-FR"/>
        </w:rPr>
        <w:t>’</w:t>
      </w:r>
      <w:r w:rsidRPr="0048459D">
        <w:rPr>
          <w:lang w:val="fr-FR"/>
        </w:rPr>
        <w:t>autre et il serait difficile d</w:t>
      </w:r>
      <w:r>
        <w:rPr>
          <w:lang w:val="fr-FR"/>
        </w:rPr>
        <w:t>’</w:t>
      </w:r>
      <w:r w:rsidRPr="0048459D">
        <w:rPr>
          <w:lang w:val="fr-FR"/>
        </w:rPr>
        <w:t>établir une liste cohérente des fonctionnaires de haut rang pouvant bénéficier de l</w:t>
      </w:r>
      <w:r>
        <w:rPr>
          <w:lang w:val="fr-FR"/>
        </w:rPr>
        <w:t>’</w:t>
      </w:r>
      <w:r w:rsidRPr="0048459D">
        <w:rPr>
          <w:lang w:val="fr-FR"/>
        </w:rPr>
        <w:t xml:space="preserve">immunité </w:t>
      </w:r>
      <w:r w:rsidRPr="0048459D">
        <w:rPr>
          <w:i/>
          <w:iCs/>
          <w:lang w:val="fr-FR"/>
        </w:rPr>
        <w:t>ratione personae</w:t>
      </w:r>
      <w:r w:rsidRPr="0048459D">
        <w:rPr>
          <w:lang w:val="fr-FR"/>
        </w:rPr>
        <w:t xml:space="preserve"> autres que ceux qui sont membres de la troïka. Plusieurs membres ont rappelé le commentaire du projet d</w:t>
      </w:r>
      <w:r>
        <w:rPr>
          <w:lang w:val="fr-FR"/>
        </w:rPr>
        <w:t>’</w:t>
      </w:r>
      <w:r w:rsidRPr="0048459D">
        <w:rPr>
          <w:lang w:val="fr-FR"/>
        </w:rPr>
        <w:t>article 3 adopté en première lecture, qui contient une explication approfondie de la question. Certains membres ont dit que les États qui avaient fourni des commentaires écrits faisant valoir qu</w:t>
      </w:r>
      <w:r>
        <w:rPr>
          <w:lang w:val="fr-FR"/>
        </w:rPr>
        <w:t>’</w:t>
      </w:r>
      <w:r w:rsidRPr="0048459D">
        <w:rPr>
          <w:lang w:val="fr-FR"/>
        </w:rPr>
        <w:t>il fallait inclure d</w:t>
      </w:r>
      <w:r>
        <w:rPr>
          <w:lang w:val="fr-FR"/>
        </w:rPr>
        <w:t>’</w:t>
      </w:r>
      <w:r w:rsidRPr="0048459D">
        <w:rPr>
          <w:lang w:val="fr-FR"/>
        </w:rPr>
        <w:t>autres fonctionnaires de haut rang dans le champ d</w:t>
      </w:r>
      <w:r>
        <w:rPr>
          <w:lang w:val="fr-FR"/>
        </w:rPr>
        <w:t>’</w:t>
      </w:r>
      <w:r w:rsidRPr="0048459D">
        <w:rPr>
          <w:lang w:val="fr-FR"/>
        </w:rPr>
        <w:t>application du projet d</w:t>
      </w:r>
      <w:r>
        <w:rPr>
          <w:lang w:val="fr-FR"/>
        </w:rPr>
        <w:t>’</w:t>
      </w:r>
      <w:r w:rsidRPr="0048459D">
        <w:rPr>
          <w:lang w:val="fr-FR"/>
        </w:rPr>
        <w:t>article 3 n</w:t>
      </w:r>
      <w:r>
        <w:rPr>
          <w:lang w:val="fr-FR"/>
        </w:rPr>
        <w:t>’</w:t>
      </w:r>
      <w:r w:rsidRPr="0048459D">
        <w:rPr>
          <w:lang w:val="fr-FR"/>
        </w:rPr>
        <w:t>avaient pas démontré que leur position était fondée en droit.</w:t>
      </w:r>
    </w:p>
    <w:p w14:paraId="2FEBCBB2" w14:textId="77777777" w:rsidR="003F7DA4" w:rsidRPr="0048459D" w:rsidRDefault="003F7DA4" w:rsidP="003F7DA4">
      <w:pPr>
        <w:pStyle w:val="SingleTxtG"/>
        <w:rPr>
          <w:rFonts w:asciiTheme="majorBidi" w:hAnsiTheme="majorBidi" w:cstheme="majorBidi"/>
          <w:lang w:val="fr-FR"/>
        </w:rPr>
      </w:pPr>
      <w:r>
        <w:rPr>
          <w:lang w:val="fr-FR"/>
        </w:rPr>
        <w:t>185</w:t>
      </w:r>
      <w:r w:rsidRPr="0048459D">
        <w:rPr>
          <w:lang w:val="fr-FR"/>
        </w:rPr>
        <w:t>.</w:t>
      </w:r>
      <w:r w:rsidRPr="0048459D">
        <w:rPr>
          <w:lang w:val="fr-FR"/>
        </w:rPr>
        <w:tab/>
        <w:t>Tout en notant que, dans l</w:t>
      </w:r>
      <w:r>
        <w:rPr>
          <w:lang w:val="fr-FR"/>
        </w:rPr>
        <w:t>’</w:t>
      </w:r>
      <w:r w:rsidRPr="0048459D">
        <w:rPr>
          <w:lang w:val="fr-FR"/>
        </w:rPr>
        <w:t xml:space="preserve">affaire relative au </w:t>
      </w:r>
      <w:r w:rsidRPr="0048459D">
        <w:rPr>
          <w:i/>
          <w:iCs/>
          <w:lang w:val="fr-FR"/>
        </w:rPr>
        <w:t>Mandat d</w:t>
      </w:r>
      <w:r>
        <w:rPr>
          <w:i/>
          <w:iCs/>
          <w:lang w:val="fr-FR"/>
        </w:rPr>
        <w:t>’</w:t>
      </w:r>
      <w:r w:rsidRPr="0048459D">
        <w:rPr>
          <w:i/>
          <w:iCs/>
          <w:lang w:val="fr-FR"/>
        </w:rPr>
        <w:t>arrêt</w:t>
      </w:r>
      <w:r w:rsidRPr="0048459D">
        <w:rPr>
          <w:lang w:val="fr-FR"/>
        </w:rPr>
        <w:t>, la Cour internationale de Justice avait employé une formulation ouverte, faisant précéder la référence aux chefs d</w:t>
      </w:r>
      <w:r>
        <w:rPr>
          <w:lang w:val="fr-FR"/>
        </w:rPr>
        <w:t>’</w:t>
      </w:r>
      <w:r w:rsidRPr="0048459D">
        <w:rPr>
          <w:lang w:val="fr-FR"/>
        </w:rPr>
        <w:t>État, chefs de gouvernement et ministres des affaires étrangères des mots « telles que »</w:t>
      </w:r>
      <w:r w:rsidRPr="0048459D">
        <w:rPr>
          <w:rStyle w:val="Appelnotedebasdep"/>
          <w:lang w:val="fr-FR"/>
        </w:rPr>
        <w:footnoteReference w:id="230"/>
      </w:r>
      <w:r w:rsidRPr="0048459D">
        <w:rPr>
          <w:lang w:val="fr-FR"/>
        </w:rPr>
        <w:t>, certains membres ont souligné qu</w:t>
      </w:r>
      <w:r>
        <w:rPr>
          <w:lang w:val="fr-FR"/>
        </w:rPr>
        <w:t>’</w:t>
      </w:r>
      <w:r w:rsidRPr="0048459D">
        <w:rPr>
          <w:lang w:val="fr-FR"/>
        </w:rPr>
        <w:t>il ne fallait pas modifier le projet d</w:t>
      </w:r>
      <w:r>
        <w:rPr>
          <w:lang w:val="fr-FR"/>
        </w:rPr>
        <w:t>’</w:t>
      </w:r>
      <w:r w:rsidRPr="0048459D">
        <w:rPr>
          <w:lang w:val="fr-FR"/>
        </w:rPr>
        <w:t>article 3, car tout élargissement de la portée de l</w:t>
      </w:r>
      <w:r>
        <w:rPr>
          <w:lang w:val="fr-FR"/>
        </w:rPr>
        <w:t>’</w:t>
      </w:r>
      <w:r w:rsidRPr="0048459D">
        <w:rPr>
          <w:lang w:val="fr-FR"/>
        </w:rPr>
        <w:t>immunité</w:t>
      </w:r>
      <w:r w:rsidRPr="0048459D">
        <w:rPr>
          <w:i/>
          <w:iCs/>
          <w:lang w:val="fr-FR"/>
        </w:rPr>
        <w:t xml:space="preserve"> ratione personae</w:t>
      </w:r>
      <w:r w:rsidRPr="0048459D">
        <w:rPr>
          <w:lang w:val="fr-FR"/>
        </w:rPr>
        <w:t xml:space="preserve"> nécessiterait une analyse factuelle au cas par cas. D</w:t>
      </w:r>
      <w:r>
        <w:rPr>
          <w:lang w:val="fr-FR"/>
        </w:rPr>
        <w:t>’</w:t>
      </w:r>
      <w:r w:rsidRPr="0048459D">
        <w:rPr>
          <w:lang w:val="fr-FR"/>
        </w:rPr>
        <w:t>autres membres ont exprimé l</w:t>
      </w:r>
      <w:r>
        <w:rPr>
          <w:lang w:val="fr-FR"/>
        </w:rPr>
        <w:t>’</w:t>
      </w:r>
      <w:r w:rsidRPr="0048459D">
        <w:rPr>
          <w:lang w:val="fr-FR"/>
        </w:rPr>
        <w:t>avis qu</w:t>
      </w:r>
      <w:r>
        <w:rPr>
          <w:lang w:val="fr-FR"/>
        </w:rPr>
        <w:t>’</w:t>
      </w:r>
      <w:r w:rsidRPr="0048459D">
        <w:rPr>
          <w:lang w:val="fr-FR"/>
        </w:rPr>
        <w:t>étant donné que la Cour avait employé les mots « telles que », si on voulait que le projet d</w:t>
      </w:r>
      <w:r>
        <w:rPr>
          <w:lang w:val="fr-FR"/>
        </w:rPr>
        <w:t>’</w:t>
      </w:r>
      <w:r w:rsidRPr="0048459D">
        <w:rPr>
          <w:lang w:val="fr-FR"/>
        </w:rPr>
        <w:t>article 3 reflète le droit international coutumier, il fallait ajouter les mots « telles que » dans le projet d</w:t>
      </w:r>
      <w:r>
        <w:rPr>
          <w:lang w:val="fr-FR"/>
        </w:rPr>
        <w:t>’</w:t>
      </w:r>
      <w:r w:rsidRPr="0048459D">
        <w:rPr>
          <w:lang w:val="fr-FR"/>
        </w:rPr>
        <w:t xml:space="preserve">article </w:t>
      </w:r>
      <w:r>
        <w:rPr>
          <w:lang w:val="fr-FR"/>
        </w:rPr>
        <w:t>lorsqu’il fait</w:t>
      </w:r>
      <w:r w:rsidRPr="0048459D">
        <w:rPr>
          <w:lang w:val="fr-FR"/>
        </w:rPr>
        <w:t xml:space="preserve"> référence aux chefs d</w:t>
      </w:r>
      <w:r>
        <w:rPr>
          <w:lang w:val="fr-FR"/>
        </w:rPr>
        <w:t>’</w:t>
      </w:r>
      <w:r w:rsidRPr="0048459D">
        <w:rPr>
          <w:lang w:val="fr-FR"/>
        </w:rPr>
        <w:t>État, chefs de gouvernement et ministres des affaires étrangères. Dans le même ordre d</w:t>
      </w:r>
      <w:r>
        <w:rPr>
          <w:lang w:val="fr-FR"/>
        </w:rPr>
        <w:t>’</w:t>
      </w:r>
      <w:r w:rsidRPr="0048459D">
        <w:rPr>
          <w:lang w:val="fr-FR"/>
        </w:rPr>
        <w:t>idées, certains membres ont dit qu</w:t>
      </w:r>
      <w:r>
        <w:rPr>
          <w:lang w:val="fr-FR"/>
        </w:rPr>
        <w:t>’</w:t>
      </w:r>
      <w:r w:rsidRPr="0048459D">
        <w:rPr>
          <w:lang w:val="fr-FR"/>
        </w:rPr>
        <w:t>ils ne partageaient pas l</w:t>
      </w:r>
      <w:r>
        <w:rPr>
          <w:lang w:val="fr-FR"/>
        </w:rPr>
        <w:t>’</w:t>
      </w:r>
      <w:r w:rsidRPr="0048459D">
        <w:rPr>
          <w:lang w:val="fr-FR"/>
        </w:rPr>
        <w:t>avis que l</w:t>
      </w:r>
      <w:r>
        <w:rPr>
          <w:lang w:val="fr-FR"/>
        </w:rPr>
        <w:t>’</w:t>
      </w:r>
      <w:r w:rsidRPr="0048459D">
        <w:rPr>
          <w:lang w:val="fr-FR"/>
        </w:rPr>
        <w:t xml:space="preserve">immunité </w:t>
      </w:r>
      <w:r w:rsidRPr="0048459D">
        <w:rPr>
          <w:i/>
          <w:iCs/>
          <w:lang w:val="fr-FR"/>
        </w:rPr>
        <w:t>ratione personae</w:t>
      </w:r>
      <w:r w:rsidRPr="0048459D">
        <w:rPr>
          <w:lang w:val="fr-FR"/>
        </w:rPr>
        <w:t xml:space="preserve"> ne s</w:t>
      </w:r>
      <w:r>
        <w:rPr>
          <w:lang w:val="fr-FR"/>
        </w:rPr>
        <w:t>’</w:t>
      </w:r>
      <w:r w:rsidRPr="0048459D">
        <w:rPr>
          <w:lang w:val="fr-FR"/>
        </w:rPr>
        <w:t>appliquait qu</w:t>
      </w:r>
      <w:r>
        <w:rPr>
          <w:lang w:val="fr-FR"/>
        </w:rPr>
        <w:t>’</w:t>
      </w:r>
      <w:r w:rsidRPr="0048459D">
        <w:rPr>
          <w:lang w:val="fr-FR"/>
        </w:rPr>
        <w:t>à la troïka. Il a été souligné que d</w:t>
      </w:r>
      <w:r>
        <w:rPr>
          <w:lang w:val="fr-FR"/>
        </w:rPr>
        <w:t>’</w:t>
      </w:r>
      <w:r w:rsidRPr="0048459D">
        <w:rPr>
          <w:lang w:val="fr-FR"/>
        </w:rPr>
        <w:t>autres fonctionnaires de haut rang étaient parfois appelés à exercer des fonctions internationales et que la réalité actuelle attestait que l</w:t>
      </w:r>
      <w:r>
        <w:rPr>
          <w:lang w:val="fr-FR"/>
        </w:rPr>
        <w:t>’</w:t>
      </w:r>
      <w:r w:rsidRPr="0048459D">
        <w:rPr>
          <w:lang w:val="fr-FR"/>
        </w:rPr>
        <w:t xml:space="preserve">immunité </w:t>
      </w:r>
      <w:r w:rsidRPr="0048459D">
        <w:rPr>
          <w:i/>
          <w:iCs/>
          <w:lang w:val="fr-FR"/>
        </w:rPr>
        <w:t>ratione personae</w:t>
      </w:r>
      <w:r w:rsidRPr="0048459D">
        <w:rPr>
          <w:lang w:val="fr-FR"/>
        </w:rPr>
        <w:t xml:space="preserve"> s</w:t>
      </w:r>
      <w:r>
        <w:rPr>
          <w:lang w:val="fr-FR"/>
        </w:rPr>
        <w:t>’</w:t>
      </w:r>
      <w:r w:rsidRPr="0048459D">
        <w:rPr>
          <w:lang w:val="fr-FR"/>
        </w:rPr>
        <w:t>étendait à d</w:t>
      </w:r>
      <w:r>
        <w:rPr>
          <w:lang w:val="fr-FR"/>
        </w:rPr>
        <w:t>’</w:t>
      </w:r>
      <w:r w:rsidRPr="0048459D">
        <w:rPr>
          <w:lang w:val="fr-FR"/>
        </w:rPr>
        <w:t>autres personnes que les membres de la troïka, comme certains États l</w:t>
      </w:r>
      <w:r>
        <w:rPr>
          <w:lang w:val="fr-FR"/>
        </w:rPr>
        <w:t>’</w:t>
      </w:r>
      <w:r w:rsidRPr="0048459D">
        <w:rPr>
          <w:lang w:val="fr-FR"/>
        </w:rPr>
        <w:t>avaient mentionné dans leurs commentaires écrits. À cet égard, on a rappelé l</w:t>
      </w:r>
      <w:r>
        <w:rPr>
          <w:lang w:val="fr-FR"/>
        </w:rPr>
        <w:t>’</w:t>
      </w:r>
      <w:r w:rsidRPr="0048459D">
        <w:rPr>
          <w:lang w:val="fr-FR"/>
        </w:rPr>
        <w:t xml:space="preserve">affaire relative au </w:t>
      </w:r>
      <w:r w:rsidRPr="0048459D">
        <w:rPr>
          <w:i/>
          <w:iCs/>
          <w:lang w:val="fr-FR"/>
        </w:rPr>
        <w:t>Mandat d</w:t>
      </w:r>
      <w:r>
        <w:rPr>
          <w:i/>
          <w:iCs/>
          <w:lang w:val="fr-FR"/>
        </w:rPr>
        <w:t>’</w:t>
      </w:r>
      <w:r w:rsidRPr="0048459D">
        <w:rPr>
          <w:i/>
          <w:iCs/>
          <w:lang w:val="fr-FR"/>
        </w:rPr>
        <w:t>arrêt</w:t>
      </w:r>
      <w:r w:rsidRPr="0048459D">
        <w:rPr>
          <w:rStyle w:val="Appelnotedebasdep"/>
          <w:lang w:val="fr-FR"/>
        </w:rPr>
        <w:footnoteReference w:id="231"/>
      </w:r>
      <w:r w:rsidRPr="0048459D">
        <w:rPr>
          <w:lang w:val="fr-FR"/>
        </w:rPr>
        <w:t xml:space="preserve"> et la Convention sur les missions spéciales</w:t>
      </w:r>
      <w:r w:rsidRPr="0048459D">
        <w:rPr>
          <w:rStyle w:val="Appelnotedebasdep"/>
          <w:lang w:val="fr-FR"/>
        </w:rPr>
        <w:footnoteReference w:id="232"/>
      </w:r>
      <w:r w:rsidRPr="0048459D">
        <w:rPr>
          <w:lang w:val="fr-FR"/>
        </w:rPr>
        <w:t>. Il a été dit que si on ne modifiait pas le projet d</w:t>
      </w:r>
      <w:r>
        <w:rPr>
          <w:lang w:val="fr-FR"/>
        </w:rPr>
        <w:t>’</w:t>
      </w:r>
      <w:r w:rsidRPr="0048459D">
        <w:rPr>
          <w:lang w:val="fr-FR"/>
        </w:rPr>
        <w:t>article 3 pour élargir son champ d</w:t>
      </w:r>
      <w:r>
        <w:rPr>
          <w:lang w:val="fr-FR"/>
        </w:rPr>
        <w:t>’</w:t>
      </w:r>
      <w:r w:rsidRPr="0048459D">
        <w:rPr>
          <w:lang w:val="fr-FR"/>
        </w:rPr>
        <w:t>application, il fallait au moins préciser dans le commentaire que la disposition était sans préjudice de la pratique existante concernant les autres représentants. Parallèlement, il a été souligné que les projets d</w:t>
      </w:r>
      <w:r>
        <w:rPr>
          <w:lang w:val="fr-FR"/>
        </w:rPr>
        <w:t>’</w:t>
      </w:r>
      <w:r w:rsidRPr="0048459D">
        <w:rPr>
          <w:lang w:val="fr-FR"/>
        </w:rPr>
        <w:t>article sur le sujet étaient sans préjudice des règles relatives à l</w:t>
      </w:r>
      <w:r>
        <w:rPr>
          <w:lang w:val="fr-FR"/>
        </w:rPr>
        <w:t>’</w:t>
      </w:r>
      <w:r w:rsidRPr="0048459D">
        <w:rPr>
          <w:lang w:val="fr-FR"/>
        </w:rPr>
        <w:t>immunité des missions spéciales et que, par conséquent, les hauts fonctionnaires de l</w:t>
      </w:r>
      <w:r>
        <w:rPr>
          <w:lang w:val="fr-FR"/>
        </w:rPr>
        <w:t>’</w:t>
      </w:r>
      <w:r w:rsidRPr="0048459D">
        <w:rPr>
          <w:lang w:val="fr-FR"/>
        </w:rPr>
        <w:t>État ne faisant pas partie de la troïka bénéficiaient de l</w:t>
      </w:r>
      <w:r>
        <w:rPr>
          <w:lang w:val="fr-FR"/>
        </w:rPr>
        <w:t>’</w:t>
      </w:r>
      <w:r w:rsidRPr="0048459D">
        <w:rPr>
          <w:lang w:val="fr-FR"/>
        </w:rPr>
        <w:t xml:space="preserve">immunité </w:t>
      </w:r>
      <w:r w:rsidRPr="0048459D">
        <w:rPr>
          <w:i/>
          <w:iCs/>
          <w:lang w:val="fr-FR"/>
        </w:rPr>
        <w:t>ratione personae</w:t>
      </w:r>
      <w:r w:rsidRPr="0048459D">
        <w:rPr>
          <w:lang w:val="fr-FR"/>
        </w:rPr>
        <w:t xml:space="preserve"> lorsqu</w:t>
      </w:r>
      <w:r>
        <w:rPr>
          <w:lang w:val="fr-FR"/>
        </w:rPr>
        <w:t>’</w:t>
      </w:r>
      <w:r w:rsidRPr="0048459D">
        <w:rPr>
          <w:lang w:val="fr-FR"/>
        </w:rPr>
        <w:t>ils étaient en mission officielle à l</w:t>
      </w:r>
      <w:r>
        <w:rPr>
          <w:lang w:val="fr-FR"/>
        </w:rPr>
        <w:t>’</w:t>
      </w:r>
      <w:r w:rsidRPr="0048459D">
        <w:rPr>
          <w:lang w:val="fr-FR"/>
        </w:rPr>
        <w:t>étranger. En ce qui concerne les représentants en visite privée à l</w:t>
      </w:r>
      <w:r>
        <w:rPr>
          <w:lang w:val="fr-FR"/>
        </w:rPr>
        <w:t>’</w:t>
      </w:r>
      <w:r w:rsidRPr="0048459D">
        <w:rPr>
          <w:lang w:val="fr-FR"/>
        </w:rPr>
        <w:t xml:space="preserve">étranger, il a été </w:t>
      </w:r>
      <w:r>
        <w:rPr>
          <w:lang w:val="fr-FR"/>
        </w:rPr>
        <w:t>dit</w:t>
      </w:r>
      <w:r w:rsidRPr="0048459D">
        <w:rPr>
          <w:lang w:val="fr-FR"/>
        </w:rPr>
        <w:t xml:space="preserve"> qu</w:t>
      </w:r>
      <w:r>
        <w:rPr>
          <w:lang w:val="fr-FR"/>
        </w:rPr>
        <w:t>’</w:t>
      </w:r>
      <w:r w:rsidRPr="0048459D">
        <w:rPr>
          <w:lang w:val="fr-FR"/>
        </w:rPr>
        <w:t>étendre cette immunité à tous les membres de la troïka allait déjà très loin sachant que la Cour internationale de Justice, dans l</w:t>
      </w:r>
      <w:r>
        <w:rPr>
          <w:lang w:val="fr-FR"/>
        </w:rPr>
        <w:t>’</w:t>
      </w:r>
      <w:r w:rsidRPr="0048459D">
        <w:rPr>
          <w:lang w:val="fr-FR"/>
        </w:rPr>
        <w:t xml:space="preserve">affaire relative au </w:t>
      </w:r>
      <w:r w:rsidRPr="0048459D">
        <w:rPr>
          <w:i/>
          <w:iCs/>
          <w:lang w:val="fr-FR"/>
        </w:rPr>
        <w:t>Mandat d</w:t>
      </w:r>
      <w:r>
        <w:rPr>
          <w:i/>
          <w:iCs/>
          <w:lang w:val="fr-FR"/>
        </w:rPr>
        <w:t>’</w:t>
      </w:r>
      <w:r w:rsidRPr="0048459D">
        <w:rPr>
          <w:i/>
          <w:iCs/>
          <w:lang w:val="fr-FR"/>
        </w:rPr>
        <w:t>arrêt</w:t>
      </w:r>
      <w:r w:rsidRPr="0048459D">
        <w:rPr>
          <w:lang w:val="fr-FR"/>
        </w:rPr>
        <w:t>, n</w:t>
      </w:r>
      <w:r>
        <w:rPr>
          <w:lang w:val="fr-FR"/>
        </w:rPr>
        <w:t>’</w:t>
      </w:r>
      <w:r w:rsidRPr="0048459D">
        <w:rPr>
          <w:lang w:val="fr-FR"/>
        </w:rPr>
        <w:t>a pas fait état d</w:t>
      </w:r>
      <w:r>
        <w:rPr>
          <w:lang w:val="fr-FR"/>
        </w:rPr>
        <w:t>’</w:t>
      </w:r>
      <w:r w:rsidRPr="0048459D">
        <w:rPr>
          <w:lang w:val="fr-FR"/>
        </w:rPr>
        <w:t>une pratique suffisante pour placer le chef du gouvernement et le ministre des affaires étrangères dans la même catégorie que le chef de l</w:t>
      </w:r>
      <w:r>
        <w:rPr>
          <w:lang w:val="fr-FR"/>
        </w:rPr>
        <w:t>’</w:t>
      </w:r>
      <w:r w:rsidRPr="0048459D">
        <w:rPr>
          <w:lang w:val="fr-FR"/>
        </w:rPr>
        <w:t>État ou pour conclure qu</w:t>
      </w:r>
      <w:r>
        <w:rPr>
          <w:lang w:val="fr-FR"/>
        </w:rPr>
        <w:t>’</w:t>
      </w:r>
      <w:r w:rsidRPr="0048459D">
        <w:rPr>
          <w:lang w:val="fr-FR"/>
        </w:rPr>
        <w:t>il était fermement établi que tous trois bénéficiaient de l</w:t>
      </w:r>
      <w:r>
        <w:rPr>
          <w:lang w:val="fr-FR"/>
        </w:rPr>
        <w:t>’</w:t>
      </w:r>
      <w:r w:rsidRPr="0048459D">
        <w:rPr>
          <w:lang w:val="fr-FR"/>
        </w:rPr>
        <w:t>immunité de juridiction pénale lorsqu</w:t>
      </w:r>
      <w:r>
        <w:rPr>
          <w:lang w:val="fr-FR"/>
        </w:rPr>
        <w:t>’</w:t>
      </w:r>
      <w:r w:rsidRPr="0048459D">
        <w:rPr>
          <w:lang w:val="fr-FR"/>
        </w:rPr>
        <w:t>ils se trouvaient en visite privée à l</w:t>
      </w:r>
      <w:r>
        <w:rPr>
          <w:lang w:val="fr-FR"/>
        </w:rPr>
        <w:t>’</w:t>
      </w:r>
      <w:r w:rsidRPr="0048459D">
        <w:rPr>
          <w:lang w:val="fr-FR"/>
        </w:rPr>
        <w:t xml:space="preserve">étranger. </w:t>
      </w:r>
    </w:p>
    <w:p w14:paraId="03F24788" w14:textId="77777777" w:rsidR="003F7DA4" w:rsidRPr="0048459D" w:rsidRDefault="003F7DA4" w:rsidP="003F7DA4">
      <w:pPr>
        <w:pStyle w:val="SingleTxtG"/>
        <w:rPr>
          <w:rFonts w:asciiTheme="majorBidi" w:hAnsiTheme="majorBidi" w:cstheme="majorBidi"/>
          <w:lang w:val="fr-FR"/>
        </w:rPr>
      </w:pPr>
      <w:r>
        <w:rPr>
          <w:lang w:val="fr-FR"/>
        </w:rPr>
        <w:lastRenderedPageBreak/>
        <w:t>186</w:t>
      </w:r>
      <w:r w:rsidRPr="0048459D">
        <w:rPr>
          <w:lang w:val="fr-FR"/>
        </w:rPr>
        <w:t>.</w:t>
      </w:r>
      <w:r w:rsidRPr="0048459D">
        <w:rPr>
          <w:lang w:val="fr-FR"/>
        </w:rPr>
        <w:tab/>
        <w:t>D</w:t>
      </w:r>
      <w:r>
        <w:rPr>
          <w:lang w:val="fr-FR"/>
        </w:rPr>
        <w:t>’</w:t>
      </w:r>
      <w:r w:rsidRPr="0048459D">
        <w:rPr>
          <w:lang w:val="fr-FR"/>
        </w:rPr>
        <w:t>aucuns ont dit souhaiter que le commentaire soit plus nuancé concernant le cas particulier des représentants qui ne sont pas officiellement des chefs d</w:t>
      </w:r>
      <w:r>
        <w:rPr>
          <w:lang w:val="fr-FR"/>
        </w:rPr>
        <w:t>’</w:t>
      </w:r>
      <w:r w:rsidRPr="0048459D">
        <w:rPr>
          <w:lang w:val="fr-FR"/>
        </w:rPr>
        <w:t>État ou des chefs de gouvernement, mais occupent de facto une place comparable dans la hiérarchie de l</w:t>
      </w:r>
      <w:r>
        <w:rPr>
          <w:lang w:val="fr-FR"/>
        </w:rPr>
        <w:t>’</w:t>
      </w:r>
      <w:r w:rsidRPr="0048459D">
        <w:rPr>
          <w:lang w:val="fr-FR"/>
        </w:rPr>
        <w:t xml:space="preserve">État. Il a été </w:t>
      </w:r>
      <w:r>
        <w:rPr>
          <w:lang w:val="fr-FR"/>
        </w:rPr>
        <w:t>dit</w:t>
      </w:r>
      <w:r w:rsidRPr="0048459D">
        <w:rPr>
          <w:lang w:val="fr-FR"/>
        </w:rPr>
        <w:t xml:space="preserve"> qu</w:t>
      </w:r>
      <w:r>
        <w:rPr>
          <w:lang w:val="fr-FR"/>
        </w:rPr>
        <w:t>’</w:t>
      </w:r>
      <w:r w:rsidRPr="0048459D">
        <w:rPr>
          <w:lang w:val="fr-FR"/>
        </w:rPr>
        <w:t>il pourrait être bon d</w:t>
      </w:r>
      <w:r>
        <w:rPr>
          <w:lang w:val="fr-FR"/>
        </w:rPr>
        <w:t>’</w:t>
      </w:r>
      <w:r w:rsidRPr="0048459D">
        <w:rPr>
          <w:lang w:val="fr-FR"/>
        </w:rPr>
        <w:t>expliquer dans le commentaire le statut des chefs d</w:t>
      </w:r>
      <w:r>
        <w:rPr>
          <w:lang w:val="fr-FR"/>
        </w:rPr>
        <w:t>’</w:t>
      </w:r>
      <w:r w:rsidRPr="0048459D">
        <w:rPr>
          <w:lang w:val="fr-FR"/>
        </w:rPr>
        <w:t>État, des chefs de gouvernement et des ministres des affaires étrangères en exercice sur le plan de l</w:t>
      </w:r>
      <w:r>
        <w:rPr>
          <w:lang w:val="fr-FR"/>
        </w:rPr>
        <w:t>’</w:t>
      </w:r>
      <w:r w:rsidRPr="0048459D">
        <w:rPr>
          <w:lang w:val="fr-FR"/>
        </w:rPr>
        <w:t>immunité et des précisions ont été demandées au sujet de la portée temporelle de l</w:t>
      </w:r>
      <w:r>
        <w:rPr>
          <w:lang w:val="fr-FR"/>
        </w:rPr>
        <w:t>’</w:t>
      </w:r>
      <w:r w:rsidRPr="0048459D">
        <w:rPr>
          <w:lang w:val="fr-FR"/>
        </w:rPr>
        <w:t xml:space="preserve">immunité </w:t>
      </w:r>
      <w:r w:rsidRPr="0048459D">
        <w:rPr>
          <w:i/>
          <w:iCs/>
          <w:lang w:val="fr-FR"/>
        </w:rPr>
        <w:t>ratione personae</w:t>
      </w:r>
      <w:r w:rsidRPr="0048459D">
        <w:rPr>
          <w:lang w:val="fr-FR"/>
        </w:rPr>
        <w:t>. En outre, il a été jugé important d</w:t>
      </w:r>
      <w:r>
        <w:rPr>
          <w:lang w:val="fr-FR"/>
        </w:rPr>
        <w:t>’</w:t>
      </w:r>
      <w:r w:rsidRPr="0048459D">
        <w:rPr>
          <w:lang w:val="fr-FR"/>
        </w:rPr>
        <w:t>étoffer le commentaire afin de tenir compte des décisions récemment rendues par des tribunaux nationaux ainsi que des arguments que les États ont fait valoir devant les juridictions internationales au sujet de l</w:t>
      </w:r>
      <w:r>
        <w:rPr>
          <w:lang w:val="fr-FR"/>
        </w:rPr>
        <w:t>’</w:t>
      </w:r>
      <w:r w:rsidRPr="0048459D">
        <w:rPr>
          <w:lang w:val="fr-FR"/>
        </w:rPr>
        <w:t>immunité</w:t>
      </w:r>
      <w:r w:rsidRPr="0048459D">
        <w:rPr>
          <w:i/>
          <w:iCs/>
          <w:lang w:val="fr-FR"/>
        </w:rPr>
        <w:t xml:space="preserve"> ratione personae</w:t>
      </w:r>
      <w:r w:rsidRPr="0048459D">
        <w:rPr>
          <w:lang w:val="fr-FR"/>
        </w:rPr>
        <w:t xml:space="preserve">. </w:t>
      </w:r>
    </w:p>
    <w:p w14:paraId="00AED40C" w14:textId="77777777" w:rsidR="003F7DA4" w:rsidRPr="0048459D" w:rsidRDefault="003F7DA4" w:rsidP="003F7DA4">
      <w:pPr>
        <w:pStyle w:val="SingleTxtG"/>
        <w:rPr>
          <w:lang w:val="fr-FR"/>
        </w:rPr>
      </w:pPr>
      <w:r>
        <w:rPr>
          <w:lang w:val="fr-FR"/>
        </w:rPr>
        <w:t>187</w:t>
      </w:r>
      <w:r w:rsidRPr="0048459D">
        <w:rPr>
          <w:lang w:val="fr-FR"/>
        </w:rPr>
        <w:t>.</w:t>
      </w:r>
      <w:r w:rsidRPr="0048459D">
        <w:rPr>
          <w:lang w:val="fr-FR"/>
        </w:rPr>
        <w:tab/>
        <w:t>Si certains membres ont suggéré qu</w:t>
      </w:r>
      <w:r>
        <w:rPr>
          <w:lang w:val="fr-FR"/>
        </w:rPr>
        <w:t>’</w:t>
      </w:r>
      <w:r w:rsidRPr="0048459D">
        <w:rPr>
          <w:lang w:val="fr-FR"/>
        </w:rPr>
        <w:t>on fusionne les projets d</w:t>
      </w:r>
      <w:r>
        <w:rPr>
          <w:lang w:val="fr-FR"/>
        </w:rPr>
        <w:t>’</w:t>
      </w:r>
      <w:r w:rsidRPr="0048459D">
        <w:rPr>
          <w:lang w:val="fr-FR"/>
        </w:rPr>
        <w:t xml:space="preserve">articles 3 et 4 pour garantir la cohérence entre les deux dispositions, </w:t>
      </w:r>
      <w:r>
        <w:rPr>
          <w:lang w:val="fr-FR"/>
        </w:rPr>
        <w:t>il a été préféré de</w:t>
      </w:r>
      <w:r w:rsidRPr="0048459D">
        <w:rPr>
          <w:lang w:val="fr-FR"/>
        </w:rPr>
        <w:t xml:space="preserve"> conserver des dispositions distinctes dans un souci de clarté. </w:t>
      </w:r>
    </w:p>
    <w:p w14:paraId="4E098735" w14:textId="77777777" w:rsidR="003F7DA4" w:rsidRPr="0048459D" w:rsidRDefault="003F7DA4" w:rsidP="003F7DA4">
      <w:pPr>
        <w:pStyle w:val="H23G"/>
        <w:rPr>
          <w:rFonts w:eastAsia="SimSun"/>
          <w:lang w:val="fr-FR"/>
        </w:rPr>
      </w:pPr>
      <w:r w:rsidRPr="0048459D">
        <w:rPr>
          <w:lang w:val="fr-FR"/>
        </w:rPr>
        <w:tab/>
        <w:t>e)</w:t>
      </w:r>
      <w:r w:rsidRPr="0048459D">
        <w:rPr>
          <w:lang w:val="fr-FR"/>
        </w:rPr>
        <w:tab/>
      </w:r>
      <w:r w:rsidRPr="0048459D">
        <w:rPr>
          <w:lang w:val="fr-FR"/>
        </w:rPr>
        <w:tab/>
        <w:t>Projet d</w:t>
      </w:r>
      <w:r>
        <w:rPr>
          <w:lang w:val="fr-FR"/>
        </w:rPr>
        <w:t>’</w:t>
      </w:r>
      <w:r w:rsidRPr="0048459D">
        <w:rPr>
          <w:lang w:val="fr-FR"/>
        </w:rPr>
        <w:t>article 4 (Portée de l</w:t>
      </w:r>
      <w:r>
        <w:rPr>
          <w:lang w:val="fr-FR"/>
        </w:rPr>
        <w:t>’</w:t>
      </w:r>
      <w:r w:rsidRPr="0048459D">
        <w:rPr>
          <w:lang w:val="fr-FR"/>
        </w:rPr>
        <w:t xml:space="preserve">immunité </w:t>
      </w:r>
      <w:r w:rsidRPr="0048459D">
        <w:rPr>
          <w:i/>
          <w:iCs/>
          <w:lang w:val="fr-FR"/>
        </w:rPr>
        <w:t>ratione personae</w:t>
      </w:r>
      <w:r w:rsidRPr="0048459D">
        <w:rPr>
          <w:lang w:val="fr-FR"/>
        </w:rPr>
        <w:t>)</w:t>
      </w:r>
    </w:p>
    <w:p w14:paraId="5E94D498" w14:textId="4F573097" w:rsidR="003F7DA4" w:rsidRPr="0048459D" w:rsidRDefault="003F7DA4" w:rsidP="003F7DA4">
      <w:pPr>
        <w:pStyle w:val="SingleTxtG"/>
        <w:rPr>
          <w:rFonts w:asciiTheme="majorBidi" w:hAnsiTheme="majorBidi" w:cstheme="majorBidi"/>
          <w:lang w:val="fr-FR"/>
        </w:rPr>
      </w:pPr>
      <w:r>
        <w:rPr>
          <w:lang w:val="fr-FR"/>
        </w:rPr>
        <w:t>188</w:t>
      </w:r>
      <w:r w:rsidRPr="0048459D">
        <w:rPr>
          <w:lang w:val="fr-FR"/>
        </w:rPr>
        <w:t>.</w:t>
      </w:r>
      <w:r w:rsidRPr="0048459D">
        <w:rPr>
          <w:lang w:val="fr-FR"/>
        </w:rPr>
        <w:tab/>
        <w:t>En ce qui concerne le projet d</w:t>
      </w:r>
      <w:r>
        <w:rPr>
          <w:lang w:val="fr-FR"/>
        </w:rPr>
        <w:t>’</w:t>
      </w:r>
      <w:r w:rsidRPr="0048459D">
        <w:rPr>
          <w:lang w:val="fr-FR"/>
        </w:rPr>
        <w:t>article 4, plusieurs membres ont dit qu</w:t>
      </w:r>
      <w:r>
        <w:rPr>
          <w:lang w:val="fr-FR"/>
        </w:rPr>
        <w:t>’</w:t>
      </w:r>
      <w:r w:rsidRPr="0048459D">
        <w:rPr>
          <w:lang w:val="fr-FR"/>
        </w:rPr>
        <w:t>ils étaient dans l</w:t>
      </w:r>
      <w:r>
        <w:rPr>
          <w:lang w:val="fr-FR"/>
        </w:rPr>
        <w:t>’</w:t>
      </w:r>
      <w:r w:rsidRPr="0048459D">
        <w:rPr>
          <w:lang w:val="fr-FR"/>
        </w:rPr>
        <w:t>ensemble d</w:t>
      </w:r>
      <w:r>
        <w:rPr>
          <w:lang w:val="fr-FR"/>
        </w:rPr>
        <w:t>’</w:t>
      </w:r>
      <w:r w:rsidRPr="0048459D">
        <w:rPr>
          <w:lang w:val="fr-FR"/>
        </w:rPr>
        <w:t>accord avec l</w:t>
      </w:r>
      <w:r>
        <w:rPr>
          <w:lang w:val="fr-FR"/>
        </w:rPr>
        <w:t>’</w:t>
      </w:r>
      <w:r w:rsidRPr="0048459D">
        <w:rPr>
          <w:lang w:val="fr-FR"/>
        </w:rPr>
        <w:t>approche du Rapporteur spécial. Concernant le paragraphe 1, plusieurs membres ont dit qu</w:t>
      </w:r>
      <w:r>
        <w:rPr>
          <w:lang w:val="fr-FR"/>
        </w:rPr>
        <w:t>’</w:t>
      </w:r>
      <w:r w:rsidRPr="0048459D">
        <w:rPr>
          <w:lang w:val="fr-FR"/>
        </w:rPr>
        <w:t>ils préféraient que le terme « mandat » soit conservé. Tout en étant conscients que ce terme pouvait ne pas correctement refléter certaines situations dans la pratique, ils estimaient qu</w:t>
      </w:r>
      <w:r>
        <w:rPr>
          <w:lang w:val="fr-FR"/>
        </w:rPr>
        <w:t>’</w:t>
      </w:r>
      <w:r w:rsidRPr="0048459D">
        <w:rPr>
          <w:lang w:val="fr-FR"/>
        </w:rPr>
        <w:t>il valait mieux expliquer ce point dans le commentaire parce que le libellé actuel était largement utilisé et permettait d</w:t>
      </w:r>
      <w:r>
        <w:rPr>
          <w:lang w:val="fr-FR"/>
        </w:rPr>
        <w:t>’</w:t>
      </w:r>
      <w:r w:rsidRPr="0048459D">
        <w:rPr>
          <w:lang w:val="fr-FR"/>
        </w:rPr>
        <w:t>éviter les ambiguïtés et de contourner les difficultés que pouvaient faire naître les particularités des pratiques juridiques et institutionnelles des systèmes juridiques internes. L</w:t>
      </w:r>
      <w:r>
        <w:rPr>
          <w:lang w:val="fr-FR"/>
        </w:rPr>
        <w:t>’</w:t>
      </w:r>
      <w:r w:rsidRPr="0048459D">
        <w:rPr>
          <w:lang w:val="fr-FR"/>
        </w:rPr>
        <w:t>avis consultatif OC-28/21 de la Cour interaméricaine des droits de l</w:t>
      </w:r>
      <w:r>
        <w:rPr>
          <w:lang w:val="fr-FR"/>
        </w:rPr>
        <w:t>’</w:t>
      </w:r>
      <w:r w:rsidRPr="0048459D">
        <w:rPr>
          <w:lang w:val="fr-FR"/>
        </w:rPr>
        <w:t>homme a été mentionné dans la mesure où il porte sur la limitation du nombre de mandats</w:t>
      </w:r>
      <w:r>
        <w:rPr>
          <w:lang w:val="fr-FR"/>
        </w:rPr>
        <w:t xml:space="preserve"> présidentiels</w:t>
      </w:r>
      <w:r w:rsidRPr="0048459D">
        <w:rPr>
          <w:rStyle w:val="Appelnotedebasdep"/>
          <w:lang w:val="fr-FR"/>
        </w:rPr>
        <w:footnoteReference w:id="233"/>
      </w:r>
      <w:r w:rsidRPr="0048459D">
        <w:rPr>
          <w:lang w:val="fr-FR"/>
        </w:rPr>
        <w:t>. Il a été dit qu</w:t>
      </w:r>
      <w:r>
        <w:rPr>
          <w:lang w:val="fr-FR"/>
        </w:rPr>
        <w:t>’</w:t>
      </w:r>
      <w:r w:rsidRPr="0048459D">
        <w:rPr>
          <w:lang w:val="fr-FR"/>
        </w:rPr>
        <w:t>on ne pouvait étendre l</w:t>
      </w:r>
      <w:r>
        <w:rPr>
          <w:lang w:val="fr-FR"/>
        </w:rPr>
        <w:t>’</w:t>
      </w:r>
      <w:r w:rsidRPr="0048459D">
        <w:rPr>
          <w:lang w:val="fr-FR"/>
        </w:rPr>
        <w:t xml:space="preserve">immunité personnelle à la période précédant la prise de fonctions officielle ou la prestation de serment. </w:t>
      </w:r>
      <w:r w:rsidRPr="0076084F">
        <w:rPr>
          <w:lang w:val="fr-FR"/>
        </w:rPr>
        <w:t xml:space="preserve">Néanmoins, plusieurs membres estimaient que la formule </w:t>
      </w:r>
      <w:r w:rsidR="00EA2885">
        <w:rPr>
          <w:lang w:val="fr-FR"/>
        </w:rPr>
        <w:t>« </w:t>
      </w:r>
      <w:proofErr w:type="spellStart"/>
      <w:r w:rsidRPr="0076084F">
        <w:rPr>
          <w:i/>
          <w:iCs/>
          <w:lang w:val="fr-FR"/>
        </w:rPr>
        <w:t>terms</w:t>
      </w:r>
      <w:proofErr w:type="spellEnd"/>
      <w:r w:rsidRPr="0076084F">
        <w:rPr>
          <w:i/>
          <w:iCs/>
          <w:lang w:val="fr-FR"/>
        </w:rPr>
        <w:t xml:space="preserve"> of office</w:t>
      </w:r>
      <w:r w:rsidR="00EA2885">
        <w:rPr>
          <w:lang w:val="fr-FR"/>
        </w:rPr>
        <w:t> »</w:t>
      </w:r>
      <w:r w:rsidRPr="0076084F">
        <w:rPr>
          <w:lang w:val="fr-FR"/>
        </w:rPr>
        <w:t xml:space="preserve"> employée dans la ver</w:t>
      </w:r>
      <w:r>
        <w:rPr>
          <w:lang w:val="fr-FR"/>
        </w:rPr>
        <w:t xml:space="preserve">sion </w:t>
      </w:r>
      <w:r w:rsidRPr="0076084F">
        <w:rPr>
          <w:lang w:val="fr-FR"/>
        </w:rPr>
        <w:t>anglaise</w:t>
      </w:r>
      <w:r>
        <w:rPr>
          <w:lang w:val="fr-FR"/>
        </w:rPr>
        <w:t xml:space="preserve"> ne reflétait pas, notamment, la situation des représentants dont le mandat n’avait pas une durée déterminée. </w:t>
      </w:r>
      <w:proofErr w:type="spellStart"/>
      <w:r w:rsidRPr="0076084F">
        <w:rPr>
          <w:lang w:val="en-US"/>
        </w:rPr>
        <w:t>Il</w:t>
      </w:r>
      <w:r w:rsidRPr="00CC5A9B">
        <w:rPr>
          <w:lang w:val="en-US"/>
        </w:rPr>
        <w:t>s</w:t>
      </w:r>
      <w:proofErr w:type="spellEnd"/>
      <w:r w:rsidRPr="00CC5A9B">
        <w:rPr>
          <w:lang w:val="en-US"/>
        </w:rPr>
        <w:t xml:space="preserve"> </w:t>
      </w:r>
      <w:proofErr w:type="spellStart"/>
      <w:r w:rsidRPr="00CC5A9B">
        <w:rPr>
          <w:lang w:val="en-US"/>
        </w:rPr>
        <w:t>ont</w:t>
      </w:r>
      <w:proofErr w:type="spellEnd"/>
      <w:r w:rsidRPr="00CC5A9B">
        <w:rPr>
          <w:lang w:val="en-US"/>
        </w:rPr>
        <w:t xml:space="preserve"> </w:t>
      </w:r>
      <w:proofErr w:type="spellStart"/>
      <w:r w:rsidRPr="00CC5A9B">
        <w:rPr>
          <w:lang w:val="en-US"/>
        </w:rPr>
        <w:t>donc</w:t>
      </w:r>
      <w:proofErr w:type="spellEnd"/>
      <w:r w:rsidRPr="00CC5A9B">
        <w:rPr>
          <w:lang w:val="en-US"/>
        </w:rPr>
        <w:t xml:space="preserve"> </w:t>
      </w:r>
      <w:proofErr w:type="spellStart"/>
      <w:r w:rsidRPr="00CC5A9B">
        <w:rPr>
          <w:lang w:val="en-US"/>
        </w:rPr>
        <w:t>suggéré</w:t>
      </w:r>
      <w:proofErr w:type="spellEnd"/>
      <w:r w:rsidRPr="00CC5A9B">
        <w:rPr>
          <w:lang w:val="en-US"/>
        </w:rPr>
        <w:t xml:space="preserve"> que, dans la version anglaise, la </w:t>
      </w:r>
      <w:proofErr w:type="spellStart"/>
      <w:r w:rsidRPr="00CC5A9B">
        <w:rPr>
          <w:lang w:val="en-US"/>
        </w:rPr>
        <w:t>formule</w:t>
      </w:r>
      <w:proofErr w:type="spellEnd"/>
      <w:r w:rsidRPr="00CC5A9B">
        <w:rPr>
          <w:lang w:val="en-US"/>
        </w:rPr>
        <w:t xml:space="preserve"> « </w:t>
      </w:r>
      <w:r w:rsidRPr="00CC5A9B">
        <w:rPr>
          <w:rFonts w:asciiTheme="majorBidi" w:hAnsiTheme="majorBidi" w:cstheme="majorBidi"/>
          <w:i/>
          <w:iCs/>
          <w:lang w:val="en-US"/>
        </w:rPr>
        <w:t>during their term of office</w:t>
      </w:r>
      <w:r w:rsidRPr="00CC5A9B">
        <w:rPr>
          <w:lang w:val="en-US"/>
        </w:rPr>
        <w:t xml:space="preserve"> » </w:t>
      </w:r>
      <w:proofErr w:type="spellStart"/>
      <w:r w:rsidRPr="00CC5A9B">
        <w:rPr>
          <w:lang w:val="en-US"/>
        </w:rPr>
        <w:t>soit</w:t>
      </w:r>
      <w:proofErr w:type="spellEnd"/>
      <w:r w:rsidRPr="00CC5A9B">
        <w:rPr>
          <w:lang w:val="en-US"/>
        </w:rPr>
        <w:t xml:space="preserve"> </w:t>
      </w:r>
      <w:proofErr w:type="spellStart"/>
      <w:r w:rsidRPr="00CC5A9B">
        <w:rPr>
          <w:lang w:val="en-US"/>
        </w:rPr>
        <w:t>remplacée</w:t>
      </w:r>
      <w:proofErr w:type="spellEnd"/>
      <w:r w:rsidRPr="00CC5A9B">
        <w:rPr>
          <w:lang w:val="en-US"/>
        </w:rPr>
        <w:t xml:space="preserve"> par « </w:t>
      </w:r>
      <w:r w:rsidRPr="00CC5A9B">
        <w:rPr>
          <w:rFonts w:asciiTheme="majorBidi" w:hAnsiTheme="majorBidi" w:cstheme="majorBidi"/>
          <w:i/>
          <w:iCs/>
          <w:lang w:val="en-US"/>
        </w:rPr>
        <w:t>during the time of being in office</w:t>
      </w:r>
      <w:r w:rsidRPr="00CC5A9B">
        <w:rPr>
          <w:lang w:val="en-US"/>
        </w:rPr>
        <w:t> », « </w:t>
      </w:r>
      <w:r w:rsidRPr="00CC5A9B">
        <w:rPr>
          <w:rFonts w:asciiTheme="majorBidi" w:hAnsiTheme="majorBidi" w:cstheme="majorBidi"/>
          <w:i/>
          <w:iCs/>
          <w:lang w:val="en-US"/>
        </w:rPr>
        <w:t>during the period of office </w:t>
      </w:r>
      <w:r w:rsidRPr="00CC5A9B">
        <w:rPr>
          <w:lang w:val="en-US"/>
        </w:rPr>
        <w:t xml:space="preserve">» </w:t>
      </w:r>
      <w:proofErr w:type="spellStart"/>
      <w:r w:rsidRPr="00CC5A9B">
        <w:rPr>
          <w:lang w:val="en-US"/>
        </w:rPr>
        <w:t>ou</w:t>
      </w:r>
      <w:proofErr w:type="spellEnd"/>
      <w:r w:rsidRPr="00CC5A9B">
        <w:rPr>
          <w:lang w:val="en-US"/>
        </w:rPr>
        <w:t xml:space="preserve"> « </w:t>
      </w:r>
      <w:r w:rsidRPr="00CC5A9B">
        <w:rPr>
          <w:rFonts w:asciiTheme="majorBidi" w:hAnsiTheme="majorBidi" w:cstheme="majorBidi"/>
          <w:i/>
          <w:iCs/>
          <w:lang w:val="en-US"/>
        </w:rPr>
        <w:t>the fact of being in office</w:t>
      </w:r>
      <w:r w:rsidRPr="00CC5A9B">
        <w:rPr>
          <w:lang w:val="en-US"/>
        </w:rPr>
        <w:t xml:space="preserve"> ». </w:t>
      </w:r>
      <w:r w:rsidRPr="0048459D">
        <w:rPr>
          <w:lang w:val="fr-FR"/>
        </w:rPr>
        <w:t>Le texte du paragraphe 1 a été jugé peu clair, principalement en raison de l</w:t>
      </w:r>
      <w:r>
        <w:rPr>
          <w:lang w:val="fr-FR"/>
        </w:rPr>
        <w:t>’</w:t>
      </w:r>
      <w:r w:rsidRPr="0048459D">
        <w:rPr>
          <w:lang w:val="fr-FR"/>
        </w:rPr>
        <w:t xml:space="preserve">emploi du mot </w:t>
      </w:r>
      <w:r w:rsidRPr="0048459D">
        <w:t>« </w:t>
      </w:r>
      <w:proofErr w:type="spellStart"/>
      <w:r w:rsidRPr="0048459D">
        <w:rPr>
          <w:i/>
          <w:iCs/>
          <w:lang w:val="fr-FR"/>
        </w:rPr>
        <w:t>term</w:t>
      </w:r>
      <w:proofErr w:type="spellEnd"/>
      <w:r>
        <w:rPr>
          <w:lang w:val="fr-FR"/>
        </w:rPr>
        <w:t> »</w:t>
      </w:r>
      <w:r w:rsidRPr="0048459D">
        <w:rPr>
          <w:lang w:val="fr-FR"/>
        </w:rPr>
        <w:t>. Il a été suggéré de s</w:t>
      </w:r>
      <w:r>
        <w:rPr>
          <w:lang w:val="fr-FR"/>
        </w:rPr>
        <w:t>’</w:t>
      </w:r>
      <w:r w:rsidRPr="0048459D">
        <w:rPr>
          <w:lang w:val="fr-FR"/>
        </w:rPr>
        <w:t>aligner sur la terminologie retenue dans l</w:t>
      </w:r>
      <w:r>
        <w:rPr>
          <w:lang w:val="fr-FR"/>
        </w:rPr>
        <w:t>’</w:t>
      </w:r>
      <w:r w:rsidRPr="0048459D">
        <w:rPr>
          <w:lang w:val="fr-FR"/>
        </w:rPr>
        <w:t xml:space="preserve">affaire relative au </w:t>
      </w:r>
      <w:r w:rsidRPr="0048459D">
        <w:rPr>
          <w:i/>
          <w:iCs/>
          <w:lang w:val="fr-FR"/>
        </w:rPr>
        <w:t>Mandat d</w:t>
      </w:r>
      <w:r>
        <w:rPr>
          <w:i/>
          <w:iCs/>
          <w:lang w:val="fr-FR"/>
        </w:rPr>
        <w:t>’</w:t>
      </w:r>
      <w:r w:rsidRPr="0048459D">
        <w:rPr>
          <w:i/>
          <w:iCs/>
          <w:lang w:val="fr-FR"/>
        </w:rPr>
        <w:t>arrêt</w:t>
      </w:r>
      <w:r w:rsidRPr="0048459D">
        <w:rPr>
          <w:lang w:val="fr-FR"/>
        </w:rPr>
        <w:t>, dans laquelle, en français, c</w:t>
      </w:r>
      <w:r>
        <w:rPr>
          <w:lang w:val="fr-FR"/>
        </w:rPr>
        <w:t>’</w:t>
      </w:r>
      <w:r w:rsidRPr="0048459D">
        <w:rPr>
          <w:lang w:val="fr-FR"/>
        </w:rPr>
        <w:t>est l</w:t>
      </w:r>
      <w:r>
        <w:rPr>
          <w:lang w:val="fr-FR"/>
        </w:rPr>
        <w:t>’</w:t>
      </w:r>
      <w:r w:rsidRPr="0048459D">
        <w:rPr>
          <w:lang w:val="fr-FR"/>
        </w:rPr>
        <w:t xml:space="preserve">expression </w:t>
      </w:r>
      <w:r>
        <w:rPr>
          <w:lang w:val="fr-FR"/>
        </w:rPr>
        <w:t>« </w:t>
      </w:r>
      <w:r w:rsidRPr="0048459D">
        <w:rPr>
          <w:lang w:val="fr-FR"/>
        </w:rPr>
        <w:t>durant l</w:t>
      </w:r>
      <w:r>
        <w:rPr>
          <w:lang w:val="fr-FR"/>
        </w:rPr>
        <w:t>’</w:t>
      </w:r>
      <w:r w:rsidRPr="0048459D">
        <w:rPr>
          <w:lang w:val="fr-FR"/>
        </w:rPr>
        <w:t>exercice de ses fonctions</w:t>
      </w:r>
      <w:r>
        <w:rPr>
          <w:lang w:val="fr-FR"/>
        </w:rPr>
        <w:t> »</w:t>
      </w:r>
      <w:r w:rsidRPr="0048459D">
        <w:rPr>
          <w:lang w:val="fr-FR"/>
        </w:rPr>
        <w:t xml:space="preserve"> qui a été employée. </w:t>
      </w:r>
    </w:p>
    <w:p w14:paraId="0EACB672" w14:textId="304A969D" w:rsidR="003F7DA4" w:rsidRPr="0048459D" w:rsidRDefault="003F7DA4" w:rsidP="003F7DA4">
      <w:pPr>
        <w:pStyle w:val="SingleTxtG"/>
        <w:rPr>
          <w:rFonts w:asciiTheme="majorBidi" w:hAnsiTheme="majorBidi" w:cstheme="majorBidi"/>
          <w:lang w:val="fr-FR"/>
        </w:rPr>
      </w:pPr>
      <w:r>
        <w:rPr>
          <w:lang w:val="fr-FR"/>
        </w:rPr>
        <w:t>189</w:t>
      </w:r>
      <w:r w:rsidRPr="0048459D">
        <w:rPr>
          <w:lang w:val="fr-FR"/>
        </w:rPr>
        <w:t>.</w:t>
      </w:r>
      <w:r w:rsidRPr="0048459D">
        <w:rPr>
          <w:lang w:val="fr-FR"/>
        </w:rPr>
        <w:tab/>
        <w:t xml:space="preserve">En ce qui concerne le paragraphe 2, il a été proposé de le fusionner avec le paragraphe 1, ce qui permettrait de </w:t>
      </w:r>
      <w:r>
        <w:rPr>
          <w:lang w:val="fr-FR"/>
        </w:rPr>
        <w:t xml:space="preserve">clarifier </w:t>
      </w:r>
      <w:r w:rsidRPr="0048459D">
        <w:rPr>
          <w:lang w:val="fr-FR"/>
        </w:rPr>
        <w:t>le texte sans toucher à son contenu. S</w:t>
      </w:r>
      <w:r>
        <w:rPr>
          <w:lang w:val="fr-FR"/>
        </w:rPr>
        <w:t>’</w:t>
      </w:r>
      <w:r w:rsidRPr="0048459D">
        <w:rPr>
          <w:lang w:val="fr-FR"/>
        </w:rPr>
        <w:t>agissant du paragraphe 3, si plusieurs membres ont appuyé la proposition du Rapporteur spécial consistant à le modifier en supprimant l</w:t>
      </w:r>
      <w:r w:rsidR="0007548B">
        <w:rPr>
          <w:lang w:val="fr-FR"/>
        </w:rPr>
        <w:t>es mots</w:t>
      </w:r>
      <w:r w:rsidRPr="0048459D">
        <w:rPr>
          <w:lang w:val="fr-FR"/>
        </w:rPr>
        <w:t xml:space="preserve"> </w:t>
      </w:r>
      <w:r>
        <w:rPr>
          <w:lang w:val="fr-FR"/>
        </w:rPr>
        <w:t>« </w:t>
      </w:r>
      <w:r w:rsidRPr="0048459D">
        <w:rPr>
          <w:lang w:val="fr-FR"/>
        </w:rPr>
        <w:t>des règles du droit international relatives à</w:t>
      </w:r>
      <w:r>
        <w:rPr>
          <w:lang w:val="fr-FR"/>
        </w:rPr>
        <w:t> »</w:t>
      </w:r>
      <w:r w:rsidR="00306ABA">
        <w:rPr>
          <w:lang w:val="fr-FR"/>
        </w:rPr>
        <w:t xml:space="preserve"> et en les remplaçant par la préposition « de »</w:t>
      </w:r>
      <w:r w:rsidRPr="0048459D">
        <w:rPr>
          <w:lang w:val="fr-FR"/>
        </w:rPr>
        <w:t>, d</w:t>
      </w:r>
      <w:r>
        <w:rPr>
          <w:lang w:val="fr-FR"/>
        </w:rPr>
        <w:t>’</w:t>
      </w:r>
      <w:r w:rsidRPr="0048459D">
        <w:rPr>
          <w:lang w:val="fr-FR"/>
        </w:rPr>
        <w:t>autres s</w:t>
      </w:r>
      <w:r>
        <w:rPr>
          <w:lang w:val="fr-FR"/>
        </w:rPr>
        <w:t>’</w:t>
      </w:r>
      <w:r w:rsidRPr="0048459D">
        <w:rPr>
          <w:lang w:val="fr-FR"/>
        </w:rPr>
        <w:t>y sont opposés. Les membres qui l</w:t>
      </w:r>
      <w:r>
        <w:rPr>
          <w:lang w:val="fr-FR"/>
        </w:rPr>
        <w:t>’</w:t>
      </w:r>
      <w:r w:rsidRPr="0048459D">
        <w:rPr>
          <w:lang w:val="fr-FR"/>
        </w:rPr>
        <w:t>ont appuyée estimaient qu</w:t>
      </w:r>
      <w:r>
        <w:rPr>
          <w:lang w:val="fr-FR"/>
        </w:rPr>
        <w:t>’</w:t>
      </w:r>
      <w:r w:rsidRPr="0048459D">
        <w:rPr>
          <w:lang w:val="fr-FR"/>
        </w:rPr>
        <w:t xml:space="preserve">elle simplifiait le texte sans en modifier le contenu ni </w:t>
      </w:r>
      <w:r w:rsidRPr="0048459D">
        <w:rPr>
          <w:rStyle w:val="ui-provider"/>
          <w:lang w:val="fr-FR"/>
        </w:rPr>
        <w:t>escamoter l</w:t>
      </w:r>
      <w:r>
        <w:rPr>
          <w:rStyle w:val="ui-provider"/>
          <w:lang w:val="fr-FR"/>
        </w:rPr>
        <w:t>’</w:t>
      </w:r>
      <w:r w:rsidRPr="0048459D">
        <w:rPr>
          <w:rStyle w:val="ui-provider"/>
          <w:lang w:val="fr-FR"/>
        </w:rPr>
        <w:t>essentiel de l</w:t>
      </w:r>
      <w:r>
        <w:rPr>
          <w:rStyle w:val="ui-provider"/>
          <w:lang w:val="fr-FR"/>
        </w:rPr>
        <w:t>’</w:t>
      </w:r>
      <w:r w:rsidRPr="0048459D">
        <w:rPr>
          <w:rStyle w:val="ui-provider"/>
          <w:lang w:val="fr-FR"/>
        </w:rPr>
        <w:t>argument juridique</w:t>
      </w:r>
      <w:r w:rsidRPr="0048459D">
        <w:rPr>
          <w:lang w:val="fr-FR"/>
        </w:rPr>
        <w:t>. On a aussi considéré qu</w:t>
      </w:r>
      <w:r>
        <w:rPr>
          <w:lang w:val="fr-FR"/>
        </w:rPr>
        <w:t>’</w:t>
      </w:r>
      <w:r w:rsidRPr="0048459D">
        <w:rPr>
          <w:lang w:val="fr-FR"/>
        </w:rPr>
        <w:t>il ne faisait aucun doute que l</w:t>
      </w:r>
      <w:r>
        <w:rPr>
          <w:lang w:val="fr-FR"/>
        </w:rPr>
        <w:t>’</w:t>
      </w:r>
      <w:r w:rsidRPr="0048459D">
        <w:rPr>
          <w:lang w:val="fr-FR"/>
        </w:rPr>
        <w:t>application de règles de l</w:t>
      </w:r>
      <w:r>
        <w:rPr>
          <w:lang w:val="fr-FR"/>
        </w:rPr>
        <w:t>’</w:t>
      </w:r>
      <w:r w:rsidRPr="0048459D">
        <w:rPr>
          <w:lang w:val="fr-FR"/>
        </w:rPr>
        <w:t>immunité présupposait l</w:t>
      </w:r>
      <w:r>
        <w:rPr>
          <w:lang w:val="fr-FR"/>
        </w:rPr>
        <w:t>’</w:t>
      </w:r>
      <w:r w:rsidRPr="0048459D">
        <w:rPr>
          <w:lang w:val="fr-FR"/>
        </w:rPr>
        <w:t>existence de règles du droit international dans ce domaine. Il a été souligné qu</w:t>
      </w:r>
      <w:r>
        <w:rPr>
          <w:lang w:val="fr-FR"/>
        </w:rPr>
        <w:t>’</w:t>
      </w:r>
      <w:r w:rsidRPr="0048459D">
        <w:rPr>
          <w:lang w:val="fr-FR"/>
        </w:rPr>
        <w:t>il serait important de se servir du commentaire pour apporter ce type d</w:t>
      </w:r>
      <w:r>
        <w:rPr>
          <w:lang w:val="fr-FR"/>
        </w:rPr>
        <w:t>’</w:t>
      </w:r>
      <w:r w:rsidRPr="0048459D">
        <w:rPr>
          <w:lang w:val="fr-FR"/>
        </w:rPr>
        <w:t xml:space="preserve">éclaircissements et faire directement référence </w:t>
      </w:r>
      <w:r>
        <w:rPr>
          <w:lang w:val="fr-FR"/>
        </w:rPr>
        <w:t>aux règles pertinentes du</w:t>
      </w:r>
      <w:r w:rsidRPr="0048459D">
        <w:rPr>
          <w:lang w:val="fr-FR"/>
        </w:rPr>
        <w:t xml:space="preserve"> droit international</w:t>
      </w:r>
      <w:r>
        <w:rPr>
          <w:lang w:val="fr-FR"/>
        </w:rPr>
        <w:t xml:space="preserve"> coutumier</w:t>
      </w:r>
      <w:r w:rsidRPr="0048459D">
        <w:rPr>
          <w:lang w:val="fr-FR"/>
        </w:rPr>
        <w:t xml:space="preserve"> relative</w:t>
      </w:r>
      <w:r>
        <w:rPr>
          <w:lang w:val="fr-FR"/>
        </w:rPr>
        <w:t>s</w:t>
      </w:r>
      <w:r w:rsidRPr="0048459D">
        <w:rPr>
          <w:lang w:val="fr-FR"/>
        </w:rPr>
        <w:t xml:space="preserve"> à l</w:t>
      </w:r>
      <w:r>
        <w:rPr>
          <w:lang w:val="fr-FR"/>
        </w:rPr>
        <w:t>’</w:t>
      </w:r>
      <w:r w:rsidRPr="0048459D">
        <w:rPr>
          <w:lang w:val="fr-FR"/>
        </w:rPr>
        <w:t xml:space="preserve">immunité si la Commission adoptait la modification proposée. Les membres qui </w:t>
      </w:r>
      <w:r w:rsidR="00EA2885">
        <w:rPr>
          <w:lang w:val="fr-FR"/>
        </w:rPr>
        <w:t>s’</w:t>
      </w:r>
      <w:r>
        <w:rPr>
          <w:lang w:val="fr-FR"/>
        </w:rPr>
        <w:t>opposaient</w:t>
      </w:r>
      <w:r w:rsidRPr="0048459D">
        <w:rPr>
          <w:lang w:val="fr-FR"/>
        </w:rPr>
        <w:t xml:space="preserve"> à la proposition estimaient que la suppression de la formule aurait pour effet de suggérer que l</w:t>
      </w:r>
      <w:r>
        <w:rPr>
          <w:lang w:val="fr-FR"/>
        </w:rPr>
        <w:t>’</w:t>
      </w:r>
      <w:r w:rsidRPr="0048459D">
        <w:rPr>
          <w:lang w:val="fr-FR"/>
        </w:rPr>
        <w:t xml:space="preserve">immunité </w:t>
      </w:r>
      <w:r w:rsidRPr="0048459D">
        <w:rPr>
          <w:i/>
          <w:iCs/>
          <w:lang w:val="fr-FR"/>
        </w:rPr>
        <w:t xml:space="preserve">ratione materiae </w:t>
      </w:r>
      <w:r w:rsidRPr="0048459D">
        <w:rPr>
          <w:lang w:val="fr-FR"/>
        </w:rPr>
        <w:t>s</w:t>
      </w:r>
      <w:r>
        <w:rPr>
          <w:lang w:val="fr-FR"/>
        </w:rPr>
        <w:t>’</w:t>
      </w:r>
      <w:r w:rsidRPr="0048459D">
        <w:rPr>
          <w:lang w:val="fr-FR"/>
        </w:rPr>
        <w:t>appliquait automatiquement après la cessation de l</w:t>
      </w:r>
      <w:r>
        <w:rPr>
          <w:lang w:val="fr-FR"/>
        </w:rPr>
        <w:t>’</w:t>
      </w:r>
      <w:r w:rsidRPr="0048459D">
        <w:rPr>
          <w:lang w:val="fr-FR"/>
        </w:rPr>
        <w:t xml:space="preserve">immunité </w:t>
      </w:r>
      <w:r w:rsidRPr="0048459D">
        <w:rPr>
          <w:i/>
          <w:iCs/>
          <w:lang w:val="fr-FR"/>
        </w:rPr>
        <w:t>ratione personae</w:t>
      </w:r>
      <w:r w:rsidRPr="0048459D">
        <w:rPr>
          <w:lang w:val="fr-FR"/>
        </w:rPr>
        <w:t>, ce qui, selon eux, n</w:t>
      </w:r>
      <w:r>
        <w:rPr>
          <w:lang w:val="fr-FR"/>
        </w:rPr>
        <w:t>’</w:t>
      </w:r>
      <w:r w:rsidRPr="0048459D">
        <w:rPr>
          <w:lang w:val="fr-FR"/>
        </w:rPr>
        <w:t>était pas fondé</w:t>
      </w:r>
      <w:r>
        <w:rPr>
          <w:lang w:val="fr-FR"/>
        </w:rPr>
        <w:t>, en particulier concernant les crimes visés à l’article 7</w:t>
      </w:r>
      <w:r w:rsidRPr="0048459D">
        <w:rPr>
          <w:lang w:val="fr-FR"/>
        </w:rPr>
        <w:t xml:space="preserve">. </w:t>
      </w:r>
    </w:p>
    <w:p w14:paraId="12DFE41F" w14:textId="77777777" w:rsidR="003F7DA4" w:rsidRPr="0048459D" w:rsidRDefault="003F7DA4" w:rsidP="003F7DA4">
      <w:pPr>
        <w:pStyle w:val="SingleTxtG"/>
        <w:rPr>
          <w:rFonts w:asciiTheme="majorBidi" w:hAnsiTheme="majorBidi" w:cstheme="majorBidi"/>
          <w:lang w:val="fr-FR"/>
        </w:rPr>
      </w:pPr>
      <w:r>
        <w:rPr>
          <w:lang w:val="fr-FR"/>
        </w:rPr>
        <w:t>190</w:t>
      </w:r>
      <w:r w:rsidRPr="0048459D">
        <w:rPr>
          <w:lang w:val="fr-FR"/>
        </w:rPr>
        <w:t>.</w:t>
      </w:r>
      <w:r w:rsidRPr="0048459D">
        <w:rPr>
          <w:lang w:val="fr-FR"/>
        </w:rPr>
        <w:tab/>
        <w:t>Il a été proposé de supprimer le paragraphe 3 dans son intégralité ou de le fusionner avec le paragraphe 3 du projet d</w:t>
      </w:r>
      <w:r>
        <w:rPr>
          <w:lang w:val="fr-FR"/>
        </w:rPr>
        <w:t>’</w:t>
      </w:r>
      <w:r w:rsidRPr="0048459D">
        <w:rPr>
          <w:lang w:val="fr-FR"/>
        </w:rPr>
        <w:t>article 6, les deux paragraphes 3 étant considérés comme portant largement sur la même question. Toutefois, certains membres n</w:t>
      </w:r>
      <w:r>
        <w:rPr>
          <w:lang w:val="fr-FR"/>
        </w:rPr>
        <w:t>’</w:t>
      </w:r>
      <w:r w:rsidRPr="0048459D">
        <w:rPr>
          <w:lang w:val="fr-FR"/>
        </w:rPr>
        <w:t>étaient pas convaincus qu</w:t>
      </w:r>
      <w:r>
        <w:rPr>
          <w:lang w:val="fr-FR"/>
        </w:rPr>
        <w:t>’</w:t>
      </w:r>
      <w:r w:rsidRPr="0048459D">
        <w:rPr>
          <w:lang w:val="fr-FR"/>
        </w:rPr>
        <w:t>il y ait lieu de fusionner les deux paragraphes. Il a également été proposé de fusionner les paragraphes</w:t>
      </w:r>
      <w:r>
        <w:rPr>
          <w:lang w:val="fr-FR"/>
        </w:rPr>
        <w:t> </w:t>
      </w:r>
      <w:r w:rsidRPr="0048459D">
        <w:rPr>
          <w:lang w:val="fr-FR"/>
        </w:rPr>
        <w:t xml:space="preserve">1 et 3, ces dispositions portant toutes deux sur des éléments </w:t>
      </w:r>
      <w:r w:rsidRPr="0048459D">
        <w:rPr>
          <w:lang w:val="fr-FR"/>
        </w:rPr>
        <w:lastRenderedPageBreak/>
        <w:t>temporels. En ce qui concerne le commentaire, il a été jugé nécessaire de préciser que le statut sur le plan de l</w:t>
      </w:r>
      <w:r>
        <w:rPr>
          <w:lang w:val="fr-FR"/>
        </w:rPr>
        <w:t>’</w:t>
      </w:r>
      <w:r w:rsidRPr="0048459D">
        <w:rPr>
          <w:lang w:val="fr-FR"/>
        </w:rPr>
        <w:t>immunité des membres de la famille des représentants faisant partie de la troïka n</w:t>
      </w:r>
      <w:r>
        <w:rPr>
          <w:lang w:val="fr-FR"/>
        </w:rPr>
        <w:t>’</w:t>
      </w:r>
      <w:r w:rsidRPr="0048459D">
        <w:rPr>
          <w:lang w:val="fr-FR"/>
        </w:rPr>
        <w:t>entrait pas dans le champ d</w:t>
      </w:r>
      <w:r>
        <w:rPr>
          <w:lang w:val="fr-FR"/>
        </w:rPr>
        <w:t>’</w:t>
      </w:r>
      <w:r w:rsidRPr="0048459D">
        <w:rPr>
          <w:lang w:val="fr-FR"/>
        </w:rPr>
        <w:t>application du projet d</w:t>
      </w:r>
      <w:r>
        <w:rPr>
          <w:lang w:val="fr-FR"/>
        </w:rPr>
        <w:t>’</w:t>
      </w:r>
      <w:r w:rsidRPr="0048459D">
        <w:rPr>
          <w:lang w:val="fr-FR"/>
        </w:rPr>
        <w:t xml:space="preserve">article. </w:t>
      </w:r>
    </w:p>
    <w:p w14:paraId="323F2F49" w14:textId="77777777" w:rsidR="003F7DA4" w:rsidRPr="0048459D" w:rsidRDefault="003F7DA4" w:rsidP="003F7DA4">
      <w:pPr>
        <w:pStyle w:val="H23G"/>
        <w:rPr>
          <w:rFonts w:eastAsia="SimSun"/>
          <w:i/>
          <w:iCs/>
          <w:lang w:val="fr-FR"/>
        </w:rPr>
      </w:pPr>
      <w:r>
        <w:rPr>
          <w:lang w:val="fr-FR"/>
        </w:rPr>
        <w:tab/>
      </w:r>
      <w:r w:rsidRPr="0048459D">
        <w:rPr>
          <w:lang w:val="fr-FR"/>
        </w:rPr>
        <w:t>f)</w:t>
      </w:r>
      <w:r w:rsidRPr="0048459D">
        <w:rPr>
          <w:lang w:val="fr-FR"/>
        </w:rPr>
        <w:tab/>
      </w:r>
      <w:r w:rsidRPr="0048459D">
        <w:rPr>
          <w:lang w:val="fr-FR"/>
        </w:rPr>
        <w:tab/>
        <w:t>Projet d</w:t>
      </w:r>
      <w:r>
        <w:rPr>
          <w:lang w:val="fr-FR"/>
        </w:rPr>
        <w:t>’</w:t>
      </w:r>
      <w:r w:rsidRPr="0048459D">
        <w:rPr>
          <w:lang w:val="fr-FR"/>
        </w:rPr>
        <w:t>article 5 (Bénéficiaires de l</w:t>
      </w:r>
      <w:r>
        <w:rPr>
          <w:lang w:val="fr-FR"/>
        </w:rPr>
        <w:t>’</w:t>
      </w:r>
      <w:r w:rsidRPr="0048459D">
        <w:rPr>
          <w:lang w:val="fr-FR"/>
        </w:rPr>
        <w:t xml:space="preserve">immunité </w:t>
      </w:r>
      <w:r w:rsidRPr="0048459D">
        <w:rPr>
          <w:i/>
          <w:iCs/>
          <w:lang w:val="fr-FR"/>
        </w:rPr>
        <w:t>ratione materiae</w:t>
      </w:r>
      <w:r w:rsidRPr="0048459D">
        <w:rPr>
          <w:lang w:val="fr-FR"/>
        </w:rPr>
        <w:t>)</w:t>
      </w:r>
    </w:p>
    <w:p w14:paraId="3D05DBEF" w14:textId="4CD1C050" w:rsidR="003F7DA4" w:rsidRPr="0048459D" w:rsidRDefault="003F7DA4" w:rsidP="003F7DA4">
      <w:pPr>
        <w:pStyle w:val="SingleTxtG"/>
        <w:rPr>
          <w:lang w:val="fr-FR"/>
        </w:rPr>
      </w:pPr>
      <w:r>
        <w:rPr>
          <w:lang w:val="fr-FR"/>
        </w:rPr>
        <w:t>191</w:t>
      </w:r>
      <w:r w:rsidRPr="0048459D">
        <w:rPr>
          <w:lang w:val="fr-FR"/>
        </w:rPr>
        <w:t>.</w:t>
      </w:r>
      <w:r w:rsidRPr="0048459D">
        <w:rPr>
          <w:lang w:val="fr-FR"/>
        </w:rPr>
        <w:tab/>
        <w:t>En ce qui concerne le projet d</w:t>
      </w:r>
      <w:r>
        <w:rPr>
          <w:lang w:val="fr-FR"/>
        </w:rPr>
        <w:t>’</w:t>
      </w:r>
      <w:r w:rsidRPr="0048459D">
        <w:rPr>
          <w:lang w:val="fr-FR"/>
        </w:rPr>
        <w:t>article 5, les membres ont dans l</w:t>
      </w:r>
      <w:r>
        <w:rPr>
          <w:lang w:val="fr-FR"/>
        </w:rPr>
        <w:t>’</w:t>
      </w:r>
      <w:r w:rsidRPr="0048459D">
        <w:rPr>
          <w:lang w:val="fr-FR"/>
        </w:rPr>
        <w:t xml:space="preserve">ensemble </w:t>
      </w:r>
      <w:r>
        <w:rPr>
          <w:lang w:val="fr-FR"/>
        </w:rPr>
        <w:t>appuyé</w:t>
      </w:r>
      <w:r w:rsidRPr="0048459D">
        <w:rPr>
          <w:lang w:val="fr-FR"/>
        </w:rPr>
        <w:t xml:space="preserve"> </w:t>
      </w:r>
      <w:r>
        <w:rPr>
          <w:lang w:val="fr-FR"/>
        </w:rPr>
        <w:t>la suggestion</w:t>
      </w:r>
      <w:r w:rsidRPr="0048459D">
        <w:rPr>
          <w:lang w:val="fr-FR"/>
        </w:rPr>
        <w:t xml:space="preserve"> du Rapporteur spécial</w:t>
      </w:r>
      <w:r>
        <w:rPr>
          <w:lang w:val="fr-FR"/>
        </w:rPr>
        <w:t xml:space="preserve"> de supprimer </w:t>
      </w:r>
      <w:r w:rsidRPr="0048459D">
        <w:rPr>
          <w:lang w:val="fr-FR"/>
        </w:rPr>
        <w:t xml:space="preserve">la formule </w:t>
      </w:r>
      <w:r>
        <w:rPr>
          <w:lang w:val="fr-FR"/>
        </w:rPr>
        <w:t>« </w:t>
      </w:r>
      <w:r w:rsidRPr="0048459D">
        <w:rPr>
          <w:lang w:val="fr-FR"/>
        </w:rPr>
        <w:t>agissant à ce titre</w:t>
      </w:r>
      <w:r>
        <w:rPr>
          <w:lang w:val="fr-FR"/>
        </w:rPr>
        <w:t> »</w:t>
      </w:r>
      <w:r w:rsidRPr="0048459D">
        <w:rPr>
          <w:lang w:val="fr-FR"/>
        </w:rPr>
        <w:t>. Un certain nombre d</w:t>
      </w:r>
      <w:r>
        <w:rPr>
          <w:lang w:val="fr-FR"/>
        </w:rPr>
        <w:t>’</w:t>
      </w:r>
      <w:r w:rsidRPr="0048459D">
        <w:rPr>
          <w:lang w:val="fr-FR"/>
        </w:rPr>
        <w:t>entre eux estimaient qu</w:t>
      </w:r>
      <w:r>
        <w:rPr>
          <w:lang w:val="fr-FR"/>
        </w:rPr>
        <w:t>’</w:t>
      </w:r>
      <w:r w:rsidRPr="0048459D">
        <w:rPr>
          <w:lang w:val="fr-FR"/>
        </w:rPr>
        <w:t>elle faisait double emploi avec le contenu des projets d</w:t>
      </w:r>
      <w:r>
        <w:rPr>
          <w:lang w:val="fr-FR"/>
        </w:rPr>
        <w:t>’</w:t>
      </w:r>
      <w:r w:rsidRPr="0048459D">
        <w:rPr>
          <w:lang w:val="fr-FR"/>
        </w:rPr>
        <w:t>articles</w:t>
      </w:r>
      <w:r>
        <w:rPr>
          <w:lang w:val="fr-FR"/>
        </w:rPr>
        <w:t> </w:t>
      </w:r>
      <w:r w:rsidRPr="0048459D">
        <w:rPr>
          <w:lang w:val="fr-FR"/>
        </w:rPr>
        <w:t>2 (al.</w:t>
      </w:r>
      <w:r>
        <w:rPr>
          <w:lang w:val="fr-FR"/>
        </w:rPr>
        <w:t> </w:t>
      </w:r>
      <w:r w:rsidRPr="0048459D">
        <w:rPr>
          <w:lang w:val="fr-FR"/>
        </w:rPr>
        <w:t>a)</w:t>
      </w:r>
      <w:r w:rsidR="00EA2885">
        <w:rPr>
          <w:lang w:val="fr-FR"/>
        </w:rPr>
        <w:t>)</w:t>
      </w:r>
      <w:r w:rsidRPr="0048459D">
        <w:rPr>
          <w:lang w:val="fr-FR"/>
        </w:rPr>
        <w:t xml:space="preserve"> et 6 et n</w:t>
      </w:r>
      <w:r>
        <w:rPr>
          <w:lang w:val="fr-FR"/>
        </w:rPr>
        <w:t>’</w:t>
      </w:r>
      <w:r w:rsidRPr="0048459D">
        <w:rPr>
          <w:lang w:val="fr-FR"/>
        </w:rPr>
        <w:t>était donc pas nécessaire. D</w:t>
      </w:r>
      <w:r>
        <w:rPr>
          <w:lang w:val="fr-FR"/>
        </w:rPr>
        <w:t>’</w:t>
      </w:r>
      <w:r w:rsidRPr="0048459D">
        <w:rPr>
          <w:lang w:val="fr-FR"/>
        </w:rPr>
        <w:t>autres étaient d</w:t>
      </w:r>
      <w:r>
        <w:rPr>
          <w:lang w:val="fr-FR"/>
        </w:rPr>
        <w:t>’</w:t>
      </w:r>
      <w:r w:rsidRPr="0048459D">
        <w:rPr>
          <w:lang w:val="fr-FR"/>
        </w:rPr>
        <w:t>avis qu</w:t>
      </w:r>
      <w:r>
        <w:rPr>
          <w:lang w:val="fr-FR"/>
        </w:rPr>
        <w:t>’</w:t>
      </w:r>
      <w:r w:rsidRPr="0048459D">
        <w:rPr>
          <w:lang w:val="fr-FR"/>
        </w:rPr>
        <w:t>utiliser une formulation différente de celles de ces dispositions créait un risque de confusion. Il a été rappelé qu</w:t>
      </w:r>
      <w:r>
        <w:rPr>
          <w:lang w:val="fr-FR"/>
        </w:rPr>
        <w:t>’</w:t>
      </w:r>
      <w:r w:rsidRPr="0048459D">
        <w:rPr>
          <w:lang w:val="fr-FR"/>
        </w:rPr>
        <w:t>on avait inclus la formule dans la disposition pour signaler la distinction entre l</w:t>
      </w:r>
      <w:r>
        <w:rPr>
          <w:lang w:val="fr-FR"/>
        </w:rPr>
        <w:t>’</w:t>
      </w:r>
      <w:r w:rsidRPr="0048459D">
        <w:rPr>
          <w:lang w:val="fr-FR"/>
        </w:rPr>
        <w:t xml:space="preserve">immunité </w:t>
      </w:r>
      <w:r w:rsidRPr="0048459D">
        <w:rPr>
          <w:i/>
          <w:iCs/>
          <w:lang w:val="fr-FR"/>
        </w:rPr>
        <w:t>ratione personae</w:t>
      </w:r>
      <w:r w:rsidRPr="0048459D">
        <w:rPr>
          <w:lang w:val="fr-FR"/>
        </w:rPr>
        <w:t xml:space="preserve"> et l</w:t>
      </w:r>
      <w:r>
        <w:rPr>
          <w:lang w:val="fr-FR"/>
        </w:rPr>
        <w:t>’</w:t>
      </w:r>
      <w:r w:rsidRPr="0048459D">
        <w:rPr>
          <w:lang w:val="fr-FR"/>
        </w:rPr>
        <w:t xml:space="preserve">immunité </w:t>
      </w:r>
      <w:r w:rsidRPr="0048459D">
        <w:rPr>
          <w:i/>
          <w:iCs/>
          <w:lang w:val="fr-FR"/>
        </w:rPr>
        <w:t>ratione materiae</w:t>
      </w:r>
      <w:r w:rsidRPr="0048459D">
        <w:rPr>
          <w:lang w:val="fr-FR"/>
        </w:rPr>
        <w:t>.</w:t>
      </w:r>
    </w:p>
    <w:p w14:paraId="24D3468E" w14:textId="77777777" w:rsidR="003F7DA4" w:rsidRPr="0048459D" w:rsidRDefault="003F7DA4" w:rsidP="003F7DA4">
      <w:pPr>
        <w:pStyle w:val="SingleTxtG"/>
        <w:rPr>
          <w:lang w:val="fr-FR"/>
        </w:rPr>
      </w:pPr>
      <w:r w:rsidRPr="00EA2885">
        <w:rPr>
          <w:lang w:val="fr-FR"/>
        </w:rPr>
        <w:t>192.</w:t>
      </w:r>
      <w:r w:rsidRPr="00EA2885">
        <w:rPr>
          <w:lang w:val="fr-FR"/>
        </w:rPr>
        <w:tab/>
        <w:t>En outre, plusieurs membres ont approuvé l’ajout de la formule « conformément au projet d’article 6 » à la fin de la disposition. Certains membres ont proposé d’employer plutôt une formulation</w:t>
      </w:r>
      <w:r w:rsidRPr="0048459D">
        <w:rPr>
          <w:lang w:val="fr-FR"/>
        </w:rPr>
        <w:t xml:space="preserve"> plus générale renvoyant à la troisième partie ou au projet d</w:t>
      </w:r>
      <w:r>
        <w:rPr>
          <w:lang w:val="fr-FR"/>
        </w:rPr>
        <w:t>’</w:t>
      </w:r>
      <w:r w:rsidRPr="0048459D">
        <w:rPr>
          <w:lang w:val="fr-FR"/>
        </w:rPr>
        <w:t>articles dans son ensemble afin d</w:t>
      </w:r>
      <w:r>
        <w:rPr>
          <w:lang w:val="fr-FR"/>
        </w:rPr>
        <w:t>’</w:t>
      </w:r>
      <w:r w:rsidRPr="0048459D">
        <w:rPr>
          <w:lang w:val="fr-FR"/>
        </w:rPr>
        <w:t>indiquer clairement que ces dispositions s</w:t>
      </w:r>
      <w:r>
        <w:rPr>
          <w:lang w:val="fr-FR"/>
        </w:rPr>
        <w:t>’</w:t>
      </w:r>
      <w:r w:rsidRPr="0048459D">
        <w:rPr>
          <w:lang w:val="fr-FR"/>
        </w:rPr>
        <w:t xml:space="preserve">appliquent aussi </w:t>
      </w:r>
      <w:r>
        <w:rPr>
          <w:lang w:val="fr-FR"/>
        </w:rPr>
        <w:t>en cas de</w:t>
      </w:r>
      <w:r w:rsidRPr="0048459D">
        <w:rPr>
          <w:lang w:val="fr-FR"/>
        </w:rPr>
        <w:t xml:space="preserve"> bénéfice de l</w:t>
      </w:r>
      <w:r>
        <w:rPr>
          <w:lang w:val="fr-FR"/>
        </w:rPr>
        <w:t>’</w:t>
      </w:r>
      <w:r w:rsidRPr="0048459D">
        <w:rPr>
          <w:lang w:val="fr-FR"/>
        </w:rPr>
        <w:t xml:space="preserve">immunité </w:t>
      </w:r>
      <w:r w:rsidRPr="0048459D">
        <w:rPr>
          <w:i/>
          <w:iCs/>
          <w:lang w:val="fr-FR"/>
        </w:rPr>
        <w:t>ratione materiae</w:t>
      </w:r>
      <w:r w:rsidRPr="0048459D">
        <w:rPr>
          <w:lang w:val="fr-FR"/>
        </w:rPr>
        <w:t>. Il a aussi été dit que cette référence n</w:t>
      </w:r>
      <w:r>
        <w:rPr>
          <w:lang w:val="fr-FR"/>
        </w:rPr>
        <w:t>’</w:t>
      </w:r>
      <w:r w:rsidRPr="0048459D">
        <w:rPr>
          <w:lang w:val="fr-FR"/>
        </w:rPr>
        <w:t>était pas nécessaire.</w:t>
      </w:r>
    </w:p>
    <w:p w14:paraId="58466A2F" w14:textId="77777777" w:rsidR="003F7DA4" w:rsidRPr="0048459D" w:rsidRDefault="003F7DA4" w:rsidP="003F7DA4">
      <w:pPr>
        <w:pStyle w:val="SingleTxtG"/>
        <w:rPr>
          <w:lang w:val="fr-FR"/>
        </w:rPr>
      </w:pPr>
      <w:r>
        <w:rPr>
          <w:lang w:val="fr-FR"/>
        </w:rPr>
        <w:t>193</w:t>
      </w:r>
      <w:r w:rsidRPr="0048459D">
        <w:rPr>
          <w:lang w:val="fr-FR"/>
        </w:rPr>
        <w:t>.</w:t>
      </w:r>
      <w:r w:rsidRPr="0048459D">
        <w:rPr>
          <w:lang w:val="fr-FR"/>
        </w:rPr>
        <w:tab/>
        <w:t>Plusieurs membres ont proposé de fusionner le projet d</w:t>
      </w:r>
      <w:r>
        <w:rPr>
          <w:lang w:val="fr-FR"/>
        </w:rPr>
        <w:t>’</w:t>
      </w:r>
      <w:r w:rsidRPr="0048459D">
        <w:rPr>
          <w:lang w:val="fr-FR"/>
        </w:rPr>
        <w:t>article 5 avec le projet d</w:t>
      </w:r>
      <w:r>
        <w:rPr>
          <w:lang w:val="fr-FR"/>
        </w:rPr>
        <w:t>’</w:t>
      </w:r>
      <w:r w:rsidRPr="0048459D">
        <w:rPr>
          <w:lang w:val="fr-FR"/>
        </w:rPr>
        <w:t>article 6, en particulier avec le paragraphe 1. D</w:t>
      </w:r>
      <w:r>
        <w:rPr>
          <w:lang w:val="fr-FR"/>
        </w:rPr>
        <w:t>’</w:t>
      </w:r>
      <w:r w:rsidRPr="0048459D">
        <w:rPr>
          <w:lang w:val="fr-FR"/>
        </w:rPr>
        <w:t>autres membres se sont opposés à ce qu</w:t>
      </w:r>
      <w:r>
        <w:rPr>
          <w:lang w:val="fr-FR"/>
        </w:rPr>
        <w:t>’</w:t>
      </w:r>
      <w:r w:rsidRPr="0048459D">
        <w:rPr>
          <w:lang w:val="fr-FR"/>
        </w:rPr>
        <w:t>on réunisse les deux dispositions. Certains d</w:t>
      </w:r>
      <w:r>
        <w:rPr>
          <w:lang w:val="fr-FR"/>
        </w:rPr>
        <w:t>’</w:t>
      </w:r>
      <w:r w:rsidRPr="0048459D">
        <w:rPr>
          <w:lang w:val="fr-FR"/>
        </w:rPr>
        <w:t>entre eux trouvaient utile qu</w:t>
      </w:r>
      <w:r>
        <w:rPr>
          <w:lang w:val="fr-FR"/>
        </w:rPr>
        <w:t>’</w:t>
      </w:r>
      <w:r w:rsidRPr="0048459D">
        <w:rPr>
          <w:lang w:val="fr-FR"/>
        </w:rPr>
        <w:t>une disposition distincte articule clairement la règle générale de l</w:t>
      </w:r>
      <w:r>
        <w:rPr>
          <w:lang w:val="fr-FR"/>
        </w:rPr>
        <w:t>’</w:t>
      </w:r>
      <w:r w:rsidRPr="0048459D">
        <w:rPr>
          <w:lang w:val="fr-FR"/>
        </w:rPr>
        <w:t xml:space="preserve">immunité </w:t>
      </w:r>
      <w:r w:rsidRPr="0048459D">
        <w:rPr>
          <w:i/>
          <w:iCs/>
          <w:lang w:val="fr-FR"/>
        </w:rPr>
        <w:t>ratione materiae</w:t>
      </w:r>
      <w:r w:rsidRPr="0048459D">
        <w:rPr>
          <w:lang w:val="fr-FR"/>
        </w:rPr>
        <w:t>. D</w:t>
      </w:r>
      <w:r>
        <w:rPr>
          <w:lang w:val="fr-FR"/>
        </w:rPr>
        <w:t>’</w:t>
      </w:r>
      <w:r w:rsidRPr="0048459D">
        <w:rPr>
          <w:lang w:val="fr-FR"/>
        </w:rPr>
        <w:t>autres estimaient qu</w:t>
      </w:r>
      <w:r>
        <w:rPr>
          <w:lang w:val="fr-FR"/>
        </w:rPr>
        <w:t>’</w:t>
      </w:r>
      <w:r w:rsidRPr="0048459D">
        <w:rPr>
          <w:lang w:val="fr-FR"/>
        </w:rPr>
        <w:t>il en allait de la clarté et de la lisibilité du texte dans son ensemble de garder un parallèle entre les structures des deuxième et troisième parties. Toutefois, il a aussi été dit qu</w:t>
      </w:r>
      <w:r>
        <w:rPr>
          <w:lang w:val="fr-FR"/>
        </w:rPr>
        <w:t>’</w:t>
      </w:r>
      <w:r w:rsidRPr="0048459D">
        <w:rPr>
          <w:lang w:val="fr-FR"/>
        </w:rPr>
        <w:t>une différence de structure entre les deux parties contribuerait à souligner la différence entre l</w:t>
      </w:r>
      <w:r>
        <w:rPr>
          <w:lang w:val="fr-FR"/>
        </w:rPr>
        <w:t>’</w:t>
      </w:r>
      <w:r w:rsidRPr="0048459D">
        <w:rPr>
          <w:lang w:val="fr-FR"/>
        </w:rPr>
        <w:t xml:space="preserve">immunité </w:t>
      </w:r>
      <w:r w:rsidRPr="0048459D">
        <w:rPr>
          <w:i/>
          <w:iCs/>
          <w:lang w:val="fr-FR"/>
        </w:rPr>
        <w:t>ratione personae</w:t>
      </w:r>
      <w:r w:rsidRPr="0048459D">
        <w:rPr>
          <w:lang w:val="fr-FR"/>
        </w:rPr>
        <w:t xml:space="preserve"> et l</w:t>
      </w:r>
      <w:r>
        <w:rPr>
          <w:lang w:val="fr-FR"/>
        </w:rPr>
        <w:t>’</w:t>
      </w:r>
      <w:r w:rsidRPr="0048459D">
        <w:rPr>
          <w:lang w:val="fr-FR"/>
        </w:rPr>
        <w:t xml:space="preserve">immunité </w:t>
      </w:r>
      <w:r w:rsidRPr="0048459D">
        <w:rPr>
          <w:i/>
          <w:iCs/>
          <w:lang w:val="fr-FR"/>
        </w:rPr>
        <w:t>ratione materiae</w:t>
      </w:r>
      <w:r w:rsidRPr="0048459D">
        <w:rPr>
          <w:lang w:val="fr-FR"/>
        </w:rPr>
        <w:t xml:space="preserve">. </w:t>
      </w:r>
    </w:p>
    <w:p w14:paraId="20647A8C" w14:textId="77777777" w:rsidR="003F7DA4" w:rsidRPr="0048459D" w:rsidRDefault="003F7DA4" w:rsidP="003F7DA4">
      <w:pPr>
        <w:pStyle w:val="H23G"/>
        <w:rPr>
          <w:rFonts w:eastAsia="SimSun"/>
          <w:lang w:val="fr-FR"/>
        </w:rPr>
      </w:pPr>
      <w:r>
        <w:rPr>
          <w:lang w:val="fr-FR"/>
        </w:rPr>
        <w:tab/>
      </w:r>
      <w:r w:rsidRPr="0048459D">
        <w:rPr>
          <w:lang w:val="fr-FR"/>
        </w:rPr>
        <w:t>g)</w:t>
      </w:r>
      <w:r w:rsidRPr="0048459D">
        <w:rPr>
          <w:lang w:val="fr-FR"/>
        </w:rPr>
        <w:tab/>
      </w:r>
      <w:r w:rsidRPr="0048459D">
        <w:rPr>
          <w:lang w:val="fr-FR"/>
        </w:rPr>
        <w:tab/>
        <w:t>Projet d</w:t>
      </w:r>
      <w:r>
        <w:rPr>
          <w:lang w:val="fr-FR"/>
        </w:rPr>
        <w:t>’</w:t>
      </w:r>
      <w:r w:rsidRPr="0048459D">
        <w:rPr>
          <w:lang w:val="fr-FR"/>
        </w:rPr>
        <w:t>article 6 (Portée de l</w:t>
      </w:r>
      <w:r>
        <w:rPr>
          <w:lang w:val="fr-FR"/>
        </w:rPr>
        <w:t>’</w:t>
      </w:r>
      <w:r w:rsidRPr="0048459D">
        <w:rPr>
          <w:lang w:val="fr-FR"/>
        </w:rPr>
        <w:t xml:space="preserve">immunité </w:t>
      </w:r>
      <w:r w:rsidRPr="0048459D">
        <w:rPr>
          <w:i/>
          <w:iCs/>
          <w:lang w:val="fr-FR"/>
        </w:rPr>
        <w:t>ratione materiae</w:t>
      </w:r>
      <w:r w:rsidRPr="0048459D">
        <w:rPr>
          <w:lang w:val="fr-FR"/>
        </w:rPr>
        <w:t>)</w:t>
      </w:r>
    </w:p>
    <w:p w14:paraId="49BE0ECC" w14:textId="77777777" w:rsidR="003F7DA4" w:rsidRPr="0048459D" w:rsidRDefault="003F7DA4" w:rsidP="003F7DA4">
      <w:pPr>
        <w:pStyle w:val="SingleTxtG"/>
        <w:rPr>
          <w:lang w:val="fr-FR"/>
        </w:rPr>
      </w:pPr>
      <w:r>
        <w:rPr>
          <w:lang w:val="fr-FR"/>
        </w:rPr>
        <w:t>194</w:t>
      </w:r>
      <w:r w:rsidRPr="0048459D">
        <w:rPr>
          <w:lang w:val="fr-FR"/>
        </w:rPr>
        <w:t>.</w:t>
      </w:r>
      <w:r w:rsidRPr="0048459D">
        <w:rPr>
          <w:lang w:val="fr-FR"/>
        </w:rPr>
        <w:tab/>
        <w:t>Un appui a aussi été exprimé en faveur du contenu du projet d</w:t>
      </w:r>
      <w:r>
        <w:rPr>
          <w:lang w:val="fr-FR"/>
        </w:rPr>
        <w:t>’</w:t>
      </w:r>
      <w:r w:rsidRPr="0048459D">
        <w:rPr>
          <w:lang w:val="fr-FR"/>
        </w:rPr>
        <w:t>article 6. Il a été proposé d</w:t>
      </w:r>
      <w:r>
        <w:rPr>
          <w:lang w:val="fr-FR"/>
        </w:rPr>
        <w:t>’</w:t>
      </w:r>
      <w:r w:rsidRPr="0048459D">
        <w:rPr>
          <w:lang w:val="fr-FR"/>
        </w:rPr>
        <w:t xml:space="preserve">ajouter la formule </w:t>
      </w:r>
      <w:r>
        <w:rPr>
          <w:lang w:val="fr-FR"/>
        </w:rPr>
        <w:t>« </w:t>
      </w:r>
      <w:r w:rsidRPr="0048459D">
        <w:rPr>
          <w:lang w:val="fr-FR"/>
        </w:rPr>
        <w:t>conformément au droit international</w:t>
      </w:r>
      <w:r>
        <w:rPr>
          <w:lang w:val="fr-FR"/>
        </w:rPr>
        <w:t> »</w:t>
      </w:r>
      <w:r w:rsidRPr="0048459D">
        <w:rPr>
          <w:lang w:val="fr-FR"/>
        </w:rPr>
        <w:t xml:space="preserve"> à la fin des paragraphes</w:t>
      </w:r>
      <w:r>
        <w:rPr>
          <w:lang w:val="fr-FR"/>
        </w:rPr>
        <w:t> </w:t>
      </w:r>
      <w:r w:rsidRPr="0048459D">
        <w:rPr>
          <w:lang w:val="fr-FR"/>
        </w:rPr>
        <w:t>1 et 2 pour refléter l</w:t>
      </w:r>
      <w:r>
        <w:rPr>
          <w:lang w:val="fr-FR"/>
        </w:rPr>
        <w:t>’</w:t>
      </w:r>
      <w:r w:rsidRPr="0048459D">
        <w:rPr>
          <w:lang w:val="fr-FR"/>
        </w:rPr>
        <w:t>applicabilité du projet d</w:t>
      </w:r>
      <w:r>
        <w:rPr>
          <w:lang w:val="fr-FR"/>
        </w:rPr>
        <w:t>’</w:t>
      </w:r>
      <w:r w:rsidRPr="0048459D">
        <w:rPr>
          <w:lang w:val="fr-FR"/>
        </w:rPr>
        <w:t>article 7.</w:t>
      </w:r>
    </w:p>
    <w:p w14:paraId="1B4A7BF5" w14:textId="77777777" w:rsidR="003F7DA4" w:rsidRPr="0048459D" w:rsidRDefault="003F7DA4" w:rsidP="003F7DA4">
      <w:pPr>
        <w:pStyle w:val="SingleTxtG"/>
        <w:rPr>
          <w:lang w:val="fr-FR"/>
        </w:rPr>
      </w:pPr>
      <w:r>
        <w:rPr>
          <w:lang w:val="fr-FR"/>
        </w:rPr>
        <w:t>195</w:t>
      </w:r>
      <w:r w:rsidRPr="0048459D">
        <w:rPr>
          <w:lang w:val="fr-FR"/>
        </w:rPr>
        <w:t>.</w:t>
      </w:r>
      <w:r w:rsidRPr="0048459D">
        <w:rPr>
          <w:lang w:val="fr-FR"/>
        </w:rPr>
        <w:tab/>
        <w:t>En ce qui concerne le paragraphe 3, plusieurs membres ont appuyé la proposition du Rapporteur spécial d</w:t>
      </w:r>
      <w:r>
        <w:rPr>
          <w:lang w:val="fr-FR"/>
        </w:rPr>
        <w:t>’</w:t>
      </w:r>
      <w:r w:rsidRPr="0048459D">
        <w:rPr>
          <w:lang w:val="fr-FR"/>
        </w:rPr>
        <w:t xml:space="preserve">y ajouter les mots </w:t>
      </w:r>
      <w:r>
        <w:rPr>
          <w:lang w:val="fr-FR"/>
        </w:rPr>
        <w:t>« </w:t>
      </w:r>
      <w:r w:rsidRPr="0048459D">
        <w:rPr>
          <w:i/>
          <w:iCs/>
          <w:lang w:val="fr-FR"/>
        </w:rPr>
        <w:t>ratione materiae</w:t>
      </w:r>
      <w:r>
        <w:rPr>
          <w:lang w:val="fr-FR"/>
        </w:rPr>
        <w:t> »</w:t>
      </w:r>
      <w:r w:rsidRPr="0048459D">
        <w:rPr>
          <w:lang w:val="fr-FR"/>
        </w:rPr>
        <w:t>. Toutefois, les raisons pour lesquelles ces mots n</w:t>
      </w:r>
      <w:r>
        <w:rPr>
          <w:lang w:val="fr-FR"/>
        </w:rPr>
        <w:t>’</w:t>
      </w:r>
      <w:r w:rsidRPr="0048459D">
        <w:rPr>
          <w:lang w:val="fr-FR"/>
        </w:rPr>
        <w:t xml:space="preserve">avaient pas été inclus au stade de la première lecture, expliquées au paragraphe 13 du commentaire, ont été rappelées en guise de contre-argument. Il a aussi été suggéré que les mots </w:t>
      </w:r>
      <w:r>
        <w:rPr>
          <w:lang w:val="fr-FR"/>
        </w:rPr>
        <w:t>« </w:t>
      </w:r>
      <w:r w:rsidRPr="0048459D">
        <w:rPr>
          <w:i/>
          <w:iCs/>
          <w:lang w:val="fr-FR"/>
        </w:rPr>
        <w:t>ratione materiae</w:t>
      </w:r>
      <w:r>
        <w:rPr>
          <w:lang w:val="fr-FR"/>
        </w:rPr>
        <w:t> »</w:t>
      </w:r>
      <w:r w:rsidRPr="0048459D">
        <w:rPr>
          <w:lang w:val="fr-FR"/>
        </w:rPr>
        <w:t xml:space="preserve"> soient supprimés des paragraphes</w:t>
      </w:r>
      <w:r>
        <w:rPr>
          <w:lang w:val="fr-FR"/>
        </w:rPr>
        <w:t> </w:t>
      </w:r>
      <w:r w:rsidRPr="0048459D">
        <w:rPr>
          <w:lang w:val="fr-FR"/>
        </w:rPr>
        <w:t xml:space="preserve">2 et 3 parce que la formule </w:t>
      </w:r>
      <w:r>
        <w:rPr>
          <w:lang w:val="fr-FR"/>
        </w:rPr>
        <w:t>« </w:t>
      </w:r>
      <w:r w:rsidRPr="0048459D">
        <w:rPr>
          <w:lang w:val="fr-FR"/>
        </w:rPr>
        <w:t>l</w:t>
      </w:r>
      <w:r>
        <w:rPr>
          <w:lang w:val="fr-FR"/>
        </w:rPr>
        <w:t>’</w:t>
      </w:r>
      <w:r w:rsidRPr="0048459D">
        <w:rPr>
          <w:lang w:val="fr-FR"/>
        </w:rPr>
        <w:t xml:space="preserve">immunité </w:t>
      </w:r>
      <w:r w:rsidRPr="0048459D">
        <w:rPr>
          <w:i/>
          <w:iCs/>
          <w:lang w:val="fr-FR"/>
        </w:rPr>
        <w:t>ratione materiae</w:t>
      </w:r>
      <w:r w:rsidRPr="0048459D">
        <w:rPr>
          <w:lang w:val="fr-FR"/>
        </w:rPr>
        <w:t xml:space="preserve"> en ce qui concerne les actes accomplis à titre officiel</w:t>
      </w:r>
      <w:r>
        <w:rPr>
          <w:lang w:val="fr-FR"/>
        </w:rPr>
        <w:t> »</w:t>
      </w:r>
      <w:r w:rsidRPr="0048459D">
        <w:rPr>
          <w:lang w:val="fr-FR"/>
        </w:rPr>
        <w:t xml:space="preserve"> pourrait être considérée tautologique. Un appui a en outre été exprimé en faveur de la proposition du Rapporteur spécial de préciser dans le commentaire que l</w:t>
      </w:r>
      <w:r>
        <w:rPr>
          <w:lang w:val="fr-FR"/>
        </w:rPr>
        <w:t>’</w:t>
      </w:r>
      <w:r w:rsidRPr="0048459D">
        <w:rPr>
          <w:lang w:val="fr-FR"/>
        </w:rPr>
        <w:t xml:space="preserve">immunité </w:t>
      </w:r>
      <w:r w:rsidRPr="0048459D">
        <w:rPr>
          <w:i/>
          <w:iCs/>
          <w:lang w:val="fr-FR"/>
        </w:rPr>
        <w:t>ratione</w:t>
      </w:r>
      <w:r>
        <w:rPr>
          <w:i/>
          <w:iCs/>
          <w:lang w:val="fr-FR"/>
        </w:rPr>
        <w:t> </w:t>
      </w:r>
      <w:r w:rsidRPr="0048459D">
        <w:rPr>
          <w:i/>
          <w:iCs/>
          <w:lang w:val="fr-FR"/>
        </w:rPr>
        <w:t>materiae</w:t>
      </w:r>
      <w:r w:rsidRPr="0048459D">
        <w:rPr>
          <w:lang w:val="fr-FR"/>
        </w:rPr>
        <w:t xml:space="preserve"> subsiste après la cessation de l</w:t>
      </w:r>
      <w:r>
        <w:rPr>
          <w:lang w:val="fr-FR"/>
        </w:rPr>
        <w:t>’</w:t>
      </w:r>
      <w:r w:rsidRPr="0048459D">
        <w:rPr>
          <w:lang w:val="fr-FR"/>
        </w:rPr>
        <w:t xml:space="preserve">immunité </w:t>
      </w:r>
      <w:r w:rsidRPr="0048459D">
        <w:rPr>
          <w:i/>
          <w:iCs/>
          <w:lang w:val="fr-FR"/>
        </w:rPr>
        <w:t>ratione personae</w:t>
      </w:r>
      <w:r w:rsidRPr="0048459D">
        <w:rPr>
          <w:lang w:val="fr-FR"/>
        </w:rPr>
        <w:t>, pour les membres de la troïka, en ce qui concerne les actes accomplis à titre officiel.</w:t>
      </w:r>
    </w:p>
    <w:p w14:paraId="1382234C" w14:textId="77777777" w:rsidR="003F7DA4" w:rsidRPr="0048459D" w:rsidRDefault="003F7DA4" w:rsidP="003F7DA4">
      <w:pPr>
        <w:pStyle w:val="SingleTxtG"/>
        <w:rPr>
          <w:lang w:val="fr-FR"/>
        </w:rPr>
      </w:pPr>
      <w:r>
        <w:rPr>
          <w:lang w:val="fr-FR"/>
        </w:rPr>
        <w:t>196</w:t>
      </w:r>
      <w:r w:rsidRPr="0048459D">
        <w:rPr>
          <w:lang w:val="fr-FR"/>
        </w:rPr>
        <w:t>.</w:t>
      </w:r>
      <w:r w:rsidRPr="0048459D">
        <w:rPr>
          <w:lang w:val="fr-FR"/>
        </w:rPr>
        <w:tab/>
        <w:t>Des membres ont souligné que plusieurs points mériteraient d</w:t>
      </w:r>
      <w:r>
        <w:rPr>
          <w:lang w:val="fr-FR"/>
        </w:rPr>
        <w:t>’</w:t>
      </w:r>
      <w:r w:rsidRPr="0048459D">
        <w:rPr>
          <w:lang w:val="fr-FR"/>
        </w:rPr>
        <w:t>être examinés plus avant dans le commentaire du projet d</w:t>
      </w:r>
      <w:r>
        <w:rPr>
          <w:lang w:val="fr-FR"/>
        </w:rPr>
        <w:t>’</w:t>
      </w:r>
      <w:r w:rsidRPr="0048459D">
        <w:rPr>
          <w:lang w:val="fr-FR"/>
        </w:rPr>
        <w:t>article 6. Il a été proposé que la Commission ajoute au commentaire des exemples concrets de mesures de contrainte que l</w:t>
      </w:r>
      <w:r>
        <w:rPr>
          <w:lang w:val="fr-FR"/>
        </w:rPr>
        <w:t>’</w:t>
      </w:r>
      <w:r w:rsidRPr="0048459D">
        <w:rPr>
          <w:lang w:val="fr-FR"/>
        </w:rPr>
        <w:t>immunité exclut. Il a également été suggéré qu</w:t>
      </w:r>
      <w:r>
        <w:rPr>
          <w:lang w:val="fr-FR"/>
        </w:rPr>
        <w:t>’</w:t>
      </w:r>
      <w:r w:rsidRPr="0048459D">
        <w:rPr>
          <w:lang w:val="fr-FR"/>
        </w:rPr>
        <w:t>il serait utile d</w:t>
      </w:r>
      <w:r>
        <w:rPr>
          <w:lang w:val="fr-FR"/>
        </w:rPr>
        <w:t>’</w:t>
      </w:r>
      <w:r w:rsidRPr="0048459D">
        <w:rPr>
          <w:lang w:val="fr-FR"/>
        </w:rPr>
        <w:t>expliquer plus en détail ce que l</w:t>
      </w:r>
      <w:r>
        <w:rPr>
          <w:lang w:val="fr-FR"/>
        </w:rPr>
        <w:t>’</w:t>
      </w:r>
      <w:r w:rsidRPr="0048459D">
        <w:rPr>
          <w:lang w:val="fr-FR"/>
        </w:rPr>
        <w:t>inviolabilité des représentants de l</w:t>
      </w:r>
      <w:r>
        <w:rPr>
          <w:lang w:val="fr-FR"/>
        </w:rPr>
        <w:t>’</w:t>
      </w:r>
      <w:r w:rsidRPr="0048459D">
        <w:rPr>
          <w:lang w:val="fr-FR"/>
        </w:rPr>
        <w:t>État implique pour ces mesures de contrainte. Il a en outre été demandé que l</w:t>
      </w:r>
      <w:r>
        <w:rPr>
          <w:lang w:val="fr-FR"/>
        </w:rPr>
        <w:t>’</w:t>
      </w:r>
      <w:r w:rsidRPr="0048459D">
        <w:rPr>
          <w:lang w:val="fr-FR"/>
        </w:rPr>
        <w:t>on précise que l</w:t>
      </w:r>
      <w:r>
        <w:rPr>
          <w:lang w:val="fr-FR"/>
        </w:rPr>
        <w:t>’</w:t>
      </w:r>
      <w:r w:rsidRPr="0048459D">
        <w:rPr>
          <w:lang w:val="fr-FR"/>
        </w:rPr>
        <w:t>immunité de juridiction pénale recouvre aussi l</w:t>
      </w:r>
      <w:r>
        <w:rPr>
          <w:lang w:val="fr-FR"/>
        </w:rPr>
        <w:t>’</w:t>
      </w:r>
      <w:r w:rsidRPr="0048459D">
        <w:rPr>
          <w:lang w:val="fr-FR"/>
        </w:rPr>
        <w:t>immunité des mesures d</w:t>
      </w:r>
      <w:r>
        <w:rPr>
          <w:lang w:val="fr-FR"/>
        </w:rPr>
        <w:t>’</w:t>
      </w:r>
      <w:r w:rsidRPr="0048459D">
        <w:rPr>
          <w:lang w:val="fr-FR"/>
        </w:rPr>
        <w:t>exécution.</w:t>
      </w:r>
    </w:p>
    <w:p w14:paraId="0290E46B" w14:textId="77777777" w:rsidR="003F7DA4" w:rsidRPr="0048459D" w:rsidRDefault="003F7DA4" w:rsidP="003F7DA4">
      <w:pPr>
        <w:pStyle w:val="H23G"/>
        <w:rPr>
          <w:rFonts w:eastAsia="SimSun"/>
          <w:lang w:val="fr-FR"/>
        </w:rPr>
      </w:pPr>
      <w:r>
        <w:rPr>
          <w:lang w:val="fr-FR"/>
        </w:rPr>
        <w:tab/>
      </w:r>
      <w:r w:rsidRPr="0048459D">
        <w:rPr>
          <w:lang w:val="fr-FR"/>
        </w:rPr>
        <w:t>h)</w:t>
      </w:r>
      <w:r w:rsidRPr="0048459D">
        <w:rPr>
          <w:lang w:val="fr-FR"/>
        </w:rPr>
        <w:tab/>
      </w:r>
      <w:r w:rsidRPr="0048459D">
        <w:rPr>
          <w:lang w:val="fr-FR"/>
        </w:rPr>
        <w:tab/>
        <w:t>Forme finale du résultat des travaux</w:t>
      </w:r>
    </w:p>
    <w:p w14:paraId="0B978D21" w14:textId="77777777" w:rsidR="003F7DA4" w:rsidRPr="0048459D" w:rsidRDefault="003F7DA4" w:rsidP="003F7DA4">
      <w:pPr>
        <w:pStyle w:val="SingleTxtG"/>
        <w:rPr>
          <w:lang w:val="fr-FR"/>
        </w:rPr>
      </w:pPr>
      <w:r>
        <w:rPr>
          <w:lang w:val="fr-FR"/>
        </w:rPr>
        <w:t>197</w:t>
      </w:r>
      <w:r w:rsidRPr="0048459D">
        <w:rPr>
          <w:lang w:val="fr-FR"/>
        </w:rPr>
        <w:t>.</w:t>
      </w:r>
      <w:r w:rsidRPr="0048459D">
        <w:rPr>
          <w:lang w:val="fr-FR"/>
        </w:rPr>
        <w:tab/>
        <w:t xml:space="preserve">Les membres ont pris note des différentes formes que le résultat des travaux de la Commission sur le sujet pourrait prendre et des vues des États sur la question. Des avis divergents ont été exprimés sur la question de savoir si la forme à donner au résultat des travaux de la Commission devait être décidée à ce stade ou </w:t>
      </w:r>
      <w:r>
        <w:rPr>
          <w:lang w:val="fr-FR"/>
        </w:rPr>
        <w:t>à l’issue de</w:t>
      </w:r>
      <w:r w:rsidRPr="0048459D">
        <w:rPr>
          <w:lang w:val="fr-FR"/>
        </w:rPr>
        <w:t xml:space="preserve"> l</w:t>
      </w:r>
      <w:r>
        <w:rPr>
          <w:lang w:val="fr-FR"/>
        </w:rPr>
        <w:t>’</w:t>
      </w:r>
      <w:r w:rsidRPr="0048459D">
        <w:rPr>
          <w:lang w:val="fr-FR"/>
        </w:rPr>
        <w:t>examen du projet d</w:t>
      </w:r>
      <w:r>
        <w:rPr>
          <w:lang w:val="fr-FR"/>
        </w:rPr>
        <w:t>’</w:t>
      </w:r>
      <w:r w:rsidRPr="0048459D">
        <w:rPr>
          <w:lang w:val="fr-FR"/>
        </w:rPr>
        <w:t xml:space="preserve">articles en deuxième lecture. En outre, il a été suggéré que la clarté et la cohérence des </w:t>
      </w:r>
      <w:r w:rsidRPr="0048459D">
        <w:rPr>
          <w:lang w:val="fr-FR"/>
        </w:rPr>
        <w:lastRenderedPageBreak/>
        <w:t>projets d</w:t>
      </w:r>
      <w:r>
        <w:rPr>
          <w:lang w:val="fr-FR"/>
        </w:rPr>
        <w:t>’</w:t>
      </w:r>
      <w:r w:rsidRPr="0048459D">
        <w:rPr>
          <w:lang w:val="fr-FR"/>
        </w:rPr>
        <w:t>article</w:t>
      </w:r>
      <w:r>
        <w:rPr>
          <w:lang w:val="fr-FR"/>
        </w:rPr>
        <w:t xml:space="preserve"> </w:t>
      </w:r>
      <w:r w:rsidRPr="0048459D">
        <w:rPr>
          <w:lang w:val="fr-FR"/>
        </w:rPr>
        <w:t>et des commentaires soient une priorité</w:t>
      </w:r>
      <w:r>
        <w:rPr>
          <w:lang w:val="fr-FR"/>
        </w:rPr>
        <w:t>, sachant dans le même temps que le projet d’articles concernait deux types d’immunité</w:t>
      </w:r>
      <w:r w:rsidRPr="0048459D">
        <w:rPr>
          <w:lang w:val="fr-FR"/>
        </w:rPr>
        <w:t>.</w:t>
      </w:r>
    </w:p>
    <w:p w14:paraId="500DDD91" w14:textId="04821733" w:rsidR="003F7DA4" w:rsidRPr="0048459D" w:rsidRDefault="003F7DA4" w:rsidP="003F7DA4">
      <w:pPr>
        <w:pStyle w:val="SingleTxtG"/>
        <w:rPr>
          <w:lang w:val="fr-FR"/>
        </w:rPr>
      </w:pPr>
      <w:r>
        <w:rPr>
          <w:lang w:val="fr-FR"/>
        </w:rPr>
        <w:t>198</w:t>
      </w:r>
      <w:r w:rsidRPr="0048459D">
        <w:rPr>
          <w:lang w:val="fr-FR"/>
        </w:rPr>
        <w:t>.</w:t>
      </w:r>
      <w:r w:rsidRPr="0048459D">
        <w:rPr>
          <w:lang w:val="fr-FR"/>
        </w:rPr>
        <w:tab/>
        <w:t>Plusieurs membres se sont dit</w:t>
      </w:r>
      <w:r w:rsidR="00710F31">
        <w:rPr>
          <w:lang w:val="fr-FR"/>
        </w:rPr>
        <w:t>s</w:t>
      </w:r>
      <w:r w:rsidRPr="0048459D">
        <w:rPr>
          <w:lang w:val="fr-FR"/>
        </w:rPr>
        <w:t xml:space="preserve"> favorables, ou ouverts, à ce que la Commission recommande à l</w:t>
      </w:r>
      <w:r>
        <w:rPr>
          <w:lang w:val="fr-FR"/>
        </w:rPr>
        <w:t>’</w:t>
      </w:r>
      <w:r w:rsidRPr="0048459D">
        <w:rPr>
          <w:lang w:val="fr-FR"/>
        </w:rPr>
        <w:t>Assemblée générale de négocier un traité sur la base du projet d</w:t>
      </w:r>
      <w:r>
        <w:rPr>
          <w:lang w:val="fr-FR"/>
        </w:rPr>
        <w:t>’</w:t>
      </w:r>
      <w:r w:rsidRPr="0048459D">
        <w:rPr>
          <w:lang w:val="fr-FR"/>
        </w:rPr>
        <w:t>articles. Il a été observé que ce résultat serait cohérent avec les recommandations antérieurement formulées par la Commission, en particulier dans le domaine de l</w:t>
      </w:r>
      <w:r>
        <w:rPr>
          <w:lang w:val="fr-FR"/>
        </w:rPr>
        <w:t>’</w:t>
      </w:r>
      <w:r w:rsidRPr="0048459D">
        <w:rPr>
          <w:lang w:val="fr-FR"/>
        </w:rPr>
        <w:t>immunité. Certains membres ont fait remarquer qu</w:t>
      </w:r>
      <w:r>
        <w:rPr>
          <w:lang w:val="fr-FR"/>
        </w:rPr>
        <w:t>’</w:t>
      </w:r>
      <w:r w:rsidRPr="0048459D">
        <w:rPr>
          <w:lang w:val="fr-FR"/>
        </w:rPr>
        <w:t>un traité serait nécessaire si on voulait donner effet aux garanties énoncées dans la quatrième partie. Il a par ailleurs été constaté que proposer un traité ne priverait pas les projets d</w:t>
      </w:r>
      <w:r>
        <w:rPr>
          <w:lang w:val="fr-FR"/>
        </w:rPr>
        <w:t>’</w:t>
      </w:r>
      <w:r w:rsidRPr="0048459D">
        <w:rPr>
          <w:lang w:val="fr-FR"/>
        </w:rPr>
        <w:t>articles de leur pertinence générale comme preuve à la fois de la pratique des États et de l</w:t>
      </w:r>
      <w:r>
        <w:rPr>
          <w:lang w:val="fr-FR"/>
        </w:rPr>
        <w:t>’</w:t>
      </w:r>
      <w:r w:rsidRPr="0048459D">
        <w:rPr>
          <w:lang w:val="fr-FR"/>
        </w:rPr>
        <w:t>opinion de la Commission elle-même.</w:t>
      </w:r>
    </w:p>
    <w:p w14:paraId="3EF9E573" w14:textId="77777777" w:rsidR="003F7DA4" w:rsidRPr="0048459D" w:rsidRDefault="003F7DA4" w:rsidP="003F7DA4">
      <w:pPr>
        <w:pStyle w:val="SingleTxtG"/>
        <w:rPr>
          <w:lang w:val="fr-FR"/>
        </w:rPr>
      </w:pPr>
      <w:r>
        <w:rPr>
          <w:lang w:val="fr-FR"/>
        </w:rPr>
        <w:t>199</w:t>
      </w:r>
      <w:r w:rsidRPr="0048459D">
        <w:rPr>
          <w:lang w:val="fr-FR"/>
        </w:rPr>
        <w:t>.</w:t>
      </w:r>
      <w:r w:rsidRPr="0048459D">
        <w:rPr>
          <w:lang w:val="fr-FR"/>
        </w:rPr>
        <w:tab/>
        <w:t>Plusieurs membres ont dit préférer ne pas recommander la négociation d</w:t>
      </w:r>
      <w:r>
        <w:rPr>
          <w:lang w:val="fr-FR"/>
        </w:rPr>
        <w:t>’</w:t>
      </w:r>
      <w:r w:rsidRPr="0048459D">
        <w:rPr>
          <w:lang w:val="fr-FR"/>
        </w:rPr>
        <w:t>un nouveau traité. Un doute a été émis quant à savoir s</w:t>
      </w:r>
      <w:r>
        <w:rPr>
          <w:lang w:val="fr-FR"/>
        </w:rPr>
        <w:t>’</w:t>
      </w:r>
      <w:r w:rsidRPr="0048459D">
        <w:rPr>
          <w:lang w:val="fr-FR"/>
        </w:rPr>
        <w:t>il serait politiquement faisable de négocier un traité compte tenu des divergences de vues entre les États et il a été rappelé que la Convention des Nations</w:t>
      </w:r>
      <w:r>
        <w:rPr>
          <w:lang w:val="fr-FR"/>
        </w:rPr>
        <w:t> </w:t>
      </w:r>
      <w:r w:rsidRPr="0048459D">
        <w:rPr>
          <w:lang w:val="fr-FR"/>
        </w:rPr>
        <w:t>Unies sur les immunités juridictionnelles des États et de leurs biens, de 2004, n</w:t>
      </w:r>
      <w:r>
        <w:rPr>
          <w:lang w:val="fr-FR"/>
        </w:rPr>
        <w:t>’</w:t>
      </w:r>
      <w:r w:rsidRPr="0048459D">
        <w:rPr>
          <w:lang w:val="fr-FR"/>
        </w:rPr>
        <w:t>était pas encore entrée en vigueur</w:t>
      </w:r>
      <w:r w:rsidRPr="0048459D">
        <w:rPr>
          <w:rStyle w:val="Appelnotedebasdep"/>
          <w:lang w:val="fr-FR"/>
        </w:rPr>
        <w:footnoteReference w:id="234"/>
      </w:r>
      <w:r w:rsidRPr="0048459D">
        <w:rPr>
          <w:lang w:val="fr-FR"/>
        </w:rPr>
        <w:t>. Il a été suggéré que la Commission recommande que le projet d</w:t>
      </w:r>
      <w:r>
        <w:rPr>
          <w:lang w:val="fr-FR"/>
        </w:rPr>
        <w:t>’</w:t>
      </w:r>
      <w:r w:rsidRPr="0048459D">
        <w:rPr>
          <w:lang w:val="fr-FR"/>
        </w:rPr>
        <w:t>articles soit porté à l</w:t>
      </w:r>
      <w:r>
        <w:rPr>
          <w:lang w:val="fr-FR"/>
        </w:rPr>
        <w:t>’</w:t>
      </w:r>
      <w:r w:rsidRPr="0048459D">
        <w:rPr>
          <w:lang w:val="fr-FR"/>
        </w:rPr>
        <w:t>attention des États et que l</w:t>
      </w:r>
      <w:r>
        <w:rPr>
          <w:lang w:val="fr-FR"/>
        </w:rPr>
        <w:t>’</w:t>
      </w:r>
      <w:r w:rsidRPr="0048459D">
        <w:rPr>
          <w:lang w:val="fr-FR"/>
        </w:rPr>
        <w:t>examen de la question d</w:t>
      </w:r>
      <w:r>
        <w:rPr>
          <w:lang w:val="fr-FR"/>
        </w:rPr>
        <w:t>’</w:t>
      </w:r>
      <w:r w:rsidRPr="0048459D">
        <w:rPr>
          <w:lang w:val="fr-FR"/>
        </w:rPr>
        <w:t>un traité soit éventuellement reporté à plus tard. D</w:t>
      </w:r>
      <w:r>
        <w:rPr>
          <w:lang w:val="fr-FR"/>
        </w:rPr>
        <w:t>’</w:t>
      </w:r>
      <w:r w:rsidRPr="0048459D">
        <w:rPr>
          <w:lang w:val="fr-FR"/>
        </w:rPr>
        <w:t>aucuns ont noté que, comme cela avait été le cas pour les articles de 2001 sur la responsabilité de l</w:t>
      </w:r>
      <w:r>
        <w:rPr>
          <w:lang w:val="fr-FR"/>
        </w:rPr>
        <w:t>’</w:t>
      </w:r>
      <w:r w:rsidRPr="0048459D">
        <w:rPr>
          <w:lang w:val="fr-FR"/>
        </w:rPr>
        <w:t>État pour fait internationalement illicite, cela laisserait aux règles le temps de se développer dans la pratique.</w:t>
      </w:r>
    </w:p>
    <w:p w14:paraId="13E438E8" w14:textId="77777777" w:rsidR="003F7DA4" w:rsidRPr="0048459D" w:rsidRDefault="003F7DA4" w:rsidP="003F7DA4">
      <w:pPr>
        <w:pStyle w:val="SingleTxtG"/>
        <w:rPr>
          <w:lang w:val="fr-FR"/>
        </w:rPr>
      </w:pPr>
      <w:r>
        <w:rPr>
          <w:lang w:val="fr-FR"/>
        </w:rPr>
        <w:t>200</w:t>
      </w:r>
      <w:r w:rsidRPr="0048459D">
        <w:rPr>
          <w:lang w:val="fr-FR"/>
        </w:rPr>
        <w:t>.</w:t>
      </w:r>
      <w:r w:rsidRPr="0048459D">
        <w:rPr>
          <w:lang w:val="fr-FR"/>
        </w:rPr>
        <w:tab/>
        <w:t>Certains membres ont appuyé la proposition de certains gouvernements consistant à adopter des projets d</w:t>
      </w:r>
      <w:r>
        <w:rPr>
          <w:lang w:val="fr-FR"/>
        </w:rPr>
        <w:t>’</w:t>
      </w:r>
      <w:r w:rsidRPr="0048459D">
        <w:rPr>
          <w:lang w:val="fr-FR"/>
        </w:rPr>
        <w:t>article</w:t>
      </w:r>
      <w:r>
        <w:rPr>
          <w:lang w:val="fr-FR"/>
        </w:rPr>
        <w:t xml:space="preserve"> </w:t>
      </w:r>
      <w:r w:rsidRPr="0048459D">
        <w:rPr>
          <w:lang w:val="fr-FR"/>
        </w:rPr>
        <w:t>pour les première à troisième parties, mais des projets de directive pour la quatrième partie, dont ils considéraient qu</w:t>
      </w:r>
      <w:r>
        <w:rPr>
          <w:lang w:val="fr-FR"/>
        </w:rPr>
        <w:t>’</w:t>
      </w:r>
      <w:r w:rsidRPr="0048459D">
        <w:rPr>
          <w:lang w:val="fr-FR"/>
        </w:rPr>
        <w:t>elle contenait des propositions de nouvelles règles juridiques. D</w:t>
      </w:r>
      <w:r>
        <w:rPr>
          <w:lang w:val="fr-FR"/>
        </w:rPr>
        <w:t>’</w:t>
      </w:r>
      <w:r w:rsidRPr="0048459D">
        <w:rPr>
          <w:lang w:val="fr-FR"/>
        </w:rPr>
        <w:t>autres se sont prononcés en faveur d</w:t>
      </w:r>
      <w:r>
        <w:rPr>
          <w:lang w:val="fr-FR"/>
        </w:rPr>
        <w:t>’</w:t>
      </w:r>
      <w:r w:rsidRPr="0048459D">
        <w:rPr>
          <w:lang w:val="fr-FR"/>
        </w:rPr>
        <w:t xml:space="preserve">un résultat unique, et il a été dit que scinder le texte saperait le rôle de la Commission dans le développement progressif du droit. </w:t>
      </w:r>
    </w:p>
    <w:p w14:paraId="3567E4BD" w14:textId="77777777" w:rsidR="003F7DA4" w:rsidRPr="0048459D" w:rsidRDefault="003F7DA4" w:rsidP="003F7DA4">
      <w:pPr>
        <w:pStyle w:val="H23G"/>
        <w:rPr>
          <w:rFonts w:eastAsia="SimSun"/>
          <w:lang w:val="fr-FR"/>
        </w:rPr>
      </w:pPr>
      <w:r>
        <w:rPr>
          <w:lang w:val="fr-FR"/>
        </w:rPr>
        <w:tab/>
      </w:r>
      <w:r w:rsidRPr="0048459D">
        <w:rPr>
          <w:lang w:val="fr-FR"/>
        </w:rPr>
        <w:t>i)</w:t>
      </w:r>
      <w:r w:rsidRPr="0048459D">
        <w:rPr>
          <w:lang w:val="fr-FR"/>
        </w:rPr>
        <w:tab/>
      </w:r>
      <w:r w:rsidRPr="0048459D">
        <w:rPr>
          <w:lang w:val="fr-FR"/>
        </w:rPr>
        <w:tab/>
        <w:t>Programme de travail futur</w:t>
      </w:r>
    </w:p>
    <w:p w14:paraId="6DBEF2EF" w14:textId="09915875" w:rsidR="003F7DA4" w:rsidRPr="0048459D" w:rsidRDefault="003F7DA4" w:rsidP="003F7DA4">
      <w:pPr>
        <w:pStyle w:val="SingleTxtG"/>
        <w:rPr>
          <w:lang w:val="fr-FR"/>
        </w:rPr>
      </w:pPr>
      <w:r>
        <w:rPr>
          <w:lang w:val="fr-FR"/>
        </w:rPr>
        <w:t>201</w:t>
      </w:r>
      <w:r w:rsidRPr="0048459D">
        <w:rPr>
          <w:lang w:val="fr-FR"/>
        </w:rPr>
        <w:t>.</w:t>
      </w:r>
      <w:r w:rsidRPr="0048459D">
        <w:rPr>
          <w:lang w:val="fr-FR"/>
        </w:rPr>
        <w:tab/>
        <w:t>Un certain nombre de membres se sont félicités de la décision du Rapporteur spécial d</w:t>
      </w:r>
      <w:r>
        <w:rPr>
          <w:lang w:val="fr-FR"/>
        </w:rPr>
        <w:t>’</w:t>
      </w:r>
      <w:r w:rsidRPr="0048459D">
        <w:rPr>
          <w:lang w:val="fr-FR"/>
        </w:rPr>
        <w:t>étaler la seconde lecture sur plusieurs sessions. Tout en se disant conscients des contraintes de temps au</w:t>
      </w:r>
      <w:r w:rsidR="003E2A77">
        <w:rPr>
          <w:lang w:val="fr-FR"/>
        </w:rPr>
        <w:t>x</w:t>
      </w:r>
      <w:r w:rsidRPr="0048459D">
        <w:rPr>
          <w:lang w:val="fr-FR"/>
        </w:rPr>
        <w:t>quel</w:t>
      </w:r>
      <w:r w:rsidR="003E2A77">
        <w:rPr>
          <w:lang w:val="fr-FR"/>
        </w:rPr>
        <w:t>les</w:t>
      </w:r>
      <w:r w:rsidRPr="0048459D">
        <w:rPr>
          <w:lang w:val="fr-FR"/>
        </w:rPr>
        <w:t xml:space="preserve"> le Rapporteur spécial avait été soumis, plusieurs membres ont regretté que la Commission ne soit pas saisie d</w:t>
      </w:r>
      <w:r>
        <w:rPr>
          <w:lang w:val="fr-FR"/>
        </w:rPr>
        <w:t>’</w:t>
      </w:r>
      <w:r w:rsidRPr="0048459D">
        <w:rPr>
          <w:lang w:val="fr-FR"/>
        </w:rPr>
        <w:t>un rapport comportant l</w:t>
      </w:r>
      <w:r>
        <w:rPr>
          <w:lang w:val="fr-FR"/>
        </w:rPr>
        <w:t>’</w:t>
      </w:r>
      <w:r w:rsidRPr="0048459D">
        <w:rPr>
          <w:lang w:val="fr-FR"/>
        </w:rPr>
        <w:t>ensemble du projet d</w:t>
      </w:r>
      <w:r>
        <w:rPr>
          <w:lang w:val="fr-FR"/>
        </w:rPr>
        <w:t>’</w:t>
      </w:r>
      <w:r w:rsidRPr="0048459D">
        <w:rPr>
          <w:lang w:val="fr-FR"/>
        </w:rPr>
        <w:t>articles. Certains membres ont proposé qu</w:t>
      </w:r>
      <w:r>
        <w:rPr>
          <w:lang w:val="fr-FR"/>
        </w:rPr>
        <w:t>’</w:t>
      </w:r>
      <w:r w:rsidRPr="0048459D">
        <w:rPr>
          <w:lang w:val="fr-FR"/>
        </w:rPr>
        <w:t>à l</w:t>
      </w:r>
      <w:r>
        <w:rPr>
          <w:lang w:val="fr-FR"/>
        </w:rPr>
        <w:t>’</w:t>
      </w:r>
      <w:r w:rsidRPr="0048459D">
        <w:rPr>
          <w:lang w:val="fr-FR"/>
        </w:rPr>
        <w:t>avenir, la date limite pour les commentaires et observations des gouvernements soit fixée au mois d</w:t>
      </w:r>
      <w:r>
        <w:rPr>
          <w:lang w:val="fr-FR"/>
        </w:rPr>
        <w:t>’</w:t>
      </w:r>
      <w:r w:rsidRPr="0048459D">
        <w:rPr>
          <w:lang w:val="fr-FR"/>
        </w:rPr>
        <w:t>août ou de septembre de l</w:t>
      </w:r>
      <w:r>
        <w:rPr>
          <w:lang w:val="fr-FR"/>
        </w:rPr>
        <w:t>’</w:t>
      </w:r>
      <w:r w:rsidRPr="0048459D">
        <w:rPr>
          <w:lang w:val="fr-FR"/>
        </w:rPr>
        <w:t>année précédant la deuxième lecture afin que l</w:t>
      </w:r>
      <w:r>
        <w:rPr>
          <w:lang w:val="fr-FR"/>
        </w:rPr>
        <w:t>’</w:t>
      </w:r>
      <w:r w:rsidRPr="0048459D">
        <w:rPr>
          <w:lang w:val="fr-FR"/>
        </w:rPr>
        <w:t>on ait suffisamment de temps pour les traduire et les examiner. Le Rapporteur spécial a été encouragé à utiliser des méthodes informelles pour faire avancer les travaux de la Commission sur le sujet pendant la période intersessions. L</w:t>
      </w:r>
      <w:r>
        <w:rPr>
          <w:lang w:val="fr-FR"/>
        </w:rPr>
        <w:t>’</w:t>
      </w:r>
      <w:r w:rsidRPr="0048459D">
        <w:rPr>
          <w:lang w:val="fr-FR"/>
        </w:rPr>
        <w:t>importance de garder à l</w:t>
      </w:r>
      <w:r>
        <w:rPr>
          <w:lang w:val="fr-FR"/>
        </w:rPr>
        <w:t>’</w:t>
      </w:r>
      <w:r w:rsidRPr="0048459D">
        <w:rPr>
          <w:lang w:val="fr-FR"/>
        </w:rPr>
        <w:t>esprit l</w:t>
      </w:r>
      <w:r>
        <w:rPr>
          <w:lang w:val="fr-FR"/>
        </w:rPr>
        <w:t>’</w:t>
      </w:r>
      <w:r w:rsidRPr="0048459D">
        <w:rPr>
          <w:lang w:val="fr-FR"/>
        </w:rPr>
        <w:t>ensemble du projet d</w:t>
      </w:r>
      <w:r>
        <w:rPr>
          <w:lang w:val="fr-FR"/>
        </w:rPr>
        <w:t>’</w:t>
      </w:r>
      <w:r w:rsidRPr="0048459D">
        <w:rPr>
          <w:lang w:val="fr-FR"/>
        </w:rPr>
        <w:t>articles tout au long de la deuxième lecture a été soulignée.</w:t>
      </w:r>
    </w:p>
    <w:p w14:paraId="517AB794" w14:textId="77777777" w:rsidR="003F7DA4" w:rsidRPr="0048459D" w:rsidRDefault="003F7DA4" w:rsidP="003F7DA4">
      <w:pPr>
        <w:pStyle w:val="H23G"/>
        <w:rPr>
          <w:rFonts w:eastAsia="SimSun"/>
          <w:lang w:val="fr-FR"/>
        </w:rPr>
      </w:pPr>
      <w:r>
        <w:rPr>
          <w:lang w:val="fr-FR"/>
        </w:rPr>
        <w:tab/>
      </w:r>
      <w:r w:rsidRPr="0048459D">
        <w:rPr>
          <w:lang w:val="fr-FR"/>
        </w:rPr>
        <w:t>3.</w:t>
      </w:r>
      <w:r w:rsidRPr="0048459D">
        <w:rPr>
          <w:lang w:val="fr-FR"/>
        </w:rPr>
        <w:tab/>
      </w:r>
      <w:r w:rsidRPr="0048459D">
        <w:rPr>
          <w:lang w:val="fr-FR"/>
        </w:rPr>
        <w:tab/>
      </w:r>
      <w:bookmarkStart w:id="106" w:name="_Hlk175323601"/>
      <w:r>
        <w:rPr>
          <w:lang w:val="fr-FR"/>
        </w:rPr>
        <w:t>Conclusions</w:t>
      </w:r>
      <w:r w:rsidRPr="0048459D">
        <w:rPr>
          <w:lang w:val="fr-FR"/>
        </w:rPr>
        <w:t xml:space="preserve"> du Rapporteur spécial</w:t>
      </w:r>
      <w:bookmarkEnd w:id="106"/>
    </w:p>
    <w:p w14:paraId="6BE1933D" w14:textId="2411E001" w:rsidR="003F7DA4" w:rsidRPr="0048459D" w:rsidRDefault="003F7DA4" w:rsidP="003F7DA4">
      <w:pPr>
        <w:pStyle w:val="SingleTxtG"/>
        <w:rPr>
          <w:rFonts w:eastAsia="Times New Roman"/>
          <w:lang w:val="fr-FR"/>
        </w:rPr>
      </w:pPr>
      <w:r>
        <w:rPr>
          <w:lang w:val="fr-FR"/>
        </w:rPr>
        <w:t>202</w:t>
      </w:r>
      <w:r w:rsidRPr="0048459D">
        <w:rPr>
          <w:lang w:val="fr-FR"/>
        </w:rPr>
        <w:t>.</w:t>
      </w:r>
      <w:r w:rsidRPr="0048459D">
        <w:rPr>
          <w:lang w:val="fr-FR"/>
        </w:rPr>
        <w:tab/>
        <w:t>Résumant le débat, le Rapporteur spécial a remercié les membres de la Commission et s</w:t>
      </w:r>
      <w:r>
        <w:rPr>
          <w:lang w:val="fr-FR"/>
        </w:rPr>
        <w:t>’</w:t>
      </w:r>
      <w:r w:rsidRPr="0048459D">
        <w:rPr>
          <w:lang w:val="fr-FR"/>
        </w:rPr>
        <w:t>est félicité de la richesse des discussions que le sujet avait suscité</w:t>
      </w:r>
      <w:r>
        <w:rPr>
          <w:lang w:val="fr-FR"/>
        </w:rPr>
        <w:t>es</w:t>
      </w:r>
      <w:r w:rsidRPr="0048459D">
        <w:rPr>
          <w:lang w:val="fr-FR"/>
        </w:rPr>
        <w:t>. Il s</w:t>
      </w:r>
      <w:r>
        <w:rPr>
          <w:lang w:val="fr-FR"/>
        </w:rPr>
        <w:t>’</w:t>
      </w:r>
      <w:r w:rsidRPr="0048459D">
        <w:rPr>
          <w:lang w:val="fr-FR"/>
        </w:rPr>
        <w:t>est arrêté d</w:t>
      </w:r>
      <w:r>
        <w:rPr>
          <w:lang w:val="fr-FR"/>
        </w:rPr>
        <w:t>’</w:t>
      </w:r>
      <w:r w:rsidRPr="0048459D">
        <w:rPr>
          <w:lang w:val="fr-FR"/>
        </w:rPr>
        <w:t>abord sur les observations générales des membres, puis sur les observations particulières concernant les projets d</w:t>
      </w:r>
      <w:r>
        <w:rPr>
          <w:lang w:val="fr-FR"/>
        </w:rPr>
        <w:t>’</w:t>
      </w:r>
      <w:r w:rsidRPr="0048459D">
        <w:rPr>
          <w:lang w:val="fr-FR"/>
        </w:rPr>
        <w:t xml:space="preserve">articles </w:t>
      </w:r>
      <w:r w:rsidR="001B2081">
        <w:rPr>
          <w:lang w:val="fr-FR"/>
        </w:rPr>
        <w:t>1</w:t>
      </w:r>
      <w:r w:rsidRPr="0048459D">
        <w:rPr>
          <w:lang w:val="fr-FR"/>
        </w:rPr>
        <w:t xml:space="preserve"> à 6. </w:t>
      </w:r>
    </w:p>
    <w:p w14:paraId="47DA6945" w14:textId="77777777" w:rsidR="003F7DA4" w:rsidRPr="0048459D" w:rsidRDefault="003F7DA4" w:rsidP="003F7DA4">
      <w:pPr>
        <w:pStyle w:val="SingleTxtG"/>
        <w:rPr>
          <w:lang w:val="fr-FR"/>
        </w:rPr>
      </w:pPr>
      <w:r>
        <w:rPr>
          <w:lang w:val="fr-FR"/>
        </w:rPr>
        <w:t>203</w:t>
      </w:r>
      <w:r w:rsidRPr="0048459D">
        <w:rPr>
          <w:lang w:val="fr-FR"/>
        </w:rPr>
        <w:t>.</w:t>
      </w:r>
      <w:r w:rsidRPr="0048459D">
        <w:rPr>
          <w:lang w:val="fr-FR"/>
        </w:rPr>
        <w:tab/>
        <w:t>Le Rapporteur spécial a noté que certains membres de la Commission souscrivaient à son approche concernant la seconde lecture et souligné qu</w:t>
      </w:r>
      <w:r>
        <w:rPr>
          <w:lang w:val="fr-FR"/>
        </w:rPr>
        <w:t>’</w:t>
      </w:r>
      <w:r w:rsidRPr="0048459D">
        <w:rPr>
          <w:lang w:val="fr-FR"/>
        </w:rPr>
        <w:t>il importait que la Commission trouve un équilibre s</w:t>
      </w:r>
      <w:r>
        <w:rPr>
          <w:lang w:val="fr-FR"/>
        </w:rPr>
        <w:t>’</w:t>
      </w:r>
      <w:r w:rsidRPr="0048459D">
        <w:rPr>
          <w:lang w:val="fr-FR"/>
        </w:rPr>
        <w:t>agissant de conclure ses travaux sur le sujet. Il a fait part de son intention de suivre la pratique habituelle en deuxième lecture, qui consiste à affiner le texte du projet d</w:t>
      </w:r>
      <w:r>
        <w:rPr>
          <w:lang w:val="fr-FR"/>
        </w:rPr>
        <w:t>’</w:t>
      </w:r>
      <w:r w:rsidRPr="0048459D">
        <w:rPr>
          <w:lang w:val="fr-FR"/>
        </w:rPr>
        <w:t>articles adopté en première lecture et à n</w:t>
      </w:r>
      <w:r>
        <w:rPr>
          <w:lang w:val="fr-FR"/>
        </w:rPr>
        <w:t>’</w:t>
      </w:r>
      <w:r w:rsidRPr="0048459D">
        <w:rPr>
          <w:lang w:val="fr-FR"/>
        </w:rPr>
        <w:t>envisager des modifications que pour des raisons impérieuses, c</w:t>
      </w:r>
      <w:r>
        <w:rPr>
          <w:lang w:val="fr-FR"/>
        </w:rPr>
        <w:t>’</w:t>
      </w:r>
      <w:r w:rsidRPr="0048459D">
        <w:rPr>
          <w:lang w:val="fr-FR"/>
        </w:rPr>
        <w:t>est-à-dire sur la base soit des commentaires soumis par les États, soit des évolutions du droit international pertinentes pour le sujet. En ce qui concerne les commentaires soumis par les États avant que la Commission adopte le projet d</w:t>
      </w:r>
      <w:r>
        <w:rPr>
          <w:lang w:val="fr-FR"/>
        </w:rPr>
        <w:t>’</w:t>
      </w:r>
      <w:r w:rsidRPr="0048459D">
        <w:rPr>
          <w:lang w:val="fr-FR"/>
        </w:rPr>
        <w:t xml:space="preserve">articles en </w:t>
      </w:r>
      <w:r w:rsidRPr="0048459D">
        <w:rPr>
          <w:lang w:val="fr-FR"/>
        </w:rPr>
        <w:lastRenderedPageBreak/>
        <w:t>première lecture, le Rapporteur Spécial a précisé qu</w:t>
      </w:r>
      <w:r>
        <w:rPr>
          <w:lang w:val="fr-FR"/>
        </w:rPr>
        <w:t>’</w:t>
      </w:r>
      <w:r w:rsidRPr="0048459D">
        <w:rPr>
          <w:lang w:val="fr-FR"/>
        </w:rPr>
        <w:t>ils ne reposaient pas sur le texte intégral du projet d</w:t>
      </w:r>
      <w:r>
        <w:rPr>
          <w:lang w:val="fr-FR"/>
        </w:rPr>
        <w:t>’</w:t>
      </w:r>
      <w:r w:rsidRPr="0048459D">
        <w:rPr>
          <w:lang w:val="fr-FR"/>
        </w:rPr>
        <w:t>articles et que les deux précédents rapporteurs spéciaux les avaient déjà pris en considération dans leurs rapports respectifs. Il a donc suggéré de se concentrer sur les commentaires soumis par les États depuis 2022, tant par écrit qu</w:t>
      </w:r>
      <w:r>
        <w:rPr>
          <w:lang w:val="fr-FR"/>
        </w:rPr>
        <w:t>’</w:t>
      </w:r>
      <w:r w:rsidRPr="0048459D">
        <w:rPr>
          <w:lang w:val="fr-FR"/>
        </w:rPr>
        <w:t>oralement à la Sixième Commission. Il a convenu qu</w:t>
      </w:r>
      <w:r>
        <w:rPr>
          <w:lang w:val="fr-FR"/>
        </w:rPr>
        <w:t>’</w:t>
      </w:r>
      <w:r w:rsidRPr="0048459D">
        <w:rPr>
          <w:lang w:val="fr-FR"/>
        </w:rPr>
        <w:t>il fallait tenir compte de l</w:t>
      </w:r>
      <w:r>
        <w:rPr>
          <w:lang w:val="fr-FR"/>
        </w:rPr>
        <w:t>’</w:t>
      </w:r>
      <w:r w:rsidRPr="0048459D">
        <w:rPr>
          <w:lang w:val="fr-FR"/>
        </w:rPr>
        <w:t xml:space="preserve">évolution récente des jurisprudences nationales en la matière, le cas échéant. </w:t>
      </w:r>
    </w:p>
    <w:p w14:paraId="21055B4D" w14:textId="77777777" w:rsidR="003F7DA4" w:rsidRPr="0048459D" w:rsidRDefault="003F7DA4" w:rsidP="003F7DA4">
      <w:pPr>
        <w:pStyle w:val="SingleTxtG"/>
        <w:rPr>
          <w:rFonts w:eastAsia="Times New Roman"/>
          <w:lang w:val="fr-FR"/>
        </w:rPr>
      </w:pPr>
      <w:r>
        <w:rPr>
          <w:lang w:val="fr-FR"/>
        </w:rPr>
        <w:t>204</w:t>
      </w:r>
      <w:r w:rsidRPr="0048459D">
        <w:rPr>
          <w:lang w:val="fr-FR"/>
        </w:rPr>
        <w:t>.</w:t>
      </w:r>
      <w:r w:rsidRPr="0048459D">
        <w:rPr>
          <w:lang w:val="fr-FR"/>
        </w:rPr>
        <w:tab/>
        <w:t>En ce qui concerne les commentaires formulés par les membres au sujet de la diversité géographique de la pratique des États à laquelle il est fait référence dans le commentaire adopté en première lecture, le Rapporteur spécial est convenu que le projet d</w:t>
      </w:r>
      <w:r>
        <w:rPr>
          <w:lang w:val="fr-FR"/>
        </w:rPr>
        <w:t>’</w:t>
      </w:r>
      <w:r w:rsidRPr="0048459D">
        <w:rPr>
          <w:lang w:val="fr-FR"/>
        </w:rPr>
        <w:t>articles devrait être représentatif de la pratique des États de toutes les régions du monde. Il a dit qu</w:t>
      </w:r>
      <w:r>
        <w:rPr>
          <w:lang w:val="fr-FR"/>
        </w:rPr>
        <w:t>’</w:t>
      </w:r>
      <w:r w:rsidRPr="0048459D">
        <w:rPr>
          <w:lang w:val="fr-FR"/>
        </w:rPr>
        <w:t>il menait des recherches sur la jurisprudence et la pratique législative et exécutive de divers États et a fait observer que certaines évolutions concernaient le projet d</w:t>
      </w:r>
      <w:r>
        <w:rPr>
          <w:lang w:val="fr-FR"/>
        </w:rPr>
        <w:t>’</w:t>
      </w:r>
      <w:r w:rsidRPr="0048459D">
        <w:rPr>
          <w:lang w:val="fr-FR"/>
        </w:rPr>
        <w:t>article 7, qui ferait l</w:t>
      </w:r>
      <w:r>
        <w:rPr>
          <w:lang w:val="fr-FR"/>
        </w:rPr>
        <w:t>’</w:t>
      </w:r>
      <w:r w:rsidRPr="0048459D">
        <w:rPr>
          <w:lang w:val="fr-FR"/>
        </w:rPr>
        <w:t>objet de son prochain rapport. S</w:t>
      </w:r>
      <w:r>
        <w:rPr>
          <w:lang w:val="fr-FR"/>
        </w:rPr>
        <w:t>’</w:t>
      </w:r>
      <w:r w:rsidRPr="0048459D">
        <w:rPr>
          <w:lang w:val="fr-FR"/>
        </w:rPr>
        <w:t>agissant du projet d</w:t>
      </w:r>
      <w:r>
        <w:rPr>
          <w:lang w:val="fr-FR"/>
        </w:rPr>
        <w:t>’</w:t>
      </w:r>
      <w:r w:rsidRPr="0048459D">
        <w:rPr>
          <w:lang w:val="fr-FR"/>
        </w:rPr>
        <w:t>article 7, il a pris note des commentaires selon lesquels cette disposition devait être au cœur de l</w:t>
      </w:r>
      <w:r>
        <w:rPr>
          <w:lang w:val="fr-FR"/>
        </w:rPr>
        <w:t>’</w:t>
      </w:r>
      <w:r w:rsidRPr="0048459D">
        <w:rPr>
          <w:lang w:val="fr-FR"/>
        </w:rPr>
        <w:t>examen du sujet par la Commission en deuxième lecture. Il a souligné que la Commission aurait néanmoins l</w:t>
      </w:r>
      <w:r>
        <w:rPr>
          <w:lang w:val="fr-FR"/>
        </w:rPr>
        <w:t>’</w:t>
      </w:r>
      <w:r w:rsidRPr="0048459D">
        <w:rPr>
          <w:lang w:val="fr-FR"/>
        </w:rPr>
        <w:t>occasion d</w:t>
      </w:r>
      <w:r>
        <w:rPr>
          <w:lang w:val="fr-FR"/>
        </w:rPr>
        <w:t>’</w:t>
      </w:r>
      <w:r w:rsidRPr="0048459D">
        <w:rPr>
          <w:lang w:val="fr-FR"/>
        </w:rPr>
        <w:t>examiner les projets d</w:t>
      </w:r>
      <w:r>
        <w:rPr>
          <w:lang w:val="fr-FR"/>
        </w:rPr>
        <w:t>’</w:t>
      </w:r>
      <w:r w:rsidRPr="0048459D">
        <w:rPr>
          <w:lang w:val="fr-FR"/>
        </w:rPr>
        <w:t>articles 7 à 18 ainsi que l</w:t>
      </w:r>
      <w:r>
        <w:rPr>
          <w:lang w:val="fr-FR"/>
        </w:rPr>
        <w:t>’</w:t>
      </w:r>
      <w:r w:rsidRPr="0048459D">
        <w:rPr>
          <w:lang w:val="fr-FR"/>
        </w:rPr>
        <w:t>ensemble des projets d</w:t>
      </w:r>
      <w:r>
        <w:rPr>
          <w:lang w:val="fr-FR"/>
        </w:rPr>
        <w:t>’</w:t>
      </w:r>
      <w:r w:rsidRPr="0048459D">
        <w:rPr>
          <w:lang w:val="fr-FR"/>
        </w:rPr>
        <w:t>article</w:t>
      </w:r>
      <w:r>
        <w:rPr>
          <w:lang w:val="fr-FR"/>
        </w:rPr>
        <w:t xml:space="preserve"> </w:t>
      </w:r>
      <w:r w:rsidRPr="0048459D">
        <w:rPr>
          <w:lang w:val="fr-FR"/>
        </w:rPr>
        <w:t>et des commentaires révisés avant de les adopter en deuxième lecture. En ce qui concerne la demande de précisions sur la distinction entre le développement progressif et la codification du droit international, le Rapporteur spécial a renvoyé au paragraphe 12 du commentaire général des projets d</w:t>
      </w:r>
      <w:r>
        <w:rPr>
          <w:lang w:val="fr-FR"/>
        </w:rPr>
        <w:t>’</w:t>
      </w:r>
      <w:r w:rsidRPr="0048459D">
        <w:rPr>
          <w:lang w:val="fr-FR"/>
        </w:rPr>
        <w:t xml:space="preserve">article. </w:t>
      </w:r>
    </w:p>
    <w:p w14:paraId="658C6DA4" w14:textId="77777777" w:rsidR="003F7DA4" w:rsidRPr="0048459D" w:rsidRDefault="003F7DA4" w:rsidP="003F7DA4">
      <w:pPr>
        <w:pStyle w:val="SingleTxtG"/>
        <w:rPr>
          <w:rFonts w:eastAsia="Times New Roman"/>
          <w:lang w:val="fr-FR"/>
        </w:rPr>
      </w:pPr>
      <w:r>
        <w:rPr>
          <w:lang w:val="fr-FR"/>
        </w:rPr>
        <w:t>205</w:t>
      </w:r>
      <w:r w:rsidRPr="0048459D">
        <w:rPr>
          <w:lang w:val="fr-FR"/>
        </w:rPr>
        <w:t>.</w:t>
      </w:r>
      <w:r w:rsidRPr="0048459D">
        <w:rPr>
          <w:lang w:val="fr-FR"/>
        </w:rPr>
        <w:tab/>
        <w:t>Enfin, le Rapporteur spécial a réaffirmé que les projets d</w:t>
      </w:r>
      <w:r>
        <w:rPr>
          <w:lang w:val="fr-FR"/>
        </w:rPr>
        <w:t>’</w:t>
      </w:r>
      <w:r w:rsidRPr="0048459D">
        <w:rPr>
          <w:lang w:val="fr-FR"/>
        </w:rPr>
        <w:t>article</w:t>
      </w:r>
      <w:r>
        <w:rPr>
          <w:lang w:val="fr-FR"/>
        </w:rPr>
        <w:t xml:space="preserve"> </w:t>
      </w:r>
      <w:r w:rsidRPr="0048459D">
        <w:rPr>
          <w:lang w:val="fr-FR"/>
        </w:rPr>
        <w:t>devaient donner lieu à un seul et même résultat et qu</w:t>
      </w:r>
      <w:r>
        <w:rPr>
          <w:lang w:val="fr-FR"/>
        </w:rPr>
        <w:t>’</w:t>
      </w:r>
      <w:r w:rsidRPr="0048459D">
        <w:rPr>
          <w:lang w:val="fr-FR"/>
        </w:rPr>
        <w:t>il jugeait bon de recommander qu</w:t>
      </w:r>
      <w:r>
        <w:rPr>
          <w:lang w:val="fr-FR"/>
        </w:rPr>
        <w:t>’</w:t>
      </w:r>
      <w:r w:rsidRPr="0048459D">
        <w:rPr>
          <w:lang w:val="fr-FR"/>
        </w:rPr>
        <w:t xml:space="preserve">ils servent de base à un traité. </w:t>
      </w:r>
    </w:p>
    <w:p w14:paraId="57571028" w14:textId="77777777" w:rsidR="003F7DA4" w:rsidRPr="0048459D" w:rsidRDefault="003F7DA4" w:rsidP="003F7DA4">
      <w:pPr>
        <w:pStyle w:val="SingleTxtG"/>
        <w:rPr>
          <w:rFonts w:eastAsia="Times New Roman"/>
          <w:lang w:val="fr-FR"/>
        </w:rPr>
      </w:pPr>
      <w:r w:rsidRPr="00F7316E">
        <w:rPr>
          <w:lang w:val="fr-FR"/>
        </w:rPr>
        <w:t>206.</w:t>
      </w:r>
      <w:r w:rsidRPr="00F7316E">
        <w:rPr>
          <w:lang w:val="fr-FR"/>
        </w:rPr>
        <w:tab/>
        <w:t>Concernant le projet d’article 1, le Rapporteur spécial a noté que des membres étaient favorables à ce que les paragraphes 1 et 2 soient conservés tels quels et a concentré ses remarques sur le paragraphe 3 tel que proposé dans son premier rapport. S’agissant de l’alinéa a) du paragraphe 3, il a pris note des préoccupations soulevées par la formule « dans les relations entre les parties à ces accords » et la manière dont elle pourrait être interprétée en ce qui con</w:t>
      </w:r>
      <w:r w:rsidRPr="0048459D">
        <w:rPr>
          <w:lang w:val="fr-FR"/>
        </w:rPr>
        <w:t>cerne l</w:t>
      </w:r>
      <w:r>
        <w:rPr>
          <w:lang w:val="fr-FR"/>
        </w:rPr>
        <w:t>’</w:t>
      </w:r>
      <w:r w:rsidRPr="0048459D">
        <w:rPr>
          <w:lang w:val="fr-FR"/>
        </w:rPr>
        <w:t>obligation faite aux États parties au Statut de Rome de la Cour pénale internationale. Il a également pris note des divergences de vues concernant l</w:t>
      </w:r>
      <w:r>
        <w:rPr>
          <w:lang w:val="fr-FR"/>
        </w:rPr>
        <w:t>’</w:t>
      </w:r>
      <w:r w:rsidRPr="0048459D">
        <w:rPr>
          <w:lang w:val="fr-FR"/>
        </w:rPr>
        <w:t xml:space="preserve">utilisation du terme </w:t>
      </w:r>
      <w:r>
        <w:rPr>
          <w:lang w:val="fr-FR"/>
        </w:rPr>
        <w:t>« </w:t>
      </w:r>
      <w:r w:rsidRPr="0048459D">
        <w:rPr>
          <w:lang w:val="fr-FR"/>
        </w:rPr>
        <w:t>traités</w:t>
      </w:r>
      <w:r>
        <w:rPr>
          <w:lang w:val="fr-FR"/>
        </w:rPr>
        <w:t> »</w:t>
      </w:r>
      <w:r w:rsidRPr="0048459D">
        <w:rPr>
          <w:lang w:val="fr-FR"/>
        </w:rPr>
        <w:t xml:space="preserve"> plutôt que du terme </w:t>
      </w:r>
      <w:r>
        <w:rPr>
          <w:lang w:val="fr-FR"/>
        </w:rPr>
        <w:t>« </w:t>
      </w:r>
      <w:r w:rsidRPr="0048459D">
        <w:rPr>
          <w:lang w:val="fr-FR"/>
        </w:rPr>
        <w:t>accords</w:t>
      </w:r>
      <w:r>
        <w:rPr>
          <w:lang w:val="fr-FR"/>
        </w:rPr>
        <w:t> »</w:t>
      </w:r>
      <w:r w:rsidRPr="0048459D">
        <w:rPr>
          <w:lang w:val="fr-FR"/>
        </w:rPr>
        <w:t>. En ce qui concerne l</w:t>
      </w:r>
      <w:r>
        <w:rPr>
          <w:lang w:val="fr-FR"/>
        </w:rPr>
        <w:t>’</w:t>
      </w:r>
      <w:r w:rsidRPr="0048459D">
        <w:rPr>
          <w:lang w:val="fr-FR"/>
        </w:rPr>
        <w:t>alinéa</w:t>
      </w:r>
      <w:r>
        <w:rPr>
          <w:lang w:val="fr-FR"/>
        </w:rPr>
        <w:t> </w:t>
      </w:r>
      <w:r w:rsidRPr="0048459D">
        <w:rPr>
          <w:lang w:val="fr-FR"/>
        </w:rPr>
        <w:t>b) du paragraphe 3, il s</w:t>
      </w:r>
      <w:r>
        <w:rPr>
          <w:lang w:val="fr-FR"/>
        </w:rPr>
        <w:t>’</w:t>
      </w:r>
      <w:r w:rsidRPr="0048459D">
        <w:rPr>
          <w:lang w:val="fr-FR"/>
        </w:rPr>
        <w:t xml:space="preserve">est arrêté sur les différentes propositions formulées au sujet du terme </w:t>
      </w:r>
      <w:r>
        <w:rPr>
          <w:lang w:val="fr-FR"/>
        </w:rPr>
        <w:t>« </w:t>
      </w:r>
      <w:r w:rsidRPr="0048459D">
        <w:rPr>
          <w:lang w:val="fr-FR"/>
        </w:rPr>
        <w:t>résolutions contraignantes</w:t>
      </w:r>
      <w:r>
        <w:rPr>
          <w:lang w:val="fr-FR"/>
        </w:rPr>
        <w:t> »</w:t>
      </w:r>
      <w:r w:rsidRPr="0048459D">
        <w:rPr>
          <w:lang w:val="fr-FR"/>
        </w:rPr>
        <w:t xml:space="preserve"> et la demande de précisions concernant le sens qu</w:t>
      </w:r>
      <w:r>
        <w:rPr>
          <w:lang w:val="fr-FR"/>
        </w:rPr>
        <w:t>’</w:t>
      </w:r>
      <w:r w:rsidRPr="0048459D">
        <w:rPr>
          <w:lang w:val="fr-FR"/>
        </w:rPr>
        <w:t xml:space="preserve">il revêtait. Il a en outre pris note des suggestions visant à conserver le texte adopté en première lecture et à supprimer le paragraphe 3 dans son intégralité. Il a proposé que ces questions soient examinées plus avant au sein du Comité de rédaction. </w:t>
      </w:r>
    </w:p>
    <w:p w14:paraId="4213B7BB" w14:textId="77777777" w:rsidR="003F7DA4" w:rsidRPr="0048459D" w:rsidRDefault="003F7DA4" w:rsidP="003F7DA4">
      <w:pPr>
        <w:pStyle w:val="SingleTxtG"/>
        <w:rPr>
          <w:rFonts w:eastAsia="Times New Roman"/>
          <w:lang w:val="fr-FR"/>
        </w:rPr>
      </w:pPr>
      <w:r>
        <w:rPr>
          <w:lang w:val="fr-FR"/>
        </w:rPr>
        <w:t>207</w:t>
      </w:r>
      <w:r w:rsidRPr="0048459D">
        <w:rPr>
          <w:lang w:val="fr-FR"/>
        </w:rPr>
        <w:t>.</w:t>
      </w:r>
      <w:r w:rsidRPr="0048459D">
        <w:rPr>
          <w:lang w:val="fr-FR"/>
        </w:rPr>
        <w:tab/>
        <w:t>Le Rapporteur spécial a noté qu</w:t>
      </w:r>
      <w:r>
        <w:rPr>
          <w:lang w:val="fr-FR"/>
        </w:rPr>
        <w:t>’</w:t>
      </w:r>
      <w:r w:rsidRPr="0048459D">
        <w:rPr>
          <w:lang w:val="fr-FR"/>
        </w:rPr>
        <w:t>il avait été demandé qu</w:t>
      </w:r>
      <w:r>
        <w:rPr>
          <w:lang w:val="fr-FR"/>
        </w:rPr>
        <w:t>’</w:t>
      </w:r>
      <w:r w:rsidRPr="0048459D">
        <w:rPr>
          <w:lang w:val="fr-FR"/>
        </w:rPr>
        <w:t>on précise ou qu</w:t>
      </w:r>
      <w:r>
        <w:rPr>
          <w:lang w:val="fr-FR"/>
        </w:rPr>
        <w:t>’</w:t>
      </w:r>
      <w:r w:rsidRPr="0048459D">
        <w:rPr>
          <w:lang w:val="fr-FR"/>
        </w:rPr>
        <w:t xml:space="preserve">on définisse certains termes, notamment </w:t>
      </w:r>
      <w:r>
        <w:rPr>
          <w:lang w:val="fr-FR"/>
        </w:rPr>
        <w:t>« </w:t>
      </w:r>
      <w:r w:rsidRPr="0048459D">
        <w:rPr>
          <w:lang w:val="fr-FR"/>
        </w:rPr>
        <w:t>immunité</w:t>
      </w:r>
      <w:r>
        <w:rPr>
          <w:lang w:val="fr-FR"/>
        </w:rPr>
        <w:t> »</w:t>
      </w:r>
      <w:r w:rsidRPr="0048459D">
        <w:rPr>
          <w:lang w:val="fr-FR"/>
        </w:rPr>
        <w:t xml:space="preserve">, </w:t>
      </w:r>
      <w:r>
        <w:rPr>
          <w:lang w:val="fr-FR"/>
        </w:rPr>
        <w:t>« </w:t>
      </w:r>
      <w:r w:rsidRPr="0048459D">
        <w:rPr>
          <w:lang w:val="fr-FR"/>
        </w:rPr>
        <w:t>compétence pénale</w:t>
      </w:r>
      <w:r>
        <w:rPr>
          <w:lang w:val="fr-FR"/>
        </w:rPr>
        <w:t> »</w:t>
      </w:r>
      <w:r w:rsidRPr="0048459D">
        <w:rPr>
          <w:lang w:val="fr-FR"/>
        </w:rPr>
        <w:t xml:space="preserve">, </w:t>
      </w:r>
      <w:r>
        <w:rPr>
          <w:lang w:val="fr-FR"/>
        </w:rPr>
        <w:t>« </w:t>
      </w:r>
      <w:r w:rsidRPr="0048459D">
        <w:rPr>
          <w:lang w:val="fr-FR"/>
        </w:rPr>
        <w:t>exercice de la compétence pénale</w:t>
      </w:r>
      <w:r>
        <w:rPr>
          <w:lang w:val="fr-FR"/>
        </w:rPr>
        <w:t> »</w:t>
      </w:r>
      <w:r w:rsidRPr="0048459D">
        <w:rPr>
          <w:lang w:val="fr-FR"/>
        </w:rPr>
        <w:t xml:space="preserve"> et </w:t>
      </w:r>
      <w:r>
        <w:rPr>
          <w:lang w:val="fr-FR"/>
        </w:rPr>
        <w:t>« </w:t>
      </w:r>
      <w:r w:rsidRPr="0048459D">
        <w:rPr>
          <w:lang w:val="fr-FR"/>
        </w:rPr>
        <w:t>inviolabilité</w:t>
      </w:r>
      <w:r>
        <w:rPr>
          <w:lang w:val="fr-FR"/>
        </w:rPr>
        <w:t> »</w:t>
      </w:r>
      <w:r w:rsidRPr="0048459D">
        <w:rPr>
          <w:lang w:val="fr-FR"/>
        </w:rPr>
        <w:t>. Il a rappelé la déclaration que le Président du Comité de rédaction avait faite sur le sujet à la soixante-treizième session (2022), dans laquelle il était expliqué que les questions relatives à ces termes avaient été abordées en 2013 et 2022 et qu</w:t>
      </w:r>
      <w:r>
        <w:rPr>
          <w:lang w:val="fr-FR"/>
        </w:rPr>
        <w:t>’</w:t>
      </w:r>
      <w:r w:rsidRPr="0048459D">
        <w:rPr>
          <w:lang w:val="fr-FR"/>
        </w:rPr>
        <w:t>il avait été décidé de ne pas fournir de définitions</w:t>
      </w:r>
      <w:r w:rsidRPr="0048459D">
        <w:rPr>
          <w:rStyle w:val="Appelnotedebasdep"/>
          <w:lang w:val="fr-FR"/>
        </w:rPr>
        <w:footnoteReference w:id="235"/>
      </w:r>
      <w:r w:rsidRPr="0048459D">
        <w:rPr>
          <w:lang w:val="fr-FR"/>
        </w:rPr>
        <w:t>. Il s</w:t>
      </w:r>
      <w:r>
        <w:rPr>
          <w:lang w:val="fr-FR"/>
        </w:rPr>
        <w:t>’</w:t>
      </w:r>
      <w:r w:rsidRPr="0048459D">
        <w:rPr>
          <w:lang w:val="fr-FR"/>
        </w:rPr>
        <w:t xml:space="preserve">est dit prêt à étoffer le commentaire pour clarifier ces termes, si nécessaire. </w:t>
      </w:r>
    </w:p>
    <w:p w14:paraId="097C5BAD" w14:textId="77777777" w:rsidR="003F7DA4" w:rsidRPr="0048459D" w:rsidRDefault="003F7DA4" w:rsidP="003F7DA4">
      <w:pPr>
        <w:pStyle w:val="SingleTxtG"/>
        <w:rPr>
          <w:rFonts w:eastAsia="Times New Roman"/>
          <w:lang w:val="fr-FR"/>
        </w:rPr>
      </w:pPr>
      <w:r>
        <w:rPr>
          <w:lang w:val="fr-FR"/>
        </w:rPr>
        <w:t>208</w:t>
      </w:r>
      <w:r w:rsidRPr="0048459D">
        <w:rPr>
          <w:lang w:val="fr-FR"/>
        </w:rPr>
        <w:t>.</w:t>
      </w:r>
      <w:r w:rsidRPr="0048459D">
        <w:rPr>
          <w:lang w:val="fr-FR"/>
        </w:rPr>
        <w:tab/>
        <w:t>Concernant l</w:t>
      </w:r>
      <w:r>
        <w:rPr>
          <w:lang w:val="fr-FR"/>
        </w:rPr>
        <w:t>’</w:t>
      </w:r>
      <w:r w:rsidRPr="0048459D">
        <w:rPr>
          <w:lang w:val="fr-FR"/>
        </w:rPr>
        <w:t>alinéa</w:t>
      </w:r>
      <w:r>
        <w:rPr>
          <w:lang w:val="fr-FR"/>
        </w:rPr>
        <w:t> </w:t>
      </w:r>
      <w:r w:rsidRPr="0048459D">
        <w:rPr>
          <w:lang w:val="fr-FR"/>
        </w:rPr>
        <w:t>a) du projet d</w:t>
      </w:r>
      <w:r>
        <w:rPr>
          <w:lang w:val="fr-FR"/>
        </w:rPr>
        <w:t>’</w:t>
      </w:r>
      <w:r w:rsidRPr="0048459D">
        <w:rPr>
          <w:lang w:val="fr-FR"/>
        </w:rPr>
        <w:t>article 2, le Rapporteur spécial a réaffirmé qu</w:t>
      </w:r>
      <w:r>
        <w:rPr>
          <w:lang w:val="fr-FR"/>
        </w:rPr>
        <w:t>’</w:t>
      </w:r>
      <w:r w:rsidRPr="0048459D">
        <w:rPr>
          <w:lang w:val="fr-FR"/>
        </w:rPr>
        <w:t>il préférait conserver le texte adopté en première lecture, mais s</w:t>
      </w:r>
      <w:r>
        <w:rPr>
          <w:lang w:val="fr-FR"/>
        </w:rPr>
        <w:t>’</w:t>
      </w:r>
      <w:r w:rsidRPr="0048459D">
        <w:rPr>
          <w:lang w:val="fr-FR"/>
        </w:rPr>
        <w:t xml:space="preserve">est montré ouvert à une discussion, au sein du Comité de rédaction, des différentes propositions rédactionnelles faites par les membres, en particulier celles concernant la formule </w:t>
      </w:r>
      <w:r>
        <w:rPr>
          <w:lang w:val="fr-FR"/>
        </w:rPr>
        <w:t>« </w:t>
      </w:r>
      <w:r w:rsidRPr="0048459D">
        <w:rPr>
          <w:lang w:val="fr-FR"/>
        </w:rPr>
        <w:t>à la fois les représentants en fonction et les anciens représentants</w:t>
      </w:r>
      <w:r>
        <w:rPr>
          <w:lang w:val="fr-FR"/>
        </w:rPr>
        <w:t> »</w:t>
      </w:r>
      <w:r w:rsidRPr="0048459D">
        <w:rPr>
          <w:lang w:val="fr-FR"/>
        </w:rPr>
        <w:t>. Il s</w:t>
      </w:r>
      <w:r>
        <w:rPr>
          <w:lang w:val="fr-FR"/>
        </w:rPr>
        <w:t>’</w:t>
      </w:r>
      <w:r w:rsidRPr="0048459D">
        <w:rPr>
          <w:lang w:val="fr-FR"/>
        </w:rPr>
        <w:t>est dit d</w:t>
      </w:r>
      <w:r>
        <w:rPr>
          <w:lang w:val="fr-FR"/>
        </w:rPr>
        <w:t>’</w:t>
      </w:r>
      <w:r w:rsidRPr="0048459D">
        <w:rPr>
          <w:lang w:val="fr-FR"/>
        </w:rPr>
        <w:t xml:space="preserve">accord avec les membres qui </w:t>
      </w:r>
      <w:r>
        <w:rPr>
          <w:lang w:val="fr-FR"/>
        </w:rPr>
        <w:t>avaient</w:t>
      </w:r>
      <w:r w:rsidRPr="0048459D">
        <w:rPr>
          <w:lang w:val="fr-FR"/>
        </w:rPr>
        <w:t xml:space="preserve"> exprimé une préférence pour le maintien du mot </w:t>
      </w:r>
      <w:r>
        <w:rPr>
          <w:lang w:val="fr-FR"/>
        </w:rPr>
        <w:t>« </w:t>
      </w:r>
      <w:r w:rsidRPr="0048459D">
        <w:rPr>
          <w:lang w:val="fr-FR"/>
        </w:rPr>
        <w:t>représentant</w:t>
      </w:r>
      <w:r>
        <w:rPr>
          <w:lang w:val="fr-FR"/>
        </w:rPr>
        <w:t> »</w:t>
      </w:r>
      <w:r w:rsidRPr="0048459D">
        <w:rPr>
          <w:lang w:val="fr-FR"/>
        </w:rPr>
        <w:t xml:space="preserve"> en français. </w:t>
      </w:r>
    </w:p>
    <w:p w14:paraId="02D5AE0E" w14:textId="77777777" w:rsidR="003F7DA4" w:rsidRPr="0048459D" w:rsidRDefault="003F7DA4" w:rsidP="003F7DA4">
      <w:pPr>
        <w:pStyle w:val="SingleTxtG"/>
        <w:rPr>
          <w:rFonts w:eastAsia="Times New Roman"/>
          <w:lang w:val="fr-FR"/>
        </w:rPr>
      </w:pPr>
      <w:r>
        <w:rPr>
          <w:lang w:val="fr-FR"/>
        </w:rPr>
        <w:t>209</w:t>
      </w:r>
      <w:r w:rsidRPr="0048459D">
        <w:rPr>
          <w:lang w:val="fr-FR"/>
        </w:rPr>
        <w:t>.</w:t>
      </w:r>
      <w:r w:rsidRPr="0048459D">
        <w:rPr>
          <w:lang w:val="fr-FR"/>
        </w:rPr>
        <w:tab/>
        <w:t>En ce qui concerne l</w:t>
      </w:r>
      <w:r>
        <w:rPr>
          <w:lang w:val="fr-FR"/>
        </w:rPr>
        <w:t>’</w:t>
      </w:r>
      <w:r w:rsidRPr="0048459D">
        <w:rPr>
          <w:lang w:val="fr-FR"/>
        </w:rPr>
        <w:t>alinéa</w:t>
      </w:r>
      <w:r>
        <w:rPr>
          <w:lang w:val="fr-FR"/>
        </w:rPr>
        <w:t> </w:t>
      </w:r>
      <w:r w:rsidRPr="0048459D">
        <w:rPr>
          <w:lang w:val="fr-FR"/>
        </w:rPr>
        <w:t>b) du projet d</w:t>
      </w:r>
      <w:r>
        <w:rPr>
          <w:lang w:val="fr-FR"/>
        </w:rPr>
        <w:t>’</w:t>
      </w:r>
      <w:r w:rsidRPr="0048459D">
        <w:rPr>
          <w:lang w:val="fr-FR"/>
        </w:rPr>
        <w:t>article 2, le Rapporteur spécial a reconnu qu</w:t>
      </w:r>
      <w:r>
        <w:rPr>
          <w:lang w:val="fr-FR"/>
        </w:rPr>
        <w:t>’</w:t>
      </w:r>
      <w:r w:rsidRPr="0048459D">
        <w:rPr>
          <w:lang w:val="fr-FR"/>
        </w:rPr>
        <w:t>il existait un certain chevauchement, sur les plans de la terminologie et du fond, entre les projets d</w:t>
      </w:r>
      <w:r>
        <w:rPr>
          <w:lang w:val="fr-FR"/>
        </w:rPr>
        <w:t>’</w:t>
      </w:r>
      <w:r w:rsidRPr="0048459D">
        <w:rPr>
          <w:lang w:val="fr-FR"/>
        </w:rPr>
        <w:t>article</w:t>
      </w:r>
      <w:r>
        <w:rPr>
          <w:lang w:val="fr-FR"/>
        </w:rPr>
        <w:t xml:space="preserve"> </w:t>
      </w:r>
      <w:r w:rsidRPr="0048459D">
        <w:rPr>
          <w:lang w:val="fr-FR"/>
        </w:rPr>
        <w:t>à l</w:t>
      </w:r>
      <w:r>
        <w:rPr>
          <w:lang w:val="fr-FR"/>
        </w:rPr>
        <w:t>’</w:t>
      </w:r>
      <w:r w:rsidRPr="0048459D">
        <w:rPr>
          <w:lang w:val="fr-FR"/>
        </w:rPr>
        <w:t>examen et les articles sur la responsabilité de l</w:t>
      </w:r>
      <w:r>
        <w:rPr>
          <w:lang w:val="fr-FR"/>
        </w:rPr>
        <w:t>’</w:t>
      </w:r>
      <w:r w:rsidRPr="0048459D">
        <w:rPr>
          <w:lang w:val="fr-FR"/>
        </w:rPr>
        <w:t xml:space="preserve">État pour fait </w:t>
      </w:r>
      <w:r w:rsidRPr="0048459D">
        <w:rPr>
          <w:lang w:val="fr-FR"/>
        </w:rPr>
        <w:lastRenderedPageBreak/>
        <w:t xml:space="preserve">internationalement illicite, mais a souligné que les uns et les autres correspondaient à des régimes juridiques distincts. Il a déclaré que le régime juridique </w:t>
      </w:r>
      <w:r>
        <w:rPr>
          <w:lang w:val="fr-FR"/>
        </w:rPr>
        <w:t xml:space="preserve">international </w:t>
      </w:r>
      <w:r w:rsidRPr="0048459D">
        <w:rPr>
          <w:lang w:val="fr-FR"/>
        </w:rPr>
        <w:t>de l</w:t>
      </w:r>
      <w:r>
        <w:rPr>
          <w:lang w:val="fr-FR"/>
        </w:rPr>
        <w:t>’</w:t>
      </w:r>
      <w:r w:rsidRPr="0048459D">
        <w:rPr>
          <w:lang w:val="fr-FR"/>
        </w:rPr>
        <w:t>immunité ne conférait pas aux représentants de l</w:t>
      </w:r>
      <w:r>
        <w:rPr>
          <w:lang w:val="fr-FR"/>
        </w:rPr>
        <w:t>’</w:t>
      </w:r>
      <w:r w:rsidRPr="0048459D">
        <w:rPr>
          <w:lang w:val="fr-FR"/>
        </w:rPr>
        <w:t>État l</w:t>
      </w:r>
      <w:r>
        <w:rPr>
          <w:lang w:val="fr-FR"/>
        </w:rPr>
        <w:t>’</w:t>
      </w:r>
      <w:r w:rsidRPr="0048459D">
        <w:rPr>
          <w:lang w:val="fr-FR"/>
        </w:rPr>
        <w:t xml:space="preserve">immunité pour les actes </w:t>
      </w:r>
      <w:r w:rsidRPr="0048459D">
        <w:rPr>
          <w:i/>
          <w:iCs/>
          <w:lang w:val="fr-FR"/>
        </w:rPr>
        <w:t>ultra vires</w:t>
      </w:r>
      <w:r w:rsidRPr="0048459D">
        <w:rPr>
          <w:lang w:val="fr-FR"/>
        </w:rPr>
        <w:t>, car les actes qui sortent du cadre des fonctions et du mandat du représentant sont des actes personnels et non des actes accomplis dans l</w:t>
      </w:r>
      <w:r>
        <w:rPr>
          <w:lang w:val="fr-FR"/>
        </w:rPr>
        <w:t>’</w:t>
      </w:r>
      <w:r w:rsidRPr="0048459D">
        <w:rPr>
          <w:lang w:val="fr-FR"/>
        </w:rPr>
        <w:t>exercice de fonctions étatiques. Le Rapporteur spécial a fait part de son intention d</w:t>
      </w:r>
      <w:r>
        <w:rPr>
          <w:lang w:val="fr-FR"/>
        </w:rPr>
        <w:t>’</w:t>
      </w:r>
      <w:r w:rsidRPr="0048459D">
        <w:rPr>
          <w:lang w:val="fr-FR"/>
        </w:rPr>
        <w:t>étoffer le commentaire concernant ces questions. Enfin, il a indiqué qu</w:t>
      </w:r>
      <w:r>
        <w:rPr>
          <w:lang w:val="fr-FR"/>
        </w:rPr>
        <w:t>’</w:t>
      </w:r>
      <w:r w:rsidRPr="0048459D">
        <w:rPr>
          <w:lang w:val="fr-FR"/>
        </w:rPr>
        <w:t>il préférait que les projets d</w:t>
      </w:r>
      <w:r>
        <w:rPr>
          <w:lang w:val="fr-FR"/>
        </w:rPr>
        <w:t>’</w:t>
      </w:r>
      <w:r w:rsidRPr="0048459D">
        <w:rPr>
          <w:lang w:val="fr-FR"/>
        </w:rPr>
        <w:t>articles 2, 5 et 6 restent des dispositions autonomes à moins que la majorité des membres souhaite qu</w:t>
      </w:r>
      <w:r>
        <w:rPr>
          <w:lang w:val="fr-FR"/>
        </w:rPr>
        <w:t>’</w:t>
      </w:r>
      <w:r w:rsidRPr="0048459D">
        <w:rPr>
          <w:lang w:val="fr-FR"/>
        </w:rPr>
        <w:t>il en soit autrement. Il s</w:t>
      </w:r>
      <w:r>
        <w:rPr>
          <w:lang w:val="fr-FR"/>
        </w:rPr>
        <w:t>’</w:t>
      </w:r>
      <w:r w:rsidRPr="0048459D">
        <w:rPr>
          <w:lang w:val="fr-FR"/>
        </w:rPr>
        <w:t>est dit ouvert à une restructuration du projet d</w:t>
      </w:r>
      <w:r>
        <w:rPr>
          <w:lang w:val="fr-FR"/>
        </w:rPr>
        <w:t>’</w:t>
      </w:r>
      <w:r w:rsidRPr="0048459D">
        <w:rPr>
          <w:lang w:val="fr-FR"/>
        </w:rPr>
        <w:t xml:space="preserve">articles. </w:t>
      </w:r>
    </w:p>
    <w:p w14:paraId="5A82F705" w14:textId="77777777" w:rsidR="003F7DA4" w:rsidRPr="0048459D" w:rsidRDefault="003F7DA4" w:rsidP="003F7DA4">
      <w:pPr>
        <w:pStyle w:val="SingleTxtG"/>
        <w:rPr>
          <w:rFonts w:eastAsia="Times New Roman"/>
          <w:lang w:val="fr-FR"/>
        </w:rPr>
      </w:pPr>
      <w:r>
        <w:rPr>
          <w:lang w:val="fr-FR"/>
        </w:rPr>
        <w:t>210</w:t>
      </w:r>
      <w:r w:rsidRPr="0048459D">
        <w:rPr>
          <w:lang w:val="fr-FR"/>
        </w:rPr>
        <w:t>.</w:t>
      </w:r>
      <w:r w:rsidRPr="0048459D">
        <w:rPr>
          <w:lang w:val="fr-FR"/>
        </w:rPr>
        <w:tab/>
        <w:t>Concernant le projet d</w:t>
      </w:r>
      <w:r>
        <w:rPr>
          <w:lang w:val="fr-FR"/>
        </w:rPr>
        <w:t>’</w:t>
      </w:r>
      <w:r w:rsidRPr="0048459D">
        <w:rPr>
          <w:lang w:val="fr-FR"/>
        </w:rPr>
        <w:t>article 3, le Rapporteur spécial a réaffirmé qu</w:t>
      </w:r>
      <w:r>
        <w:rPr>
          <w:lang w:val="fr-FR"/>
        </w:rPr>
        <w:t>’</w:t>
      </w:r>
      <w:r w:rsidRPr="0048459D">
        <w:rPr>
          <w:lang w:val="fr-FR"/>
        </w:rPr>
        <w:t>il préférait conserver le texte adopté en première lecture, d</w:t>
      </w:r>
      <w:r>
        <w:rPr>
          <w:lang w:val="fr-FR"/>
        </w:rPr>
        <w:t>’</w:t>
      </w:r>
      <w:r w:rsidRPr="0048459D">
        <w:rPr>
          <w:lang w:val="fr-FR"/>
        </w:rPr>
        <w:t>autant que la majorité des membres avaient dit dans leurs déclarations que la disposition reflétait correctement le droit international coutumier. Il a indiqué qu</w:t>
      </w:r>
      <w:r>
        <w:rPr>
          <w:lang w:val="fr-FR"/>
        </w:rPr>
        <w:t>’</w:t>
      </w:r>
      <w:r w:rsidRPr="0048459D">
        <w:rPr>
          <w:lang w:val="fr-FR"/>
        </w:rPr>
        <w:t>il continuerait à suivre l</w:t>
      </w:r>
      <w:r>
        <w:rPr>
          <w:lang w:val="fr-FR"/>
        </w:rPr>
        <w:t>’</w:t>
      </w:r>
      <w:r w:rsidRPr="0048459D">
        <w:rPr>
          <w:lang w:val="fr-FR"/>
        </w:rPr>
        <w:t>avancée des affaires examinées par des tribunaux nationaux qui sont pertinentes aux fins du projet d</w:t>
      </w:r>
      <w:r>
        <w:rPr>
          <w:lang w:val="fr-FR"/>
        </w:rPr>
        <w:t>’</w:t>
      </w:r>
      <w:r w:rsidRPr="0048459D">
        <w:rPr>
          <w:lang w:val="fr-FR"/>
        </w:rPr>
        <w:t>article 3. Les questions relatives à l</w:t>
      </w:r>
      <w:r>
        <w:rPr>
          <w:lang w:val="fr-FR"/>
        </w:rPr>
        <w:t>’</w:t>
      </w:r>
      <w:r w:rsidRPr="0048459D">
        <w:rPr>
          <w:lang w:val="fr-FR"/>
        </w:rPr>
        <w:t xml:space="preserve">immunité </w:t>
      </w:r>
      <w:r w:rsidRPr="0048459D">
        <w:rPr>
          <w:i/>
          <w:iCs/>
          <w:lang w:val="fr-FR"/>
        </w:rPr>
        <w:t>ratione personae</w:t>
      </w:r>
      <w:r w:rsidRPr="0048459D">
        <w:rPr>
          <w:lang w:val="fr-FR"/>
        </w:rPr>
        <w:t xml:space="preserve"> et la troïka seraient analysées plus avant dans le commentaire.</w:t>
      </w:r>
    </w:p>
    <w:p w14:paraId="6D4B73E7" w14:textId="77777777" w:rsidR="003F7DA4" w:rsidRPr="0048459D" w:rsidRDefault="003F7DA4" w:rsidP="003F7DA4">
      <w:pPr>
        <w:pStyle w:val="SingleTxtG"/>
        <w:rPr>
          <w:rFonts w:eastAsia="Times New Roman"/>
          <w:lang w:val="fr-FR"/>
        </w:rPr>
      </w:pPr>
      <w:r>
        <w:rPr>
          <w:lang w:val="fr-FR"/>
        </w:rPr>
        <w:t>211</w:t>
      </w:r>
      <w:r w:rsidRPr="0048459D">
        <w:rPr>
          <w:lang w:val="fr-FR"/>
        </w:rPr>
        <w:t>.</w:t>
      </w:r>
      <w:r w:rsidRPr="0048459D">
        <w:rPr>
          <w:lang w:val="fr-FR"/>
        </w:rPr>
        <w:tab/>
        <w:t>En ce qui concerne les paragraphes</w:t>
      </w:r>
      <w:r>
        <w:rPr>
          <w:lang w:val="fr-FR"/>
        </w:rPr>
        <w:t> </w:t>
      </w:r>
      <w:r w:rsidRPr="0048459D">
        <w:rPr>
          <w:lang w:val="fr-FR"/>
        </w:rPr>
        <w:t>1 et 2 du projet d</w:t>
      </w:r>
      <w:r>
        <w:rPr>
          <w:lang w:val="fr-FR"/>
        </w:rPr>
        <w:t>’</w:t>
      </w:r>
      <w:r w:rsidRPr="0048459D">
        <w:rPr>
          <w:lang w:val="fr-FR"/>
        </w:rPr>
        <w:t>article 4, le Rapporteur spécial a réaffirmé qu</w:t>
      </w:r>
      <w:r>
        <w:rPr>
          <w:lang w:val="fr-FR"/>
        </w:rPr>
        <w:t>’</w:t>
      </w:r>
      <w:r w:rsidRPr="0048459D">
        <w:rPr>
          <w:lang w:val="fr-FR"/>
        </w:rPr>
        <w:t xml:space="preserve">il préférait conserver le texte adopté en première lecture en tenant cependant compte des diverses observations et questions soulevées par les membres en plénière au sujet du terme </w:t>
      </w:r>
      <w:r>
        <w:rPr>
          <w:lang w:val="fr-FR"/>
        </w:rPr>
        <w:t>« </w:t>
      </w:r>
      <w:r w:rsidRPr="0048459D">
        <w:rPr>
          <w:lang w:val="fr-FR"/>
        </w:rPr>
        <w:t>mandat</w:t>
      </w:r>
      <w:r>
        <w:rPr>
          <w:lang w:val="fr-FR"/>
        </w:rPr>
        <w:t> »</w:t>
      </w:r>
      <w:r w:rsidRPr="0048459D">
        <w:rPr>
          <w:lang w:val="fr-FR"/>
        </w:rPr>
        <w:t>. Il a expliqué que ces considérations seraient plus à leur place dans le commentaire. Le Rapporteur spécial s</w:t>
      </w:r>
      <w:r>
        <w:rPr>
          <w:lang w:val="fr-FR"/>
        </w:rPr>
        <w:t>’</w:t>
      </w:r>
      <w:r w:rsidRPr="0048459D">
        <w:rPr>
          <w:lang w:val="fr-FR"/>
        </w:rPr>
        <w:t xml:space="preserve">est félicité des observations des membres concernant le paragraphe 3 et, en particulier, sa proposition de supprimer la formule </w:t>
      </w:r>
      <w:r>
        <w:rPr>
          <w:lang w:val="fr-FR"/>
        </w:rPr>
        <w:t>« </w:t>
      </w:r>
      <w:r w:rsidRPr="0048459D">
        <w:rPr>
          <w:lang w:val="fr-FR"/>
        </w:rPr>
        <w:t>des règles du droit international relatives à</w:t>
      </w:r>
      <w:r>
        <w:rPr>
          <w:lang w:val="fr-FR"/>
        </w:rPr>
        <w:t> »</w:t>
      </w:r>
      <w:r w:rsidRPr="0048459D">
        <w:rPr>
          <w:lang w:val="fr-FR"/>
        </w:rPr>
        <w:t xml:space="preserve">. Compte tenu de la divergence des vues exprimées par les membres, il a suggéré que sa proposition soit examinée plus avant au sein du Comité de rédaction. </w:t>
      </w:r>
    </w:p>
    <w:p w14:paraId="02AA43C8" w14:textId="77777777" w:rsidR="003F7DA4" w:rsidRPr="0048459D" w:rsidRDefault="003F7DA4" w:rsidP="003F7DA4">
      <w:pPr>
        <w:pStyle w:val="SingleTxtG"/>
        <w:rPr>
          <w:rFonts w:eastAsia="Times New Roman"/>
          <w:lang w:val="fr-FR"/>
        </w:rPr>
      </w:pPr>
      <w:r>
        <w:rPr>
          <w:lang w:val="fr-FR"/>
        </w:rPr>
        <w:t>212</w:t>
      </w:r>
      <w:r w:rsidRPr="0048459D">
        <w:rPr>
          <w:lang w:val="fr-FR"/>
        </w:rPr>
        <w:t>.</w:t>
      </w:r>
      <w:r w:rsidRPr="0048459D">
        <w:rPr>
          <w:lang w:val="fr-FR"/>
        </w:rPr>
        <w:tab/>
        <w:t>Concernant le projet d</w:t>
      </w:r>
      <w:r>
        <w:rPr>
          <w:lang w:val="fr-FR"/>
        </w:rPr>
        <w:t>’</w:t>
      </w:r>
      <w:r w:rsidRPr="0048459D">
        <w:rPr>
          <w:lang w:val="fr-FR"/>
        </w:rPr>
        <w:t>article 5, rappelant ses remarques concernant le projet d</w:t>
      </w:r>
      <w:r>
        <w:rPr>
          <w:lang w:val="fr-FR"/>
        </w:rPr>
        <w:t>’</w:t>
      </w:r>
      <w:r w:rsidRPr="0048459D">
        <w:rPr>
          <w:lang w:val="fr-FR"/>
        </w:rPr>
        <w:t xml:space="preserve">article 2, le Rapporteur spécial a de nouveau proposé que la formule </w:t>
      </w:r>
      <w:r>
        <w:rPr>
          <w:lang w:val="fr-FR"/>
        </w:rPr>
        <w:t>« </w:t>
      </w:r>
      <w:r w:rsidRPr="0048459D">
        <w:rPr>
          <w:lang w:val="fr-FR"/>
        </w:rPr>
        <w:t>agissant à ce titre</w:t>
      </w:r>
      <w:r>
        <w:rPr>
          <w:lang w:val="fr-FR"/>
        </w:rPr>
        <w:t> »</w:t>
      </w:r>
      <w:r w:rsidRPr="0048459D">
        <w:rPr>
          <w:lang w:val="fr-FR"/>
        </w:rPr>
        <w:t xml:space="preserve"> soit remplacée par </w:t>
      </w:r>
      <w:r>
        <w:rPr>
          <w:lang w:val="fr-FR"/>
        </w:rPr>
        <w:t>« </w:t>
      </w:r>
      <w:r w:rsidRPr="0048459D">
        <w:rPr>
          <w:lang w:val="fr-FR"/>
        </w:rPr>
        <w:t>conformément au projet d</w:t>
      </w:r>
      <w:r>
        <w:rPr>
          <w:lang w:val="fr-FR"/>
        </w:rPr>
        <w:t>’</w:t>
      </w:r>
      <w:r w:rsidRPr="0048459D">
        <w:rPr>
          <w:lang w:val="fr-FR"/>
        </w:rPr>
        <w:t>article 6</w:t>
      </w:r>
      <w:r>
        <w:rPr>
          <w:lang w:val="fr-FR"/>
        </w:rPr>
        <w:t> »</w:t>
      </w:r>
      <w:r w:rsidRPr="0048459D">
        <w:rPr>
          <w:lang w:val="fr-FR"/>
        </w:rPr>
        <w:t>. Il a également réaffirmé qu</w:t>
      </w:r>
      <w:r>
        <w:rPr>
          <w:lang w:val="fr-FR"/>
        </w:rPr>
        <w:t>’</w:t>
      </w:r>
      <w:r w:rsidRPr="0048459D">
        <w:rPr>
          <w:lang w:val="fr-FR"/>
        </w:rPr>
        <w:t>il préférait ne pas fusionner le projet d</w:t>
      </w:r>
      <w:r>
        <w:rPr>
          <w:lang w:val="fr-FR"/>
        </w:rPr>
        <w:t>’</w:t>
      </w:r>
      <w:r w:rsidRPr="0048459D">
        <w:rPr>
          <w:lang w:val="fr-FR"/>
        </w:rPr>
        <w:t>article 2 avec les projets d</w:t>
      </w:r>
      <w:r>
        <w:rPr>
          <w:lang w:val="fr-FR"/>
        </w:rPr>
        <w:t>’</w:t>
      </w:r>
      <w:r w:rsidRPr="0048459D">
        <w:rPr>
          <w:lang w:val="fr-FR"/>
        </w:rPr>
        <w:t>articles</w:t>
      </w:r>
      <w:r>
        <w:rPr>
          <w:lang w:val="fr-FR"/>
        </w:rPr>
        <w:t> </w:t>
      </w:r>
      <w:r w:rsidRPr="0048459D">
        <w:rPr>
          <w:lang w:val="fr-FR"/>
        </w:rPr>
        <w:t xml:space="preserve">5 ou 6. </w:t>
      </w:r>
    </w:p>
    <w:p w14:paraId="58F701A2" w14:textId="77777777" w:rsidR="003F7DA4" w:rsidRPr="0048459D" w:rsidRDefault="003F7DA4" w:rsidP="003F7DA4">
      <w:pPr>
        <w:pStyle w:val="SingleTxtG"/>
        <w:rPr>
          <w:rFonts w:eastAsia="Times New Roman"/>
          <w:lang w:val="fr-FR"/>
        </w:rPr>
      </w:pPr>
      <w:r>
        <w:rPr>
          <w:lang w:val="fr-FR"/>
        </w:rPr>
        <w:t>213</w:t>
      </w:r>
      <w:r w:rsidRPr="0048459D">
        <w:rPr>
          <w:lang w:val="fr-FR"/>
        </w:rPr>
        <w:t>.</w:t>
      </w:r>
      <w:r w:rsidRPr="0048459D">
        <w:rPr>
          <w:lang w:val="fr-FR"/>
        </w:rPr>
        <w:tab/>
        <w:t>Concernant le projet d</w:t>
      </w:r>
      <w:r>
        <w:rPr>
          <w:lang w:val="fr-FR"/>
        </w:rPr>
        <w:t>’</w:t>
      </w:r>
      <w:r w:rsidRPr="0048459D">
        <w:rPr>
          <w:lang w:val="fr-FR"/>
        </w:rPr>
        <w:t>article 6, le Rapporteur spécial a pris acte des différentes propositions faites par les membres au cours du débat. Quand bien même les membres avaient dans l</w:t>
      </w:r>
      <w:r>
        <w:rPr>
          <w:lang w:val="fr-FR"/>
        </w:rPr>
        <w:t>’</w:t>
      </w:r>
      <w:r w:rsidRPr="0048459D">
        <w:rPr>
          <w:lang w:val="fr-FR"/>
        </w:rPr>
        <w:t>ensemble approuvé les paragraphes 1 et 2, il a noté qu</w:t>
      </w:r>
      <w:r>
        <w:rPr>
          <w:lang w:val="fr-FR"/>
        </w:rPr>
        <w:t>’</w:t>
      </w:r>
      <w:r w:rsidRPr="0048459D">
        <w:rPr>
          <w:lang w:val="fr-FR"/>
        </w:rPr>
        <w:t>ils avaient exprimé des vues divergentes au sujet de sa proposition d</w:t>
      </w:r>
      <w:r>
        <w:rPr>
          <w:lang w:val="fr-FR"/>
        </w:rPr>
        <w:t>’</w:t>
      </w:r>
      <w:r w:rsidRPr="0048459D">
        <w:rPr>
          <w:lang w:val="fr-FR"/>
        </w:rPr>
        <w:t xml:space="preserve">ajouter </w:t>
      </w:r>
      <w:r>
        <w:rPr>
          <w:lang w:val="fr-FR"/>
        </w:rPr>
        <w:t>« </w:t>
      </w:r>
      <w:r w:rsidRPr="0048459D">
        <w:rPr>
          <w:i/>
          <w:iCs/>
          <w:lang w:val="fr-FR"/>
        </w:rPr>
        <w:t>ratione materiae</w:t>
      </w:r>
      <w:r>
        <w:rPr>
          <w:lang w:val="fr-FR"/>
        </w:rPr>
        <w:t> »</w:t>
      </w:r>
      <w:r w:rsidRPr="0048459D">
        <w:rPr>
          <w:lang w:val="fr-FR"/>
        </w:rPr>
        <w:t xml:space="preserve"> au paragraphe 3. Il a également noté les propositions formulées concernant la structure des projets d</w:t>
      </w:r>
      <w:r>
        <w:rPr>
          <w:lang w:val="fr-FR"/>
        </w:rPr>
        <w:t>’</w:t>
      </w:r>
      <w:r w:rsidRPr="0048459D">
        <w:rPr>
          <w:lang w:val="fr-FR"/>
        </w:rPr>
        <w:t>articles, en particulier les projets d</w:t>
      </w:r>
      <w:r>
        <w:rPr>
          <w:lang w:val="fr-FR"/>
        </w:rPr>
        <w:t>’</w:t>
      </w:r>
      <w:r w:rsidRPr="0048459D">
        <w:rPr>
          <w:lang w:val="fr-FR"/>
        </w:rPr>
        <w:t>articles 3, 4, 5 et 6. Il a souligné que ces propositions devaient être sérieusement examinées par le Comité de rédaction et s</w:t>
      </w:r>
      <w:r>
        <w:rPr>
          <w:lang w:val="fr-FR"/>
        </w:rPr>
        <w:t>’</w:t>
      </w:r>
      <w:r w:rsidRPr="0048459D">
        <w:rPr>
          <w:lang w:val="fr-FR"/>
        </w:rPr>
        <w:t>est dit entièrement disposé à en discuter.</w:t>
      </w:r>
    </w:p>
    <w:p w14:paraId="1706839D" w14:textId="77777777" w:rsidR="003F7DA4" w:rsidRDefault="003F7DA4" w:rsidP="003F7DA4">
      <w:pPr>
        <w:pStyle w:val="SingleTxtG"/>
        <w:rPr>
          <w:lang w:val="fr-FR"/>
        </w:rPr>
      </w:pPr>
      <w:r>
        <w:rPr>
          <w:lang w:val="fr-FR"/>
        </w:rPr>
        <w:t>214</w:t>
      </w:r>
      <w:r w:rsidRPr="0048459D">
        <w:rPr>
          <w:lang w:val="fr-FR"/>
        </w:rPr>
        <w:t>.</w:t>
      </w:r>
      <w:r w:rsidRPr="0048459D">
        <w:rPr>
          <w:lang w:val="fr-FR"/>
        </w:rPr>
        <w:tab/>
        <w:t>Le Rapporteur spécial a conclu son intervention en remerciant les membres de la Commission de leur contribution et en se félicitant de la richesse des échanges de vues qui avaient eu lieu. Il a préconisé la tenue de consultations informelles en vue de faciliter la seconde lecture du projet d</w:t>
      </w:r>
      <w:r>
        <w:rPr>
          <w:lang w:val="fr-FR"/>
        </w:rPr>
        <w:t>’</w:t>
      </w:r>
      <w:r w:rsidRPr="0048459D">
        <w:rPr>
          <w:lang w:val="fr-FR"/>
        </w:rPr>
        <w:t xml:space="preserve">articles par la Commission. </w:t>
      </w:r>
    </w:p>
    <w:p w14:paraId="5E85F7AB" w14:textId="77777777" w:rsidR="006C3AB5" w:rsidRDefault="006C3AB5">
      <w:pPr>
        <w:suppressAutoHyphens w:val="0"/>
        <w:kinsoku/>
        <w:overflowPunct/>
        <w:autoSpaceDE/>
        <w:autoSpaceDN/>
        <w:adjustRightInd/>
        <w:snapToGrid/>
        <w:spacing w:line="240" w:lineRule="auto"/>
        <w:rPr>
          <w:b/>
          <w:sz w:val="28"/>
          <w:lang w:val="fr-FR"/>
        </w:rPr>
      </w:pPr>
      <w:r>
        <w:rPr>
          <w:lang w:val="fr-FR"/>
        </w:rPr>
        <w:br w:type="page"/>
      </w:r>
    </w:p>
    <w:p w14:paraId="4DF72FD6" w14:textId="6980CD51" w:rsidR="00C979F6" w:rsidRPr="00841601" w:rsidRDefault="00F7316E" w:rsidP="00C979F6">
      <w:pPr>
        <w:pStyle w:val="HChG"/>
        <w:rPr>
          <w:shd w:val="clear" w:color="000000" w:fill="FFFFFF"/>
          <w:lang w:val="fr-CA"/>
        </w:rPr>
      </w:pPr>
      <w:r w:rsidRPr="00691C2B">
        <w:rPr>
          <w:lang w:val="fr-FR"/>
        </w:rPr>
        <w:lastRenderedPageBreak/>
        <w:tab/>
      </w:r>
      <w:r w:rsidRPr="00691C2B">
        <w:rPr>
          <w:lang w:val="fr-FR"/>
        </w:rPr>
        <w:tab/>
      </w:r>
      <w:r w:rsidRPr="00C979F6">
        <w:rPr>
          <w:lang w:val="fr-FR"/>
        </w:rPr>
        <w:t>Chapitre VIII</w:t>
      </w:r>
      <w:r w:rsidRPr="00C979F6">
        <w:rPr>
          <w:lang w:val="fr-FR"/>
        </w:rPr>
        <w:br/>
      </w:r>
      <w:r w:rsidR="00C979F6" w:rsidRPr="00841601">
        <w:rPr>
          <w:lang w:val="fr-FR"/>
        </w:rPr>
        <w:tab/>
        <w:t>Les accords internationaux juridiquement non contraignants</w:t>
      </w:r>
    </w:p>
    <w:p w14:paraId="1EF30268" w14:textId="77777777" w:rsidR="00C979F6" w:rsidRPr="00841601" w:rsidRDefault="00C979F6" w:rsidP="00C979F6">
      <w:pPr>
        <w:pStyle w:val="H1G"/>
        <w:rPr>
          <w:shd w:val="clear" w:color="000000" w:fill="FFFFFF"/>
        </w:rPr>
      </w:pPr>
      <w:r w:rsidRPr="00841601">
        <w:tab/>
        <w:t>A.</w:t>
      </w:r>
      <w:r w:rsidRPr="00841601">
        <w:tab/>
      </w:r>
      <w:r w:rsidRPr="00841601">
        <w:rPr>
          <w:lang w:val="fr-FR"/>
        </w:rPr>
        <w:t>Introduction</w:t>
      </w:r>
    </w:p>
    <w:p w14:paraId="6BB00534" w14:textId="77777777" w:rsidR="00C979F6" w:rsidRPr="00841601" w:rsidRDefault="00C979F6" w:rsidP="00C979F6">
      <w:pPr>
        <w:pStyle w:val="SingleTxtG"/>
        <w:tabs>
          <w:tab w:val="clear" w:pos="1701"/>
          <w:tab w:val="clear" w:pos="2268"/>
          <w:tab w:val="clear" w:pos="2835"/>
        </w:tabs>
        <w:ind w:left="1170"/>
        <w:rPr>
          <w:shd w:val="clear" w:color="000000" w:fill="FFFFFF"/>
          <w:lang w:val="fr-CA"/>
        </w:rPr>
      </w:pPr>
      <w:r>
        <w:rPr>
          <w:lang w:val="fr-CA"/>
        </w:rPr>
        <w:t>215</w:t>
      </w:r>
      <w:r w:rsidRPr="00841601">
        <w:rPr>
          <w:lang w:val="fr-CA"/>
        </w:rPr>
        <w:t>.</w:t>
      </w:r>
      <w:r w:rsidRPr="00841601">
        <w:rPr>
          <w:lang w:val="fr-CA"/>
        </w:rPr>
        <w:tab/>
      </w:r>
      <w:r w:rsidRPr="00841601">
        <w:rPr>
          <w:lang w:val="fr-FR"/>
        </w:rPr>
        <w:t>À sa soixante-</w:t>
      </w:r>
      <w:r>
        <w:rPr>
          <w:lang w:val="fr-FR"/>
        </w:rPr>
        <w:t>quatorzième</w:t>
      </w:r>
      <w:r w:rsidRPr="00841601">
        <w:rPr>
          <w:lang w:val="fr-FR"/>
        </w:rPr>
        <w:t xml:space="preserve"> session (2023), la Commission a décidé d</w:t>
      </w:r>
      <w:r>
        <w:rPr>
          <w:lang w:val="fr-FR"/>
        </w:rPr>
        <w:t>’</w:t>
      </w:r>
      <w:r w:rsidRPr="00841601">
        <w:rPr>
          <w:lang w:val="fr-FR"/>
        </w:rPr>
        <w:t xml:space="preserve">inscrire le sujet « Les accords internationaux juridiquement non contraignants » à son programme de travail et a désigné M. Mathias </w:t>
      </w:r>
      <w:proofErr w:type="spellStart"/>
      <w:r w:rsidRPr="00841601">
        <w:rPr>
          <w:lang w:val="fr-FR"/>
        </w:rPr>
        <w:t>Forteau</w:t>
      </w:r>
      <w:proofErr w:type="spellEnd"/>
      <w:r w:rsidRPr="00841601">
        <w:rPr>
          <w:lang w:val="fr-FR"/>
        </w:rPr>
        <w:t xml:space="preserve"> Rapporteur spécial</w:t>
      </w:r>
      <w:r w:rsidRPr="00841601">
        <w:rPr>
          <w:rStyle w:val="Appelnotedebasdep"/>
        </w:rPr>
        <w:footnoteReference w:id="236"/>
      </w:r>
      <w:r w:rsidRPr="00841601">
        <w:rPr>
          <w:lang w:val="fr-FR"/>
        </w:rPr>
        <w:t xml:space="preserve">. </w:t>
      </w:r>
    </w:p>
    <w:p w14:paraId="5AC48949" w14:textId="77777777" w:rsidR="00C979F6" w:rsidRPr="00841601" w:rsidRDefault="00C979F6" w:rsidP="00C979F6">
      <w:pPr>
        <w:pStyle w:val="SingleTxtG"/>
        <w:ind w:left="1170"/>
        <w:rPr>
          <w:shd w:val="clear" w:color="000000" w:fill="FFFFFF"/>
          <w:lang w:val="fr-CA"/>
        </w:rPr>
      </w:pPr>
      <w:r w:rsidRPr="00841601">
        <w:rPr>
          <w:lang w:val="fr-CA"/>
        </w:rPr>
        <w:t>2</w:t>
      </w:r>
      <w:r>
        <w:rPr>
          <w:lang w:val="fr-CA"/>
        </w:rPr>
        <w:t>16</w:t>
      </w:r>
      <w:r w:rsidRPr="00841601">
        <w:rPr>
          <w:lang w:val="fr-CA"/>
        </w:rPr>
        <w:t>.</w:t>
      </w:r>
      <w:r w:rsidRPr="00841601">
        <w:rPr>
          <w:lang w:val="fr-CA"/>
        </w:rPr>
        <w:tab/>
      </w:r>
      <w:r w:rsidRPr="00841601">
        <w:rPr>
          <w:lang w:val="fr-FR"/>
        </w:rPr>
        <w:t xml:space="preserve">Au paragraphe 7 de sa résolution </w:t>
      </w:r>
      <w:hyperlink r:id="rId68" w:history="1">
        <w:r w:rsidRPr="00841601">
          <w:rPr>
            <w:rStyle w:val="Lienhypertexte"/>
            <w:lang w:val="fr-FR"/>
          </w:rPr>
          <w:t>78/108</w:t>
        </w:r>
      </w:hyperlink>
      <w:r w:rsidRPr="00841601">
        <w:rPr>
          <w:lang w:val="fr-FR"/>
        </w:rPr>
        <w:t>, du 7 décembre 2023, l</w:t>
      </w:r>
      <w:r>
        <w:rPr>
          <w:lang w:val="fr-FR"/>
        </w:rPr>
        <w:t>’</w:t>
      </w:r>
      <w:r w:rsidRPr="00841601">
        <w:rPr>
          <w:lang w:val="fr-FR"/>
        </w:rPr>
        <w:t>Assemblée générale a pris note de la décision de la Commission d</w:t>
      </w:r>
      <w:r>
        <w:rPr>
          <w:lang w:val="fr-FR"/>
        </w:rPr>
        <w:t>’</w:t>
      </w:r>
      <w:r w:rsidRPr="00841601">
        <w:rPr>
          <w:lang w:val="fr-FR"/>
        </w:rPr>
        <w:t xml:space="preserve">inscrire le sujet à son programme de travail. </w:t>
      </w:r>
    </w:p>
    <w:p w14:paraId="40D396DA" w14:textId="77777777" w:rsidR="00C979F6" w:rsidRPr="00841601" w:rsidRDefault="00C979F6" w:rsidP="00F355A0">
      <w:pPr>
        <w:pStyle w:val="H1G"/>
        <w:rPr>
          <w:shd w:val="clear" w:color="000000" w:fill="FFFFFF"/>
          <w:lang w:val="fr-CA"/>
        </w:rPr>
      </w:pPr>
      <w:r w:rsidRPr="00841601">
        <w:rPr>
          <w:lang w:val="fr-CA"/>
        </w:rPr>
        <w:tab/>
        <w:t>B.</w:t>
      </w:r>
      <w:r w:rsidRPr="00841601">
        <w:rPr>
          <w:lang w:val="fr-CA"/>
        </w:rPr>
        <w:tab/>
      </w:r>
      <w:r w:rsidRPr="00841601">
        <w:rPr>
          <w:lang w:val="fr-FR"/>
        </w:rPr>
        <w:t>Examen du sujet à la présente session</w:t>
      </w:r>
    </w:p>
    <w:p w14:paraId="104F012A" w14:textId="77777777" w:rsidR="00C979F6" w:rsidRPr="00841601" w:rsidRDefault="00C979F6" w:rsidP="00C979F6">
      <w:pPr>
        <w:pStyle w:val="SingleTxtG"/>
        <w:ind w:left="1170"/>
        <w:rPr>
          <w:lang w:val="fr-CA"/>
        </w:rPr>
      </w:pPr>
      <w:r>
        <w:rPr>
          <w:lang w:val="fr-CA"/>
        </w:rPr>
        <w:t>217</w:t>
      </w:r>
      <w:r w:rsidRPr="00841601">
        <w:rPr>
          <w:lang w:val="fr-CA"/>
        </w:rPr>
        <w:t>.</w:t>
      </w:r>
      <w:r w:rsidRPr="00841601">
        <w:rPr>
          <w:lang w:val="fr-CA"/>
        </w:rPr>
        <w:tab/>
      </w:r>
      <w:r w:rsidRPr="00841601">
        <w:rPr>
          <w:lang w:val="fr-FR"/>
        </w:rPr>
        <w:t>À la présente session, la Commission était saisie du premier rapport du Rapporteur spécial (</w:t>
      </w:r>
      <w:hyperlink r:id="rId69" w:history="1">
        <w:r w:rsidRPr="00841601">
          <w:rPr>
            <w:rStyle w:val="Lienhypertexte"/>
            <w:lang w:val="fr-FR"/>
          </w:rPr>
          <w:t>A/CN.4/772</w:t>
        </w:r>
      </w:hyperlink>
      <w:r w:rsidRPr="00841601">
        <w:rPr>
          <w:lang w:val="fr-FR"/>
        </w:rPr>
        <w:t>).</w:t>
      </w:r>
    </w:p>
    <w:p w14:paraId="41EC652D" w14:textId="77777777" w:rsidR="00C979F6" w:rsidRPr="00841601" w:rsidRDefault="00C979F6" w:rsidP="00C979F6">
      <w:pPr>
        <w:pStyle w:val="SingleTxtG"/>
        <w:ind w:left="1170"/>
        <w:rPr>
          <w:lang w:val="fr-CA"/>
        </w:rPr>
      </w:pPr>
      <w:r>
        <w:rPr>
          <w:lang w:val="fr-CA"/>
        </w:rPr>
        <w:t>218</w:t>
      </w:r>
      <w:r w:rsidRPr="00841601">
        <w:rPr>
          <w:lang w:val="fr-CA"/>
        </w:rPr>
        <w:t>.</w:t>
      </w:r>
      <w:r w:rsidRPr="00841601">
        <w:rPr>
          <w:lang w:val="fr-CA"/>
        </w:rPr>
        <w:tab/>
      </w:r>
      <w:r w:rsidRPr="00841601">
        <w:rPr>
          <w:lang w:val="fr-FR"/>
        </w:rPr>
        <w:t>La Commission a examiné le premier rapport du Rapporteur spécial de sa 3681</w:t>
      </w:r>
      <w:r w:rsidRPr="00841601">
        <w:rPr>
          <w:vertAlign w:val="superscript"/>
          <w:lang w:val="fr-FR"/>
        </w:rPr>
        <w:t>e</w:t>
      </w:r>
      <w:r w:rsidRPr="00841601">
        <w:rPr>
          <w:lang w:val="fr-FR"/>
        </w:rPr>
        <w:t xml:space="preserve"> à sa 3687</w:t>
      </w:r>
      <w:r w:rsidRPr="00841601">
        <w:rPr>
          <w:vertAlign w:val="superscript"/>
          <w:lang w:val="fr-FR"/>
        </w:rPr>
        <w:t>e</w:t>
      </w:r>
      <w:r w:rsidRPr="00841601">
        <w:rPr>
          <w:lang w:val="fr-FR"/>
        </w:rPr>
        <w:t> séance, du 10 au 19 juillet 2024.</w:t>
      </w:r>
    </w:p>
    <w:p w14:paraId="24F23CAD" w14:textId="77777777" w:rsidR="00C979F6" w:rsidRPr="00841601" w:rsidRDefault="00C979F6" w:rsidP="00F355A0">
      <w:pPr>
        <w:pStyle w:val="H23G"/>
        <w:rPr>
          <w:shd w:val="clear" w:color="000000" w:fill="FFFFFF"/>
          <w:lang w:val="fr-CA"/>
        </w:rPr>
      </w:pPr>
      <w:r w:rsidRPr="00841601">
        <w:rPr>
          <w:lang w:val="fr-CA"/>
        </w:rPr>
        <w:tab/>
        <w:t>1.</w:t>
      </w:r>
      <w:r w:rsidRPr="00841601">
        <w:rPr>
          <w:lang w:val="fr-CA"/>
        </w:rPr>
        <w:tab/>
      </w:r>
      <w:r w:rsidRPr="00841601">
        <w:rPr>
          <w:lang w:val="fr-FR"/>
        </w:rPr>
        <w:t>Présentation par le Rapporteur spécial de son premier rapport</w:t>
      </w:r>
    </w:p>
    <w:p w14:paraId="7C0E7DB4" w14:textId="77777777" w:rsidR="00C979F6" w:rsidRPr="00841601" w:rsidRDefault="00C979F6" w:rsidP="00C979F6">
      <w:pPr>
        <w:pStyle w:val="SingleTxtG"/>
        <w:ind w:left="1170"/>
        <w:rPr>
          <w:shd w:val="clear" w:color="000000" w:fill="FFFFFF"/>
          <w:lang w:val="fr-CA"/>
        </w:rPr>
      </w:pPr>
      <w:r>
        <w:rPr>
          <w:lang w:val="fr-CA"/>
        </w:rPr>
        <w:t>219</w:t>
      </w:r>
      <w:r w:rsidRPr="00841601">
        <w:rPr>
          <w:lang w:val="fr-CA"/>
        </w:rPr>
        <w:t>.</w:t>
      </w:r>
      <w:r w:rsidRPr="00841601">
        <w:rPr>
          <w:lang w:val="fr-CA"/>
        </w:rPr>
        <w:tab/>
      </w:r>
      <w:r w:rsidRPr="00841601">
        <w:rPr>
          <w:lang w:val="fr-FR"/>
        </w:rPr>
        <w:t>Le Rapporteur spécial a indiqué que son premier rapport était de nature préliminaire et visait à permettre une première discussion destinée à définir l</w:t>
      </w:r>
      <w:r>
        <w:rPr>
          <w:lang w:val="fr-FR"/>
        </w:rPr>
        <w:t>’</w:t>
      </w:r>
      <w:r w:rsidRPr="00841601">
        <w:rPr>
          <w:lang w:val="fr-FR"/>
        </w:rPr>
        <w:t>orientation générale des travaux de la Commission sur le sujet, le champ d</w:t>
      </w:r>
      <w:r>
        <w:rPr>
          <w:lang w:val="fr-FR"/>
        </w:rPr>
        <w:t>’</w:t>
      </w:r>
      <w:r w:rsidRPr="00841601">
        <w:rPr>
          <w:lang w:val="fr-FR"/>
        </w:rPr>
        <w:t>application de celui-ci, les questions à examiner et la forme à donner au résultat final des travaux. Par conséquent, aucun projet de dispositions n</w:t>
      </w:r>
      <w:r>
        <w:rPr>
          <w:lang w:val="fr-FR"/>
        </w:rPr>
        <w:t>’</w:t>
      </w:r>
      <w:r w:rsidRPr="00841601">
        <w:rPr>
          <w:lang w:val="fr-FR"/>
        </w:rPr>
        <w:t>était proposé à ce stade</w:t>
      </w:r>
      <w:r>
        <w:rPr>
          <w:lang w:val="fr-FR"/>
        </w:rPr>
        <w:t xml:space="preserve"> et il n’était donc pas nécessaire de constituer un comité de rédaction</w:t>
      </w:r>
      <w:r w:rsidRPr="00841601">
        <w:rPr>
          <w:lang w:val="fr-FR"/>
        </w:rPr>
        <w:t xml:space="preserve">. </w:t>
      </w:r>
    </w:p>
    <w:p w14:paraId="52F95FD2" w14:textId="77777777" w:rsidR="00C979F6" w:rsidRPr="00841601" w:rsidRDefault="00C979F6" w:rsidP="00C979F6">
      <w:pPr>
        <w:pStyle w:val="SingleTxtG"/>
        <w:ind w:left="1170"/>
        <w:rPr>
          <w:lang w:val="fr-CA"/>
        </w:rPr>
      </w:pPr>
      <w:r>
        <w:rPr>
          <w:lang w:val="fr-CA"/>
        </w:rPr>
        <w:t>220</w:t>
      </w:r>
      <w:r w:rsidRPr="00841601">
        <w:rPr>
          <w:lang w:val="fr-CA"/>
        </w:rPr>
        <w:t>.</w:t>
      </w:r>
      <w:r w:rsidRPr="00841601">
        <w:rPr>
          <w:lang w:val="fr-CA"/>
        </w:rPr>
        <w:tab/>
      </w:r>
      <w:r w:rsidRPr="00841601">
        <w:rPr>
          <w:lang w:val="fr-FR"/>
        </w:rPr>
        <w:t>Le Rapporteur spécial a expliqué que son rapport n</w:t>
      </w:r>
      <w:r>
        <w:rPr>
          <w:lang w:val="fr-FR"/>
        </w:rPr>
        <w:t>’</w:t>
      </w:r>
      <w:r w:rsidRPr="00841601">
        <w:rPr>
          <w:lang w:val="fr-FR"/>
        </w:rPr>
        <w:t>abordait pas les raisons pour lesquelles la pratique des accords juridiquement non contraignants s</w:t>
      </w:r>
      <w:r>
        <w:rPr>
          <w:lang w:val="fr-FR"/>
        </w:rPr>
        <w:t>’</w:t>
      </w:r>
      <w:r w:rsidRPr="00841601">
        <w:rPr>
          <w:lang w:val="fr-FR"/>
        </w:rPr>
        <w:t>était considérablement développée, raisons que de nombreux auteurs avaient mises en évidence et qui incluaient le besoin de souplesse, d</w:t>
      </w:r>
      <w:r>
        <w:rPr>
          <w:lang w:val="fr-FR"/>
        </w:rPr>
        <w:t>’</w:t>
      </w:r>
      <w:r w:rsidRPr="00841601">
        <w:rPr>
          <w:lang w:val="fr-FR"/>
        </w:rPr>
        <w:t>efficacité et, parfois, de confidentialité dans les modes contemporains de coopération internationale. Selon lui, il n</w:t>
      </w:r>
      <w:r>
        <w:rPr>
          <w:lang w:val="fr-FR"/>
        </w:rPr>
        <w:t>’</w:t>
      </w:r>
      <w:r w:rsidRPr="00841601">
        <w:rPr>
          <w:lang w:val="fr-FR"/>
        </w:rPr>
        <w:t>appartenait pas à la Commission de se prononcer sur ces éléments ni d</w:t>
      </w:r>
      <w:r>
        <w:rPr>
          <w:lang w:val="fr-FR"/>
        </w:rPr>
        <w:t>’</w:t>
      </w:r>
      <w:r w:rsidRPr="00841601">
        <w:rPr>
          <w:lang w:val="fr-FR"/>
        </w:rPr>
        <w:t xml:space="preserve">encourager les États à conclure des accords internationaux juridiquement non contraignants ou, ou contraire, de les dissuader de le faire. Les travaux de la Commission sur le sujet ne devaient pas avoir un caractère prescriptif et devaient plutôt </w:t>
      </w:r>
      <w:r>
        <w:rPr>
          <w:lang w:val="fr-FR"/>
        </w:rPr>
        <w:t xml:space="preserve">venir </w:t>
      </w:r>
      <w:r w:rsidRPr="00841601">
        <w:rPr>
          <w:lang w:val="fr-FR"/>
        </w:rPr>
        <w:t xml:space="preserve">clarifier la nature, le régime et les effets juridiques potentiels des accords internationaux juridiquement non contraignants à la lumière de la pratique, de la jurisprudence et de la doctrine existantes. </w:t>
      </w:r>
      <w:r>
        <w:rPr>
          <w:lang w:val="fr-FR"/>
        </w:rPr>
        <w:t>Le</w:t>
      </w:r>
      <w:r w:rsidRPr="00841601">
        <w:rPr>
          <w:lang w:val="fr-FR"/>
        </w:rPr>
        <w:t xml:space="preserve"> Rapporteur spécial a fait observer qu</w:t>
      </w:r>
      <w:r>
        <w:rPr>
          <w:lang w:val="fr-FR"/>
        </w:rPr>
        <w:t>’</w:t>
      </w:r>
      <w:r w:rsidRPr="00841601">
        <w:rPr>
          <w:lang w:val="fr-FR"/>
        </w:rPr>
        <w:t xml:space="preserve">il était impératif pour la Commission de trouver un juste équilibre entre ce nécessaire travail de clarification juridique et la nécessité de ne pas limiter indûment la liberté des États de recourir aux accords non contraignants. Il a également fait observer que les travaux sur le sujet devaient être axés sur les aspects pratiques du sujet plutôt que sur des considérations purement théoriques. </w:t>
      </w:r>
    </w:p>
    <w:p w14:paraId="43DDD7D3" w14:textId="77777777" w:rsidR="00C979F6" w:rsidRPr="00841601" w:rsidRDefault="00C979F6" w:rsidP="00C979F6">
      <w:pPr>
        <w:pStyle w:val="SingleTxtG"/>
        <w:ind w:left="1170"/>
        <w:rPr>
          <w:lang w:val="fr-CA"/>
        </w:rPr>
      </w:pPr>
      <w:r>
        <w:rPr>
          <w:lang w:val="fr-CA"/>
        </w:rPr>
        <w:t>221</w:t>
      </w:r>
      <w:r w:rsidRPr="00841601">
        <w:rPr>
          <w:lang w:val="fr-CA"/>
        </w:rPr>
        <w:t>.</w:t>
      </w:r>
      <w:r w:rsidRPr="00841601">
        <w:rPr>
          <w:lang w:val="fr-CA"/>
        </w:rPr>
        <w:tab/>
      </w:r>
      <w:r w:rsidRPr="00841601">
        <w:rPr>
          <w:lang w:val="fr-FR"/>
        </w:rPr>
        <w:t>Le Rapporteur spécial a brièvement décrit le contenu des chapitres III à X de son premier rapport. Il a fait observer qu</w:t>
      </w:r>
      <w:r>
        <w:rPr>
          <w:lang w:val="fr-FR"/>
        </w:rPr>
        <w:t>’</w:t>
      </w:r>
      <w:r w:rsidRPr="00841601">
        <w:rPr>
          <w:lang w:val="fr-FR"/>
        </w:rPr>
        <w:t>il existait sur le sujet des accords internationaux juridiquement non contraignants une pratique de plus en plus abondante qui suscitait des questions juridiques à caractère pratique de plus en plus pressantes. Selon lui, l</w:t>
      </w:r>
      <w:r>
        <w:rPr>
          <w:lang w:val="fr-FR"/>
        </w:rPr>
        <w:t>’</w:t>
      </w:r>
      <w:r w:rsidRPr="00841601">
        <w:rPr>
          <w:lang w:val="fr-FR"/>
        </w:rPr>
        <w:t>importance pratique du sujet était encore confirmée par : les commentaires formulés par les États à la Sixième Commission de l</w:t>
      </w:r>
      <w:r>
        <w:rPr>
          <w:lang w:val="fr-FR"/>
        </w:rPr>
        <w:t>’</w:t>
      </w:r>
      <w:r w:rsidRPr="00841601">
        <w:rPr>
          <w:lang w:val="fr-FR"/>
        </w:rPr>
        <w:t>Assemblée générale ; la jurisprudence récente des juridictions internationales qui avaient dû répondre à la question de savoir si un accord donné était un traité ou un accord international juridiquement non contraignant ; les problèmes pratiques posés par l</w:t>
      </w:r>
      <w:r>
        <w:rPr>
          <w:lang w:val="fr-FR"/>
        </w:rPr>
        <w:t>’</w:t>
      </w:r>
      <w:r w:rsidRPr="00841601">
        <w:rPr>
          <w:lang w:val="fr-FR"/>
        </w:rPr>
        <w:t>existence d</w:t>
      </w:r>
      <w:r>
        <w:rPr>
          <w:lang w:val="fr-FR"/>
        </w:rPr>
        <w:t>’</w:t>
      </w:r>
      <w:r w:rsidRPr="00841601">
        <w:rPr>
          <w:lang w:val="fr-FR"/>
        </w:rPr>
        <w:t>accords internationaux ne créant pas de droits ou d</w:t>
      </w:r>
      <w:r>
        <w:rPr>
          <w:lang w:val="fr-FR"/>
        </w:rPr>
        <w:t>’</w:t>
      </w:r>
      <w:r w:rsidRPr="00841601">
        <w:rPr>
          <w:lang w:val="fr-FR"/>
        </w:rPr>
        <w:t xml:space="preserve">obligations, qui </w:t>
      </w:r>
      <w:r w:rsidRPr="00841601">
        <w:rPr>
          <w:lang w:val="fr-FR"/>
        </w:rPr>
        <w:lastRenderedPageBreak/>
        <w:t>s</w:t>
      </w:r>
      <w:r>
        <w:rPr>
          <w:lang w:val="fr-FR"/>
        </w:rPr>
        <w:t>’</w:t>
      </w:r>
      <w:r w:rsidRPr="00841601">
        <w:rPr>
          <w:lang w:val="fr-FR"/>
        </w:rPr>
        <w:t>étaient manifestés dès les travaux de la Commission sur le droit des traités et la Conférence des Nations Unies sur le droit des traités ; le grand nombre d</w:t>
      </w:r>
      <w:r>
        <w:rPr>
          <w:lang w:val="fr-FR"/>
        </w:rPr>
        <w:t>’</w:t>
      </w:r>
      <w:r w:rsidRPr="00841601">
        <w:rPr>
          <w:lang w:val="fr-FR"/>
        </w:rPr>
        <w:t xml:space="preserve">accords dont la nature et les effets juridiques avaient </w:t>
      </w:r>
      <w:r>
        <w:rPr>
          <w:lang w:val="fr-FR"/>
        </w:rPr>
        <w:t>fait l’objet de débats</w:t>
      </w:r>
      <w:r w:rsidRPr="00841601">
        <w:rPr>
          <w:lang w:val="fr-FR"/>
        </w:rPr>
        <w:t xml:space="preserve"> dans la doctrine ; le fait que diverses institutions internationales, notamment l</w:t>
      </w:r>
      <w:r>
        <w:rPr>
          <w:lang w:val="fr-FR"/>
        </w:rPr>
        <w:t>’</w:t>
      </w:r>
      <w:r w:rsidRPr="00841601">
        <w:rPr>
          <w:lang w:val="fr-FR"/>
        </w:rPr>
        <w:t>Institut de droit international, le Comité juridique interaméricain et le Comité des conseillers juridiques en droit international public (CAHDI) s</w:t>
      </w:r>
      <w:r>
        <w:rPr>
          <w:lang w:val="fr-FR"/>
        </w:rPr>
        <w:t>’</w:t>
      </w:r>
      <w:r w:rsidRPr="00841601">
        <w:rPr>
          <w:lang w:val="fr-FR"/>
        </w:rPr>
        <w:t>étaient penchés sur les accords juridiquement non contraignants ; l</w:t>
      </w:r>
      <w:r>
        <w:rPr>
          <w:lang w:val="fr-FR"/>
        </w:rPr>
        <w:t>’</w:t>
      </w:r>
      <w:r w:rsidRPr="00841601">
        <w:rPr>
          <w:lang w:val="fr-FR"/>
        </w:rPr>
        <w:t>adoption par plusieurs États, au niveau national, de lignes directrices sur le recours aux accords juridiquement non contraignants.</w:t>
      </w:r>
    </w:p>
    <w:p w14:paraId="30ADA001" w14:textId="77777777" w:rsidR="00C979F6" w:rsidRPr="00841601" w:rsidRDefault="00C979F6" w:rsidP="00C979F6">
      <w:pPr>
        <w:pStyle w:val="SingleTxtG"/>
        <w:ind w:left="1170"/>
        <w:rPr>
          <w:lang w:val="fr-CA"/>
        </w:rPr>
      </w:pPr>
      <w:r>
        <w:rPr>
          <w:lang w:val="fr-CA"/>
        </w:rPr>
        <w:t>222</w:t>
      </w:r>
      <w:r w:rsidRPr="00841601">
        <w:rPr>
          <w:lang w:val="fr-CA"/>
        </w:rPr>
        <w:t>.</w:t>
      </w:r>
      <w:r w:rsidRPr="00841601">
        <w:rPr>
          <w:lang w:val="fr-CA"/>
        </w:rPr>
        <w:tab/>
      </w:r>
      <w:r w:rsidRPr="00841601">
        <w:rPr>
          <w:lang w:val="fr-FR"/>
        </w:rPr>
        <w:t>Le Rapporteur spécial a fait observer que ses recherches préliminaires sur le sujet démontraient sans ambiguïté que les accords internationaux juridiquement non contraignants étaient connectés au droit international et que l</w:t>
      </w:r>
      <w:r>
        <w:rPr>
          <w:lang w:val="fr-FR"/>
        </w:rPr>
        <w:t>’</w:t>
      </w:r>
      <w:r w:rsidRPr="00841601">
        <w:rPr>
          <w:lang w:val="fr-FR"/>
        </w:rPr>
        <w:t>objectif de l</w:t>
      </w:r>
      <w:r>
        <w:rPr>
          <w:lang w:val="fr-FR"/>
        </w:rPr>
        <w:t>’</w:t>
      </w:r>
      <w:r w:rsidRPr="00841601">
        <w:rPr>
          <w:lang w:val="fr-FR"/>
        </w:rPr>
        <w:t xml:space="preserve">examen du sujet était de déterminer la nature de cette connexion et les modalités par lesquelles elle se manifestait. </w:t>
      </w:r>
    </w:p>
    <w:p w14:paraId="0FE024DA" w14:textId="77777777" w:rsidR="00C979F6" w:rsidRPr="00841601" w:rsidRDefault="00C979F6" w:rsidP="00C979F6">
      <w:pPr>
        <w:pStyle w:val="SingleTxtG"/>
        <w:ind w:left="1170"/>
        <w:rPr>
          <w:lang w:val="fr-CA"/>
        </w:rPr>
      </w:pPr>
      <w:r>
        <w:rPr>
          <w:lang w:val="fr-CA"/>
        </w:rPr>
        <w:t>223</w:t>
      </w:r>
      <w:r w:rsidRPr="00841601">
        <w:rPr>
          <w:lang w:val="fr-CA"/>
        </w:rPr>
        <w:t>.</w:t>
      </w:r>
      <w:r w:rsidRPr="00841601">
        <w:rPr>
          <w:lang w:val="fr-CA"/>
        </w:rPr>
        <w:tab/>
      </w:r>
      <w:r w:rsidRPr="00841601">
        <w:rPr>
          <w:lang w:val="fr-FR"/>
        </w:rPr>
        <w:t xml:space="preserve">Le Rapporteur spécial a conclu en </w:t>
      </w:r>
      <w:r>
        <w:rPr>
          <w:lang w:val="fr-FR"/>
        </w:rPr>
        <w:t>s’arrêtant</w:t>
      </w:r>
      <w:r w:rsidRPr="00841601">
        <w:rPr>
          <w:lang w:val="fr-FR"/>
        </w:rPr>
        <w:t xml:space="preserve"> sur les cinq questions suivantes, sur lesquelles il a invité les membres de la Commission à prendre position dans leurs interventions en séance plénière. </w:t>
      </w:r>
    </w:p>
    <w:p w14:paraId="24F2748C" w14:textId="77777777" w:rsidR="00C979F6" w:rsidRPr="00841601" w:rsidRDefault="00C979F6" w:rsidP="00C979F6">
      <w:pPr>
        <w:pStyle w:val="SingleTxtG"/>
        <w:ind w:left="1170"/>
        <w:rPr>
          <w:lang w:val="fr-CA"/>
        </w:rPr>
      </w:pPr>
      <w:r>
        <w:rPr>
          <w:lang w:val="fr-CA"/>
        </w:rPr>
        <w:t>224</w:t>
      </w:r>
      <w:r w:rsidRPr="00841601">
        <w:rPr>
          <w:lang w:val="fr-CA"/>
        </w:rPr>
        <w:t>.</w:t>
      </w:r>
      <w:r w:rsidRPr="00841601">
        <w:rPr>
          <w:lang w:val="fr-CA"/>
        </w:rPr>
        <w:tab/>
      </w:r>
      <w:r w:rsidRPr="00841601">
        <w:rPr>
          <w:lang w:val="fr-FR"/>
        </w:rPr>
        <w:t>Premièrement, le Rapporteur spécial a souligné qu</w:t>
      </w:r>
      <w:r>
        <w:rPr>
          <w:lang w:val="fr-FR"/>
        </w:rPr>
        <w:t>’</w:t>
      </w:r>
      <w:r w:rsidRPr="00841601">
        <w:rPr>
          <w:lang w:val="fr-FR"/>
        </w:rPr>
        <w:t>il importait de s</w:t>
      </w:r>
      <w:r>
        <w:rPr>
          <w:lang w:val="fr-FR"/>
        </w:rPr>
        <w:t>’</w:t>
      </w:r>
      <w:r w:rsidRPr="00841601">
        <w:rPr>
          <w:lang w:val="fr-FR"/>
        </w:rPr>
        <w:t>assurer que les travaux de la Commission étaient aussi représentatifs que possible. Il a rappelé que la contribution de tous les membres était essentielle si on voulait garantir la diversité géographique des exemples cités et des documents utilisés aux fins des travaux de la Commission. Il a invité la Commission à appuyer les propositions formulées aux paragraphes 70, 79, 82 et 83 de son premier rapport, où il suggérait que le Secrétariat prenne attache avec le Secrétariat du Conseil de l</w:t>
      </w:r>
      <w:r>
        <w:rPr>
          <w:lang w:val="fr-FR"/>
        </w:rPr>
        <w:t>’</w:t>
      </w:r>
      <w:r w:rsidRPr="00841601">
        <w:rPr>
          <w:lang w:val="fr-FR"/>
        </w:rPr>
        <w:t>Europe en vue de pouvoir accéder aux travaux du CAHDI sur le sujet et que, dans son rapport annuel, la Commission demande aux États</w:t>
      </w:r>
      <w:r>
        <w:rPr>
          <w:lang w:val="fr-FR"/>
        </w:rPr>
        <w:t xml:space="preserve"> </w:t>
      </w:r>
      <w:r w:rsidRPr="00841601">
        <w:rPr>
          <w:lang w:val="fr-FR"/>
        </w:rPr>
        <w:t>et</w:t>
      </w:r>
      <w:r>
        <w:rPr>
          <w:lang w:val="fr-FR"/>
        </w:rPr>
        <w:t>,</w:t>
      </w:r>
      <w:r w:rsidRPr="00841601">
        <w:rPr>
          <w:lang w:val="fr-FR"/>
        </w:rPr>
        <w:t xml:space="preserve"> éventuellement</w:t>
      </w:r>
      <w:r>
        <w:rPr>
          <w:lang w:val="fr-FR"/>
        </w:rPr>
        <w:t>,</w:t>
      </w:r>
      <w:r w:rsidRPr="00841601">
        <w:rPr>
          <w:lang w:val="fr-FR"/>
        </w:rPr>
        <w:t xml:space="preserve"> aux organisations internationales, de lui communiquer toutes informations pertinentes. </w:t>
      </w:r>
    </w:p>
    <w:p w14:paraId="046DDEED" w14:textId="77777777" w:rsidR="00C979F6" w:rsidRPr="00841601" w:rsidRDefault="00C979F6" w:rsidP="00C979F6">
      <w:pPr>
        <w:pStyle w:val="SingleTxtG"/>
        <w:ind w:left="1170"/>
        <w:rPr>
          <w:lang w:val="fr-CA"/>
        </w:rPr>
      </w:pPr>
      <w:r>
        <w:rPr>
          <w:lang w:val="fr-CA"/>
        </w:rPr>
        <w:t>225</w:t>
      </w:r>
      <w:r w:rsidRPr="00841601">
        <w:rPr>
          <w:lang w:val="fr-CA"/>
        </w:rPr>
        <w:t>.</w:t>
      </w:r>
      <w:r w:rsidRPr="00841601">
        <w:rPr>
          <w:lang w:val="fr-CA"/>
        </w:rPr>
        <w:tab/>
      </w:r>
      <w:r w:rsidRPr="00841601">
        <w:rPr>
          <w:lang w:val="fr-FR"/>
        </w:rPr>
        <w:t>Deuxièmement, le Rapporteur spécial a rappelé que certains États avaient proposé de remplacer le mot « accords » dans l</w:t>
      </w:r>
      <w:r>
        <w:rPr>
          <w:lang w:val="fr-FR"/>
        </w:rPr>
        <w:t>’</w:t>
      </w:r>
      <w:r w:rsidRPr="00841601">
        <w:rPr>
          <w:lang w:val="fr-FR"/>
        </w:rPr>
        <w:t xml:space="preserve">intitulé du sujet par un autre terme tel que « instruments » ou « arrangements ». Cependant, à son avis et pour les raisons expliquées aux paragraphes 94 à 96 de son premier rapport, il était impératif de conserver le terme « accords ». </w:t>
      </w:r>
    </w:p>
    <w:p w14:paraId="060DE931" w14:textId="1473C8DC" w:rsidR="00C979F6" w:rsidRPr="00841601" w:rsidRDefault="00C979F6" w:rsidP="00C979F6">
      <w:pPr>
        <w:pStyle w:val="SingleTxtG"/>
        <w:ind w:left="1170"/>
        <w:rPr>
          <w:lang w:val="fr-CA"/>
        </w:rPr>
      </w:pPr>
      <w:r>
        <w:rPr>
          <w:lang w:val="fr-CA"/>
        </w:rPr>
        <w:t>226</w:t>
      </w:r>
      <w:r w:rsidRPr="00841601">
        <w:rPr>
          <w:lang w:val="fr-CA"/>
        </w:rPr>
        <w:t>.</w:t>
      </w:r>
      <w:r w:rsidRPr="00841601">
        <w:rPr>
          <w:lang w:val="fr-CA"/>
        </w:rPr>
        <w:tab/>
      </w:r>
      <w:r w:rsidRPr="00841601">
        <w:rPr>
          <w:lang w:val="fr-FR"/>
        </w:rPr>
        <w:t>Troisièmement, plusieurs questions relatives au champ du sujet méritaient un examen plus approfondi. Le Rapporteur spécial a souligné que le champ du sujet devait se limiter aux « accords » à l</w:t>
      </w:r>
      <w:r>
        <w:rPr>
          <w:lang w:val="fr-FR"/>
        </w:rPr>
        <w:t>’</w:t>
      </w:r>
      <w:r w:rsidRPr="00841601">
        <w:rPr>
          <w:lang w:val="fr-FR"/>
        </w:rPr>
        <w:t>exclusion d</w:t>
      </w:r>
      <w:r>
        <w:rPr>
          <w:lang w:val="fr-FR"/>
        </w:rPr>
        <w:t>’</w:t>
      </w:r>
      <w:r w:rsidRPr="00841601">
        <w:rPr>
          <w:lang w:val="fr-FR"/>
        </w:rPr>
        <w:t>autres types d</w:t>
      </w:r>
      <w:r>
        <w:rPr>
          <w:lang w:val="fr-FR"/>
        </w:rPr>
        <w:t>’</w:t>
      </w:r>
      <w:r w:rsidRPr="00841601">
        <w:rPr>
          <w:lang w:val="fr-FR"/>
        </w:rPr>
        <w:t>instruments juridiquement non contraignants. Pour cette raison, il ne devait pas inclure les actes adoptés par les organisations internationales</w:t>
      </w:r>
      <w:r>
        <w:rPr>
          <w:lang w:val="fr-FR"/>
        </w:rPr>
        <w:t xml:space="preserve"> ni les autres</w:t>
      </w:r>
      <w:r w:rsidRPr="00841601">
        <w:rPr>
          <w:lang w:val="fr-FR"/>
        </w:rPr>
        <w:t xml:space="preserve"> actes unilatéraux. Il ne devait pas non plus inclure les « accords » résultant de la simple combinaison de deux engagements unilatéraux qui ne formaient pas en tant que tels un ensemble conventionnel identifié. Le Rapporteur spécial a fait observer qu</w:t>
      </w:r>
      <w:r>
        <w:rPr>
          <w:lang w:val="fr-FR"/>
        </w:rPr>
        <w:t>’</w:t>
      </w:r>
      <w:r w:rsidRPr="00841601">
        <w:rPr>
          <w:lang w:val="fr-FR"/>
        </w:rPr>
        <w:t>il fallait déterminer le sort à réserver aux actes adoptés dans le cadre de conférences intergouvernementales n</w:t>
      </w:r>
      <w:r>
        <w:rPr>
          <w:lang w:val="fr-FR"/>
        </w:rPr>
        <w:t>’</w:t>
      </w:r>
      <w:r w:rsidRPr="00841601">
        <w:rPr>
          <w:lang w:val="fr-FR"/>
        </w:rPr>
        <w:t>ayant pas de personnalité juridique propre, rappelant l</w:t>
      </w:r>
      <w:r>
        <w:rPr>
          <w:lang w:val="fr-FR"/>
        </w:rPr>
        <w:t>’</w:t>
      </w:r>
      <w:r w:rsidRPr="00841601">
        <w:rPr>
          <w:lang w:val="fr-FR"/>
        </w:rPr>
        <w:t>avis qu</w:t>
      </w:r>
      <w:r>
        <w:rPr>
          <w:lang w:val="fr-FR"/>
        </w:rPr>
        <w:t>’</w:t>
      </w:r>
      <w:r w:rsidRPr="00841601">
        <w:rPr>
          <w:lang w:val="fr-FR"/>
        </w:rPr>
        <w:t>il avait exprimé sur ce point au paragraphe 99 de son premier rapport. Il a également recommandé que le champ du sujet soit limité aux accords écrits et donc que les accords oraux ou tacites en soient exclus. Il a proposé d</w:t>
      </w:r>
      <w:r>
        <w:rPr>
          <w:lang w:val="fr-FR"/>
        </w:rPr>
        <w:t>’</w:t>
      </w:r>
      <w:r w:rsidRPr="00841601">
        <w:rPr>
          <w:lang w:val="fr-FR"/>
        </w:rPr>
        <w:t>inclure les accords conclus entre des États, entre des organisations internationales et entre des organisations internationales et des États. Il a par contre préconisé d</w:t>
      </w:r>
      <w:r>
        <w:rPr>
          <w:lang w:val="fr-FR"/>
        </w:rPr>
        <w:t>’</w:t>
      </w:r>
      <w:r w:rsidRPr="00841601">
        <w:rPr>
          <w:lang w:val="fr-FR"/>
        </w:rPr>
        <w:t>exclure les accords conclus entre un État ou une organisation internationale, d</w:t>
      </w:r>
      <w:r>
        <w:rPr>
          <w:lang w:val="fr-FR"/>
        </w:rPr>
        <w:t>’</w:t>
      </w:r>
      <w:r w:rsidRPr="00841601">
        <w:rPr>
          <w:lang w:val="fr-FR"/>
        </w:rPr>
        <w:t>une part, et une personne privée, d</w:t>
      </w:r>
      <w:r>
        <w:rPr>
          <w:lang w:val="fr-FR"/>
        </w:rPr>
        <w:t>’</w:t>
      </w:r>
      <w:r w:rsidRPr="00841601">
        <w:rPr>
          <w:lang w:val="fr-FR"/>
        </w:rPr>
        <w:t>autre part. Enfin, il a rappelé qu</w:t>
      </w:r>
      <w:r>
        <w:rPr>
          <w:lang w:val="fr-FR"/>
        </w:rPr>
        <w:t>’</w:t>
      </w:r>
      <w:r w:rsidRPr="00841601">
        <w:rPr>
          <w:lang w:val="fr-FR"/>
        </w:rPr>
        <w:t>il avait posé au paragraphe 113 de son premier rapport la question du sort à réserver aux arrangements conclus par des entités infra</w:t>
      </w:r>
      <w:r w:rsidR="006164C1">
        <w:rPr>
          <w:lang w:val="fr-FR"/>
        </w:rPr>
        <w:t>-</w:t>
      </w:r>
      <w:r w:rsidRPr="00841601">
        <w:rPr>
          <w:lang w:val="fr-FR"/>
        </w:rPr>
        <w:t xml:space="preserve">étatiques de pays différents. Il estimait que, compte tenu de leur nature particulière, il était souhaitable de les exclure du champ du sujet. </w:t>
      </w:r>
    </w:p>
    <w:p w14:paraId="5EB7AE07" w14:textId="77777777" w:rsidR="00C979F6" w:rsidRPr="00841601" w:rsidRDefault="00C979F6" w:rsidP="00C979F6">
      <w:pPr>
        <w:pStyle w:val="SingleTxtG"/>
        <w:ind w:left="1170"/>
        <w:rPr>
          <w:lang w:val="fr-CA"/>
        </w:rPr>
      </w:pPr>
      <w:r w:rsidRPr="006164C1">
        <w:rPr>
          <w:lang w:val="fr-CA"/>
        </w:rPr>
        <w:t>227.</w:t>
      </w:r>
      <w:r w:rsidRPr="006164C1">
        <w:rPr>
          <w:lang w:val="fr-CA"/>
        </w:rPr>
        <w:tab/>
      </w:r>
      <w:r w:rsidRPr="006164C1">
        <w:rPr>
          <w:lang w:val="fr-FR"/>
        </w:rPr>
        <w:t>Quatrièmement, le Rapporteur spécial a rappelé qu’au chapitre VIII de son premier rapport, il identifiait plusieurs questions qui méritaient d’être étudiées par la Commission dans le cadre du sujet à l’examen. Ces questions entraient dans trois grandes catégories : a) les critères de distinction entre les traités et les accords internationaux juridiquement non contraignants ; b) le rég</w:t>
      </w:r>
      <w:r w:rsidRPr="00841601">
        <w:rPr>
          <w:lang w:val="fr-FR"/>
        </w:rPr>
        <w:t xml:space="preserve">ime des accords internationaux juridiquement non contraignants ; c) les effets juridiques (potentiels) des accords internationaux juridiquement non contraignants. Le Rapporteur spécial a cité plusieurs exemples de questions entrant dans ces </w:t>
      </w:r>
      <w:r w:rsidRPr="00841601">
        <w:rPr>
          <w:lang w:val="fr-FR"/>
        </w:rPr>
        <w:lastRenderedPageBreak/>
        <w:t xml:space="preserve">catégories et fait observer que ces exemples constituaient une liste exploratoire et essentiellement indicative qui ne présumait en rien des réponses à apporter sur le fond. </w:t>
      </w:r>
    </w:p>
    <w:p w14:paraId="479C2958" w14:textId="77777777" w:rsidR="00C979F6" w:rsidRPr="00841601" w:rsidRDefault="00C979F6" w:rsidP="00C979F6">
      <w:pPr>
        <w:pStyle w:val="SingleTxtG"/>
        <w:ind w:left="1170"/>
        <w:rPr>
          <w:lang w:val="fr-CA"/>
        </w:rPr>
      </w:pPr>
      <w:r>
        <w:rPr>
          <w:lang w:val="fr-CA"/>
        </w:rPr>
        <w:t>228</w:t>
      </w:r>
      <w:r w:rsidRPr="00841601">
        <w:rPr>
          <w:lang w:val="fr-CA"/>
        </w:rPr>
        <w:t>.</w:t>
      </w:r>
      <w:r w:rsidRPr="00841601">
        <w:rPr>
          <w:lang w:val="fr-CA"/>
        </w:rPr>
        <w:tab/>
      </w:r>
      <w:r w:rsidRPr="00841601">
        <w:rPr>
          <w:lang w:val="fr-FR"/>
        </w:rPr>
        <w:t xml:space="preserve">Cinquièmement, les membres de la Commission ont été invités à exprimer leurs vues sur la forme à donner au résultat final des travaux en tenant compte de la proposition formulée par le Rapporteur spécial au chapitre IX de son premier rapport, qui consistait à établir un ensemble de projets de conclusions. </w:t>
      </w:r>
    </w:p>
    <w:p w14:paraId="4CEAF6E6" w14:textId="77777777" w:rsidR="00C979F6" w:rsidRPr="00841601" w:rsidRDefault="00C979F6" w:rsidP="006164C1">
      <w:pPr>
        <w:pStyle w:val="H23G"/>
        <w:rPr>
          <w:shd w:val="clear" w:color="000000" w:fill="FFFFFF"/>
        </w:rPr>
      </w:pPr>
      <w:r w:rsidRPr="00841601">
        <w:tab/>
        <w:t>2.</w:t>
      </w:r>
      <w:r w:rsidRPr="00841601">
        <w:tab/>
      </w:r>
      <w:r w:rsidRPr="00841601">
        <w:rPr>
          <w:lang w:val="fr-FR"/>
        </w:rPr>
        <w:t>Résumé du débat</w:t>
      </w:r>
    </w:p>
    <w:p w14:paraId="6D0EBEE7" w14:textId="77777777" w:rsidR="00C979F6" w:rsidRPr="00841601" w:rsidRDefault="00C979F6" w:rsidP="006164C1">
      <w:pPr>
        <w:pStyle w:val="H23G"/>
        <w:rPr>
          <w:shd w:val="clear" w:color="000000" w:fill="FFFFFF"/>
        </w:rPr>
      </w:pPr>
      <w:r w:rsidRPr="00841601">
        <w:tab/>
        <w:t>a)</w:t>
      </w:r>
      <w:r w:rsidRPr="00841601">
        <w:tab/>
      </w:r>
      <w:r w:rsidRPr="00841601">
        <w:rPr>
          <w:lang w:val="fr-FR"/>
        </w:rPr>
        <w:t>Observations d</w:t>
      </w:r>
      <w:r>
        <w:rPr>
          <w:lang w:val="fr-FR"/>
        </w:rPr>
        <w:t>’</w:t>
      </w:r>
      <w:r w:rsidRPr="00841601">
        <w:rPr>
          <w:lang w:val="fr-FR"/>
        </w:rPr>
        <w:t xml:space="preserve">ordre général </w:t>
      </w:r>
    </w:p>
    <w:p w14:paraId="69BE8C97" w14:textId="77777777" w:rsidR="00C979F6" w:rsidRPr="00841601" w:rsidRDefault="00C979F6" w:rsidP="00C979F6">
      <w:pPr>
        <w:pStyle w:val="SingleTxtG"/>
        <w:ind w:left="1170"/>
        <w:rPr>
          <w:lang w:val="fr-CA"/>
        </w:rPr>
      </w:pPr>
      <w:r>
        <w:rPr>
          <w:lang w:val="fr-CA"/>
        </w:rPr>
        <w:t>229</w:t>
      </w:r>
      <w:r w:rsidRPr="00841601">
        <w:rPr>
          <w:lang w:val="fr-CA"/>
        </w:rPr>
        <w:t>.</w:t>
      </w:r>
      <w:r w:rsidRPr="00841601">
        <w:rPr>
          <w:lang w:val="fr-CA"/>
        </w:rPr>
        <w:tab/>
      </w:r>
      <w:r w:rsidRPr="00841601">
        <w:rPr>
          <w:lang w:val="fr-FR"/>
        </w:rPr>
        <w:t>Les membres ont dans l</w:t>
      </w:r>
      <w:r>
        <w:rPr>
          <w:lang w:val="fr-FR"/>
        </w:rPr>
        <w:t>’</w:t>
      </w:r>
      <w:r w:rsidRPr="00841601">
        <w:rPr>
          <w:lang w:val="fr-FR"/>
        </w:rPr>
        <w:t>ensemble favorablement accueilli le premier rapport du Rapporteur spécial. Plusieurs membres ont salué la décision de se concentrer sur l</w:t>
      </w:r>
      <w:r>
        <w:rPr>
          <w:lang w:val="fr-FR"/>
        </w:rPr>
        <w:t>’</w:t>
      </w:r>
      <w:r w:rsidRPr="00841601">
        <w:rPr>
          <w:lang w:val="fr-FR"/>
        </w:rPr>
        <w:t xml:space="preserve">examen des questions générales liées au sujet et de ne pas proposer de projets de dispositions à ce stade. Plusieurs membres également se sont félicités que le Rapporteur spécial entende axer ses travaux sur les aspects pratiques du sujet et ne pas </w:t>
      </w:r>
      <w:r>
        <w:rPr>
          <w:lang w:val="fr-FR"/>
        </w:rPr>
        <w:t>se pencher sur</w:t>
      </w:r>
      <w:r w:rsidRPr="00841601">
        <w:rPr>
          <w:lang w:val="fr-FR"/>
        </w:rPr>
        <w:t xml:space="preserve"> des considérations purement théoriques. Il a été dit que les considérations théoriques ne devaient être examinées que si elles pouvaient contribuer à l</w:t>
      </w:r>
      <w:r>
        <w:rPr>
          <w:lang w:val="fr-FR"/>
        </w:rPr>
        <w:t>’</w:t>
      </w:r>
      <w:r w:rsidRPr="00841601">
        <w:rPr>
          <w:lang w:val="fr-FR"/>
        </w:rPr>
        <w:t>élaboration de recommandations pratiques à l</w:t>
      </w:r>
      <w:r>
        <w:rPr>
          <w:lang w:val="fr-FR"/>
        </w:rPr>
        <w:t>’</w:t>
      </w:r>
      <w:r w:rsidRPr="00841601">
        <w:rPr>
          <w:lang w:val="fr-FR"/>
        </w:rPr>
        <w:t>intention des États. Selon un autre point de vue, l</w:t>
      </w:r>
      <w:r>
        <w:rPr>
          <w:lang w:val="fr-FR"/>
        </w:rPr>
        <w:t>’</w:t>
      </w:r>
      <w:r w:rsidRPr="00841601">
        <w:rPr>
          <w:lang w:val="fr-FR"/>
        </w:rPr>
        <w:t xml:space="preserve">examen de certaines questions conceptuelles ou théoriques liées au sujet pourrait être bénéfique au stade initial des travaux de la Commission. </w:t>
      </w:r>
    </w:p>
    <w:p w14:paraId="4E24739E" w14:textId="77777777" w:rsidR="00C979F6" w:rsidRPr="00841601" w:rsidRDefault="00C979F6" w:rsidP="00C979F6">
      <w:pPr>
        <w:pStyle w:val="SingleTxtG"/>
        <w:ind w:left="1170"/>
        <w:rPr>
          <w:lang w:val="fr-CA"/>
        </w:rPr>
      </w:pPr>
      <w:r>
        <w:rPr>
          <w:lang w:val="fr-CA"/>
        </w:rPr>
        <w:t>230</w:t>
      </w:r>
      <w:r w:rsidRPr="00841601">
        <w:rPr>
          <w:lang w:val="fr-CA"/>
        </w:rPr>
        <w:t>.</w:t>
      </w:r>
      <w:r w:rsidRPr="00841601">
        <w:rPr>
          <w:lang w:val="fr-CA"/>
        </w:rPr>
        <w:tab/>
      </w:r>
      <w:r w:rsidRPr="00841601">
        <w:rPr>
          <w:lang w:val="fr-FR"/>
        </w:rPr>
        <w:t>L</w:t>
      </w:r>
      <w:r>
        <w:rPr>
          <w:lang w:val="fr-FR"/>
        </w:rPr>
        <w:t>’</w:t>
      </w:r>
      <w:r w:rsidRPr="00841601">
        <w:rPr>
          <w:lang w:val="fr-FR"/>
        </w:rPr>
        <w:t xml:space="preserve">objectif des travaux de la Commission sur le sujet tel que défini par le Rapporteur spécial − clarifier </w:t>
      </w:r>
      <w:r>
        <w:rPr>
          <w:lang w:val="fr-FR"/>
        </w:rPr>
        <w:t>l’état du droit sur les questions pertinentes</w:t>
      </w:r>
      <w:r w:rsidRPr="00841601">
        <w:rPr>
          <w:lang w:val="fr-FR"/>
        </w:rPr>
        <w:t xml:space="preserve"> − a été favorablement accueilli. Certains membres ont dit que les travaux sur le sujet devaient viser à donner aux États des orientations pratiques sur les considérations à prendre en compte lorsqu</w:t>
      </w:r>
      <w:r>
        <w:rPr>
          <w:lang w:val="fr-FR"/>
        </w:rPr>
        <w:t>’</w:t>
      </w:r>
      <w:r w:rsidRPr="00841601">
        <w:rPr>
          <w:lang w:val="fr-FR"/>
        </w:rPr>
        <w:t>ils envisageaient de conclure ou non des accords internationaux juridiquement non contraignants plutôt qu</w:t>
      </w:r>
      <w:r>
        <w:rPr>
          <w:lang w:val="fr-FR"/>
        </w:rPr>
        <w:t>’</w:t>
      </w:r>
      <w:r w:rsidRPr="00841601">
        <w:rPr>
          <w:lang w:val="fr-FR"/>
        </w:rPr>
        <w:t>à encourager ou, au contraire, décourager le recours à ce type d</w:t>
      </w:r>
      <w:r>
        <w:rPr>
          <w:lang w:val="fr-FR"/>
        </w:rPr>
        <w:t>’</w:t>
      </w:r>
      <w:r w:rsidRPr="00841601">
        <w:rPr>
          <w:lang w:val="fr-FR"/>
        </w:rPr>
        <w:t>accords. Il a été dit que la Commission devait s</w:t>
      </w:r>
      <w:r>
        <w:rPr>
          <w:lang w:val="fr-FR"/>
        </w:rPr>
        <w:t>’</w:t>
      </w:r>
      <w:r w:rsidRPr="00841601">
        <w:rPr>
          <w:lang w:val="fr-FR"/>
        </w:rPr>
        <w:t xml:space="preserve">abstenir de créer de nouvelles règles qui pourraient potentiellement limiter la souplesse offerte par les </w:t>
      </w:r>
      <w:r>
        <w:rPr>
          <w:lang w:val="fr-FR"/>
        </w:rPr>
        <w:t>formes moins formelles d’accords et restreindre leur utilité</w:t>
      </w:r>
      <w:r w:rsidRPr="00841601">
        <w:rPr>
          <w:lang w:val="fr-FR"/>
        </w:rPr>
        <w:t>.</w:t>
      </w:r>
      <w:r>
        <w:rPr>
          <w:lang w:val="fr-FR"/>
        </w:rPr>
        <w:t xml:space="preserve"> Il a aussi été dit que le sujet perdrait sa grande importance pratique si on en venait ultérieurement à utiliser les accords internationaux juridiquement non contraignants des fins interprétatives ou en tant que pratique ultérieure en vue leur conférer un contenu juridique.</w:t>
      </w:r>
    </w:p>
    <w:p w14:paraId="67744A6A" w14:textId="77777777" w:rsidR="00C979F6" w:rsidRPr="00841601" w:rsidRDefault="00C979F6" w:rsidP="00C979F6">
      <w:pPr>
        <w:pStyle w:val="SingleTxtG"/>
        <w:ind w:left="1170"/>
        <w:rPr>
          <w:lang w:val="fr-CA"/>
        </w:rPr>
      </w:pPr>
      <w:r>
        <w:rPr>
          <w:lang w:val="fr-CA"/>
        </w:rPr>
        <w:t>231</w:t>
      </w:r>
      <w:r w:rsidRPr="00841601">
        <w:rPr>
          <w:lang w:val="fr-CA"/>
        </w:rPr>
        <w:t>.</w:t>
      </w:r>
      <w:r w:rsidRPr="00841601">
        <w:rPr>
          <w:lang w:val="fr-CA"/>
        </w:rPr>
        <w:tab/>
      </w:r>
      <w:r w:rsidRPr="00841601">
        <w:rPr>
          <w:lang w:val="fr-FR"/>
        </w:rPr>
        <w:t xml:space="preserve">Plusieurs membres ont souligné que le sujet avait une </w:t>
      </w:r>
      <w:r>
        <w:rPr>
          <w:lang w:val="fr-FR"/>
        </w:rPr>
        <w:t xml:space="preserve">grande </w:t>
      </w:r>
      <w:r w:rsidRPr="00841601">
        <w:rPr>
          <w:lang w:val="fr-FR"/>
        </w:rPr>
        <w:t xml:space="preserve">importance pratique. Il a été observé que les accords internationaux juridiquement non contraignants étaient un phénomène </w:t>
      </w:r>
      <w:r>
        <w:rPr>
          <w:lang w:val="fr-FR"/>
        </w:rPr>
        <w:t xml:space="preserve">qui était </w:t>
      </w:r>
      <w:r w:rsidRPr="00841601">
        <w:rPr>
          <w:lang w:val="fr-FR"/>
        </w:rPr>
        <w:t>bien connu dans les relations internationales et avait été largement examiné par les praticiens et par diverses institutions. L</w:t>
      </w:r>
      <w:r>
        <w:rPr>
          <w:lang w:val="fr-FR"/>
        </w:rPr>
        <w:t>’</w:t>
      </w:r>
      <w:r w:rsidRPr="00841601">
        <w:rPr>
          <w:lang w:val="fr-FR"/>
        </w:rPr>
        <w:t>importance d</w:t>
      </w:r>
      <w:r>
        <w:rPr>
          <w:lang w:val="fr-FR"/>
        </w:rPr>
        <w:t>’</w:t>
      </w:r>
      <w:r w:rsidRPr="00841601">
        <w:rPr>
          <w:lang w:val="fr-FR"/>
        </w:rPr>
        <w:t xml:space="preserve">utiliser un matériau divers et représentatif a été soulignée et les efforts faits par le Rapporteur spécial à cet égard ont été particulièrement salués. Plusieurs membres ont insisté sur le fait que la pratique examinée par la Commission devait être représentative des régions et des systèmes juridiques </w:t>
      </w:r>
      <w:r>
        <w:rPr>
          <w:lang w:val="fr-FR"/>
        </w:rPr>
        <w:t>ainsi que</w:t>
      </w:r>
      <w:r w:rsidRPr="00841601">
        <w:rPr>
          <w:lang w:val="fr-FR"/>
        </w:rPr>
        <w:t xml:space="preserve"> des formes d</w:t>
      </w:r>
      <w:r>
        <w:rPr>
          <w:lang w:val="fr-FR"/>
        </w:rPr>
        <w:t>’</w:t>
      </w:r>
      <w:r w:rsidRPr="00841601">
        <w:rPr>
          <w:lang w:val="fr-FR"/>
        </w:rPr>
        <w:t xml:space="preserve">accords et des questions juridiques qui leur étaient propres. Il a été observé que, bien que la jurisprudence et la doctrine puissent fournir des orientations utiles à la Commission, il était impératif de se concentrer principalement sur la pratique des États et les positions juridiques adoptées, en particulier </w:t>
      </w:r>
      <w:r>
        <w:rPr>
          <w:lang w:val="fr-FR"/>
        </w:rPr>
        <w:t>celles</w:t>
      </w:r>
      <w:r w:rsidRPr="00841601">
        <w:rPr>
          <w:lang w:val="fr-FR"/>
        </w:rPr>
        <w:t xml:space="preserve"> adoptées par les États concernant les accords internationaux juridiquement non contraignants. En conséquence, la proposition formulée dans le premier rapport, consistant à demander des informations sur le sujet aux États ainsi qu</w:t>
      </w:r>
      <w:r>
        <w:rPr>
          <w:lang w:val="fr-FR"/>
        </w:rPr>
        <w:t>’</w:t>
      </w:r>
      <w:r w:rsidRPr="00841601">
        <w:rPr>
          <w:lang w:val="fr-FR"/>
        </w:rPr>
        <w:t>aux organisations internationales et aux organes d</w:t>
      </w:r>
      <w:r>
        <w:rPr>
          <w:lang w:val="fr-FR"/>
        </w:rPr>
        <w:t>’</w:t>
      </w:r>
      <w:r w:rsidRPr="00841601">
        <w:rPr>
          <w:lang w:val="fr-FR"/>
        </w:rPr>
        <w:t>experts, a été soutenue. Des exemples d</w:t>
      </w:r>
      <w:r>
        <w:rPr>
          <w:lang w:val="fr-FR"/>
        </w:rPr>
        <w:t>’</w:t>
      </w:r>
      <w:r w:rsidRPr="00841601">
        <w:rPr>
          <w:lang w:val="fr-FR"/>
        </w:rPr>
        <w:t>États ayant recours aux accords internationaux juridiquement non contraignants et des références aux lignes directrices nationales existantes portant sur la rédaction de ce type d</w:t>
      </w:r>
      <w:r>
        <w:rPr>
          <w:lang w:val="fr-FR"/>
        </w:rPr>
        <w:t>’</w:t>
      </w:r>
      <w:r w:rsidRPr="00841601">
        <w:rPr>
          <w:lang w:val="fr-FR"/>
        </w:rPr>
        <w:t xml:space="preserve">accords ont été mentionnés. </w:t>
      </w:r>
    </w:p>
    <w:p w14:paraId="7357B26D" w14:textId="77777777" w:rsidR="00C979F6" w:rsidRPr="00841601" w:rsidRDefault="00C979F6" w:rsidP="00C979F6">
      <w:pPr>
        <w:pStyle w:val="SingleTxtG"/>
        <w:ind w:left="1170"/>
        <w:rPr>
          <w:lang w:val="fr-CA"/>
        </w:rPr>
      </w:pPr>
      <w:r>
        <w:rPr>
          <w:lang w:val="fr-CA"/>
        </w:rPr>
        <w:t>232</w:t>
      </w:r>
      <w:r w:rsidRPr="00841601">
        <w:rPr>
          <w:lang w:val="fr-CA"/>
        </w:rPr>
        <w:t>.</w:t>
      </w:r>
      <w:r w:rsidRPr="00841601">
        <w:rPr>
          <w:lang w:val="fr-CA"/>
        </w:rPr>
        <w:tab/>
      </w:r>
      <w:r w:rsidRPr="00841601">
        <w:rPr>
          <w:lang w:val="fr-FR"/>
        </w:rPr>
        <w:t xml:space="preserve">Il a été dit que les États, de plus en plus nombreux, qui adoptaient en droit interne des textes destinés à régir leur pratique internationale </w:t>
      </w:r>
      <w:r>
        <w:rPr>
          <w:lang w:val="fr-FR"/>
        </w:rPr>
        <w:t>en matière d’</w:t>
      </w:r>
      <w:r w:rsidRPr="00841601">
        <w:rPr>
          <w:lang w:val="fr-FR"/>
        </w:rPr>
        <w:t>accords internationaux juridiquement non contraignants entendaient non pas nécessairement faire entrer ces accords dans la sphère juridique, mais plutôt répondre à la nécessité de formaliser les procédures de conclusion de ce type d</w:t>
      </w:r>
      <w:r>
        <w:rPr>
          <w:lang w:val="fr-FR"/>
        </w:rPr>
        <w:t>’</w:t>
      </w:r>
      <w:r w:rsidRPr="00841601">
        <w:rPr>
          <w:lang w:val="fr-FR"/>
        </w:rPr>
        <w:t>accords.</w:t>
      </w:r>
    </w:p>
    <w:p w14:paraId="0664EB59" w14:textId="77777777" w:rsidR="00C979F6" w:rsidRPr="00841601" w:rsidRDefault="00C979F6" w:rsidP="00C979F6">
      <w:pPr>
        <w:pStyle w:val="SingleTxtG"/>
        <w:ind w:left="1170"/>
        <w:rPr>
          <w:lang w:val="fr-CA"/>
        </w:rPr>
      </w:pPr>
      <w:r>
        <w:rPr>
          <w:lang w:val="fr-CA"/>
        </w:rPr>
        <w:t>233</w:t>
      </w:r>
      <w:r w:rsidRPr="00841601">
        <w:rPr>
          <w:lang w:val="fr-CA"/>
        </w:rPr>
        <w:t>.</w:t>
      </w:r>
      <w:r w:rsidRPr="00841601">
        <w:rPr>
          <w:lang w:val="fr-CA"/>
        </w:rPr>
        <w:tab/>
      </w:r>
      <w:r w:rsidRPr="00841601">
        <w:rPr>
          <w:lang w:val="fr-FR"/>
        </w:rPr>
        <w:t>Le fait qu</w:t>
      </w:r>
      <w:r>
        <w:rPr>
          <w:lang w:val="fr-FR"/>
        </w:rPr>
        <w:t>’</w:t>
      </w:r>
      <w:r w:rsidRPr="00841601">
        <w:rPr>
          <w:lang w:val="fr-FR"/>
        </w:rPr>
        <w:t>il soit expliqué dans le premier rapport que les exemples d</w:t>
      </w:r>
      <w:r>
        <w:rPr>
          <w:lang w:val="fr-FR"/>
        </w:rPr>
        <w:t>’</w:t>
      </w:r>
      <w:r w:rsidRPr="00841601">
        <w:rPr>
          <w:lang w:val="fr-FR"/>
        </w:rPr>
        <w:t xml:space="preserve">accords donnés </w:t>
      </w:r>
      <w:r>
        <w:rPr>
          <w:lang w:val="fr-FR"/>
        </w:rPr>
        <w:t>sont</w:t>
      </w:r>
      <w:r w:rsidRPr="00841601">
        <w:rPr>
          <w:lang w:val="fr-FR"/>
        </w:rPr>
        <w:t xml:space="preserve"> purement illustratifs et que la Commission n</w:t>
      </w:r>
      <w:r>
        <w:rPr>
          <w:lang w:val="fr-FR"/>
        </w:rPr>
        <w:t>’</w:t>
      </w:r>
      <w:r w:rsidRPr="00841601">
        <w:rPr>
          <w:lang w:val="fr-FR"/>
        </w:rPr>
        <w:t xml:space="preserve">entendait pas prendre position sur la nature des accords en question a été favorablement accueilli. </w:t>
      </w:r>
    </w:p>
    <w:p w14:paraId="68A57099" w14:textId="77777777" w:rsidR="00C979F6" w:rsidRPr="00841601" w:rsidRDefault="00C979F6" w:rsidP="00D4480B">
      <w:pPr>
        <w:pStyle w:val="H23G"/>
        <w:rPr>
          <w:shd w:val="clear" w:color="000000" w:fill="FFFFFF"/>
        </w:rPr>
      </w:pPr>
      <w:r w:rsidRPr="00841601">
        <w:lastRenderedPageBreak/>
        <w:tab/>
      </w:r>
      <w:r>
        <w:t>b</w:t>
      </w:r>
      <w:r w:rsidRPr="00841601">
        <w:t>)</w:t>
      </w:r>
      <w:r w:rsidRPr="00841601">
        <w:tab/>
      </w:r>
      <w:r w:rsidRPr="00841601">
        <w:rPr>
          <w:lang w:val="fr-FR"/>
        </w:rPr>
        <w:t xml:space="preserve">Champ du sujet </w:t>
      </w:r>
    </w:p>
    <w:p w14:paraId="2DDD916C" w14:textId="77777777" w:rsidR="00C979F6" w:rsidRPr="00841601" w:rsidRDefault="00C979F6" w:rsidP="00D4480B">
      <w:pPr>
        <w:pStyle w:val="H4G"/>
        <w:rPr>
          <w:b/>
          <w:shd w:val="clear" w:color="000000" w:fill="FFFFFF"/>
        </w:rPr>
      </w:pPr>
      <w:r w:rsidRPr="00841601">
        <w:rPr>
          <w:lang w:val="fr-FR"/>
        </w:rPr>
        <w:tab/>
        <w:t>i)</w:t>
      </w:r>
      <w:r w:rsidRPr="00841601">
        <w:rPr>
          <w:lang w:val="fr-FR"/>
        </w:rPr>
        <w:tab/>
        <w:t>Les « accords »</w:t>
      </w:r>
    </w:p>
    <w:p w14:paraId="2820AF08" w14:textId="0AD721A4" w:rsidR="00C979F6" w:rsidRPr="00841601" w:rsidRDefault="00C979F6" w:rsidP="00C979F6">
      <w:pPr>
        <w:pStyle w:val="SingleTxtG"/>
        <w:ind w:left="1170"/>
        <w:rPr>
          <w:lang w:val="fr-CA"/>
        </w:rPr>
      </w:pPr>
      <w:r w:rsidRPr="00841601">
        <w:rPr>
          <w:lang w:val="fr-CA"/>
        </w:rPr>
        <w:t>2</w:t>
      </w:r>
      <w:r>
        <w:rPr>
          <w:lang w:val="fr-CA"/>
        </w:rPr>
        <w:t>34</w:t>
      </w:r>
      <w:r w:rsidRPr="00841601">
        <w:rPr>
          <w:lang w:val="fr-CA"/>
        </w:rPr>
        <w:t>.</w:t>
      </w:r>
      <w:r w:rsidRPr="00841601">
        <w:rPr>
          <w:lang w:val="fr-CA"/>
        </w:rPr>
        <w:tab/>
      </w:r>
      <w:r w:rsidRPr="00841601">
        <w:rPr>
          <w:lang w:val="fr-FR"/>
        </w:rPr>
        <w:t>Plusieurs membres ont approuvé l</w:t>
      </w:r>
      <w:r>
        <w:rPr>
          <w:lang w:val="fr-FR"/>
        </w:rPr>
        <w:t>’</w:t>
      </w:r>
      <w:r w:rsidRPr="00841601">
        <w:rPr>
          <w:lang w:val="fr-FR"/>
        </w:rPr>
        <w:t>emploi du terme « accords ». Il a été observé que ce terme désignait le produit d</w:t>
      </w:r>
      <w:r>
        <w:rPr>
          <w:lang w:val="fr-FR"/>
        </w:rPr>
        <w:t>’</w:t>
      </w:r>
      <w:r w:rsidRPr="00841601">
        <w:rPr>
          <w:lang w:val="fr-FR"/>
        </w:rPr>
        <w:t>un échange, d</w:t>
      </w:r>
      <w:r>
        <w:rPr>
          <w:lang w:val="fr-FR"/>
        </w:rPr>
        <w:t>’</w:t>
      </w:r>
      <w:r w:rsidRPr="00841601">
        <w:rPr>
          <w:lang w:val="fr-FR"/>
        </w:rPr>
        <w:t>une consultation ou d</w:t>
      </w:r>
      <w:r>
        <w:rPr>
          <w:lang w:val="fr-FR"/>
        </w:rPr>
        <w:t>’</w:t>
      </w:r>
      <w:r w:rsidRPr="00841601">
        <w:rPr>
          <w:lang w:val="fr-FR"/>
        </w:rPr>
        <w:t>une négociation reflétant les opinions ou les sentiments des parties sur une question donnée. Il a été rappelé que l</w:t>
      </w:r>
      <w:r>
        <w:rPr>
          <w:lang w:val="fr-FR"/>
        </w:rPr>
        <w:t>’</w:t>
      </w:r>
      <w:r w:rsidRPr="00841601">
        <w:rPr>
          <w:lang w:val="fr-FR"/>
        </w:rPr>
        <w:t>historique des travaux préparatoires de la Convention de Vienne sur le droit des traités ainsi que d</w:t>
      </w:r>
      <w:r>
        <w:rPr>
          <w:lang w:val="fr-FR"/>
        </w:rPr>
        <w:t>’</w:t>
      </w:r>
      <w:r w:rsidRPr="00841601">
        <w:rPr>
          <w:lang w:val="fr-FR"/>
        </w:rPr>
        <w:t>autres sources pertinentes venaient confirmer que le terme « accord » pouvait désigner des instruments non contraignants</w:t>
      </w:r>
      <w:r w:rsidRPr="00841601">
        <w:rPr>
          <w:rStyle w:val="Appelnotedebasdep"/>
        </w:rPr>
        <w:footnoteReference w:id="237"/>
      </w:r>
      <w:r w:rsidRPr="00841601">
        <w:rPr>
          <w:lang w:val="fr-FR"/>
        </w:rPr>
        <w:t xml:space="preserve">. Il a été dit que le résultat final des travaux de la Commission </w:t>
      </w:r>
      <w:r>
        <w:rPr>
          <w:lang w:val="fr-FR"/>
        </w:rPr>
        <w:t xml:space="preserve">sur le sujet </w:t>
      </w:r>
      <w:r w:rsidRPr="00841601">
        <w:rPr>
          <w:lang w:val="fr-FR"/>
        </w:rPr>
        <w:t>apporter</w:t>
      </w:r>
      <w:r>
        <w:rPr>
          <w:lang w:val="fr-FR"/>
        </w:rPr>
        <w:t>ait des</w:t>
      </w:r>
      <w:r w:rsidRPr="00841601">
        <w:rPr>
          <w:lang w:val="fr-FR"/>
        </w:rPr>
        <w:t xml:space="preserve"> éclaircissements concernant les différentes approches à l</w:t>
      </w:r>
      <w:r>
        <w:rPr>
          <w:lang w:val="fr-FR"/>
        </w:rPr>
        <w:t>’</w:t>
      </w:r>
      <w:r w:rsidRPr="00841601">
        <w:rPr>
          <w:lang w:val="fr-FR"/>
        </w:rPr>
        <w:t>égard de l</w:t>
      </w:r>
      <w:r>
        <w:rPr>
          <w:lang w:val="fr-FR"/>
        </w:rPr>
        <w:t>’</w:t>
      </w:r>
      <w:r w:rsidRPr="00841601">
        <w:rPr>
          <w:lang w:val="fr-FR"/>
        </w:rPr>
        <w:t>emploi du terme « accords ».</w:t>
      </w:r>
    </w:p>
    <w:p w14:paraId="08E794BC" w14:textId="77777777" w:rsidR="00C979F6" w:rsidRPr="00841601" w:rsidRDefault="00C979F6" w:rsidP="00C979F6">
      <w:pPr>
        <w:pStyle w:val="SingleTxtG"/>
        <w:ind w:left="1170"/>
        <w:rPr>
          <w:lang w:val="fr-CA"/>
        </w:rPr>
      </w:pPr>
      <w:r w:rsidRPr="00841601">
        <w:rPr>
          <w:lang w:val="fr-CA"/>
        </w:rPr>
        <w:t>2</w:t>
      </w:r>
      <w:r>
        <w:rPr>
          <w:lang w:val="fr-CA"/>
        </w:rPr>
        <w:t>35</w:t>
      </w:r>
      <w:r w:rsidRPr="00841601">
        <w:rPr>
          <w:lang w:val="fr-CA"/>
        </w:rPr>
        <w:t>.</w:t>
      </w:r>
      <w:r w:rsidRPr="00841601">
        <w:rPr>
          <w:lang w:val="fr-CA"/>
        </w:rPr>
        <w:tab/>
      </w:r>
      <w:r w:rsidRPr="00841601">
        <w:rPr>
          <w:lang w:val="fr-FR"/>
        </w:rPr>
        <w:t>Plusieurs membres ont dit que les termes « instruments » ou « arrangements » seraient peut</w:t>
      </w:r>
      <w:r w:rsidRPr="00841601">
        <w:rPr>
          <w:lang w:val="fr-FR"/>
        </w:rPr>
        <w:noBreakHyphen/>
        <w:t>être plus appropriés aux fins du sujet. Il a été observé que ces termes permettraient d</w:t>
      </w:r>
      <w:r>
        <w:rPr>
          <w:lang w:val="fr-FR"/>
        </w:rPr>
        <w:t>’</w:t>
      </w:r>
      <w:r w:rsidRPr="00841601">
        <w:rPr>
          <w:lang w:val="fr-FR"/>
        </w:rPr>
        <w:t>éviter toute confusion, le mot « accords » étant fréquemment utilisé dans la pratique pour désigner à la fois des documents contraignants et des documents non contraignants. Il a été dit que de nombreux États employaient délibérément et systématiquement, en anglais, des mots comme « </w:t>
      </w:r>
      <w:r w:rsidRPr="00841601">
        <w:rPr>
          <w:i/>
          <w:iCs/>
          <w:lang w:val="fr-FR"/>
        </w:rPr>
        <w:t>agreement</w:t>
      </w:r>
      <w:r w:rsidRPr="00841601">
        <w:rPr>
          <w:lang w:val="fr-FR"/>
        </w:rPr>
        <w:t> » (« accord ») dans le titre du document et le verbe opératoire « </w:t>
      </w:r>
      <w:proofErr w:type="spellStart"/>
      <w:r w:rsidRPr="00841601">
        <w:rPr>
          <w:i/>
          <w:iCs/>
          <w:lang w:val="fr-FR"/>
        </w:rPr>
        <w:t>agree</w:t>
      </w:r>
      <w:proofErr w:type="spellEnd"/>
      <w:r w:rsidRPr="00841601">
        <w:rPr>
          <w:lang w:val="fr-FR"/>
        </w:rPr>
        <w:t> » pour marquer le caractère contraignant du texte.</w:t>
      </w:r>
    </w:p>
    <w:p w14:paraId="3741A712" w14:textId="77777777" w:rsidR="00C979F6" w:rsidRPr="00841601" w:rsidRDefault="00C979F6" w:rsidP="00C979F6">
      <w:pPr>
        <w:pStyle w:val="SingleTxtG"/>
        <w:ind w:left="1170"/>
        <w:rPr>
          <w:lang w:val="fr-CA"/>
        </w:rPr>
      </w:pPr>
      <w:r w:rsidRPr="00841601">
        <w:rPr>
          <w:lang w:val="fr-CA"/>
        </w:rPr>
        <w:t>2</w:t>
      </w:r>
      <w:r>
        <w:rPr>
          <w:lang w:val="fr-CA"/>
        </w:rPr>
        <w:t>36</w:t>
      </w:r>
      <w:r w:rsidRPr="00841601">
        <w:rPr>
          <w:lang w:val="fr-CA"/>
        </w:rPr>
        <w:t>.</w:t>
      </w:r>
      <w:r w:rsidRPr="00841601">
        <w:rPr>
          <w:lang w:val="fr-CA"/>
        </w:rPr>
        <w:tab/>
      </w:r>
      <w:r w:rsidRPr="00841601">
        <w:rPr>
          <w:lang w:val="fr-FR"/>
        </w:rPr>
        <w:t>Il a été observé que l</w:t>
      </w:r>
      <w:r>
        <w:rPr>
          <w:lang w:val="fr-FR"/>
        </w:rPr>
        <w:t>’</w:t>
      </w:r>
      <w:r w:rsidRPr="00841601">
        <w:rPr>
          <w:lang w:val="fr-FR"/>
        </w:rPr>
        <w:t>emploi du terme « accords » n</w:t>
      </w:r>
      <w:r>
        <w:rPr>
          <w:lang w:val="fr-FR"/>
        </w:rPr>
        <w:t>’</w:t>
      </w:r>
      <w:r w:rsidRPr="00841601">
        <w:rPr>
          <w:lang w:val="fr-FR"/>
        </w:rPr>
        <w:t>était pas universel et que certains États, dans leur pratique, préféraient utiliser le terme « instruments » pour désigner les documents de caractère non contraignant. Il a été rappelé qu</w:t>
      </w:r>
      <w:r>
        <w:rPr>
          <w:lang w:val="fr-FR"/>
        </w:rPr>
        <w:t>’</w:t>
      </w:r>
      <w:r w:rsidRPr="00841601">
        <w:rPr>
          <w:lang w:val="fr-FR"/>
        </w:rPr>
        <w:t>au cours du débat qui avait eu lieu à la Sixième Commission à la soixante-dix-huitième session de l</w:t>
      </w:r>
      <w:r>
        <w:rPr>
          <w:lang w:val="fr-FR"/>
        </w:rPr>
        <w:t>’</w:t>
      </w:r>
      <w:r w:rsidRPr="00841601">
        <w:rPr>
          <w:lang w:val="fr-FR"/>
        </w:rPr>
        <w:t>Assemblée générale, plusieurs États avaient dit préférer le terme « instruments ». Le terme « ententes » a aussi été proposé comme solution possible. Selon un autre point de vue, le terme qui correspondait le mieux au champ de l</w:t>
      </w:r>
      <w:r>
        <w:rPr>
          <w:lang w:val="fr-FR"/>
        </w:rPr>
        <w:t>’</w:t>
      </w:r>
      <w:r w:rsidRPr="00841601">
        <w:rPr>
          <w:lang w:val="fr-FR"/>
        </w:rPr>
        <w:t>étude était « actes concertés non conventionnels ».</w:t>
      </w:r>
    </w:p>
    <w:p w14:paraId="6CB32EE9" w14:textId="107F3B84" w:rsidR="00C979F6" w:rsidRPr="00841601" w:rsidRDefault="00C979F6" w:rsidP="00C979F6">
      <w:pPr>
        <w:pStyle w:val="SingleTxtG"/>
        <w:ind w:left="1170"/>
        <w:rPr>
          <w:lang w:val="fr-CA"/>
        </w:rPr>
      </w:pPr>
      <w:r w:rsidRPr="00841601">
        <w:rPr>
          <w:lang w:val="fr-CA"/>
        </w:rPr>
        <w:t>23</w:t>
      </w:r>
      <w:r>
        <w:rPr>
          <w:lang w:val="fr-CA"/>
        </w:rPr>
        <w:t>7</w:t>
      </w:r>
      <w:r w:rsidRPr="00841601">
        <w:rPr>
          <w:lang w:val="fr-CA"/>
        </w:rPr>
        <w:t>.</w:t>
      </w:r>
      <w:r w:rsidRPr="00841601">
        <w:rPr>
          <w:lang w:val="fr-CA"/>
        </w:rPr>
        <w:tab/>
      </w:r>
      <w:r w:rsidRPr="00841601">
        <w:rPr>
          <w:lang w:val="fr-FR"/>
        </w:rPr>
        <w:t>Il a été observé que si, en français, le terme « arrangements » pouvait être utile en ce qu</w:t>
      </w:r>
      <w:r>
        <w:rPr>
          <w:lang w:val="fr-FR"/>
        </w:rPr>
        <w:t>’</w:t>
      </w:r>
      <w:r w:rsidRPr="00841601">
        <w:rPr>
          <w:lang w:val="fr-FR"/>
        </w:rPr>
        <w:t>il fournissait une solution à mi-chemin entre « accords » et « instruments », il pouvait aussi revêtir un sens très particulier dans le contexte des entités infra</w:t>
      </w:r>
      <w:r w:rsidR="006164C1">
        <w:rPr>
          <w:lang w:val="fr-FR"/>
        </w:rPr>
        <w:t>-</w:t>
      </w:r>
      <w:r w:rsidRPr="00841601">
        <w:rPr>
          <w:lang w:val="fr-FR"/>
        </w:rPr>
        <w:t>étatiques et prêter à confusion. Il a été dit que le terme « instruments » pouvait avoir un sens trop vaste et donc élargir considérablement le champ du sujet. D</w:t>
      </w:r>
      <w:r>
        <w:rPr>
          <w:lang w:val="fr-FR"/>
        </w:rPr>
        <w:t>’</w:t>
      </w:r>
      <w:r w:rsidRPr="00841601">
        <w:rPr>
          <w:lang w:val="fr-FR"/>
        </w:rPr>
        <w:t>aucuns ont exprimé l</w:t>
      </w:r>
      <w:r>
        <w:rPr>
          <w:lang w:val="fr-FR"/>
        </w:rPr>
        <w:t>’</w:t>
      </w:r>
      <w:r w:rsidRPr="00841601">
        <w:rPr>
          <w:lang w:val="fr-FR"/>
        </w:rPr>
        <w:t>avis que le terme « accords » n</w:t>
      </w:r>
      <w:r>
        <w:rPr>
          <w:lang w:val="fr-FR"/>
        </w:rPr>
        <w:t>’</w:t>
      </w:r>
      <w:r w:rsidRPr="00841601">
        <w:rPr>
          <w:lang w:val="fr-FR"/>
        </w:rPr>
        <w:t xml:space="preserve">était pas approprié car il créait des ambiguïtés. </w:t>
      </w:r>
    </w:p>
    <w:p w14:paraId="311B8486" w14:textId="77777777" w:rsidR="00C979F6" w:rsidRPr="00841601" w:rsidRDefault="00C979F6" w:rsidP="00C979F6">
      <w:pPr>
        <w:pStyle w:val="SingleTxtG"/>
        <w:ind w:left="1170"/>
        <w:rPr>
          <w:lang w:val="fr-CA"/>
        </w:rPr>
      </w:pPr>
      <w:r w:rsidRPr="00841601">
        <w:rPr>
          <w:lang w:val="fr-CA"/>
        </w:rPr>
        <w:t>2</w:t>
      </w:r>
      <w:r>
        <w:rPr>
          <w:lang w:val="fr-CA"/>
        </w:rPr>
        <w:t>38</w:t>
      </w:r>
      <w:r w:rsidRPr="00841601">
        <w:rPr>
          <w:lang w:val="fr-CA"/>
        </w:rPr>
        <w:t>.</w:t>
      </w:r>
      <w:r w:rsidRPr="00841601">
        <w:rPr>
          <w:lang w:val="fr-CA"/>
        </w:rPr>
        <w:tab/>
      </w:r>
      <w:r w:rsidRPr="00841601">
        <w:rPr>
          <w:lang w:val="fr-FR"/>
        </w:rPr>
        <w:t xml:space="preserve">Il a été souligné </w:t>
      </w:r>
      <w:r>
        <w:rPr>
          <w:lang w:val="fr-FR"/>
        </w:rPr>
        <w:t>qu’</w:t>
      </w:r>
      <w:r w:rsidRPr="00841601">
        <w:rPr>
          <w:lang w:val="fr-FR"/>
        </w:rPr>
        <w:t xml:space="preserve">il faudrait indiquer que </w:t>
      </w:r>
      <w:r>
        <w:rPr>
          <w:lang w:val="fr-FR"/>
        </w:rPr>
        <w:t>l’intitulé du sujet était</w:t>
      </w:r>
      <w:r w:rsidRPr="00841601">
        <w:rPr>
          <w:lang w:val="fr-FR"/>
        </w:rPr>
        <w:t xml:space="preserve"> sans préjudice des choix terminologiques que certains États faisaient pour orienter leur pratique. </w:t>
      </w:r>
    </w:p>
    <w:p w14:paraId="07B7E778" w14:textId="77777777" w:rsidR="00C979F6" w:rsidRPr="00841601" w:rsidRDefault="00C979F6" w:rsidP="00C979F6">
      <w:pPr>
        <w:pStyle w:val="SingleTxtG"/>
        <w:ind w:left="1170"/>
        <w:rPr>
          <w:lang w:val="fr-CA"/>
        </w:rPr>
      </w:pPr>
      <w:r>
        <w:rPr>
          <w:lang w:val="fr-CA"/>
        </w:rPr>
        <w:t>239</w:t>
      </w:r>
      <w:r w:rsidRPr="00841601">
        <w:rPr>
          <w:lang w:val="fr-CA"/>
        </w:rPr>
        <w:t>.</w:t>
      </w:r>
      <w:r w:rsidRPr="00841601">
        <w:rPr>
          <w:lang w:val="fr-CA"/>
        </w:rPr>
        <w:tab/>
      </w:r>
      <w:r w:rsidRPr="00841601">
        <w:rPr>
          <w:lang w:val="fr-FR"/>
        </w:rPr>
        <w:t>Il a été dit qu</w:t>
      </w:r>
      <w:r>
        <w:rPr>
          <w:lang w:val="fr-FR"/>
        </w:rPr>
        <w:t>’</w:t>
      </w:r>
      <w:r w:rsidRPr="00841601">
        <w:rPr>
          <w:lang w:val="fr-FR"/>
        </w:rPr>
        <w:t>il n</w:t>
      </w:r>
      <w:r>
        <w:rPr>
          <w:lang w:val="fr-FR"/>
        </w:rPr>
        <w:t>’</w:t>
      </w:r>
      <w:r w:rsidRPr="00841601">
        <w:rPr>
          <w:lang w:val="fr-FR"/>
        </w:rPr>
        <w:t>était pas nécessaire d</w:t>
      </w:r>
      <w:r>
        <w:rPr>
          <w:lang w:val="fr-FR"/>
        </w:rPr>
        <w:t>’</w:t>
      </w:r>
      <w:r w:rsidRPr="00841601">
        <w:rPr>
          <w:lang w:val="fr-FR"/>
        </w:rPr>
        <w:t>inclure le terme « international » dans l</w:t>
      </w:r>
      <w:r>
        <w:rPr>
          <w:lang w:val="fr-FR"/>
        </w:rPr>
        <w:t>’</w:t>
      </w:r>
      <w:r w:rsidRPr="00841601">
        <w:rPr>
          <w:lang w:val="fr-FR"/>
        </w:rPr>
        <w:t>intitulé du sujet</w:t>
      </w:r>
      <w:r>
        <w:rPr>
          <w:lang w:val="fr-FR"/>
        </w:rPr>
        <w:t xml:space="preserve"> parce qu’</w:t>
      </w:r>
      <w:r w:rsidRPr="00841601">
        <w:rPr>
          <w:lang w:val="fr-FR"/>
        </w:rPr>
        <w:t xml:space="preserve"> il était évident que la Commission n</w:t>
      </w:r>
      <w:r>
        <w:rPr>
          <w:lang w:val="fr-FR"/>
        </w:rPr>
        <w:t>’</w:t>
      </w:r>
      <w:r w:rsidRPr="00841601">
        <w:rPr>
          <w:lang w:val="fr-FR"/>
        </w:rPr>
        <w:t>aborderait la question que sous l</w:t>
      </w:r>
      <w:r>
        <w:rPr>
          <w:lang w:val="fr-FR"/>
        </w:rPr>
        <w:t>’</w:t>
      </w:r>
      <w:r w:rsidRPr="00841601">
        <w:rPr>
          <w:lang w:val="fr-FR"/>
        </w:rPr>
        <w:t xml:space="preserve">angle du droit international. </w:t>
      </w:r>
    </w:p>
    <w:p w14:paraId="35379174" w14:textId="77777777" w:rsidR="00C979F6" w:rsidRPr="00841601" w:rsidRDefault="00C979F6" w:rsidP="000D156C">
      <w:pPr>
        <w:pStyle w:val="H4G"/>
        <w:rPr>
          <w:b/>
          <w:shd w:val="clear" w:color="000000" w:fill="FFFFFF"/>
        </w:rPr>
      </w:pPr>
      <w:r w:rsidRPr="00841601">
        <w:tab/>
        <w:t>ii)</w:t>
      </w:r>
      <w:r w:rsidRPr="00841601">
        <w:tab/>
      </w:r>
      <w:r w:rsidRPr="00841601">
        <w:rPr>
          <w:lang w:val="fr-FR"/>
        </w:rPr>
        <w:t>« </w:t>
      </w:r>
      <w:r>
        <w:rPr>
          <w:lang w:val="fr-FR"/>
        </w:rPr>
        <w:t>j</w:t>
      </w:r>
      <w:r w:rsidRPr="00841601">
        <w:rPr>
          <w:lang w:val="fr-FR"/>
        </w:rPr>
        <w:t>uridiquement non contraignants »</w:t>
      </w:r>
    </w:p>
    <w:p w14:paraId="2FD3E516" w14:textId="66F8B872" w:rsidR="00C979F6" w:rsidRPr="00841601" w:rsidRDefault="00C979F6" w:rsidP="00C979F6">
      <w:pPr>
        <w:pStyle w:val="SingleTxtG"/>
        <w:ind w:left="1170"/>
        <w:rPr>
          <w:lang w:val="fr-CA"/>
        </w:rPr>
      </w:pPr>
      <w:r w:rsidRPr="00841601">
        <w:rPr>
          <w:lang w:val="fr-CA"/>
        </w:rPr>
        <w:t>2</w:t>
      </w:r>
      <w:r>
        <w:rPr>
          <w:lang w:val="fr-CA"/>
        </w:rPr>
        <w:t>40</w:t>
      </w:r>
      <w:r w:rsidRPr="00841601">
        <w:rPr>
          <w:lang w:val="fr-CA"/>
        </w:rPr>
        <w:t>.</w:t>
      </w:r>
      <w:r w:rsidRPr="00841601">
        <w:rPr>
          <w:lang w:val="fr-CA"/>
        </w:rPr>
        <w:tab/>
      </w:r>
      <w:r w:rsidRPr="00841601">
        <w:rPr>
          <w:lang w:val="fr-FR"/>
        </w:rPr>
        <w:t xml:space="preserve">Certains membres estimaient que le caractère </w:t>
      </w:r>
      <w:r w:rsidR="00A178A3">
        <w:rPr>
          <w:lang w:val="fr-FR"/>
        </w:rPr>
        <w:t xml:space="preserve">non </w:t>
      </w:r>
      <w:r w:rsidRPr="00841601">
        <w:rPr>
          <w:lang w:val="fr-FR"/>
        </w:rPr>
        <w:t xml:space="preserve">juridiquement contraignant des accords </w:t>
      </w:r>
      <w:r>
        <w:rPr>
          <w:lang w:val="fr-FR"/>
        </w:rPr>
        <w:t xml:space="preserve">concernés </w:t>
      </w:r>
      <w:r w:rsidRPr="00841601">
        <w:rPr>
          <w:lang w:val="fr-FR"/>
        </w:rPr>
        <w:t>tenait au fait que ces accords comportaient des engagements de nature politique ou étaient régis par le droit interne des États ou des entités qui y étaient parties.</w:t>
      </w:r>
    </w:p>
    <w:p w14:paraId="6F083D94" w14:textId="77777777" w:rsidR="00C979F6" w:rsidRPr="00841601" w:rsidRDefault="00C979F6" w:rsidP="00C979F6">
      <w:pPr>
        <w:pStyle w:val="SingleTxtG"/>
        <w:ind w:left="1170"/>
        <w:rPr>
          <w:lang w:val="fr-CA"/>
        </w:rPr>
      </w:pPr>
      <w:r>
        <w:rPr>
          <w:lang w:val="fr-CA"/>
        </w:rPr>
        <w:t>241</w:t>
      </w:r>
      <w:r w:rsidRPr="00841601">
        <w:rPr>
          <w:lang w:val="fr-CA"/>
        </w:rPr>
        <w:t>.</w:t>
      </w:r>
      <w:r w:rsidRPr="00841601">
        <w:rPr>
          <w:lang w:val="fr-CA"/>
        </w:rPr>
        <w:tab/>
      </w:r>
      <w:r w:rsidRPr="00841601">
        <w:rPr>
          <w:lang w:val="fr-FR"/>
        </w:rPr>
        <w:t>L</w:t>
      </w:r>
      <w:r>
        <w:rPr>
          <w:lang w:val="fr-FR"/>
        </w:rPr>
        <w:t>’</w:t>
      </w:r>
      <w:r w:rsidRPr="00841601">
        <w:rPr>
          <w:lang w:val="fr-FR"/>
        </w:rPr>
        <w:t>emploi de la formule « juridiquement non contraignants » après le terme « accords » a été favorablement accueilli par certains membres parce qu</w:t>
      </w:r>
      <w:r>
        <w:rPr>
          <w:lang w:val="fr-FR"/>
        </w:rPr>
        <w:t>’</w:t>
      </w:r>
      <w:r w:rsidRPr="00841601">
        <w:rPr>
          <w:lang w:val="fr-FR"/>
        </w:rPr>
        <w:t>il évitait toute confusion possible avec les traités, juridiquement contraignants en vertu du droit international. D</w:t>
      </w:r>
      <w:r>
        <w:rPr>
          <w:lang w:val="fr-FR"/>
        </w:rPr>
        <w:t>’</w:t>
      </w:r>
      <w:r w:rsidRPr="00841601">
        <w:rPr>
          <w:lang w:val="fr-FR"/>
        </w:rPr>
        <w:t>aucuns ont fait observer que l</w:t>
      </w:r>
      <w:r>
        <w:rPr>
          <w:lang w:val="fr-FR"/>
        </w:rPr>
        <w:t>’</w:t>
      </w:r>
      <w:r w:rsidRPr="00841601">
        <w:rPr>
          <w:lang w:val="fr-FR"/>
        </w:rPr>
        <w:t>emploi de la formule « juridiquement non contraignants » permettait d</w:t>
      </w:r>
      <w:r>
        <w:rPr>
          <w:lang w:val="fr-FR"/>
        </w:rPr>
        <w:t>’</w:t>
      </w:r>
      <w:r w:rsidRPr="00841601">
        <w:rPr>
          <w:lang w:val="fr-FR"/>
        </w:rPr>
        <w:t>exprimer l</w:t>
      </w:r>
      <w:r>
        <w:rPr>
          <w:lang w:val="fr-FR"/>
        </w:rPr>
        <w:t>’</w:t>
      </w:r>
      <w:r w:rsidRPr="00841601">
        <w:rPr>
          <w:lang w:val="fr-FR"/>
        </w:rPr>
        <w:t>idée qu</w:t>
      </w:r>
      <w:r>
        <w:rPr>
          <w:lang w:val="fr-FR"/>
        </w:rPr>
        <w:t>’</w:t>
      </w:r>
      <w:r w:rsidRPr="00841601">
        <w:rPr>
          <w:lang w:val="fr-FR"/>
        </w:rPr>
        <w:t>un instrument pouvait être contraignant sur le</w:t>
      </w:r>
      <w:r>
        <w:rPr>
          <w:lang w:val="fr-FR"/>
        </w:rPr>
        <w:t>s</w:t>
      </w:r>
      <w:r w:rsidRPr="00841601">
        <w:rPr>
          <w:lang w:val="fr-FR"/>
        </w:rPr>
        <w:t xml:space="preserve"> plan</w:t>
      </w:r>
      <w:r>
        <w:rPr>
          <w:lang w:val="fr-FR"/>
        </w:rPr>
        <w:t>s</w:t>
      </w:r>
      <w:r w:rsidRPr="00841601">
        <w:rPr>
          <w:lang w:val="fr-FR"/>
        </w:rPr>
        <w:t xml:space="preserve"> moral, politique ou autre. Dans le même temps, il a été dit que les formules « non contraignants juridiquement » ou « non juridiquement contraignants » pourraient être préférables en ce qu</w:t>
      </w:r>
      <w:r>
        <w:rPr>
          <w:lang w:val="fr-FR"/>
        </w:rPr>
        <w:t>’</w:t>
      </w:r>
      <w:r w:rsidRPr="00841601">
        <w:rPr>
          <w:lang w:val="fr-FR"/>
        </w:rPr>
        <w:t>elles permettraient d</w:t>
      </w:r>
      <w:r>
        <w:rPr>
          <w:lang w:val="fr-FR"/>
        </w:rPr>
        <w:t>’</w:t>
      </w:r>
      <w:r w:rsidRPr="00841601">
        <w:rPr>
          <w:lang w:val="fr-FR"/>
        </w:rPr>
        <w:t>exprimer plus clairement l</w:t>
      </w:r>
      <w:r>
        <w:rPr>
          <w:lang w:val="fr-FR"/>
        </w:rPr>
        <w:t>’</w:t>
      </w:r>
      <w:r w:rsidRPr="00841601">
        <w:rPr>
          <w:lang w:val="fr-FR"/>
        </w:rPr>
        <w:t>idée que la Commission s</w:t>
      </w:r>
      <w:r>
        <w:rPr>
          <w:lang w:val="fr-FR"/>
        </w:rPr>
        <w:t>’</w:t>
      </w:r>
      <w:r w:rsidRPr="00841601">
        <w:rPr>
          <w:lang w:val="fr-FR"/>
        </w:rPr>
        <w:t>intéressait uniquement au caractère juridiquement contraignant et aussi d</w:t>
      </w:r>
      <w:r>
        <w:rPr>
          <w:lang w:val="fr-FR"/>
        </w:rPr>
        <w:t>’</w:t>
      </w:r>
      <w:r w:rsidRPr="00841601">
        <w:rPr>
          <w:lang w:val="fr-FR"/>
        </w:rPr>
        <w:t xml:space="preserve">harmoniser les différentes versions linguistiques. Il a également été proposé de parler </w:t>
      </w:r>
      <w:r>
        <w:rPr>
          <w:lang w:val="fr-FR"/>
        </w:rPr>
        <w:t xml:space="preserve">simplement </w:t>
      </w:r>
      <w:r w:rsidRPr="00841601">
        <w:rPr>
          <w:lang w:val="fr-FR"/>
        </w:rPr>
        <w:lastRenderedPageBreak/>
        <w:t>d</w:t>
      </w:r>
      <w:r>
        <w:rPr>
          <w:lang w:val="fr-FR"/>
        </w:rPr>
        <w:t>’</w:t>
      </w:r>
      <w:r w:rsidRPr="00841601">
        <w:rPr>
          <w:lang w:val="fr-FR"/>
        </w:rPr>
        <w:t>« accords non contraignants »</w:t>
      </w:r>
      <w:r>
        <w:rPr>
          <w:lang w:val="fr-FR"/>
        </w:rPr>
        <w:t xml:space="preserve">parce que cette formule permettait de </w:t>
      </w:r>
      <w:r w:rsidRPr="00841601">
        <w:rPr>
          <w:lang w:val="fr-FR"/>
        </w:rPr>
        <w:t>ne pas donner l</w:t>
      </w:r>
      <w:r>
        <w:rPr>
          <w:lang w:val="fr-FR"/>
        </w:rPr>
        <w:t>’</w:t>
      </w:r>
      <w:r w:rsidRPr="00841601">
        <w:rPr>
          <w:lang w:val="fr-FR"/>
        </w:rPr>
        <w:t xml:space="preserve">impression que les accords en question étaient </w:t>
      </w:r>
      <w:r>
        <w:rPr>
          <w:lang w:val="fr-FR"/>
        </w:rPr>
        <w:t xml:space="preserve">juridiquement </w:t>
      </w:r>
      <w:r w:rsidRPr="00841601">
        <w:rPr>
          <w:lang w:val="fr-FR"/>
        </w:rPr>
        <w:t>contraignants.</w:t>
      </w:r>
    </w:p>
    <w:p w14:paraId="2A2F46A3" w14:textId="77777777" w:rsidR="00C979F6" w:rsidRPr="001F2BB1" w:rsidRDefault="00C979F6" w:rsidP="00C979F6">
      <w:pPr>
        <w:pStyle w:val="SingleTxtG"/>
        <w:ind w:left="1170"/>
        <w:rPr>
          <w:lang w:val="fr-FR"/>
        </w:rPr>
      </w:pPr>
      <w:r w:rsidRPr="00841601">
        <w:rPr>
          <w:lang w:val="fr-CA"/>
        </w:rPr>
        <w:t>2</w:t>
      </w:r>
      <w:r>
        <w:rPr>
          <w:lang w:val="fr-CA"/>
        </w:rPr>
        <w:t>42</w:t>
      </w:r>
      <w:r w:rsidRPr="00841601">
        <w:rPr>
          <w:lang w:val="fr-CA"/>
        </w:rPr>
        <w:t>.</w:t>
      </w:r>
      <w:r w:rsidRPr="00841601">
        <w:rPr>
          <w:lang w:val="fr-CA"/>
        </w:rPr>
        <w:tab/>
      </w:r>
      <w:r>
        <w:rPr>
          <w:lang w:val="fr-FR"/>
        </w:rPr>
        <w:t>Certains membres ont</w:t>
      </w:r>
      <w:r w:rsidRPr="00841601">
        <w:rPr>
          <w:lang w:val="fr-FR"/>
        </w:rPr>
        <w:t xml:space="preserve"> dit que le Rapporteur spécial devrait apporter des éclaircissements au sujet de l</w:t>
      </w:r>
      <w:r>
        <w:rPr>
          <w:lang w:val="fr-FR"/>
        </w:rPr>
        <w:t>’</w:t>
      </w:r>
      <w:r w:rsidRPr="00841601">
        <w:rPr>
          <w:lang w:val="fr-FR"/>
        </w:rPr>
        <w:t xml:space="preserve">emploi de formules </w:t>
      </w:r>
      <w:r>
        <w:rPr>
          <w:lang w:val="fr-FR"/>
        </w:rPr>
        <w:t>donnant à penser que le</w:t>
      </w:r>
      <w:r w:rsidRPr="00841601">
        <w:rPr>
          <w:lang w:val="fr-FR"/>
        </w:rPr>
        <w:t xml:space="preserve"> droit international </w:t>
      </w:r>
      <w:r>
        <w:rPr>
          <w:lang w:val="fr-FR"/>
        </w:rPr>
        <w:t xml:space="preserve">pouvait s’appliquer </w:t>
      </w:r>
      <w:r w:rsidRPr="00841601">
        <w:rPr>
          <w:lang w:val="fr-FR"/>
        </w:rPr>
        <w:t>aux accords internationaux juridiquement non contraignants car il pouvait être interprété comme étant en contradiction avec le fait</w:t>
      </w:r>
      <w:r>
        <w:rPr>
          <w:lang w:val="fr-FR"/>
        </w:rPr>
        <w:t xml:space="preserve"> qu’il était entendu que les travaux de</w:t>
      </w:r>
      <w:r w:rsidRPr="00841601">
        <w:rPr>
          <w:lang w:val="fr-FR"/>
        </w:rPr>
        <w:t xml:space="preserve"> la Commission </w:t>
      </w:r>
      <w:r>
        <w:rPr>
          <w:lang w:val="fr-FR"/>
        </w:rPr>
        <w:t xml:space="preserve">ne </w:t>
      </w:r>
      <w:r w:rsidRPr="00841601">
        <w:rPr>
          <w:lang w:val="fr-FR"/>
        </w:rPr>
        <w:t>transformer</w:t>
      </w:r>
      <w:r>
        <w:rPr>
          <w:lang w:val="fr-FR"/>
        </w:rPr>
        <w:t>aient pas</w:t>
      </w:r>
      <w:r w:rsidRPr="00841601">
        <w:rPr>
          <w:lang w:val="fr-FR"/>
        </w:rPr>
        <w:t xml:space="preserve"> les accords </w:t>
      </w:r>
      <w:r>
        <w:rPr>
          <w:lang w:val="fr-FR"/>
        </w:rPr>
        <w:t xml:space="preserve">internationaux </w:t>
      </w:r>
      <w:r w:rsidRPr="00841601">
        <w:rPr>
          <w:lang w:val="fr-FR"/>
        </w:rPr>
        <w:t>juridiquement non contraignants en accords juridiquement contraignants. Il a également été souligné que la formule « régis par le droit international » était un élément fondamental de la définition des traités donnée à l</w:t>
      </w:r>
      <w:r>
        <w:rPr>
          <w:lang w:val="fr-FR"/>
        </w:rPr>
        <w:t>’</w:t>
      </w:r>
      <w:r w:rsidRPr="00841601">
        <w:rPr>
          <w:lang w:val="fr-FR"/>
        </w:rPr>
        <w:t>article 2 de la Convention de Vienne sur le droit des traités.</w:t>
      </w:r>
    </w:p>
    <w:p w14:paraId="72B59608" w14:textId="77777777" w:rsidR="00C979F6" w:rsidRPr="00841601" w:rsidRDefault="00C979F6" w:rsidP="00A178A3">
      <w:pPr>
        <w:pStyle w:val="H4G"/>
        <w:rPr>
          <w:shd w:val="clear" w:color="000000" w:fill="FFFFFF"/>
          <w:lang w:val="fr-CA"/>
        </w:rPr>
      </w:pPr>
      <w:r w:rsidRPr="00841601">
        <w:rPr>
          <w:lang w:val="fr-CA"/>
        </w:rPr>
        <w:tab/>
        <w:t>iii)</w:t>
      </w:r>
      <w:r w:rsidRPr="00841601">
        <w:rPr>
          <w:lang w:val="fr-CA"/>
        </w:rPr>
        <w:tab/>
      </w:r>
      <w:r w:rsidRPr="00841601">
        <w:rPr>
          <w:lang w:val="fr-FR"/>
        </w:rPr>
        <w:t>Les accords internationaux entrant dans le champ du sujet</w:t>
      </w:r>
    </w:p>
    <w:p w14:paraId="3B49A14D" w14:textId="77777777" w:rsidR="00C979F6" w:rsidRPr="00841601" w:rsidRDefault="00C979F6" w:rsidP="00C979F6">
      <w:pPr>
        <w:pStyle w:val="SingleTxtG"/>
        <w:ind w:left="1170"/>
        <w:rPr>
          <w:lang w:val="fr-CA"/>
        </w:rPr>
      </w:pPr>
      <w:r>
        <w:rPr>
          <w:lang w:val="fr-CA"/>
        </w:rPr>
        <w:t>243</w:t>
      </w:r>
      <w:r w:rsidRPr="00841601">
        <w:rPr>
          <w:lang w:val="fr-CA"/>
        </w:rPr>
        <w:t>.</w:t>
      </w:r>
      <w:r w:rsidRPr="00841601">
        <w:rPr>
          <w:lang w:val="fr-CA"/>
        </w:rPr>
        <w:tab/>
      </w:r>
      <w:r>
        <w:rPr>
          <w:lang w:val="fr-FR"/>
        </w:rPr>
        <w:t>Les membres sont dans l’ensemble</w:t>
      </w:r>
      <w:r w:rsidRPr="00841601">
        <w:rPr>
          <w:lang w:val="fr-FR"/>
        </w:rPr>
        <w:t xml:space="preserve"> convenus que le champ du sujet devait être limité aux accords internationaux et inclure les accords conclus entre des États, entre des États et des organisations internationales et entre des organisations internationales. </w:t>
      </w:r>
      <w:r>
        <w:rPr>
          <w:lang w:val="fr-FR"/>
        </w:rPr>
        <w:t>Il a été dit que les accords internationaux juridiquement non contraignants conclus par des organisations internationales devaient être exclus du champ du sujet.</w:t>
      </w:r>
    </w:p>
    <w:p w14:paraId="12BDCC22" w14:textId="77777777" w:rsidR="00C979F6" w:rsidRPr="00841601" w:rsidRDefault="00C979F6" w:rsidP="00C979F6">
      <w:pPr>
        <w:pStyle w:val="SingleTxtG"/>
        <w:ind w:left="1170"/>
        <w:rPr>
          <w:shd w:val="clear" w:color="000000" w:fill="FFFFFF"/>
          <w:lang w:val="fr-CA"/>
        </w:rPr>
      </w:pPr>
      <w:r>
        <w:rPr>
          <w:lang w:val="fr-CA"/>
        </w:rPr>
        <w:t>244</w:t>
      </w:r>
      <w:r w:rsidRPr="00841601">
        <w:rPr>
          <w:lang w:val="fr-CA"/>
        </w:rPr>
        <w:t>.</w:t>
      </w:r>
      <w:r w:rsidRPr="00841601">
        <w:rPr>
          <w:lang w:val="fr-CA"/>
        </w:rPr>
        <w:tab/>
      </w:r>
      <w:r w:rsidRPr="00841601">
        <w:rPr>
          <w:lang w:val="fr-FR"/>
        </w:rPr>
        <w:t xml:space="preserve">Plusieurs membres ont dit que les travaux de la Commission sur le sujet devraient </w:t>
      </w:r>
      <w:r>
        <w:rPr>
          <w:lang w:val="fr-FR"/>
        </w:rPr>
        <w:t>être axés</w:t>
      </w:r>
      <w:r w:rsidRPr="00841601">
        <w:rPr>
          <w:lang w:val="fr-FR"/>
        </w:rPr>
        <w:t xml:space="preserve"> sur les textes écrits qui n</w:t>
      </w:r>
      <w:r>
        <w:rPr>
          <w:lang w:val="fr-FR"/>
        </w:rPr>
        <w:t>’</w:t>
      </w:r>
      <w:r w:rsidRPr="00841601">
        <w:rPr>
          <w:lang w:val="fr-FR"/>
        </w:rPr>
        <w:t>étaient pas des traités et n</w:t>
      </w:r>
      <w:r>
        <w:rPr>
          <w:lang w:val="fr-FR"/>
        </w:rPr>
        <w:t>’</w:t>
      </w:r>
      <w:r w:rsidRPr="00841601">
        <w:rPr>
          <w:lang w:val="fr-FR"/>
        </w:rPr>
        <w:t xml:space="preserve">étaient pas destinés à être contraignants, mais comportaient un accord entre leurs signataires et pouvaient avoir une composante normative. Dans le même temps, </w:t>
      </w:r>
      <w:r>
        <w:rPr>
          <w:lang w:val="fr-FR"/>
        </w:rPr>
        <w:t>selon une opinion,</w:t>
      </w:r>
      <w:r w:rsidRPr="00841601">
        <w:rPr>
          <w:lang w:val="fr-FR"/>
        </w:rPr>
        <w:t xml:space="preserve"> les accords non écrits devaient également être pris en compte. Certains membres se sont félicités que le Rapporteur spécial pense qu</w:t>
      </w:r>
      <w:r>
        <w:rPr>
          <w:lang w:val="fr-FR"/>
        </w:rPr>
        <w:t>’</w:t>
      </w:r>
      <w:r w:rsidRPr="00841601">
        <w:rPr>
          <w:lang w:val="fr-FR"/>
        </w:rPr>
        <w:t>il faille exclure du champ du sujet les dispositions non contraignantes figurant dans des traités et les effets juridiques des traités n</w:t>
      </w:r>
      <w:r>
        <w:rPr>
          <w:lang w:val="fr-FR"/>
        </w:rPr>
        <w:t>’</w:t>
      </w:r>
      <w:r w:rsidRPr="00841601">
        <w:rPr>
          <w:lang w:val="fr-FR"/>
        </w:rPr>
        <w:t>étant pas encore entrés en vigueur.</w:t>
      </w:r>
    </w:p>
    <w:p w14:paraId="164D00EE" w14:textId="77777777" w:rsidR="00C979F6" w:rsidRPr="00841601" w:rsidRDefault="00C979F6" w:rsidP="00C979F6">
      <w:pPr>
        <w:pStyle w:val="SingleTxtG"/>
        <w:ind w:left="1170"/>
        <w:rPr>
          <w:lang w:val="fr-CA"/>
        </w:rPr>
      </w:pPr>
      <w:r>
        <w:rPr>
          <w:lang w:val="fr-CA"/>
        </w:rPr>
        <w:t>245</w:t>
      </w:r>
      <w:r w:rsidRPr="00841601">
        <w:rPr>
          <w:lang w:val="fr-CA"/>
        </w:rPr>
        <w:t>.</w:t>
      </w:r>
      <w:r w:rsidRPr="00841601">
        <w:rPr>
          <w:lang w:val="fr-CA"/>
        </w:rPr>
        <w:tab/>
      </w:r>
      <w:r w:rsidRPr="00841601">
        <w:rPr>
          <w:lang w:val="fr-FR"/>
        </w:rPr>
        <w:t xml:space="preserve">Il a par ailleurs été observé que la forme ou </w:t>
      </w:r>
      <w:r>
        <w:rPr>
          <w:lang w:val="fr-FR"/>
        </w:rPr>
        <w:t>l’intitulé</w:t>
      </w:r>
      <w:r w:rsidRPr="00841601">
        <w:rPr>
          <w:lang w:val="fr-FR"/>
        </w:rPr>
        <w:t xml:space="preserve"> d</w:t>
      </w:r>
      <w:r>
        <w:rPr>
          <w:lang w:val="fr-FR"/>
        </w:rPr>
        <w:t>’</w:t>
      </w:r>
      <w:r w:rsidRPr="00841601">
        <w:rPr>
          <w:lang w:val="fr-FR"/>
        </w:rPr>
        <w:t>un document ne devait pas être le facteur décisif s</w:t>
      </w:r>
      <w:r>
        <w:rPr>
          <w:lang w:val="fr-FR"/>
        </w:rPr>
        <w:t>’</w:t>
      </w:r>
      <w:r w:rsidRPr="00841601">
        <w:rPr>
          <w:lang w:val="fr-FR"/>
        </w:rPr>
        <w:t>agissant de savoir si le document en question entrait ou non dans le champ du sujet. Il a été</w:t>
      </w:r>
      <w:r>
        <w:rPr>
          <w:lang w:val="fr-FR"/>
        </w:rPr>
        <w:t xml:space="preserve"> dit</w:t>
      </w:r>
      <w:r w:rsidRPr="00841601">
        <w:rPr>
          <w:lang w:val="fr-FR"/>
        </w:rPr>
        <w:t xml:space="preserve"> que la Commission </w:t>
      </w:r>
      <w:r>
        <w:rPr>
          <w:lang w:val="fr-FR"/>
        </w:rPr>
        <w:t xml:space="preserve">devait </w:t>
      </w:r>
      <w:r w:rsidRPr="00841601">
        <w:rPr>
          <w:lang w:val="fr-FR"/>
        </w:rPr>
        <w:t>précise</w:t>
      </w:r>
      <w:r>
        <w:rPr>
          <w:lang w:val="fr-FR"/>
        </w:rPr>
        <w:t>r</w:t>
      </w:r>
      <w:r w:rsidRPr="00841601">
        <w:rPr>
          <w:lang w:val="fr-FR"/>
        </w:rPr>
        <w:t xml:space="preserve"> qu</w:t>
      </w:r>
      <w:r>
        <w:rPr>
          <w:lang w:val="fr-FR"/>
        </w:rPr>
        <w:t>’</w:t>
      </w:r>
      <w:r w:rsidRPr="00841601">
        <w:rPr>
          <w:lang w:val="fr-FR"/>
        </w:rPr>
        <w:t>elle traitait des accords qui comportaient des engagements politiques ou moraux et n</w:t>
      </w:r>
      <w:r>
        <w:rPr>
          <w:lang w:val="fr-FR"/>
        </w:rPr>
        <w:t>’</w:t>
      </w:r>
      <w:r w:rsidRPr="00841601">
        <w:rPr>
          <w:lang w:val="fr-FR"/>
        </w:rPr>
        <w:t xml:space="preserve">étaient pas destinés à créer des droits et des obligations juridiques. </w:t>
      </w:r>
      <w:r>
        <w:rPr>
          <w:lang w:val="fr-FR"/>
        </w:rPr>
        <w:t>Selon un autre point de vue,</w:t>
      </w:r>
      <w:r w:rsidRPr="00841601">
        <w:rPr>
          <w:lang w:val="fr-FR"/>
        </w:rPr>
        <w:t xml:space="preserve"> l</w:t>
      </w:r>
      <w:r>
        <w:rPr>
          <w:lang w:val="fr-FR"/>
        </w:rPr>
        <w:t>’</w:t>
      </w:r>
      <w:r w:rsidRPr="00841601">
        <w:rPr>
          <w:lang w:val="fr-FR"/>
        </w:rPr>
        <w:t>intention du Rapporteur spécial de limiter le champ du sujet aux accords dans lesquels les États ont entendu prendre un engagement était susceptible d</w:t>
      </w:r>
      <w:r>
        <w:rPr>
          <w:lang w:val="fr-FR"/>
        </w:rPr>
        <w:t>’</w:t>
      </w:r>
      <w:r w:rsidRPr="00841601">
        <w:rPr>
          <w:lang w:val="fr-FR"/>
        </w:rPr>
        <w:t>entraîner des complications pratiques en ce qu</w:t>
      </w:r>
      <w:r>
        <w:rPr>
          <w:lang w:val="fr-FR"/>
        </w:rPr>
        <w:t>’</w:t>
      </w:r>
      <w:r w:rsidRPr="00841601">
        <w:rPr>
          <w:lang w:val="fr-FR"/>
        </w:rPr>
        <w:t>elle pouvait exclure de l</w:t>
      </w:r>
      <w:r>
        <w:rPr>
          <w:lang w:val="fr-FR"/>
        </w:rPr>
        <w:t>’</w:t>
      </w:r>
      <w:r w:rsidRPr="00841601">
        <w:rPr>
          <w:lang w:val="fr-FR"/>
        </w:rPr>
        <w:t xml:space="preserve">examen de la Commission un nombre considérable de documents considérés par des États comme des accords internationaux non contraignants. </w:t>
      </w:r>
    </w:p>
    <w:p w14:paraId="2329765E" w14:textId="77777777" w:rsidR="00C979F6" w:rsidRPr="00841601" w:rsidRDefault="00C979F6" w:rsidP="00C979F6">
      <w:pPr>
        <w:pStyle w:val="SingleTxtG"/>
        <w:ind w:left="1170"/>
        <w:rPr>
          <w:lang w:val="fr-CA"/>
        </w:rPr>
      </w:pPr>
      <w:r>
        <w:rPr>
          <w:lang w:val="fr-CA"/>
        </w:rPr>
        <w:t>246</w:t>
      </w:r>
      <w:r w:rsidRPr="00841601">
        <w:rPr>
          <w:lang w:val="fr-CA"/>
        </w:rPr>
        <w:t>.</w:t>
      </w:r>
      <w:r w:rsidRPr="00841601">
        <w:rPr>
          <w:lang w:val="fr-CA"/>
        </w:rPr>
        <w:tab/>
      </w:r>
      <w:r>
        <w:rPr>
          <w:lang w:val="fr-FR"/>
        </w:rPr>
        <w:t xml:space="preserve">Certains </w:t>
      </w:r>
      <w:r w:rsidRPr="00841601">
        <w:rPr>
          <w:lang w:val="fr-FR"/>
        </w:rPr>
        <w:t>membres se sont déclarés favorables à ce que les résolutions des organisations internationales soient prises en considération parce qu</w:t>
      </w:r>
      <w:r>
        <w:rPr>
          <w:lang w:val="fr-FR"/>
        </w:rPr>
        <w:t>’</w:t>
      </w:r>
      <w:r w:rsidRPr="00841601">
        <w:rPr>
          <w:lang w:val="fr-FR"/>
        </w:rPr>
        <w:t>elles étaient généralement négociées entre les membres d</w:t>
      </w:r>
      <w:r>
        <w:rPr>
          <w:lang w:val="fr-FR"/>
        </w:rPr>
        <w:t>’</w:t>
      </w:r>
      <w:r w:rsidRPr="00841601">
        <w:rPr>
          <w:lang w:val="fr-FR"/>
        </w:rPr>
        <w:t xml:space="preserve">organisations internationales et ne pouvaient pas être considérées comme des actes unilatéraux. </w:t>
      </w:r>
      <w:r>
        <w:rPr>
          <w:lang w:val="fr-FR"/>
        </w:rPr>
        <w:t xml:space="preserve">Toutefois, plusieurs </w:t>
      </w:r>
      <w:r w:rsidRPr="00841601">
        <w:rPr>
          <w:lang w:val="fr-FR"/>
        </w:rPr>
        <w:t>membres ont dit que, selon eux, le champ du sujet ne devait pas s</w:t>
      </w:r>
      <w:r>
        <w:rPr>
          <w:lang w:val="fr-FR"/>
        </w:rPr>
        <w:t>’</w:t>
      </w:r>
      <w:r w:rsidRPr="00841601">
        <w:rPr>
          <w:lang w:val="fr-FR"/>
        </w:rPr>
        <w:t>étendre aux résolutions et autres actes des organisations internationales. L</w:t>
      </w:r>
      <w:r>
        <w:rPr>
          <w:lang w:val="fr-FR"/>
        </w:rPr>
        <w:t>’</w:t>
      </w:r>
      <w:r w:rsidRPr="00841601">
        <w:rPr>
          <w:lang w:val="fr-FR"/>
        </w:rPr>
        <w:t>intention du Rapporteur spécial d</w:t>
      </w:r>
      <w:r>
        <w:rPr>
          <w:lang w:val="fr-FR"/>
        </w:rPr>
        <w:t>’</w:t>
      </w:r>
      <w:r w:rsidRPr="00841601">
        <w:rPr>
          <w:lang w:val="fr-FR"/>
        </w:rPr>
        <w:t xml:space="preserve">exclure du champ du sujet les actes unilatéraux des États et les dispositions non contraignantes des traités a été favorablement accueillie. </w:t>
      </w:r>
    </w:p>
    <w:p w14:paraId="08AEA7B4" w14:textId="77777777" w:rsidR="00C979F6" w:rsidRPr="00841601" w:rsidRDefault="00C979F6" w:rsidP="00C979F6">
      <w:pPr>
        <w:pStyle w:val="SingleTxtG"/>
        <w:ind w:left="1170"/>
        <w:rPr>
          <w:lang w:val="fr-CA"/>
        </w:rPr>
      </w:pPr>
      <w:r>
        <w:rPr>
          <w:lang w:val="fr-CA"/>
        </w:rPr>
        <w:t>247</w:t>
      </w:r>
      <w:r w:rsidRPr="00841601">
        <w:rPr>
          <w:lang w:val="fr-CA"/>
        </w:rPr>
        <w:t>.</w:t>
      </w:r>
      <w:r w:rsidRPr="00841601">
        <w:rPr>
          <w:lang w:val="fr-CA"/>
        </w:rPr>
        <w:tab/>
      </w:r>
      <w:r w:rsidRPr="00841601">
        <w:rPr>
          <w:lang w:val="fr-FR"/>
        </w:rPr>
        <w:t xml:space="preserve">Plusieurs membres estimaient que les résolutions des conférences intergouvernementales ne devaient pas nécessairement être exclues du champ du sujet car </w:t>
      </w:r>
      <w:r>
        <w:rPr>
          <w:lang w:val="fr-FR"/>
        </w:rPr>
        <w:t>il s’agissait</w:t>
      </w:r>
      <w:r w:rsidRPr="00841601">
        <w:rPr>
          <w:lang w:val="fr-FR"/>
        </w:rPr>
        <w:t xml:space="preserve"> </w:t>
      </w:r>
      <w:r>
        <w:rPr>
          <w:lang w:val="fr-FR"/>
        </w:rPr>
        <w:t>d’</w:t>
      </w:r>
      <w:r w:rsidRPr="00841601">
        <w:rPr>
          <w:lang w:val="fr-FR"/>
        </w:rPr>
        <w:t>accords entre plusieurs entités juridiques. Si certains membres ont dit être ouverts à l</w:t>
      </w:r>
      <w:r>
        <w:rPr>
          <w:lang w:val="fr-FR"/>
        </w:rPr>
        <w:t>’</w:t>
      </w:r>
      <w:r w:rsidRPr="00841601">
        <w:rPr>
          <w:lang w:val="fr-FR"/>
        </w:rPr>
        <w:t xml:space="preserve">idée </w:t>
      </w:r>
      <w:r>
        <w:rPr>
          <w:lang w:val="fr-FR"/>
        </w:rPr>
        <w:t>d’</w:t>
      </w:r>
      <w:r w:rsidRPr="00841601">
        <w:rPr>
          <w:lang w:val="fr-FR"/>
        </w:rPr>
        <w:t>exclure</w:t>
      </w:r>
      <w:r>
        <w:rPr>
          <w:lang w:val="fr-FR"/>
        </w:rPr>
        <w:t xml:space="preserve"> ces résolutions</w:t>
      </w:r>
      <w:r w:rsidRPr="00841601">
        <w:rPr>
          <w:lang w:val="fr-FR"/>
        </w:rPr>
        <w:t xml:space="preserve"> du champ du sujet, il a été observé que l</w:t>
      </w:r>
      <w:r>
        <w:rPr>
          <w:lang w:val="fr-FR"/>
        </w:rPr>
        <w:t>’</w:t>
      </w:r>
      <w:r w:rsidRPr="00841601">
        <w:rPr>
          <w:lang w:val="fr-FR"/>
        </w:rPr>
        <w:t>explication donnée pour justifier leur exclusion méritait d</w:t>
      </w:r>
      <w:r>
        <w:rPr>
          <w:lang w:val="fr-FR"/>
        </w:rPr>
        <w:t>’</w:t>
      </w:r>
      <w:r w:rsidRPr="00841601">
        <w:rPr>
          <w:lang w:val="fr-FR"/>
        </w:rPr>
        <w:t xml:space="preserve">être plus détaillée. </w:t>
      </w:r>
    </w:p>
    <w:p w14:paraId="2F6456AB" w14:textId="77777777" w:rsidR="00C979F6" w:rsidRPr="00841601" w:rsidRDefault="00C979F6" w:rsidP="00C979F6">
      <w:pPr>
        <w:pStyle w:val="SingleTxtG"/>
        <w:ind w:left="1170"/>
        <w:rPr>
          <w:lang w:val="fr-CA"/>
        </w:rPr>
      </w:pPr>
      <w:r>
        <w:rPr>
          <w:lang w:val="fr-CA"/>
        </w:rPr>
        <w:t>248</w:t>
      </w:r>
      <w:r w:rsidRPr="00841601">
        <w:rPr>
          <w:lang w:val="fr-CA"/>
        </w:rPr>
        <w:t>.</w:t>
      </w:r>
      <w:r w:rsidRPr="00841601">
        <w:rPr>
          <w:lang w:val="fr-CA"/>
        </w:rPr>
        <w:tab/>
      </w:r>
      <w:r w:rsidRPr="00841601">
        <w:rPr>
          <w:lang w:val="fr-FR"/>
        </w:rPr>
        <w:t>Il a été dit que les accords conclus dans un cadre institutionnel multilatéral ne devaient pas être exclus du champ du sujet car ils représentaient bon nombre des accords juridiquement non contraignants conclus entre plusieurs parties, y compris entre des États et des organisations internationales. Il a également été suggéré que le Rapporteur spécial se penche sur le rôle des accords juridiquement non contraignants dans les interactions entre États dans le cadre plus large des organisations internationales.</w:t>
      </w:r>
    </w:p>
    <w:p w14:paraId="375DB364" w14:textId="77777777" w:rsidR="00C979F6" w:rsidRPr="00841601" w:rsidRDefault="00C979F6" w:rsidP="00C979F6">
      <w:pPr>
        <w:pStyle w:val="SingleTxtG"/>
        <w:ind w:left="1170"/>
        <w:rPr>
          <w:lang w:val="fr-CA"/>
        </w:rPr>
      </w:pPr>
      <w:r>
        <w:rPr>
          <w:lang w:val="fr-CA"/>
        </w:rPr>
        <w:t>249</w:t>
      </w:r>
      <w:r w:rsidRPr="00841601">
        <w:rPr>
          <w:lang w:val="fr-CA"/>
        </w:rPr>
        <w:t>.</w:t>
      </w:r>
      <w:r w:rsidRPr="00841601">
        <w:rPr>
          <w:lang w:val="fr-CA"/>
        </w:rPr>
        <w:tab/>
      </w:r>
      <w:r w:rsidRPr="00841601">
        <w:rPr>
          <w:lang w:val="fr-FR"/>
        </w:rPr>
        <w:t>Il a été suggéré que l</w:t>
      </w:r>
      <w:r>
        <w:rPr>
          <w:lang w:val="fr-FR"/>
        </w:rPr>
        <w:t>’</w:t>
      </w:r>
      <w:r w:rsidRPr="00841601">
        <w:rPr>
          <w:lang w:val="fr-FR"/>
        </w:rPr>
        <w:t xml:space="preserve">étude du sujet couvre aussi les déclarations non contraignantes annexées à certains traités, y compris les arrangements parallèles conclus dans le contexte </w:t>
      </w:r>
      <w:r w:rsidRPr="00841601">
        <w:rPr>
          <w:lang w:val="fr-FR"/>
        </w:rPr>
        <w:lastRenderedPageBreak/>
        <w:t>de traités bilatéraux. Il a été observé que certaines annexes pouvaient comporter un modèle de texte pour un accord futur ou un accord d</w:t>
      </w:r>
      <w:r>
        <w:rPr>
          <w:lang w:val="fr-FR"/>
        </w:rPr>
        <w:t>’</w:t>
      </w:r>
      <w:r w:rsidRPr="00841601">
        <w:rPr>
          <w:lang w:val="fr-FR"/>
        </w:rPr>
        <w:t>interprétation ou pour l</w:t>
      </w:r>
      <w:r>
        <w:rPr>
          <w:lang w:val="fr-FR"/>
        </w:rPr>
        <w:t>’</w:t>
      </w:r>
      <w:r w:rsidRPr="00841601">
        <w:rPr>
          <w:lang w:val="fr-FR"/>
        </w:rPr>
        <w:t>établissement d</w:t>
      </w:r>
      <w:r>
        <w:rPr>
          <w:lang w:val="fr-FR"/>
        </w:rPr>
        <w:t>’</w:t>
      </w:r>
      <w:r w:rsidRPr="00841601">
        <w:rPr>
          <w:lang w:val="fr-FR"/>
        </w:rPr>
        <w:t>accords visant à l</w:t>
      </w:r>
      <w:r>
        <w:rPr>
          <w:lang w:val="fr-FR"/>
        </w:rPr>
        <w:t>’</w:t>
      </w:r>
      <w:r w:rsidRPr="00841601">
        <w:rPr>
          <w:lang w:val="fr-FR"/>
        </w:rPr>
        <w:t>application d</w:t>
      </w:r>
      <w:r>
        <w:rPr>
          <w:lang w:val="fr-FR"/>
        </w:rPr>
        <w:t>’</w:t>
      </w:r>
      <w:r w:rsidRPr="00841601">
        <w:rPr>
          <w:lang w:val="fr-FR"/>
        </w:rPr>
        <w:t>un traité sur la base d</w:t>
      </w:r>
      <w:r>
        <w:rPr>
          <w:lang w:val="fr-FR"/>
        </w:rPr>
        <w:t>’</w:t>
      </w:r>
      <w:r w:rsidRPr="00841601">
        <w:rPr>
          <w:lang w:val="fr-FR"/>
        </w:rPr>
        <w:t>un modèle de texte.</w:t>
      </w:r>
    </w:p>
    <w:p w14:paraId="20B7D1EE" w14:textId="560E566A" w:rsidR="00C979F6" w:rsidRPr="00841601" w:rsidRDefault="00C979F6" w:rsidP="00C979F6">
      <w:pPr>
        <w:pStyle w:val="SingleTxtG"/>
        <w:ind w:left="1170"/>
        <w:rPr>
          <w:lang w:val="fr-CA"/>
        </w:rPr>
      </w:pPr>
      <w:r>
        <w:rPr>
          <w:lang w:val="fr-CA"/>
        </w:rPr>
        <w:t>250</w:t>
      </w:r>
      <w:r w:rsidRPr="00841601">
        <w:rPr>
          <w:lang w:val="fr-CA"/>
        </w:rPr>
        <w:t>.</w:t>
      </w:r>
      <w:r w:rsidRPr="00841601">
        <w:rPr>
          <w:lang w:val="fr-CA"/>
        </w:rPr>
        <w:tab/>
      </w:r>
      <w:r w:rsidRPr="00841601">
        <w:rPr>
          <w:lang w:val="fr-FR"/>
        </w:rPr>
        <w:t>Plusieurs membres estimaient qu</w:t>
      </w:r>
      <w:r>
        <w:rPr>
          <w:lang w:val="fr-FR"/>
        </w:rPr>
        <w:t>’</w:t>
      </w:r>
      <w:r w:rsidRPr="00841601">
        <w:rPr>
          <w:lang w:val="fr-FR"/>
        </w:rPr>
        <w:t>il fallait que le champ du sujet couvre les accords interinstitutionnels ou arrangement</w:t>
      </w:r>
      <w:r>
        <w:rPr>
          <w:lang w:val="fr-FR"/>
        </w:rPr>
        <w:t>s</w:t>
      </w:r>
      <w:r w:rsidRPr="00841601">
        <w:rPr>
          <w:lang w:val="fr-FR"/>
        </w:rPr>
        <w:t xml:space="preserve"> administratifs, conclus par exemple entre autorités administratives, États fédérés </w:t>
      </w:r>
      <w:r>
        <w:rPr>
          <w:lang w:val="fr-FR"/>
        </w:rPr>
        <w:t xml:space="preserve">ou autres unités territoriales infranationales </w:t>
      </w:r>
      <w:r w:rsidRPr="00841601">
        <w:rPr>
          <w:lang w:val="fr-FR"/>
        </w:rPr>
        <w:t>et banques centrales de différents États. Il a été observé qu</w:t>
      </w:r>
      <w:r>
        <w:rPr>
          <w:lang w:val="fr-FR"/>
        </w:rPr>
        <w:t>’</w:t>
      </w:r>
      <w:r w:rsidRPr="00841601">
        <w:rPr>
          <w:lang w:val="fr-FR"/>
        </w:rPr>
        <w:t>une grande partie des accords internationaux juridiquement non contraignants étaient conclus au niveau infra</w:t>
      </w:r>
      <w:r w:rsidR="006164C1">
        <w:rPr>
          <w:lang w:val="fr-FR"/>
        </w:rPr>
        <w:t>-</w:t>
      </w:r>
      <w:r w:rsidRPr="00841601">
        <w:rPr>
          <w:lang w:val="fr-FR"/>
        </w:rPr>
        <w:t>étatique et qu</w:t>
      </w:r>
      <w:r>
        <w:rPr>
          <w:lang w:val="fr-FR"/>
        </w:rPr>
        <w:t>’</w:t>
      </w:r>
      <w:r w:rsidRPr="00841601">
        <w:rPr>
          <w:lang w:val="fr-FR"/>
        </w:rPr>
        <w:t>exclure ces accords du champ du sujet pou</w:t>
      </w:r>
      <w:r>
        <w:rPr>
          <w:lang w:val="fr-FR"/>
        </w:rPr>
        <w:t>rr</w:t>
      </w:r>
      <w:r w:rsidRPr="00841601">
        <w:rPr>
          <w:lang w:val="fr-FR"/>
        </w:rPr>
        <w:t xml:space="preserve">ait entraver les travaux de la Commission. </w:t>
      </w:r>
    </w:p>
    <w:p w14:paraId="46FD5FB1" w14:textId="77777777" w:rsidR="00C979F6" w:rsidRPr="00841601" w:rsidRDefault="00C979F6" w:rsidP="00C979F6">
      <w:pPr>
        <w:pStyle w:val="SingleTxtG"/>
        <w:ind w:left="1170"/>
        <w:rPr>
          <w:lang w:val="fr-CA"/>
        </w:rPr>
      </w:pPr>
      <w:r>
        <w:rPr>
          <w:lang w:val="fr-CA"/>
        </w:rPr>
        <w:t>251</w:t>
      </w:r>
      <w:r w:rsidRPr="00841601">
        <w:rPr>
          <w:lang w:val="fr-CA"/>
        </w:rPr>
        <w:t>.</w:t>
      </w:r>
      <w:r w:rsidRPr="00841601">
        <w:rPr>
          <w:lang w:val="fr-CA"/>
        </w:rPr>
        <w:tab/>
      </w:r>
      <w:r w:rsidRPr="00841601">
        <w:rPr>
          <w:lang w:val="fr-FR"/>
        </w:rPr>
        <w:t>Certains membres ont fait observer que les accords interinstitutionnels étaient permis par le droit interne de divers États et ne créaient pas d</w:t>
      </w:r>
      <w:r>
        <w:rPr>
          <w:lang w:val="fr-FR"/>
        </w:rPr>
        <w:t>’</w:t>
      </w:r>
      <w:r w:rsidRPr="00841601">
        <w:rPr>
          <w:lang w:val="fr-FR"/>
        </w:rPr>
        <w:t xml:space="preserve">obligations internationalement contraignantes alors que dans </w:t>
      </w:r>
      <w:r>
        <w:rPr>
          <w:lang w:val="fr-FR"/>
        </w:rPr>
        <w:t>certains systèmes juridiques internes</w:t>
      </w:r>
      <w:r w:rsidRPr="00841601">
        <w:rPr>
          <w:lang w:val="fr-FR"/>
        </w:rPr>
        <w:t xml:space="preserve">, ils pouvaient créer </w:t>
      </w:r>
      <w:r>
        <w:rPr>
          <w:lang w:val="fr-FR"/>
        </w:rPr>
        <w:t>ce type d’</w:t>
      </w:r>
      <w:r w:rsidRPr="00841601">
        <w:rPr>
          <w:lang w:val="fr-FR"/>
        </w:rPr>
        <w:t>obligations. Il a été dit que, quand bien même ces accords pourraient être considérés comme des accords juridiquement non contraignants entre États, il ne serait peut-être pas approprié de les examiner. Il a aussi été dit qu</w:t>
      </w:r>
      <w:r>
        <w:rPr>
          <w:lang w:val="fr-FR"/>
        </w:rPr>
        <w:t>’</w:t>
      </w:r>
      <w:r w:rsidRPr="00841601">
        <w:rPr>
          <w:lang w:val="fr-FR"/>
        </w:rPr>
        <w:t>il n</w:t>
      </w:r>
      <w:r>
        <w:rPr>
          <w:lang w:val="fr-FR"/>
        </w:rPr>
        <w:t>’</w:t>
      </w:r>
      <w:r w:rsidRPr="00841601">
        <w:rPr>
          <w:lang w:val="fr-FR"/>
        </w:rPr>
        <w:t xml:space="preserve">était pas souhaitable que la Commission prenne en considération les accords interinstitutionnels parce que leur nature était souvent dictée par la répartition des pouvoirs entre les autorités centrales et locales au sein des États, en conséquence de quoi ils pouvaient prendre des formes extrêmement diverses. </w:t>
      </w:r>
    </w:p>
    <w:p w14:paraId="014CE70A" w14:textId="7E644FC1" w:rsidR="00C979F6" w:rsidRPr="00841601" w:rsidRDefault="00C979F6" w:rsidP="00C979F6">
      <w:pPr>
        <w:pStyle w:val="SingleTxtG"/>
        <w:rPr>
          <w:lang w:val="fr-FR"/>
        </w:rPr>
      </w:pPr>
      <w:r>
        <w:rPr>
          <w:lang w:val="fr-CA"/>
        </w:rPr>
        <w:t>252</w:t>
      </w:r>
      <w:r w:rsidRPr="00841601">
        <w:rPr>
          <w:lang w:val="fr-CA"/>
        </w:rPr>
        <w:t>.</w:t>
      </w:r>
      <w:r w:rsidRPr="00841601">
        <w:rPr>
          <w:lang w:val="fr-CA"/>
        </w:rPr>
        <w:tab/>
      </w:r>
      <w:r w:rsidRPr="00841601">
        <w:rPr>
          <w:lang w:val="fr-FR"/>
        </w:rPr>
        <w:t xml:space="preserve">Certains membres ont dit que la Commission pourrait se pencher sur les accords entre États et </w:t>
      </w:r>
      <w:r>
        <w:rPr>
          <w:lang w:val="fr-FR"/>
        </w:rPr>
        <w:t>acteurs autres que des États et des organisations internationales</w:t>
      </w:r>
      <w:r w:rsidRPr="00841601">
        <w:rPr>
          <w:lang w:val="fr-FR"/>
        </w:rPr>
        <w:t xml:space="preserve">, par exemple les accords conclus entre des États et des mouvements rebelles ou insurrectionnels ou des groupes armés non étatiques. </w:t>
      </w:r>
      <w:r>
        <w:rPr>
          <w:lang w:val="fr-FR"/>
        </w:rPr>
        <w:t>Il a également été noté que les accords entre des États et des États ou gouvernements non reconnus pourraient être inclus dans le champ du sujet. Il a été observé</w:t>
      </w:r>
      <w:r w:rsidRPr="00841601">
        <w:rPr>
          <w:lang w:val="fr-FR"/>
        </w:rPr>
        <w:t xml:space="preserve"> </w:t>
      </w:r>
      <w:r>
        <w:rPr>
          <w:lang w:val="fr-FR"/>
        </w:rPr>
        <w:t xml:space="preserve">que </w:t>
      </w:r>
      <w:r w:rsidRPr="00841601">
        <w:rPr>
          <w:lang w:val="fr-FR"/>
        </w:rPr>
        <w:t>même s</w:t>
      </w:r>
      <w:r>
        <w:rPr>
          <w:lang w:val="fr-FR"/>
        </w:rPr>
        <w:t>i ces catégories d’accord</w:t>
      </w:r>
      <w:r w:rsidRPr="00841601">
        <w:rPr>
          <w:lang w:val="fr-FR"/>
        </w:rPr>
        <w:t xml:space="preserve"> étaient ultérieurement exclu</w:t>
      </w:r>
      <w:r>
        <w:rPr>
          <w:lang w:val="fr-FR"/>
        </w:rPr>
        <w:t>es</w:t>
      </w:r>
      <w:r w:rsidRPr="00841601">
        <w:rPr>
          <w:lang w:val="fr-FR"/>
        </w:rPr>
        <w:t xml:space="preserve"> du champ </w:t>
      </w:r>
      <w:r w:rsidR="00A178A3">
        <w:rPr>
          <w:lang w:val="fr-FR"/>
        </w:rPr>
        <w:t xml:space="preserve">du </w:t>
      </w:r>
      <w:r w:rsidRPr="00841601">
        <w:rPr>
          <w:lang w:val="fr-FR"/>
        </w:rPr>
        <w:t>sujet</w:t>
      </w:r>
      <w:r>
        <w:rPr>
          <w:lang w:val="fr-FR"/>
        </w:rPr>
        <w:t>, cette décision devait être prise après un examen attentif</w:t>
      </w:r>
      <w:r w:rsidRPr="00841601">
        <w:rPr>
          <w:lang w:val="fr-FR"/>
        </w:rPr>
        <w:t>.</w:t>
      </w:r>
    </w:p>
    <w:p w14:paraId="7E482706" w14:textId="77777777" w:rsidR="00C979F6" w:rsidRPr="00841601" w:rsidRDefault="00C979F6" w:rsidP="00A178A3">
      <w:pPr>
        <w:pStyle w:val="H23G"/>
        <w:rPr>
          <w:shd w:val="clear" w:color="000000" w:fill="FFFFFF"/>
        </w:rPr>
      </w:pPr>
      <w:r w:rsidRPr="00841601">
        <w:rPr>
          <w:lang w:val="fr-FR"/>
        </w:rPr>
        <w:tab/>
        <w:t>c)</w:t>
      </w:r>
      <w:r w:rsidRPr="00841601">
        <w:rPr>
          <w:lang w:val="fr-FR"/>
        </w:rPr>
        <w:tab/>
        <w:t>Identification des questions à examiner</w:t>
      </w:r>
    </w:p>
    <w:p w14:paraId="310DFA75" w14:textId="749EDB07" w:rsidR="00C979F6" w:rsidRPr="00841601" w:rsidRDefault="00C979F6" w:rsidP="00A178A3">
      <w:pPr>
        <w:pStyle w:val="H4G"/>
        <w:rPr>
          <w:b/>
          <w:shd w:val="clear" w:color="000000" w:fill="FFFFFF"/>
        </w:rPr>
      </w:pPr>
      <w:r w:rsidRPr="00841601">
        <w:tab/>
        <w:t>i)</w:t>
      </w:r>
      <w:r w:rsidRPr="00841601">
        <w:tab/>
      </w:r>
      <w:r w:rsidRPr="00841601">
        <w:rPr>
          <w:lang w:val="fr-FR"/>
        </w:rPr>
        <w:t>Les critères de distinction entre les traités et les accords internationaux</w:t>
      </w:r>
      <w:r w:rsidR="00A178A3">
        <w:rPr>
          <w:lang w:val="fr-FR"/>
        </w:rPr>
        <w:t xml:space="preserve"> </w:t>
      </w:r>
      <w:r w:rsidRPr="00841601">
        <w:rPr>
          <w:lang w:val="fr-FR"/>
        </w:rPr>
        <w:t xml:space="preserve">juridiquement </w:t>
      </w:r>
      <w:r w:rsidR="00A178A3">
        <w:rPr>
          <w:lang w:val="fr-FR"/>
        </w:rPr>
        <w:br/>
      </w:r>
      <w:r w:rsidRPr="00841601">
        <w:rPr>
          <w:lang w:val="fr-FR"/>
        </w:rPr>
        <w:t>non contraignants</w:t>
      </w:r>
    </w:p>
    <w:p w14:paraId="004E2177" w14:textId="77777777" w:rsidR="00C979F6" w:rsidRPr="00841601" w:rsidRDefault="00C979F6" w:rsidP="00C979F6">
      <w:pPr>
        <w:pStyle w:val="SingleTxtG"/>
        <w:ind w:left="1170"/>
        <w:rPr>
          <w:shd w:val="clear" w:color="000000" w:fill="FFFFFF"/>
        </w:rPr>
      </w:pPr>
      <w:r>
        <w:t>253</w:t>
      </w:r>
      <w:r w:rsidRPr="00841601">
        <w:t>.</w:t>
      </w:r>
      <w:r w:rsidRPr="00841601">
        <w:tab/>
      </w:r>
      <w:r>
        <w:rPr>
          <w:lang w:val="fr-FR"/>
        </w:rPr>
        <w:t>Plusieurs</w:t>
      </w:r>
      <w:r w:rsidRPr="00841601">
        <w:rPr>
          <w:lang w:val="fr-FR"/>
        </w:rPr>
        <w:t xml:space="preserve"> membres estimaient que l</w:t>
      </w:r>
      <w:r>
        <w:rPr>
          <w:lang w:val="fr-FR"/>
        </w:rPr>
        <w:t>’</w:t>
      </w:r>
      <w:r w:rsidRPr="00841601">
        <w:rPr>
          <w:lang w:val="fr-FR"/>
        </w:rPr>
        <w:t>examen du sujet par la Commission avait pour but d</w:t>
      </w:r>
      <w:r>
        <w:rPr>
          <w:lang w:val="fr-FR"/>
        </w:rPr>
        <w:t>’</w:t>
      </w:r>
      <w:r w:rsidRPr="00841601">
        <w:rPr>
          <w:lang w:val="fr-FR"/>
        </w:rPr>
        <w:t>aider à distinguer les accords qui étaient juridiquement contraignants de ceux qui ne l</w:t>
      </w:r>
      <w:r>
        <w:rPr>
          <w:lang w:val="fr-FR"/>
        </w:rPr>
        <w:t>’</w:t>
      </w:r>
      <w:r w:rsidRPr="00841601">
        <w:rPr>
          <w:lang w:val="fr-FR"/>
        </w:rPr>
        <w:t>étaient pas. Il a été souligné que la Commission devrait commencer par indiquer clairement ce qu</w:t>
      </w:r>
      <w:r>
        <w:rPr>
          <w:lang w:val="fr-FR"/>
        </w:rPr>
        <w:t>’</w:t>
      </w:r>
      <w:r w:rsidRPr="00841601">
        <w:rPr>
          <w:lang w:val="fr-FR"/>
        </w:rPr>
        <w:t>elle entendait par « accords internationaux juridiquement non contraignants » et qu</w:t>
      </w:r>
      <w:r>
        <w:rPr>
          <w:lang w:val="fr-FR"/>
        </w:rPr>
        <w:t>’</w:t>
      </w:r>
      <w:r w:rsidRPr="00841601">
        <w:rPr>
          <w:lang w:val="fr-FR"/>
        </w:rPr>
        <w:t>on ne saurait présumer que l</w:t>
      </w:r>
      <w:r>
        <w:rPr>
          <w:lang w:val="fr-FR"/>
        </w:rPr>
        <w:t>’</w:t>
      </w:r>
      <w:r w:rsidRPr="00841601">
        <w:rPr>
          <w:lang w:val="fr-FR"/>
        </w:rPr>
        <w:t>emploi du terme « accord » dans le titre d</w:t>
      </w:r>
      <w:r>
        <w:rPr>
          <w:lang w:val="fr-FR"/>
        </w:rPr>
        <w:t>’</w:t>
      </w:r>
      <w:r w:rsidRPr="00841601">
        <w:rPr>
          <w:lang w:val="fr-FR"/>
        </w:rPr>
        <w:t xml:space="preserve">un document signifiait que </w:t>
      </w:r>
      <w:r>
        <w:rPr>
          <w:lang w:val="fr-FR"/>
        </w:rPr>
        <w:t>le</w:t>
      </w:r>
      <w:r w:rsidRPr="00841601">
        <w:rPr>
          <w:lang w:val="fr-FR"/>
        </w:rPr>
        <w:t xml:space="preserve"> texte était juridiquement contraignant. </w:t>
      </w:r>
    </w:p>
    <w:p w14:paraId="5066863B" w14:textId="77777777" w:rsidR="00C979F6" w:rsidRPr="00841601" w:rsidRDefault="00C979F6" w:rsidP="00C979F6">
      <w:pPr>
        <w:pStyle w:val="SingleTxtG"/>
        <w:ind w:left="1170"/>
        <w:rPr>
          <w:shd w:val="clear" w:color="000000" w:fill="FFFFFF"/>
        </w:rPr>
      </w:pPr>
      <w:r>
        <w:t>254</w:t>
      </w:r>
      <w:r w:rsidRPr="00841601">
        <w:t>.</w:t>
      </w:r>
      <w:r w:rsidRPr="00841601">
        <w:tab/>
      </w:r>
      <w:r w:rsidRPr="00841601">
        <w:rPr>
          <w:lang w:val="fr-FR"/>
        </w:rPr>
        <w:t>Plusieurs membres étaient d</w:t>
      </w:r>
      <w:r>
        <w:rPr>
          <w:lang w:val="fr-FR"/>
        </w:rPr>
        <w:t>’</w:t>
      </w:r>
      <w:r w:rsidRPr="00841601">
        <w:rPr>
          <w:lang w:val="fr-FR"/>
        </w:rPr>
        <w:t>avis que le critère principal devait être celui de l</w:t>
      </w:r>
      <w:r>
        <w:rPr>
          <w:lang w:val="fr-FR"/>
        </w:rPr>
        <w:t>’</w:t>
      </w:r>
      <w:r w:rsidRPr="00841601">
        <w:rPr>
          <w:lang w:val="fr-FR"/>
        </w:rPr>
        <w:t>intention des États telle qu</w:t>
      </w:r>
      <w:r>
        <w:rPr>
          <w:lang w:val="fr-FR"/>
        </w:rPr>
        <w:t xml:space="preserve">’elle était </w:t>
      </w:r>
      <w:r w:rsidRPr="00841601">
        <w:rPr>
          <w:lang w:val="fr-FR"/>
        </w:rPr>
        <w:t>exprimée dans le texte de l</w:t>
      </w:r>
      <w:r>
        <w:rPr>
          <w:lang w:val="fr-FR"/>
        </w:rPr>
        <w:t>’</w:t>
      </w:r>
      <w:r w:rsidRPr="00841601">
        <w:rPr>
          <w:lang w:val="fr-FR"/>
        </w:rPr>
        <w:t>accord. Il a été dit que l</w:t>
      </w:r>
      <w:r>
        <w:rPr>
          <w:lang w:val="fr-FR"/>
        </w:rPr>
        <w:t>’</w:t>
      </w:r>
      <w:r w:rsidRPr="00841601">
        <w:rPr>
          <w:lang w:val="fr-FR"/>
        </w:rPr>
        <w:t>intention des parties pouvait être différente et évoluer dans le temps et qu</w:t>
      </w:r>
      <w:r>
        <w:rPr>
          <w:lang w:val="fr-FR"/>
        </w:rPr>
        <w:t>’</w:t>
      </w:r>
      <w:r w:rsidRPr="00841601">
        <w:rPr>
          <w:lang w:val="fr-FR"/>
        </w:rPr>
        <w:t xml:space="preserve">elle ne </w:t>
      </w:r>
      <w:r>
        <w:rPr>
          <w:lang w:val="fr-FR"/>
        </w:rPr>
        <w:t xml:space="preserve">devait </w:t>
      </w:r>
      <w:r w:rsidRPr="00841601">
        <w:rPr>
          <w:lang w:val="fr-FR"/>
        </w:rPr>
        <w:t xml:space="preserve">donc </w:t>
      </w:r>
      <w:r>
        <w:rPr>
          <w:lang w:val="fr-FR"/>
        </w:rPr>
        <w:t xml:space="preserve">pas </w:t>
      </w:r>
      <w:r w:rsidRPr="00841601">
        <w:rPr>
          <w:lang w:val="fr-FR"/>
        </w:rPr>
        <w:t xml:space="preserve">être considérée comme le facteur déterminant. </w:t>
      </w:r>
      <w:r>
        <w:rPr>
          <w:lang w:val="fr-FR"/>
        </w:rPr>
        <w:t>Il a été observé qu’il y avait des situations dans lesquelles un accord disposait expressément qu’il était non contraignant mais, dans le même temps, contenait plusieurs éléments linguistiques donnant à penser qu’il était en fait un accord contraignant.</w:t>
      </w:r>
      <w:r w:rsidRPr="00841601">
        <w:rPr>
          <w:lang w:val="fr-FR"/>
        </w:rPr>
        <w:t>. Plusieurs membres ont dit qu</w:t>
      </w:r>
      <w:r>
        <w:rPr>
          <w:lang w:val="fr-FR"/>
        </w:rPr>
        <w:t>’</w:t>
      </w:r>
      <w:r w:rsidRPr="00841601">
        <w:rPr>
          <w:lang w:val="fr-FR"/>
        </w:rPr>
        <w:t>il fallait aussi prendre en considération divers éléments objectifs, notamment le texte de l</w:t>
      </w:r>
      <w:r>
        <w:rPr>
          <w:lang w:val="fr-FR"/>
        </w:rPr>
        <w:t>’</w:t>
      </w:r>
      <w:r w:rsidRPr="00841601">
        <w:rPr>
          <w:lang w:val="fr-FR"/>
        </w:rPr>
        <w:t xml:space="preserve">accord, la forme de celui-ci et les circonstances entourant sa formation. Il a été suggéré que la Commission adopte une approche globale </w:t>
      </w:r>
      <w:r>
        <w:rPr>
          <w:lang w:val="fr-FR"/>
        </w:rPr>
        <w:t>tenant</w:t>
      </w:r>
      <w:r w:rsidRPr="00841601">
        <w:rPr>
          <w:lang w:val="fr-FR"/>
        </w:rPr>
        <w:t xml:space="preserve"> compte de critères à la fois objectifs et subjectifs. La pratique ultérieure des parties à un accord juridiquement non contraignant a été jugée pertinente. On a souligné qu</w:t>
      </w:r>
      <w:r>
        <w:rPr>
          <w:lang w:val="fr-FR"/>
        </w:rPr>
        <w:t>’</w:t>
      </w:r>
      <w:r w:rsidRPr="00841601">
        <w:rPr>
          <w:lang w:val="fr-FR"/>
        </w:rPr>
        <w:t>il fallait évaluer chaque instrument au cas par cas. Il a été observé qu</w:t>
      </w:r>
      <w:r>
        <w:rPr>
          <w:lang w:val="fr-FR"/>
        </w:rPr>
        <w:t>’</w:t>
      </w:r>
      <w:r w:rsidRPr="00841601">
        <w:rPr>
          <w:lang w:val="fr-FR"/>
        </w:rPr>
        <w:t>aucun indice ne permettait à lui seul de déterminer la nature potentiellement contraignante de l</w:t>
      </w:r>
      <w:r>
        <w:rPr>
          <w:lang w:val="fr-FR"/>
        </w:rPr>
        <w:t>’</w:t>
      </w:r>
      <w:r w:rsidRPr="00841601">
        <w:rPr>
          <w:lang w:val="fr-FR"/>
        </w:rPr>
        <w:t>accord, qu</w:t>
      </w:r>
      <w:r>
        <w:rPr>
          <w:lang w:val="fr-FR"/>
        </w:rPr>
        <w:t>’</w:t>
      </w:r>
      <w:r w:rsidRPr="00841601">
        <w:rPr>
          <w:lang w:val="fr-FR"/>
        </w:rPr>
        <w:t>il ne devait pas y avoir de hiérarchie entre les indices ou les critères et que tous les facteurs devaient être pris en compte et appréciés ensemble et au cas par cas.</w:t>
      </w:r>
    </w:p>
    <w:p w14:paraId="08386187" w14:textId="77777777" w:rsidR="00C979F6" w:rsidRPr="008F57B0" w:rsidRDefault="00C979F6" w:rsidP="00C979F6">
      <w:pPr>
        <w:pStyle w:val="SingleTxtG"/>
        <w:ind w:left="1170"/>
      </w:pPr>
      <w:r>
        <w:t>255</w:t>
      </w:r>
      <w:r w:rsidRPr="00841601">
        <w:t>.</w:t>
      </w:r>
      <w:r w:rsidRPr="00841601">
        <w:tab/>
      </w:r>
      <w:r w:rsidRPr="00841601">
        <w:rPr>
          <w:lang w:val="fr-FR"/>
        </w:rPr>
        <w:t>En ce qui concerne les critères de distinction entre les traités et les accords internationaux juridiquement non contraignants, on a fait valoir que la présence de clauses finales,</w:t>
      </w:r>
      <w:r>
        <w:rPr>
          <w:lang w:val="fr-FR"/>
        </w:rPr>
        <w:t xml:space="preserve"> notamment l’existence d’une exigence de ratification,</w:t>
      </w:r>
      <w:r w:rsidRPr="00841601">
        <w:rPr>
          <w:lang w:val="fr-FR"/>
        </w:rPr>
        <w:t xml:space="preserve"> </w:t>
      </w:r>
      <w:r>
        <w:rPr>
          <w:lang w:val="fr-FR"/>
        </w:rPr>
        <w:t xml:space="preserve">ainsi que </w:t>
      </w:r>
      <w:r w:rsidRPr="00841601">
        <w:rPr>
          <w:lang w:val="fr-FR"/>
        </w:rPr>
        <w:t>la possibilité de révoquer unilatéralement l</w:t>
      </w:r>
      <w:r>
        <w:rPr>
          <w:lang w:val="fr-FR"/>
        </w:rPr>
        <w:t>’</w:t>
      </w:r>
      <w:r w:rsidRPr="00841601">
        <w:rPr>
          <w:lang w:val="fr-FR"/>
        </w:rPr>
        <w:t xml:space="preserve">accord et le fait que des mécanismes de suivi ou de règlement des différends </w:t>
      </w:r>
      <w:r>
        <w:rPr>
          <w:lang w:val="fr-FR"/>
        </w:rPr>
        <w:t xml:space="preserve">aient </w:t>
      </w:r>
      <w:r w:rsidRPr="00841601">
        <w:rPr>
          <w:lang w:val="fr-FR"/>
        </w:rPr>
        <w:t>été prévus n</w:t>
      </w:r>
      <w:r>
        <w:rPr>
          <w:lang w:val="fr-FR"/>
        </w:rPr>
        <w:t>’</w:t>
      </w:r>
      <w:r w:rsidRPr="00841601">
        <w:rPr>
          <w:lang w:val="fr-FR"/>
        </w:rPr>
        <w:t>étaient pas déterminants.</w:t>
      </w:r>
      <w:r>
        <w:rPr>
          <w:lang w:val="fr-FR"/>
        </w:rPr>
        <w:t xml:space="preserve"> Sur la base de la définition du terme </w:t>
      </w:r>
      <w:r>
        <w:rPr>
          <w:lang w:val="fr-FR"/>
        </w:rPr>
        <w:lastRenderedPageBreak/>
        <w:t>« traité » donnée à l’alinéa a) du paragraphe 1 de l’article 2 de la Convention de Vienne sur le droit des traités, l’avis a été exprimé que les points de savoir si les parties à un accord étaient des sujets de droit international et si le droit régissant un accord était le droit international étaient aussi des critères qui pouvaient avoir une utilité pratique et devaient être examinés.</w:t>
      </w:r>
    </w:p>
    <w:p w14:paraId="76021C9B" w14:textId="7DFC1CAB" w:rsidR="00C979F6" w:rsidRPr="00841601" w:rsidRDefault="00C979F6" w:rsidP="00C979F6">
      <w:pPr>
        <w:pStyle w:val="SingleTxtG"/>
        <w:ind w:left="1170"/>
        <w:rPr>
          <w:shd w:val="clear" w:color="000000" w:fill="FFFFFF"/>
        </w:rPr>
      </w:pPr>
      <w:r>
        <w:t>256</w:t>
      </w:r>
      <w:r w:rsidRPr="00841601">
        <w:t>.</w:t>
      </w:r>
      <w:r w:rsidRPr="00841601">
        <w:tab/>
      </w:r>
      <w:r>
        <w:rPr>
          <w:lang w:val="fr-FR"/>
        </w:rPr>
        <w:t>Certains</w:t>
      </w:r>
      <w:r w:rsidRPr="00841601">
        <w:rPr>
          <w:lang w:val="fr-FR"/>
        </w:rPr>
        <w:t xml:space="preserve"> membres </w:t>
      </w:r>
      <w:r>
        <w:rPr>
          <w:lang w:val="fr-FR"/>
        </w:rPr>
        <w:t xml:space="preserve">étaient d’avis </w:t>
      </w:r>
      <w:r w:rsidRPr="00841601">
        <w:rPr>
          <w:lang w:val="fr-FR"/>
        </w:rPr>
        <w:t xml:space="preserve">que la Commission </w:t>
      </w:r>
      <w:r>
        <w:rPr>
          <w:lang w:val="fr-FR"/>
        </w:rPr>
        <w:t xml:space="preserve">pourrait définir </w:t>
      </w:r>
      <w:r w:rsidRPr="00841601">
        <w:rPr>
          <w:lang w:val="fr-FR"/>
        </w:rPr>
        <w:t>des indices permettant d</w:t>
      </w:r>
      <w:r>
        <w:rPr>
          <w:lang w:val="fr-FR"/>
        </w:rPr>
        <w:t>’</w:t>
      </w:r>
      <w:r w:rsidRPr="00841601">
        <w:rPr>
          <w:lang w:val="fr-FR"/>
        </w:rPr>
        <w:t>établir l</w:t>
      </w:r>
      <w:r>
        <w:rPr>
          <w:lang w:val="fr-FR"/>
        </w:rPr>
        <w:t>’</w:t>
      </w:r>
      <w:r w:rsidRPr="00841601">
        <w:rPr>
          <w:lang w:val="fr-FR"/>
        </w:rPr>
        <w:t xml:space="preserve">intention des États car cela permettrait de </w:t>
      </w:r>
      <w:r>
        <w:rPr>
          <w:lang w:val="fr-FR"/>
        </w:rPr>
        <w:t>clarifier la distinction entre</w:t>
      </w:r>
      <w:r w:rsidRPr="00841601">
        <w:rPr>
          <w:lang w:val="fr-FR"/>
        </w:rPr>
        <w:t xml:space="preserve"> les accords juridiquement contraignants </w:t>
      </w:r>
      <w:r>
        <w:rPr>
          <w:lang w:val="fr-FR"/>
        </w:rPr>
        <w:t xml:space="preserve">et les </w:t>
      </w:r>
      <w:r w:rsidRPr="00841601">
        <w:rPr>
          <w:lang w:val="fr-FR"/>
        </w:rPr>
        <w:t xml:space="preserve">accords juridiquement non contraignants, que les États </w:t>
      </w:r>
      <w:r>
        <w:rPr>
          <w:lang w:val="fr-FR"/>
        </w:rPr>
        <w:t xml:space="preserve">ayant </w:t>
      </w:r>
      <w:r w:rsidRPr="00841601">
        <w:rPr>
          <w:lang w:val="fr-FR"/>
        </w:rPr>
        <w:t xml:space="preserve">de plus en plus recours à </w:t>
      </w:r>
      <w:r>
        <w:rPr>
          <w:lang w:val="fr-FR"/>
        </w:rPr>
        <w:t>ce type d’</w:t>
      </w:r>
      <w:r w:rsidRPr="00841601">
        <w:rPr>
          <w:lang w:val="fr-FR"/>
        </w:rPr>
        <w:t>accords plutôt qu</w:t>
      </w:r>
      <w:r>
        <w:rPr>
          <w:lang w:val="fr-FR"/>
        </w:rPr>
        <w:t>’</w:t>
      </w:r>
      <w:r w:rsidRPr="00841601">
        <w:rPr>
          <w:lang w:val="fr-FR"/>
        </w:rPr>
        <w:t>à des traités.</w:t>
      </w:r>
      <w:r>
        <w:rPr>
          <w:lang w:val="fr-FR"/>
        </w:rPr>
        <w:t xml:space="preserve"> Selon certains</w:t>
      </w:r>
      <w:r w:rsidRPr="00841601">
        <w:rPr>
          <w:lang w:val="fr-FR"/>
        </w:rPr>
        <w:t xml:space="preserve"> membres, dans le cadre de ses travaux sur le sujet, la Commission devait éviter de brouiller la distinction entre les traités et les accords juridiquement non contraignants ou d</w:t>
      </w:r>
      <w:r>
        <w:rPr>
          <w:lang w:val="fr-FR"/>
        </w:rPr>
        <w:t>’</w:t>
      </w:r>
      <w:r w:rsidRPr="00841601">
        <w:rPr>
          <w:lang w:val="fr-FR"/>
        </w:rPr>
        <w:t xml:space="preserve">assimiler ces accords à des sources du droit international. Il a été dit que les travaux sur le sujet pourraient permettre de préciser sur le plan juridique la distinction entre les effets contraignants et </w:t>
      </w:r>
      <w:r>
        <w:rPr>
          <w:lang w:val="fr-FR"/>
        </w:rPr>
        <w:t xml:space="preserve">les effets </w:t>
      </w:r>
      <w:r w:rsidRPr="00841601">
        <w:rPr>
          <w:lang w:val="fr-FR"/>
        </w:rPr>
        <w:t>non contraignants de certains accords, distinction qui n</w:t>
      </w:r>
      <w:r>
        <w:rPr>
          <w:lang w:val="fr-FR"/>
        </w:rPr>
        <w:t>’</w:t>
      </w:r>
      <w:r w:rsidRPr="00841601">
        <w:rPr>
          <w:lang w:val="fr-FR"/>
        </w:rPr>
        <w:t>avait pas été pleinement établie dans certaines décisions judiciaires et qu</w:t>
      </w:r>
      <w:r>
        <w:rPr>
          <w:lang w:val="fr-FR"/>
        </w:rPr>
        <w:t>’</w:t>
      </w:r>
      <w:r w:rsidRPr="00841601">
        <w:rPr>
          <w:lang w:val="fr-FR"/>
        </w:rPr>
        <w:t>on ne retrouvait pas dans des traités tels que la Convention de Vienne sur le droit des traités.</w:t>
      </w:r>
    </w:p>
    <w:p w14:paraId="4A1058B9" w14:textId="4BE4BAF1" w:rsidR="00C979F6" w:rsidRPr="00841601" w:rsidRDefault="00C979F6" w:rsidP="00C979F6">
      <w:pPr>
        <w:pStyle w:val="SingleTxtG"/>
        <w:ind w:left="1170"/>
        <w:rPr>
          <w:shd w:val="clear" w:color="000000" w:fill="FFFFFF"/>
        </w:rPr>
      </w:pPr>
      <w:r>
        <w:t>257</w:t>
      </w:r>
      <w:r w:rsidRPr="00841601">
        <w:t>.</w:t>
      </w:r>
      <w:r w:rsidRPr="00841601">
        <w:tab/>
      </w:r>
      <w:r w:rsidRPr="00841601">
        <w:rPr>
          <w:lang w:val="fr-FR"/>
        </w:rPr>
        <w:t xml:space="preserve">Il a été dit </w:t>
      </w:r>
      <w:r>
        <w:rPr>
          <w:lang w:val="fr-FR"/>
        </w:rPr>
        <w:t>que l’élaboration de</w:t>
      </w:r>
      <w:r w:rsidRPr="00841601">
        <w:rPr>
          <w:lang w:val="fr-FR"/>
        </w:rPr>
        <w:t xml:space="preserve"> critères permettant de distinguer les traités des accords internationaux juridiquement non contraignants</w:t>
      </w:r>
      <w:r>
        <w:rPr>
          <w:lang w:val="fr-FR"/>
        </w:rPr>
        <w:t xml:space="preserve"> pouvait faire planer un doute sur les accords conclus avant les travaux de</w:t>
      </w:r>
      <w:r w:rsidRPr="00841601">
        <w:rPr>
          <w:lang w:val="fr-FR"/>
        </w:rPr>
        <w:t xml:space="preserve"> la Commission sur le sujet. Il a donc été suggéré </w:t>
      </w:r>
      <w:r>
        <w:rPr>
          <w:lang w:val="fr-FR"/>
        </w:rPr>
        <w:t>que la Commission</w:t>
      </w:r>
      <w:r w:rsidRPr="00841601">
        <w:rPr>
          <w:lang w:val="fr-FR"/>
        </w:rPr>
        <w:t xml:space="preserve"> s</w:t>
      </w:r>
      <w:r>
        <w:rPr>
          <w:lang w:val="fr-FR"/>
        </w:rPr>
        <w:t>’</w:t>
      </w:r>
      <w:r w:rsidRPr="00841601">
        <w:rPr>
          <w:lang w:val="fr-FR"/>
        </w:rPr>
        <w:t>emploie surtout à mettre en évidence les aspects que les États devaient prendre en compte au moment d</w:t>
      </w:r>
      <w:r>
        <w:rPr>
          <w:lang w:val="fr-FR"/>
        </w:rPr>
        <w:t>’</w:t>
      </w:r>
      <w:r w:rsidRPr="00841601">
        <w:rPr>
          <w:lang w:val="fr-FR"/>
        </w:rPr>
        <w:t xml:space="preserve">élaborer </w:t>
      </w:r>
      <w:r>
        <w:rPr>
          <w:lang w:val="fr-FR"/>
        </w:rPr>
        <w:t xml:space="preserve">ce type de </w:t>
      </w:r>
      <w:r w:rsidRPr="00841601">
        <w:rPr>
          <w:lang w:val="fr-FR"/>
        </w:rPr>
        <w:t xml:space="preserve">documents et à ne pas outrepasser la volonté qui était celle des parties au moment où elles </w:t>
      </w:r>
      <w:r>
        <w:rPr>
          <w:lang w:val="fr-FR"/>
        </w:rPr>
        <w:t xml:space="preserve">les </w:t>
      </w:r>
      <w:r w:rsidRPr="00841601">
        <w:rPr>
          <w:lang w:val="fr-FR"/>
        </w:rPr>
        <w:t>avaient approuvé</w:t>
      </w:r>
      <w:r>
        <w:rPr>
          <w:lang w:val="fr-FR"/>
        </w:rPr>
        <w:t>s</w:t>
      </w:r>
      <w:r w:rsidRPr="00841601">
        <w:rPr>
          <w:lang w:val="fr-FR"/>
        </w:rPr>
        <w:t xml:space="preserve">. </w:t>
      </w:r>
    </w:p>
    <w:p w14:paraId="70289921" w14:textId="77777777" w:rsidR="00C979F6" w:rsidRPr="00841601" w:rsidRDefault="00C979F6" w:rsidP="00C979F6">
      <w:pPr>
        <w:pStyle w:val="SingleTxtG"/>
        <w:ind w:left="1170"/>
      </w:pPr>
      <w:r>
        <w:t>258</w:t>
      </w:r>
      <w:r w:rsidRPr="00841601">
        <w:t>.</w:t>
      </w:r>
      <w:r w:rsidRPr="00841601">
        <w:tab/>
      </w:r>
      <w:r>
        <w:rPr>
          <w:lang w:val="fr-FR"/>
        </w:rPr>
        <w:t>Certains</w:t>
      </w:r>
      <w:r w:rsidRPr="00841601">
        <w:rPr>
          <w:lang w:val="fr-FR"/>
        </w:rPr>
        <w:t xml:space="preserve"> membres estimaient qu</w:t>
      </w:r>
      <w:r>
        <w:rPr>
          <w:lang w:val="fr-FR"/>
        </w:rPr>
        <w:t>’</w:t>
      </w:r>
      <w:r w:rsidRPr="00841601">
        <w:rPr>
          <w:lang w:val="fr-FR"/>
        </w:rPr>
        <w:t>il ne devait pas y avoir de présomption en la matière et que, faute de preuve allant dans un sens ou dans l</w:t>
      </w:r>
      <w:r>
        <w:rPr>
          <w:lang w:val="fr-FR"/>
        </w:rPr>
        <w:t>’</w:t>
      </w:r>
      <w:r w:rsidRPr="00841601">
        <w:rPr>
          <w:lang w:val="fr-FR"/>
        </w:rPr>
        <w:t>autre, un accord international ne devait pas être présumé juridiquement contraignant ou, au contraire, non contraignant. Selon un autre point de vue, la Commission devrait chercher à savoir s</w:t>
      </w:r>
      <w:r>
        <w:rPr>
          <w:lang w:val="fr-FR"/>
        </w:rPr>
        <w:t>’</w:t>
      </w:r>
      <w:r w:rsidRPr="00841601">
        <w:rPr>
          <w:lang w:val="fr-FR"/>
        </w:rPr>
        <w:t xml:space="preserve">il existait des présomptions en la matière, mais la présomption générale </w:t>
      </w:r>
      <w:r>
        <w:rPr>
          <w:lang w:val="fr-FR"/>
        </w:rPr>
        <w:t>devrait</w:t>
      </w:r>
      <w:r w:rsidRPr="00841601">
        <w:rPr>
          <w:lang w:val="fr-FR"/>
        </w:rPr>
        <w:t xml:space="preserve"> être que, en l</w:t>
      </w:r>
      <w:r>
        <w:rPr>
          <w:lang w:val="fr-FR"/>
        </w:rPr>
        <w:t>’</w:t>
      </w:r>
      <w:r w:rsidRPr="00841601">
        <w:rPr>
          <w:lang w:val="fr-FR"/>
        </w:rPr>
        <w:t>absence de preuve manifeste du contraire, un accord international qui n</w:t>
      </w:r>
      <w:r>
        <w:rPr>
          <w:lang w:val="fr-FR"/>
        </w:rPr>
        <w:t>’</w:t>
      </w:r>
      <w:r w:rsidRPr="00841601">
        <w:rPr>
          <w:lang w:val="fr-FR"/>
        </w:rPr>
        <w:t>était pas censé être juridiquement contraignant ou dont le texte n</w:t>
      </w:r>
      <w:r>
        <w:rPr>
          <w:lang w:val="fr-FR"/>
        </w:rPr>
        <w:t>’</w:t>
      </w:r>
      <w:r w:rsidRPr="00841601">
        <w:rPr>
          <w:lang w:val="fr-FR"/>
        </w:rPr>
        <w:t>indiquait pas qu</w:t>
      </w:r>
      <w:r>
        <w:rPr>
          <w:lang w:val="fr-FR"/>
        </w:rPr>
        <w:t>’</w:t>
      </w:r>
      <w:r w:rsidRPr="00841601">
        <w:rPr>
          <w:lang w:val="fr-FR"/>
        </w:rPr>
        <w:t>il l</w:t>
      </w:r>
      <w:r>
        <w:rPr>
          <w:lang w:val="fr-FR"/>
        </w:rPr>
        <w:t>’</w:t>
      </w:r>
      <w:r w:rsidRPr="00841601">
        <w:rPr>
          <w:lang w:val="fr-FR"/>
        </w:rPr>
        <w:t xml:space="preserve">était devrait être présumé </w:t>
      </w:r>
      <w:r>
        <w:rPr>
          <w:lang w:val="fr-FR"/>
        </w:rPr>
        <w:t xml:space="preserve">non </w:t>
      </w:r>
      <w:r w:rsidRPr="00841601">
        <w:rPr>
          <w:lang w:val="fr-FR"/>
        </w:rPr>
        <w:t>contraignant.</w:t>
      </w:r>
    </w:p>
    <w:p w14:paraId="608784B7" w14:textId="77777777" w:rsidR="00C979F6" w:rsidRPr="00841601" w:rsidRDefault="00C979F6" w:rsidP="00C979F6">
      <w:pPr>
        <w:pStyle w:val="SingleTxtG"/>
        <w:ind w:left="1170"/>
      </w:pPr>
      <w:r>
        <w:t>259</w:t>
      </w:r>
      <w:r w:rsidRPr="00841601">
        <w:t>.</w:t>
      </w:r>
      <w:r w:rsidRPr="00841601">
        <w:tab/>
      </w:r>
      <w:r w:rsidRPr="00841601">
        <w:rPr>
          <w:lang w:val="fr-FR"/>
        </w:rPr>
        <w:t>S</w:t>
      </w:r>
      <w:r>
        <w:rPr>
          <w:lang w:val="fr-FR"/>
        </w:rPr>
        <w:t>’</w:t>
      </w:r>
      <w:r w:rsidRPr="00841601">
        <w:rPr>
          <w:lang w:val="fr-FR"/>
        </w:rPr>
        <w:t>agissant de la question de savoir si les juridictions disposaient du pouvoir de requalifier un accord lorsque ses parties avaient expressément indiqué dans le texte qu</w:t>
      </w:r>
      <w:r>
        <w:rPr>
          <w:lang w:val="fr-FR"/>
        </w:rPr>
        <w:t>’</w:t>
      </w:r>
      <w:r w:rsidRPr="00841601">
        <w:rPr>
          <w:lang w:val="fr-FR"/>
        </w:rPr>
        <w:t>elles le considéraient comme contraignant (ou non), il a été dit que l</w:t>
      </w:r>
      <w:r>
        <w:rPr>
          <w:lang w:val="fr-FR"/>
        </w:rPr>
        <w:t>’</w:t>
      </w:r>
      <w:r w:rsidRPr="00841601">
        <w:rPr>
          <w:lang w:val="fr-FR"/>
        </w:rPr>
        <w:t>intention des parties revêtait une importance primordiale, en particulier lorsqu</w:t>
      </w:r>
      <w:r>
        <w:rPr>
          <w:lang w:val="fr-FR"/>
        </w:rPr>
        <w:t>’</w:t>
      </w:r>
      <w:r w:rsidRPr="00841601">
        <w:rPr>
          <w:lang w:val="fr-FR"/>
        </w:rPr>
        <w:t>elle était exprimée par écrit. Des membres estimaient qu</w:t>
      </w:r>
      <w:r>
        <w:rPr>
          <w:lang w:val="fr-FR"/>
        </w:rPr>
        <w:t>’</w:t>
      </w:r>
      <w:r w:rsidRPr="00841601">
        <w:rPr>
          <w:lang w:val="fr-FR"/>
        </w:rPr>
        <w:t xml:space="preserve">il </w:t>
      </w:r>
      <w:r>
        <w:rPr>
          <w:lang w:val="fr-FR"/>
        </w:rPr>
        <w:t>n’appartenait pas à la Commission de</w:t>
      </w:r>
      <w:r w:rsidRPr="00841601">
        <w:rPr>
          <w:lang w:val="fr-FR"/>
        </w:rPr>
        <w:t xml:space="preserve"> déterminer si les juridictions pouvaient requalifier un accord et le considérer comme contraignant si les parties avaient décidé du contraire, et qu</w:t>
      </w:r>
      <w:r>
        <w:rPr>
          <w:lang w:val="fr-FR"/>
        </w:rPr>
        <w:t>’</w:t>
      </w:r>
      <w:r w:rsidRPr="00841601">
        <w:rPr>
          <w:lang w:val="fr-FR"/>
        </w:rPr>
        <w:t xml:space="preserve">une telle entreprise sortait du champ du sujet. </w:t>
      </w:r>
      <w:r>
        <w:rPr>
          <w:lang w:val="fr-FR"/>
        </w:rPr>
        <w:t>Certains membres ont</w:t>
      </w:r>
      <w:r w:rsidRPr="00841601">
        <w:rPr>
          <w:lang w:val="fr-FR"/>
        </w:rPr>
        <w:t xml:space="preserve"> dit que les juridictions ne devraient pas avoir le pouvoir de requalifier les accords. </w:t>
      </w:r>
    </w:p>
    <w:p w14:paraId="49FB58E4" w14:textId="77777777" w:rsidR="00C979F6" w:rsidRPr="00841601" w:rsidRDefault="00C979F6" w:rsidP="00517F90">
      <w:pPr>
        <w:pStyle w:val="H4G"/>
        <w:rPr>
          <w:b/>
          <w:shd w:val="clear" w:color="000000" w:fill="FFFFFF"/>
        </w:rPr>
      </w:pPr>
      <w:r w:rsidRPr="00841601">
        <w:tab/>
        <w:t>ii)</w:t>
      </w:r>
      <w:r w:rsidRPr="00841601">
        <w:tab/>
      </w:r>
      <w:r w:rsidRPr="00841601">
        <w:rPr>
          <w:lang w:val="fr-FR"/>
        </w:rPr>
        <w:t>Le régime des accords internationaux juridiquement non contraignants</w:t>
      </w:r>
    </w:p>
    <w:p w14:paraId="4A8DF8B2" w14:textId="77777777" w:rsidR="00C979F6" w:rsidRPr="00841601" w:rsidRDefault="00C979F6" w:rsidP="00C979F6">
      <w:pPr>
        <w:pStyle w:val="SingleTxtG"/>
        <w:ind w:left="1170"/>
      </w:pPr>
      <w:r>
        <w:t>260</w:t>
      </w:r>
      <w:r w:rsidRPr="00841601">
        <w:t>.</w:t>
      </w:r>
      <w:r w:rsidRPr="00841601">
        <w:tab/>
      </w:r>
      <w:r>
        <w:rPr>
          <w:lang w:val="fr-FR"/>
        </w:rPr>
        <w:t>Les</w:t>
      </w:r>
      <w:r w:rsidRPr="00841601">
        <w:rPr>
          <w:lang w:val="fr-FR"/>
        </w:rPr>
        <w:t xml:space="preserve"> membres ont</w:t>
      </w:r>
      <w:r>
        <w:rPr>
          <w:lang w:val="fr-FR"/>
        </w:rPr>
        <w:t xml:space="preserve"> dans l’ensemble</w:t>
      </w:r>
      <w:r w:rsidRPr="00841601">
        <w:rPr>
          <w:lang w:val="fr-FR"/>
        </w:rPr>
        <w:t xml:space="preserve"> souscrit à la conclusion du Rapporteur spécial selon laquelle les accords internationaux juridiquement non contraignants n</w:t>
      </w:r>
      <w:r>
        <w:rPr>
          <w:lang w:val="fr-FR"/>
        </w:rPr>
        <w:t>’</w:t>
      </w:r>
      <w:r w:rsidRPr="00841601">
        <w:rPr>
          <w:lang w:val="fr-FR"/>
        </w:rPr>
        <w:t>étaient pas, en tant que tels, régis par le droit des traités. Des membres ont déclaré que ces accords n</w:t>
      </w:r>
      <w:r>
        <w:rPr>
          <w:lang w:val="fr-FR"/>
        </w:rPr>
        <w:t>’</w:t>
      </w:r>
      <w:r w:rsidRPr="00841601">
        <w:rPr>
          <w:lang w:val="fr-FR"/>
        </w:rPr>
        <w:t xml:space="preserve">étaient </w:t>
      </w:r>
      <w:r>
        <w:rPr>
          <w:lang w:val="fr-FR"/>
        </w:rPr>
        <w:t xml:space="preserve">absolument </w:t>
      </w:r>
      <w:r w:rsidRPr="00841601">
        <w:rPr>
          <w:lang w:val="fr-FR"/>
        </w:rPr>
        <w:t xml:space="preserve">pas régis par le droit international. À cet égard, </w:t>
      </w:r>
      <w:r>
        <w:rPr>
          <w:lang w:val="fr-FR"/>
        </w:rPr>
        <w:t xml:space="preserve">il a été dit </w:t>
      </w:r>
      <w:r w:rsidRPr="00841601">
        <w:rPr>
          <w:lang w:val="fr-FR"/>
        </w:rPr>
        <w:t>que l</w:t>
      </w:r>
      <w:r>
        <w:rPr>
          <w:lang w:val="fr-FR"/>
        </w:rPr>
        <w:t>’</w:t>
      </w:r>
      <w:r w:rsidRPr="00841601">
        <w:rPr>
          <w:lang w:val="fr-FR"/>
        </w:rPr>
        <w:t xml:space="preserve">emploi du terme « régime » </w:t>
      </w:r>
      <w:r>
        <w:rPr>
          <w:lang w:val="fr-FR"/>
        </w:rPr>
        <w:t>prêtait</w:t>
      </w:r>
      <w:r w:rsidRPr="00841601">
        <w:rPr>
          <w:lang w:val="fr-FR"/>
        </w:rPr>
        <w:t xml:space="preserve"> à confusion, car il supposait qu</w:t>
      </w:r>
      <w:r>
        <w:rPr>
          <w:lang w:val="fr-FR"/>
        </w:rPr>
        <w:t>’</w:t>
      </w:r>
      <w:r w:rsidRPr="00841601">
        <w:rPr>
          <w:lang w:val="fr-FR"/>
        </w:rPr>
        <w:t>il pouvait y avoir dans le droit international des règles qui régissaient la conclusion et l</w:t>
      </w:r>
      <w:r>
        <w:rPr>
          <w:lang w:val="fr-FR"/>
        </w:rPr>
        <w:t>’</w:t>
      </w:r>
      <w:r w:rsidRPr="00841601">
        <w:rPr>
          <w:lang w:val="fr-FR"/>
        </w:rPr>
        <w:t>application de ces accords. Il a néanmoins été suggéré que le droit des traités pouvait parfois être utile sur le plan pratique, par exemple parce que certaines règles générales d</w:t>
      </w:r>
      <w:r>
        <w:rPr>
          <w:lang w:val="fr-FR"/>
        </w:rPr>
        <w:t>’</w:t>
      </w:r>
      <w:r w:rsidRPr="00841601">
        <w:rPr>
          <w:lang w:val="fr-FR"/>
        </w:rPr>
        <w:t xml:space="preserve">interprétation des traités pouvaient être appliquées par analogie aux accords internationaux juridiquement non contraignants. </w:t>
      </w:r>
    </w:p>
    <w:p w14:paraId="438AA4A6" w14:textId="77777777" w:rsidR="00C979F6" w:rsidRPr="00841601" w:rsidRDefault="00C979F6" w:rsidP="00C979F6">
      <w:pPr>
        <w:pStyle w:val="SingleTxtG"/>
        <w:ind w:left="1170"/>
      </w:pPr>
      <w:r>
        <w:t>261</w:t>
      </w:r>
      <w:r w:rsidRPr="00841601">
        <w:t>.</w:t>
      </w:r>
      <w:r w:rsidRPr="00841601">
        <w:tab/>
      </w:r>
      <w:r w:rsidRPr="00841601">
        <w:rPr>
          <w:lang w:val="fr-FR"/>
        </w:rPr>
        <w:t>Il a été observé que les accords internationaux juridiquement non contraignants n</w:t>
      </w:r>
      <w:r>
        <w:rPr>
          <w:lang w:val="fr-FR"/>
        </w:rPr>
        <w:t>’</w:t>
      </w:r>
      <w:r w:rsidRPr="00841601">
        <w:rPr>
          <w:lang w:val="fr-FR"/>
        </w:rPr>
        <w:t xml:space="preserve">existaient pas </w:t>
      </w:r>
      <w:r>
        <w:rPr>
          <w:lang w:val="fr-FR"/>
        </w:rPr>
        <w:t>dans un vide</w:t>
      </w:r>
      <w:r w:rsidRPr="00841601">
        <w:rPr>
          <w:lang w:val="fr-FR"/>
        </w:rPr>
        <w:t xml:space="preserve"> juridique et que les États seraient toujours liés par des règles du droit international, notamment </w:t>
      </w:r>
      <w:r>
        <w:rPr>
          <w:lang w:val="fr-FR"/>
        </w:rPr>
        <w:t>les</w:t>
      </w:r>
      <w:r w:rsidRPr="00841601">
        <w:rPr>
          <w:lang w:val="fr-FR"/>
        </w:rPr>
        <w:t xml:space="preserve"> normes </w:t>
      </w:r>
      <w:r>
        <w:rPr>
          <w:lang w:val="fr-FR"/>
        </w:rPr>
        <w:t>du</w:t>
      </w:r>
      <w:r w:rsidRPr="00841601">
        <w:rPr>
          <w:lang w:val="fr-FR"/>
        </w:rPr>
        <w:t xml:space="preserve"> </w:t>
      </w:r>
      <w:r w:rsidRPr="00841601">
        <w:rPr>
          <w:i/>
          <w:iCs/>
          <w:lang w:val="fr-FR"/>
        </w:rPr>
        <w:t>jus cogens</w:t>
      </w:r>
      <w:r w:rsidRPr="00841601">
        <w:rPr>
          <w:lang w:val="fr-FR"/>
        </w:rPr>
        <w:t>, lorsqu</w:t>
      </w:r>
      <w:r>
        <w:rPr>
          <w:lang w:val="fr-FR"/>
        </w:rPr>
        <w:t>’</w:t>
      </w:r>
      <w:r w:rsidRPr="00841601">
        <w:rPr>
          <w:lang w:val="fr-FR"/>
        </w:rPr>
        <w:t xml:space="preserve">ils concluraient de tels accords. </w:t>
      </w:r>
      <w:r>
        <w:rPr>
          <w:lang w:val="fr-FR"/>
        </w:rPr>
        <w:t>En</w:t>
      </w:r>
      <w:r w:rsidRPr="00841601">
        <w:rPr>
          <w:lang w:val="fr-FR"/>
        </w:rPr>
        <w:t xml:space="preserve"> cas de conflit entre un accord international juridiquement non contraignant et une norme impérative du droit international général (</w:t>
      </w:r>
      <w:r w:rsidRPr="00841601">
        <w:rPr>
          <w:i/>
          <w:iCs/>
          <w:lang w:val="fr-FR"/>
        </w:rPr>
        <w:t>jus cogens</w:t>
      </w:r>
      <w:r w:rsidRPr="00841601">
        <w:rPr>
          <w:lang w:val="fr-FR"/>
        </w:rPr>
        <w:t>), l</w:t>
      </w:r>
      <w:r>
        <w:rPr>
          <w:lang w:val="fr-FR"/>
        </w:rPr>
        <w:t>’</w:t>
      </w:r>
      <w:r w:rsidRPr="00841601">
        <w:rPr>
          <w:lang w:val="fr-FR"/>
        </w:rPr>
        <w:t>accord serait nul. Il a été dit également que certains des éléments contenus dans la partie V de la Convention de Vienne sur le droit des traités relative à la validité des traités pourraient être inclus dans le champ de l</w:t>
      </w:r>
      <w:r>
        <w:rPr>
          <w:lang w:val="fr-FR"/>
        </w:rPr>
        <w:t>’</w:t>
      </w:r>
      <w:r w:rsidRPr="00841601">
        <w:rPr>
          <w:lang w:val="fr-FR"/>
        </w:rPr>
        <w:t>étude de l</w:t>
      </w:r>
      <w:r>
        <w:rPr>
          <w:lang w:val="fr-FR"/>
        </w:rPr>
        <w:t>’</w:t>
      </w:r>
      <w:r w:rsidRPr="00841601">
        <w:rPr>
          <w:lang w:val="fr-FR"/>
        </w:rPr>
        <w:t xml:space="preserve">effet des accords internationaux juridiquement non contraignants. </w:t>
      </w:r>
      <w:r w:rsidRPr="00841601">
        <w:rPr>
          <w:lang w:val="fr-FR"/>
        </w:rPr>
        <w:lastRenderedPageBreak/>
        <w:t>Selon un autre point de vue, les causes de nullité énoncées dans la partie V de la Convention devaient faire l</w:t>
      </w:r>
      <w:r>
        <w:rPr>
          <w:lang w:val="fr-FR"/>
        </w:rPr>
        <w:t>’</w:t>
      </w:r>
      <w:r w:rsidRPr="00841601">
        <w:rPr>
          <w:lang w:val="fr-FR"/>
        </w:rPr>
        <w:t>objet d</w:t>
      </w:r>
      <w:r>
        <w:rPr>
          <w:lang w:val="fr-FR"/>
        </w:rPr>
        <w:t>’</w:t>
      </w:r>
      <w:r w:rsidRPr="00841601">
        <w:rPr>
          <w:lang w:val="fr-FR"/>
        </w:rPr>
        <w:t xml:space="preserve">un traitement plus nuancé dans le contexte des accords internationaux juridiquement non contraignant, étant donné que les États peuvent opter pour des accords de ce type en raison de leur </w:t>
      </w:r>
      <w:r>
        <w:rPr>
          <w:lang w:val="fr-FR"/>
        </w:rPr>
        <w:t>souplesse</w:t>
      </w:r>
      <w:r w:rsidRPr="00841601">
        <w:rPr>
          <w:lang w:val="fr-FR"/>
        </w:rPr>
        <w:t>.</w:t>
      </w:r>
    </w:p>
    <w:p w14:paraId="38DB41EE" w14:textId="77777777" w:rsidR="00C979F6" w:rsidRPr="00841601" w:rsidRDefault="00C979F6" w:rsidP="00C979F6">
      <w:pPr>
        <w:pStyle w:val="SingleTxtG"/>
        <w:ind w:left="1170"/>
        <w:rPr>
          <w:shd w:val="clear" w:color="000000" w:fill="FFFFFF"/>
        </w:rPr>
      </w:pPr>
      <w:r>
        <w:t>262</w:t>
      </w:r>
      <w:r w:rsidRPr="00841601">
        <w:t>.</w:t>
      </w:r>
      <w:r w:rsidRPr="00841601">
        <w:tab/>
      </w:r>
      <w:r>
        <w:rPr>
          <w:spacing w:val="-2"/>
          <w:lang w:val="fr-FR"/>
        </w:rPr>
        <w:t>Certains membres ont</w:t>
      </w:r>
      <w:r w:rsidRPr="00841601">
        <w:rPr>
          <w:spacing w:val="-2"/>
          <w:lang w:val="fr-FR"/>
        </w:rPr>
        <w:t xml:space="preserve"> souligné que les États qui avaient conclu un accord juridiquement non contraignant étaient soumis à l</w:t>
      </w:r>
      <w:r>
        <w:rPr>
          <w:spacing w:val="-2"/>
          <w:lang w:val="fr-FR"/>
        </w:rPr>
        <w:t>’</w:t>
      </w:r>
      <w:r w:rsidRPr="00841601">
        <w:rPr>
          <w:spacing w:val="-2"/>
          <w:lang w:val="fr-FR"/>
        </w:rPr>
        <w:t>obligation générale de bonne foi. Il a également été souligné que les effets juridiques d</w:t>
      </w:r>
      <w:r>
        <w:rPr>
          <w:spacing w:val="-2"/>
          <w:lang w:val="fr-FR"/>
        </w:rPr>
        <w:t>’</w:t>
      </w:r>
      <w:r w:rsidRPr="00841601">
        <w:rPr>
          <w:spacing w:val="-2"/>
          <w:lang w:val="fr-FR"/>
        </w:rPr>
        <w:t>un accord international juridiquement non contraignant pouvaient découler de règles du droit international et qu</w:t>
      </w:r>
      <w:r>
        <w:rPr>
          <w:spacing w:val="-2"/>
          <w:lang w:val="fr-FR"/>
        </w:rPr>
        <w:t>’</w:t>
      </w:r>
      <w:r w:rsidRPr="00841601">
        <w:rPr>
          <w:spacing w:val="-2"/>
          <w:lang w:val="fr-FR"/>
        </w:rPr>
        <w:t>un tel accord pouvait participer d</w:t>
      </w:r>
      <w:r>
        <w:rPr>
          <w:spacing w:val="-2"/>
          <w:lang w:val="fr-FR"/>
        </w:rPr>
        <w:t>’</w:t>
      </w:r>
      <w:r w:rsidRPr="00841601">
        <w:rPr>
          <w:spacing w:val="-2"/>
          <w:lang w:val="fr-FR"/>
        </w:rPr>
        <w:t>un comportement contraire au principe de la bonne foi, à l</w:t>
      </w:r>
      <w:r>
        <w:rPr>
          <w:spacing w:val="-2"/>
          <w:lang w:val="fr-FR"/>
        </w:rPr>
        <w:t>’</w:t>
      </w:r>
      <w:r w:rsidRPr="00841601">
        <w:rPr>
          <w:spacing w:val="-2"/>
          <w:lang w:val="fr-FR"/>
        </w:rPr>
        <w:t>acquiescement, à l</w:t>
      </w:r>
      <w:r>
        <w:rPr>
          <w:spacing w:val="-2"/>
          <w:lang w:val="fr-FR"/>
        </w:rPr>
        <w:t>’</w:t>
      </w:r>
      <w:r w:rsidRPr="00841601">
        <w:rPr>
          <w:spacing w:val="-2"/>
          <w:lang w:val="fr-FR"/>
        </w:rPr>
        <w:t>estoppel, à la doctrine de l</w:t>
      </w:r>
      <w:r>
        <w:rPr>
          <w:spacing w:val="-2"/>
          <w:lang w:val="fr-FR"/>
        </w:rPr>
        <w:t>’</w:t>
      </w:r>
      <w:r w:rsidRPr="00841601">
        <w:rPr>
          <w:spacing w:val="-2"/>
          <w:lang w:val="fr-FR"/>
        </w:rPr>
        <w:t>abus de droit ou à l</w:t>
      </w:r>
      <w:r>
        <w:rPr>
          <w:spacing w:val="-2"/>
          <w:lang w:val="fr-FR"/>
        </w:rPr>
        <w:t>’</w:t>
      </w:r>
      <w:r w:rsidRPr="00841601">
        <w:rPr>
          <w:spacing w:val="-2"/>
          <w:lang w:val="fr-FR"/>
        </w:rPr>
        <w:t>obligation de régler les différends par des moyens pacifiques</w:t>
      </w:r>
      <w:r w:rsidRPr="00841601">
        <w:rPr>
          <w:lang w:val="fr-FR"/>
        </w:rPr>
        <w:t>.</w:t>
      </w:r>
    </w:p>
    <w:p w14:paraId="4E7D2831" w14:textId="77777777" w:rsidR="00C979F6" w:rsidRPr="00841601" w:rsidRDefault="00C979F6" w:rsidP="00C979F6">
      <w:pPr>
        <w:pStyle w:val="SingleTxtG"/>
        <w:ind w:left="1170"/>
      </w:pPr>
      <w:r>
        <w:t>263</w:t>
      </w:r>
      <w:r w:rsidRPr="00841601">
        <w:t>.</w:t>
      </w:r>
      <w:r w:rsidRPr="00841601">
        <w:tab/>
      </w:r>
      <w:r>
        <w:rPr>
          <w:lang w:val="fr-FR"/>
        </w:rPr>
        <w:t>Certains</w:t>
      </w:r>
      <w:r w:rsidRPr="00841601">
        <w:rPr>
          <w:lang w:val="fr-FR"/>
        </w:rPr>
        <w:t xml:space="preserve"> membres ont </w:t>
      </w:r>
      <w:r>
        <w:rPr>
          <w:lang w:val="fr-FR"/>
        </w:rPr>
        <w:t xml:space="preserve">expressément </w:t>
      </w:r>
      <w:r w:rsidRPr="00841601">
        <w:rPr>
          <w:lang w:val="fr-FR"/>
        </w:rPr>
        <w:t>évoqué la possibilité de traiter la question de l</w:t>
      </w:r>
      <w:r>
        <w:rPr>
          <w:lang w:val="fr-FR"/>
        </w:rPr>
        <w:t>’</w:t>
      </w:r>
      <w:r w:rsidRPr="00841601">
        <w:rPr>
          <w:lang w:val="fr-FR"/>
        </w:rPr>
        <w:t>estoppel dans le cadre de l</w:t>
      </w:r>
      <w:r>
        <w:rPr>
          <w:lang w:val="fr-FR"/>
        </w:rPr>
        <w:t>’</w:t>
      </w:r>
      <w:r w:rsidRPr="00841601">
        <w:rPr>
          <w:lang w:val="fr-FR"/>
        </w:rPr>
        <w:t>examen du sujet. Il a été dit que l</w:t>
      </w:r>
      <w:r>
        <w:rPr>
          <w:lang w:val="fr-FR"/>
        </w:rPr>
        <w:t>’</w:t>
      </w:r>
      <w:r w:rsidRPr="00841601">
        <w:rPr>
          <w:lang w:val="fr-FR"/>
        </w:rPr>
        <w:t>effet contraignant de l</w:t>
      </w:r>
      <w:r>
        <w:rPr>
          <w:lang w:val="fr-FR"/>
        </w:rPr>
        <w:t>’</w:t>
      </w:r>
      <w:r w:rsidRPr="00841601">
        <w:rPr>
          <w:lang w:val="fr-FR"/>
        </w:rPr>
        <w:t xml:space="preserve">estoppel résultait du fonctionnement propre de cette doctrine et devait donc être exclu du champ du sujet. </w:t>
      </w:r>
      <w:r>
        <w:rPr>
          <w:lang w:val="fr-FR"/>
        </w:rPr>
        <w:t>D’aucuns estimaient</w:t>
      </w:r>
      <w:r w:rsidRPr="00841601">
        <w:rPr>
          <w:lang w:val="fr-FR"/>
        </w:rPr>
        <w:t xml:space="preserve"> que la question des possibles effets juridiques découlant de l</w:t>
      </w:r>
      <w:r>
        <w:rPr>
          <w:lang w:val="fr-FR"/>
        </w:rPr>
        <w:t>’</w:t>
      </w:r>
      <w:r w:rsidRPr="00841601">
        <w:rPr>
          <w:lang w:val="fr-FR"/>
        </w:rPr>
        <w:t>acquiescement méritait un examen plus approfondi. Il a aussi été dit que la violation d</w:t>
      </w:r>
      <w:r>
        <w:rPr>
          <w:lang w:val="fr-FR"/>
        </w:rPr>
        <w:t>’</w:t>
      </w:r>
      <w:r w:rsidRPr="00841601">
        <w:rPr>
          <w:lang w:val="fr-FR"/>
        </w:rPr>
        <w:t xml:space="preserve">un accord juridiquement non contraignant pouvait avoir certaines conséquences, notamment que la partie lésée avait le droit de prendre des contre-mesures. </w:t>
      </w:r>
    </w:p>
    <w:p w14:paraId="327BCCBF" w14:textId="08B08FF9" w:rsidR="00C979F6" w:rsidRPr="00841601" w:rsidRDefault="00C979F6" w:rsidP="00C979F6">
      <w:pPr>
        <w:pStyle w:val="SingleTxtG"/>
        <w:ind w:left="1170"/>
      </w:pPr>
      <w:r>
        <w:t>264</w:t>
      </w:r>
      <w:r w:rsidRPr="00841601">
        <w:t>.</w:t>
      </w:r>
      <w:r w:rsidRPr="00841601">
        <w:tab/>
      </w:r>
      <w:r>
        <w:t>Certains</w:t>
      </w:r>
      <w:r w:rsidRPr="00841601">
        <w:rPr>
          <w:lang w:val="fr-FR"/>
        </w:rPr>
        <w:t xml:space="preserve"> membres </w:t>
      </w:r>
      <w:r>
        <w:rPr>
          <w:lang w:val="fr-FR"/>
        </w:rPr>
        <w:t xml:space="preserve">ont envisagé </w:t>
      </w:r>
      <w:r w:rsidRPr="00841601">
        <w:rPr>
          <w:lang w:val="fr-FR"/>
        </w:rPr>
        <w:t>la possibilité d</w:t>
      </w:r>
      <w:r>
        <w:rPr>
          <w:lang w:val="fr-FR"/>
        </w:rPr>
        <w:t>’</w:t>
      </w:r>
      <w:r w:rsidRPr="00841601">
        <w:rPr>
          <w:lang w:val="fr-FR"/>
        </w:rPr>
        <w:t>un conflit entre un traité et un accord international juridiquement non contraignant. Il a été dit qu</w:t>
      </w:r>
      <w:r>
        <w:rPr>
          <w:lang w:val="fr-FR"/>
        </w:rPr>
        <w:t>’</w:t>
      </w:r>
      <w:r w:rsidRPr="00841601">
        <w:rPr>
          <w:lang w:val="fr-FR"/>
        </w:rPr>
        <w:t xml:space="preserve">il ne pouvait y avoir conflit que si les deux instruments étaient des traités. </w:t>
      </w:r>
      <w:r>
        <w:rPr>
          <w:lang w:val="fr-FR"/>
        </w:rPr>
        <w:t xml:space="preserve">Selon un autre avis, </w:t>
      </w:r>
      <w:r w:rsidRPr="00841601">
        <w:rPr>
          <w:lang w:val="fr-FR"/>
        </w:rPr>
        <w:t xml:space="preserve">en cas de conflit, </w:t>
      </w:r>
      <w:r w:rsidR="002B1B6E">
        <w:rPr>
          <w:lang w:val="fr-FR"/>
        </w:rPr>
        <w:t>l</w:t>
      </w:r>
      <w:r w:rsidRPr="00841601">
        <w:rPr>
          <w:lang w:val="fr-FR"/>
        </w:rPr>
        <w:t>a solution</w:t>
      </w:r>
      <w:r>
        <w:rPr>
          <w:lang w:val="fr-FR"/>
        </w:rPr>
        <w:t xml:space="preserve"> ne serait pas aussi</w:t>
      </w:r>
      <w:r w:rsidRPr="00841601">
        <w:rPr>
          <w:lang w:val="fr-FR"/>
        </w:rPr>
        <w:t xml:space="preserve"> simple </w:t>
      </w:r>
      <w:r>
        <w:rPr>
          <w:lang w:val="fr-FR"/>
        </w:rPr>
        <w:t>que de</w:t>
      </w:r>
      <w:r w:rsidRPr="00841601">
        <w:rPr>
          <w:lang w:val="fr-FR"/>
        </w:rPr>
        <w:t xml:space="preserve"> faire prévaloir le traité et il </w:t>
      </w:r>
      <w:r>
        <w:rPr>
          <w:lang w:val="fr-FR"/>
        </w:rPr>
        <w:t>faudrait</w:t>
      </w:r>
      <w:r w:rsidRPr="00841601">
        <w:rPr>
          <w:lang w:val="fr-FR"/>
        </w:rPr>
        <w:t xml:space="preserve"> aussi prendre en compte les circonstances de la conclusion de celui-ci.</w:t>
      </w:r>
    </w:p>
    <w:p w14:paraId="526A9945" w14:textId="788FFB5A" w:rsidR="00C979F6" w:rsidRPr="00841601" w:rsidRDefault="00C979F6" w:rsidP="00C979F6">
      <w:pPr>
        <w:pStyle w:val="SingleTxtG"/>
        <w:ind w:left="1170"/>
        <w:rPr>
          <w:rFonts w:eastAsia="Times New Roman"/>
          <w:color w:val="000000"/>
        </w:rPr>
      </w:pPr>
      <w:r>
        <w:rPr>
          <w:rFonts w:eastAsia="Times New Roman"/>
          <w:color w:val="000000"/>
        </w:rPr>
        <w:t>265</w:t>
      </w:r>
      <w:r w:rsidRPr="00841601">
        <w:rPr>
          <w:rFonts w:eastAsia="Times New Roman"/>
          <w:color w:val="000000"/>
        </w:rPr>
        <w:t>.</w:t>
      </w:r>
      <w:r w:rsidRPr="00841601">
        <w:rPr>
          <w:rFonts w:eastAsia="Times New Roman"/>
          <w:color w:val="000000"/>
        </w:rPr>
        <w:tab/>
      </w:r>
      <w:r>
        <w:rPr>
          <w:lang w:val="fr-FR"/>
        </w:rPr>
        <w:t xml:space="preserve">Certains </w:t>
      </w:r>
      <w:r w:rsidRPr="00841601">
        <w:rPr>
          <w:lang w:val="fr-FR"/>
        </w:rPr>
        <w:t>membres ont fait remarquer que les travaux de la Commission sur le sujet ne devraient pas conduire à la création d</w:t>
      </w:r>
      <w:r>
        <w:rPr>
          <w:lang w:val="fr-FR"/>
        </w:rPr>
        <w:t>’</w:t>
      </w:r>
      <w:r w:rsidRPr="00841601">
        <w:rPr>
          <w:lang w:val="fr-FR"/>
        </w:rPr>
        <w:t>un régime juridique distinct</w:t>
      </w:r>
      <w:r>
        <w:rPr>
          <w:lang w:val="fr-FR"/>
        </w:rPr>
        <w:t xml:space="preserve"> </w:t>
      </w:r>
      <w:r w:rsidRPr="00841601">
        <w:rPr>
          <w:lang w:val="fr-FR"/>
        </w:rPr>
        <w:t xml:space="preserve">qui serait parallèle à celui du droit des traités. </w:t>
      </w:r>
    </w:p>
    <w:p w14:paraId="5E86DCC2" w14:textId="19B74927" w:rsidR="00C979F6" w:rsidRPr="00841601" w:rsidRDefault="00C979F6" w:rsidP="002B1B6E">
      <w:pPr>
        <w:pStyle w:val="H4G"/>
        <w:rPr>
          <w:shd w:val="clear" w:color="000000" w:fill="FFFFFF"/>
        </w:rPr>
      </w:pPr>
      <w:r w:rsidRPr="00841601">
        <w:tab/>
        <w:t>iii)</w:t>
      </w:r>
      <w:r w:rsidRPr="00841601">
        <w:tab/>
      </w:r>
      <w:r w:rsidRPr="00841601">
        <w:rPr>
          <w:lang w:val="fr-FR"/>
        </w:rPr>
        <w:t xml:space="preserve">Les effets juridiques (potentiels) des accords internationaux juridiquement </w:t>
      </w:r>
      <w:r w:rsidR="002B1B6E">
        <w:rPr>
          <w:lang w:val="fr-FR"/>
        </w:rPr>
        <w:br/>
      </w:r>
      <w:r w:rsidRPr="00841601">
        <w:rPr>
          <w:lang w:val="fr-FR"/>
        </w:rPr>
        <w:t>non contraignants</w:t>
      </w:r>
    </w:p>
    <w:p w14:paraId="76CFDF81" w14:textId="77777777" w:rsidR="00C979F6" w:rsidRPr="00841601" w:rsidRDefault="00C979F6" w:rsidP="00C979F6">
      <w:pPr>
        <w:pStyle w:val="SingleTxtG"/>
        <w:ind w:left="1170"/>
        <w:rPr>
          <w:shd w:val="clear" w:color="000000" w:fill="FFFFFF"/>
        </w:rPr>
      </w:pPr>
      <w:r>
        <w:t>266</w:t>
      </w:r>
      <w:r w:rsidRPr="00841601">
        <w:t>.</w:t>
      </w:r>
      <w:r w:rsidRPr="00841601">
        <w:tab/>
      </w:r>
      <w:r>
        <w:rPr>
          <w:lang w:val="fr-FR"/>
        </w:rPr>
        <w:t>Certains</w:t>
      </w:r>
      <w:r w:rsidRPr="00841601">
        <w:rPr>
          <w:lang w:val="fr-FR"/>
        </w:rPr>
        <w:t xml:space="preserve"> membres estimaient que les accords internationaux juridiquement non contraignants pouvaient, dans certaines circonstances, produire des effets</w:t>
      </w:r>
      <w:r>
        <w:rPr>
          <w:lang w:val="fr-FR"/>
        </w:rPr>
        <w:t xml:space="preserve"> juridiques</w:t>
      </w:r>
      <w:r w:rsidRPr="00841601">
        <w:rPr>
          <w:lang w:val="fr-FR"/>
        </w:rPr>
        <w:t xml:space="preserve"> directs ou indirects. Selon un avis exprimé, il était nécessaire de distinguer les effets juridiques directs des effets juridiques indirects. Selon un autre point de vue, il valait mieux ne pas maintenir la distinction entre effets juridiques directs et indirects, car elle pourrait nuire à la clarté générale des travaux de la Commission. Il a été dit que les effets potentiels énumérés par le Rapporteur spécial au paragraphe 138 de son premier rapport constituaient un bon point de départ pour les travaux de la Commission.</w:t>
      </w:r>
      <w:r>
        <w:rPr>
          <w:lang w:val="fr-FR"/>
        </w:rPr>
        <w:t xml:space="preserve"> Certains membres ont suggéré qu’on utilise d’autres termes, comme « implications juridiques » ou « conséquences juridiques ».</w:t>
      </w:r>
    </w:p>
    <w:p w14:paraId="1FBE60AF" w14:textId="2CEF1D7B" w:rsidR="00C979F6" w:rsidRPr="00841601" w:rsidRDefault="00C979F6" w:rsidP="00C979F6">
      <w:pPr>
        <w:pStyle w:val="SingleTxtG"/>
        <w:tabs>
          <w:tab w:val="clear" w:pos="1701"/>
          <w:tab w:val="clear" w:pos="2268"/>
          <w:tab w:val="clear" w:pos="2835"/>
        </w:tabs>
        <w:spacing w:after="100"/>
        <w:ind w:left="1170"/>
        <w:rPr>
          <w:shd w:val="clear" w:color="000000" w:fill="FFFFFF"/>
        </w:rPr>
      </w:pPr>
      <w:r>
        <w:t>267</w:t>
      </w:r>
      <w:r w:rsidRPr="00841601">
        <w:t>.</w:t>
      </w:r>
      <w:r w:rsidRPr="00841601">
        <w:tab/>
      </w:r>
      <w:r w:rsidRPr="00841601">
        <w:rPr>
          <w:lang w:val="fr-FR"/>
        </w:rPr>
        <w:t>Certains membres estimaient que, du point de vue des sources du droit international, les accords juridiquement non contraignants pouvaient être utiles de plusieurs manières, notamment qu</w:t>
      </w:r>
      <w:r>
        <w:rPr>
          <w:lang w:val="fr-FR"/>
        </w:rPr>
        <w:t>’</w:t>
      </w:r>
      <w:r w:rsidRPr="00841601">
        <w:rPr>
          <w:lang w:val="fr-FR"/>
        </w:rPr>
        <w:t>ils pouvaient contribuer à l</w:t>
      </w:r>
      <w:r>
        <w:rPr>
          <w:lang w:val="fr-FR"/>
        </w:rPr>
        <w:t>’</w:t>
      </w:r>
      <w:r w:rsidRPr="00841601">
        <w:rPr>
          <w:lang w:val="fr-FR"/>
        </w:rPr>
        <w:t>interprétation d</w:t>
      </w:r>
      <w:r>
        <w:rPr>
          <w:lang w:val="fr-FR"/>
        </w:rPr>
        <w:t>’</w:t>
      </w:r>
      <w:r w:rsidRPr="00841601">
        <w:rPr>
          <w:lang w:val="fr-FR"/>
        </w:rPr>
        <w:t>accords juridiquement contraignants contenus, par exemple, dans des traités sur le même sujet. On a rappelé le commentaire de la conclusion 12 des conclusions sur la détermination du droit international coutumier, qui faisait référence à d</w:t>
      </w:r>
      <w:r>
        <w:rPr>
          <w:lang w:val="fr-FR"/>
        </w:rPr>
        <w:t>’</w:t>
      </w:r>
      <w:r w:rsidRPr="00841601">
        <w:rPr>
          <w:lang w:val="fr-FR"/>
        </w:rPr>
        <w:t>« autres actes adoptés [...] lors d</w:t>
      </w:r>
      <w:r>
        <w:rPr>
          <w:lang w:val="fr-FR"/>
        </w:rPr>
        <w:t>’</w:t>
      </w:r>
      <w:r w:rsidRPr="00841601">
        <w:rPr>
          <w:lang w:val="fr-FR"/>
        </w:rPr>
        <w:t>une conférence intergouvernementale, [...] qu</w:t>
      </w:r>
      <w:r>
        <w:rPr>
          <w:lang w:val="fr-FR"/>
        </w:rPr>
        <w:t>’</w:t>
      </w:r>
      <w:r w:rsidRPr="00841601">
        <w:rPr>
          <w:lang w:val="fr-FR"/>
        </w:rPr>
        <w:t>ils soient ou non juridiquement contraignants</w:t>
      </w:r>
      <w:r w:rsidRPr="00841601">
        <w:rPr>
          <w:rStyle w:val="Appelnotedebasdep"/>
        </w:rPr>
        <w:footnoteReference w:id="238"/>
      </w:r>
      <w:r w:rsidRPr="00841601">
        <w:rPr>
          <w:lang w:val="fr-FR"/>
        </w:rPr>
        <w:t xml:space="preserve"> », ces « autres actes » </w:t>
      </w:r>
      <w:r>
        <w:rPr>
          <w:lang w:val="fr-FR"/>
        </w:rPr>
        <w:t xml:space="preserve">pouvant être </w:t>
      </w:r>
      <w:r w:rsidRPr="00841601">
        <w:rPr>
          <w:lang w:val="fr-FR"/>
        </w:rPr>
        <w:t xml:space="preserve">des </w:t>
      </w:r>
      <w:r>
        <w:rPr>
          <w:lang w:val="fr-FR"/>
        </w:rPr>
        <w:t xml:space="preserve">formes de preuve </w:t>
      </w:r>
      <w:r w:rsidRPr="00841601">
        <w:rPr>
          <w:lang w:val="fr-FR"/>
        </w:rPr>
        <w:t>des éléments constitutifs d</w:t>
      </w:r>
      <w:r>
        <w:rPr>
          <w:lang w:val="fr-FR"/>
        </w:rPr>
        <w:t>’</w:t>
      </w:r>
      <w:r w:rsidRPr="00841601">
        <w:rPr>
          <w:lang w:val="fr-FR"/>
        </w:rPr>
        <w:t>une règle de droit international coutumier. Il a aussi été dit que les accords internationaux juridiquement non contraignants pou</w:t>
      </w:r>
      <w:r>
        <w:rPr>
          <w:lang w:val="fr-FR"/>
        </w:rPr>
        <w:t>v</w:t>
      </w:r>
      <w:r w:rsidRPr="00841601">
        <w:rPr>
          <w:lang w:val="fr-FR"/>
        </w:rPr>
        <w:t xml:space="preserve">aient être considérés comme des « instruments internationaux » susceptibles </w:t>
      </w:r>
      <w:r>
        <w:rPr>
          <w:lang w:val="fr-FR"/>
        </w:rPr>
        <w:t>de venir mettre en évidence la reconnaissance de principes généraux du droit,</w:t>
      </w:r>
      <w:r w:rsidRPr="00841601">
        <w:rPr>
          <w:lang w:val="fr-FR"/>
        </w:rPr>
        <w:t xml:space="preserve"> ainsi qu</w:t>
      </w:r>
      <w:r>
        <w:rPr>
          <w:lang w:val="fr-FR"/>
        </w:rPr>
        <w:t>’</w:t>
      </w:r>
      <w:r w:rsidRPr="00841601">
        <w:rPr>
          <w:lang w:val="fr-FR"/>
        </w:rPr>
        <w:t xml:space="preserve">il ressortait du commentaire du projet de conclusion 7 du projet de conclusions sur </w:t>
      </w:r>
      <w:r w:rsidRPr="00841601">
        <w:rPr>
          <w:lang w:val="fr-FR"/>
        </w:rPr>
        <w:lastRenderedPageBreak/>
        <w:t>les principes généraux du droit, adopté en première lecture par la Commission à sa soixante</w:t>
      </w:r>
      <w:r w:rsidR="002B1B6E">
        <w:rPr>
          <w:lang w:val="fr-FR"/>
        </w:rPr>
        <w:noBreakHyphen/>
      </w:r>
      <w:r w:rsidRPr="00841601">
        <w:rPr>
          <w:lang w:val="fr-FR"/>
        </w:rPr>
        <w:t>quatorzième session</w:t>
      </w:r>
      <w:r w:rsidRPr="00841601">
        <w:rPr>
          <w:rStyle w:val="Appelnotedebasdep"/>
        </w:rPr>
        <w:footnoteReference w:id="239"/>
      </w:r>
      <w:r w:rsidRPr="00841601">
        <w:rPr>
          <w:lang w:val="fr-FR"/>
        </w:rPr>
        <w:t>.</w:t>
      </w:r>
    </w:p>
    <w:p w14:paraId="658FE71F" w14:textId="77777777" w:rsidR="00C979F6" w:rsidRPr="00841601" w:rsidRDefault="00C979F6" w:rsidP="00C979F6">
      <w:pPr>
        <w:pStyle w:val="SingleTxtG"/>
        <w:spacing w:after="100"/>
        <w:ind w:left="1170"/>
        <w:rPr>
          <w:shd w:val="clear" w:color="000000" w:fill="FFFFFF"/>
        </w:rPr>
      </w:pPr>
      <w:r>
        <w:t>268</w:t>
      </w:r>
      <w:r w:rsidRPr="00841601">
        <w:t>.</w:t>
      </w:r>
      <w:r w:rsidRPr="00841601">
        <w:tab/>
      </w:r>
      <w:r w:rsidRPr="00841601">
        <w:rPr>
          <w:lang w:val="fr-FR"/>
        </w:rPr>
        <w:t>Il a été dit que les accords internationaux juridiquement non contraignants pou</w:t>
      </w:r>
      <w:r>
        <w:rPr>
          <w:lang w:val="fr-FR"/>
        </w:rPr>
        <w:t>v</w:t>
      </w:r>
      <w:r w:rsidRPr="00841601">
        <w:rPr>
          <w:lang w:val="fr-FR"/>
        </w:rPr>
        <w:t xml:space="preserve">aient également faire office de moyens auxiliaires de détermination des règles de droit international </w:t>
      </w:r>
      <w:r>
        <w:rPr>
          <w:lang w:val="fr-FR"/>
        </w:rPr>
        <w:t xml:space="preserve">ou </w:t>
      </w:r>
      <w:r w:rsidRPr="00841601">
        <w:rPr>
          <w:lang w:val="fr-FR"/>
        </w:rPr>
        <w:t>servir de base à la définition d</w:t>
      </w:r>
      <w:r>
        <w:rPr>
          <w:lang w:val="fr-FR"/>
        </w:rPr>
        <w:t>’</w:t>
      </w:r>
      <w:r w:rsidRPr="00841601">
        <w:rPr>
          <w:lang w:val="fr-FR"/>
        </w:rPr>
        <w:t>une règle de droit international coutumier ou à la formulation d</w:t>
      </w:r>
      <w:r>
        <w:rPr>
          <w:lang w:val="fr-FR"/>
        </w:rPr>
        <w:t>’</w:t>
      </w:r>
      <w:r w:rsidRPr="00841601">
        <w:rPr>
          <w:lang w:val="fr-FR"/>
        </w:rPr>
        <w:t>une disposition d</w:t>
      </w:r>
      <w:r>
        <w:rPr>
          <w:lang w:val="fr-FR"/>
        </w:rPr>
        <w:t>’</w:t>
      </w:r>
      <w:r w:rsidRPr="00841601">
        <w:rPr>
          <w:lang w:val="fr-FR"/>
        </w:rPr>
        <w:t xml:space="preserve">un traité. </w:t>
      </w:r>
      <w:r>
        <w:rPr>
          <w:lang w:val="fr-FR"/>
        </w:rPr>
        <w:t>Certains</w:t>
      </w:r>
      <w:r w:rsidRPr="00841601">
        <w:rPr>
          <w:lang w:val="fr-FR"/>
        </w:rPr>
        <w:t xml:space="preserve"> membres estimaient que dans le cadre de ses travaux sur le sujet, la Commission devrait étudier plus avant la question de l</w:t>
      </w:r>
      <w:r>
        <w:rPr>
          <w:lang w:val="fr-FR"/>
        </w:rPr>
        <w:t>’</w:t>
      </w:r>
      <w:r w:rsidRPr="00841601">
        <w:rPr>
          <w:lang w:val="fr-FR"/>
        </w:rPr>
        <w:t>utilisation d</w:t>
      </w:r>
      <w:r>
        <w:rPr>
          <w:lang w:val="fr-FR"/>
        </w:rPr>
        <w:t>’</w:t>
      </w:r>
      <w:r w:rsidRPr="00841601">
        <w:rPr>
          <w:lang w:val="fr-FR"/>
        </w:rPr>
        <w:t>accords juridiquement non contraignants aux fins de la détermination de l</w:t>
      </w:r>
      <w:r>
        <w:rPr>
          <w:lang w:val="fr-FR"/>
        </w:rPr>
        <w:t>’</w:t>
      </w:r>
      <w:r w:rsidRPr="00841601">
        <w:rPr>
          <w:lang w:val="fr-FR"/>
        </w:rPr>
        <w:t>existence d</w:t>
      </w:r>
      <w:r>
        <w:rPr>
          <w:lang w:val="fr-FR"/>
        </w:rPr>
        <w:t>’</w:t>
      </w:r>
      <w:r w:rsidRPr="00841601">
        <w:rPr>
          <w:lang w:val="fr-FR"/>
        </w:rPr>
        <w:t>une règle de droit international coutumier.</w:t>
      </w:r>
    </w:p>
    <w:p w14:paraId="5CA29063" w14:textId="0D187612" w:rsidR="00C979F6" w:rsidRPr="00841601" w:rsidRDefault="00C979F6" w:rsidP="00C979F6">
      <w:pPr>
        <w:pStyle w:val="SingleTxtG"/>
        <w:ind w:left="1168"/>
        <w:rPr>
          <w:shd w:val="clear" w:color="000000" w:fill="FFFFFF"/>
        </w:rPr>
      </w:pPr>
      <w:r>
        <w:t>269</w:t>
      </w:r>
      <w:r w:rsidRPr="00841601">
        <w:t>.</w:t>
      </w:r>
      <w:r w:rsidRPr="00841601">
        <w:tab/>
      </w:r>
      <w:r w:rsidRPr="00841601">
        <w:rPr>
          <w:lang w:val="fr-FR"/>
        </w:rPr>
        <w:t>Certains membres ont</w:t>
      </w:r>
      <w:r>
        <w:rPr>
          <w:lang w:val="fr-FR"/>
        </w:rPr>
        <w:t xml:space="preserve"> exprimé</w:t>
      </w:r>
      <w:r w:rsidRPr="00841601">
        <w:rPr>
          <w:lang w:val="fr-FR"/>
        </w:rPr>
        <w:t xml:space="preserve"> des réserves quant à </w:t>
      </w:r>
      <w:r>
        <w:rPr>
          <w:lang w:val="fr-FR"/>
        </w:rPr>
        <w:t>l’opportunité de considérer les</w:t>
      </w:r>
      <w:r w:rsidRPr="00841601">
        <w:rPr>
          <w:lang w:val="fr-FR"/>
        </w:rPr>
        <w:t xml:space="preserve"> accords internationaux juridiquement non contraignants </w:t>
      </w:r>
      <w:r>
        <w:rPr>
          <w:lang w:val="fr-FR"/>
        </w:rPr>
        <w:t>comme des formes d’</w:t>
      </w:r>
      <w:r w:rsidRPr="00841601">
        <w:rPr>
          <w:lang w:val="fr-FR"/>
        </w:rPr>
        <w:t>accords ultérieurs, estimant qu</w:t>
      </w:r>
      <w:r>
        <w:rPr>
          <w:lang w:val="fr-FR"/>
        </w:rPr>
        <w:t>’</w:t>
      </w:r>
      <w:r w:rsidRPr="00841601">
        <w:rPr>
          <w:lang w:val="fr-FR"/>
        </w:rPr>
        <w:t>il fallait éviter d</w:t>
      </w:r>
      <w:r>
        <w:rPr>
          <w:lang w:val="fr-FR"/>
        </w:rPr>
        <w:t>’</w:t>
      </w:r>
      <w:r w:rsidRPr="00841601">
        <w:rPr>
          <w:lang w:val="fr-FR"/>
        </w:rPr>
        <w:t xml:space="preserve">assimiler ces accords à une source de droit international ou de les considérer comme des accords ultérieurs. Il a été dit </w:t>
      </w:r>
      <w:r>
        <w:rPr>
          <w:lang w:val="fr-FR"/>
        </w:rPr>
        <w:t>qu’</w:t>
      </w:r>
      <w:r w:rsidRPr="00841601">
        <w:rPr>
          <w:lang w:val="fr-FR"/>
        </w:rPr>
        <w:t>attacher des effets juridiques potentiels aux accords internationaux juridiquement non contraignants pourrait</w:t>
      </w:r>
      <w:r w:rsidR="002B1B6E">
        <w:rPr>
          <w:lang w:val="fr-FR"/>
        </w:rPr>
        <w:t xml:space="preserve"> </w:t>
      </w:r>
      <w:r w:rsidRPr="00841601">
        <w:rPr>
          <w:lang w:val="fr-FR"/>
        </w:rPr>
        <w:t>faire naître des obligations juridiques</w:t>
      </w:r>
      <w:r>
        <w:rPr>
          <w:lang w:val="fr-FR"/>
        </w:rPr>
        <w:t xml:space="preserve"> que les États n’avaient pas l’intention de faire naître et ainsi avoir des conséquences sur l’utilisation de ces accords par les États</w:t>
      </w:r>
      <w:r w:rsidRPr="00841601">
        <w:rPr>
          <w:lang w:val="fr-FR"/>
        </w:rPr>
        <w:t xml:space="preserve">. </w:t>
      </w:r>
    </w:p>
    <w:p w14:paraId="638A1708" w14:textId="77777777" w:rsidR="00C979F6" w:rsidRPr="00841601" w:rsidRDefault="00C979F6" w:rsidP="00C979F6">
      <w:pPr>
        <w:pStyle w:val="SingleTxtG"/>
        <w:ind w:left="1168"/>
      </w:pPr>
      <w:r>
        <w:t>270</w:t>
      </w:r>
      <w:r w:rsidRPr="00841601">
        <w:t>.</w:t>
      </w:r>
      <w:r w:rsidRPr="00841601">
        <w:tab/>
      </w:r>
      <w:r w:rsidRPr="00841601">
        <w:rPr>
          <w:lang w:val="fr-FR"/>
        </w:rPr>
        <w:t xml:space="preserve">Il a été jugé essentiel de faire la distinction entre « force juridiquement contraignante » et « effets juridiques ». </w:t>
      </w:r>
      <w:r>
        <w:rPr>
          <w:lang w:val="fr-FR"/>
        </w:rPr>
        <w:t>La</w:t>
      </w:r>
      <w:r w:rsidRPr="00841601">
        <w:rPr>
          <w:lang w:val="fr-FR"/>
        </w:rPr>
        <w:t xml:space="preserve"> nécessité de différencier les expressions « juridiquement contraignant » et « ayant des effets juridiques »</w:t>
      </w:r>
      <w:r>
        <w:rPr>
          <w:lang w:val="fr-FR"/>
        </w:rPr>
        <w:t xml:space="preserve"> a aussi été soulignée</w:t>
      </w:r>
      <w:r w:rsidRPr="00841601">
        <w:rPr>
          <w:lang w:val="fr-FR"/>
        </w:rPr>
        <w:t>. Le Rapporteur spécial a donc été invité à expliquer plus en détail les effets juridiques des accords internationaux juridiquement non contraignants. Il a été rappelé que le Guide de l</w:t>
      </w:r>
      <w:r>
        <w:rPr>
          <w:lang w:val="fr-FR"/>
        </w:rPr>
        <w:t>’</w:t>
      </w:r>
      <w:r w:rsidRPr="00841601">
        <w:rPr>
          <w:lang w:val="fr-FR"/>
        </w:rPr>
        <w:t>application à titre provisoire des traités était directement pertinent pour les travaux de la Commission sur le sujet, la directive 6 traitant de la notion d</w:t>
      </w:r>
      <w:r>
        <w:rPr>
          <w:lang w:val="fr-FR"/>
        </w:rPr>
        <w:t>’</w:t>
      </w:r>
      <w:r w:rsidRPr="00841601">
        <w:rPr>
          <w:lang w:val="fr-FR"/>
        </w:rPr>
        <w:t>effet juridique</w:t>
      </w:r>
      <w:r w:rsidRPr="00841601">
        <w:rPr>
          <w:rStyle w:val="Appelnotedebasdep"/>
        </w:rPr>
        <w:footnoteReference w:id="240"/>
      </w:r>
      <w:r w:rsidRPr="00841601">
        <w:rPr>
          <w:lang w:val="fr-FR"/>
        </w:rPr>
        <w:t>.</w:t>
      </w:r>
    </w:p>
    <w:p w14:paraId="43A26B6B" w14:textId="77777777" w:rsidR="00C979F6" w:rsidRPr="00841601" w:rsidRDefault="00C979F6" w:rsidP="00C979F6">
      <w:pPr>
        <w:pStyle w:val="SingleTxtG"/>
        <w:ind w:left="1168"/>
        <w:rPr>
          <w:shd w:val="clear" w:color="000000" w:fill="FFFFFF"/>
        </w:rPr>
      </w:pPr>
      <w:r>
        <w:t>271</w:t>
      </w:r>
      <w:r w:rsidRPr="00841601">
        <w:t>.</w:t>
      </w:r>
      <w:r w:rsidRPr="00841601">
        <w:tab/>
      </w:r>
      <w:r w:rsidRPr="00841601">
        <w:rPr>
          <w:lang w:val="fr-FR"/>
        </w:rPr>
        <w:t xml:space="preserve">Il a été dit que, dans certains cas, le recours </w:t>
      </w:r>
      <w:r>
        <w:rPr>
          <w:lang w:val="fr-FR"/>
        </w:rPr>
        <w:t>aux</w:t>
      </w:r>
      <w:r w:rsidRPr="00841601">
        <w:rPr>
          <w:lang w:val="fr-FR"/>
        </w:rPr>
        <w:t xml:space="preserve"> accords internationaux juridiquement non contraignants pouvait soulever des questions relatives aux liens entre les accords internationaux non contraignants et le droit souple. Selon un autre point de vue, les liens entre le droit souple et les accords juridiquement non contraignants ne devaient pas faire partie du champ du sujet. Il a été observé que le droit souple, bien que considéré comme comparable aux accords juridiquement non contraignants, était une notion plus large qui recouvrait les instruments unilatéraux et les instruments adoptés par des entités privées.</w:t>
      </w:r>
      <w:r>
        <w:rPr>
          <w:lang w:val="fr-FR"/>
        </w:rPr>
        <w:t xml:space="preserve"> Selon un autre point de vue encore, la notion de droit souple n’était pas particulièrement utile dans le contexte du sujet, les accords internationaux juridiquement non contraignants n’étant pas nécessairement souples.</w:t>
      </w:r>
    </w:p>
    <w:p w14:paraId="48FFB5B9" w14:textId="77777777" w:rsidR="00C979F6" w:rsidRPr="00841601" w:rsidRDefault="00C979F6" w:rsidP="002B1B6E">
      <w:pPr>
        <w:pStyle w:val="H23G"/>
        <w:rPr>
          <w:shd w:val="clear" w:color="000000" w:fill="FFFFFF"/>
        </w:rPr>
      </w:pPr>
      <w:r w:rsidRPr="00841601">
        <w:rPr>
          <w:lang w:val="fr-FR"/>
        </w:rPr>
        <w:tab/>
        <w:t>d)</w:t>
      </w:r>
      <w:r w:rsidRPr="00841601">
        <w:rPr>
          <w:lang w:val="fr-FR"/>
        </w:rPr>
        <w:tab/>
        <w:t>Forme à donner au résultat final des travaux</w:t>
      </w:r>
    </w:p>
    <w:p w14:paraId="14EB497C" w14:textId="77777777" w:rsidR="00C979F6" w:rsidRPr="00841601" w:rsidRDefault="00C979F6" w:rsidP="00C979F6">
      <w:pPr>
        <w:pStyle w:val="SingleTxtG"/>
        <w:ind w:left="1168"/>
      </w:pPr>
      <w:r>
        <w:t>272</w:t>
      </w:r>
      <w:r w:rsidRPr="00841601">
        <w:t>.</w:t>
      </w:r>
      <w:r w:rsidRPr="00841601">
        <w:tab/>
      </w:r>
      <w:r w:rsidRPr="00841601">
        <w:rPr>
          <w:lang w:val="fr-FR"/>
        </w:rPr>
        <w:t>Plusieurs membres ont approuvé la proposition du Rapporteur spécial consistant à donner au résultat des travaux de la Commission la forme d</w:t>
      </w:r>
      <w:r>
        <w:rPr>
          <w:lang w:val="fr-FR"/>
        </w:rPr>
        <w:t>’</w:t>
      </w:r>
      <w:r w:rsidRPr="00841601">
        <w:rPr>
          <w:lang w:val="fr-FR"/>
        </w:rPr>
        <w:t>un projet de conclusions</w:t>
      </w:r>
      <w:r>
        <w:rPr>
          <w:lang w:val="fr-FR"/>
        </w:rPr>
        <w:t>, en particulier au motif que le but devait être de prendre acte de la pratique existante ou de la clarifier de manière non prescriptive sans préjudice de la liberté dont disposent les États en matière d’accords juridiquement non contraignants. En revanche, plusieurs</w:t>
      </w:r>
      <w:r w:rsidRPr="00841601">
        <w:rPr>
          <w:lang w:val="fr-FR"/>
        </w:rPr>
        <w:t xml:space="preserve"> autres estimaient que </w:t>
      </w:r>
      <w:r>
        <w:rPr>
          <w:lang w:val="fr-FR"/>
        </w:rPr>
        <w:t xml:space="preserve">le résultat des travaux devrait être un projet de directives, au vu de l’objet du sujet et du fait que le projet de conclusions avait été la forme utilisée par </w:t>
      </w:r>
      <w:r w:rsidRPr="00841601">
        <w:rPr>
          <w:lang w:val="fr-FR"/>
        </w:rPr>
        <w:t xml:space="preserve">la Commission </w:t>
      </w:r>
      <w:r>
        <w:rPr>
          <w:lang w:val="fr-FR"/>
        </w:rPr>
        <w:t xml:space="preserve">pour des sujets relatifs aux sources du droit international, tels que la détermination du droit international coutumier et les principes généraux du droit. Une référence a également été faite au recours à des projets de directive pour les travaux de la Commission sur les sujets </w:t>
      </w:r>
      <w:r w:rsidRPr="00841601">
        <w:rPr>
          <w:lang w:val="fr-FR"/>
        </w:rPr>
        <w:t>« </w:t>
      </w:r>
      <w:r>
        <w:rPr>
          <w:lang w:val="fr-FR"/>
        </w:rPr>
        <w:t>Les r</w:t>
      </w:r>
      <w:r w:rsidRPr="00841601">
        <w:rPr>
          <w:lang w:val="fr-FR"/>
        </w:rPr>
        <w:t xml:space="preserve">éserves aux traités » et « Application </w:t>
      </w:r>
      <w:r>
        <w:rPr>
          <w:lang w:val="fr-FR"/>
        </w:rPr>
        <w:t xml:space="preserve">à titre </w:t>
      </w:r>
      <w:r w:rsidRPr="00841601">
        <w:rPr>
          <w:lang w:val="fr-FR"/>
        </w:rPr>
        <w:t xml:space="preserve">provisoire des traités ». </w:t>
      </w:r>
    </w:p>
    <w:p w14:paraId="216ED445" w14:textId="77777777" w:rsidR="00C979F6" w:rsidRPr="00841601" w:rsidRDefault="00C979F6" w:rsidP="00C979F6">
      <w:pPr>
        <w:pStyle w:val="SingleTxtG"/>
        <w:ind w:left="1168"/>
      </w:pPr>
      <w:r>
        <w:t>273</w:t>
      </w:r>
      <w:r w:rsidRPr="00841601">
        <w:t>.</w:t>
      </w:r>
      <w:r w:rsidRPr="00841601">
        <w:tab/>
      </w:r>
      <w:r>
        <w:t xml:space="preserve">On a également avancé qu’en plus d’un projet de directives, </w:t>
      </w:r>
      <w:r w:rsidRPr="00841601">
        <w:rPr>
          <w:lang w:val="fr-FR"/>
        </w:rPr>
        <w:t>de</w:t>
      </w:r>
      <w:r>
        <w:rPr>
          <w:lang w:val="fr-FR"/>
        </w:rPr>
        <w:t>s exemples de meilleures</w:t>
      </w:r>
      <w:r w:rsidRPr="00841601">
        <w:rPr>
          <w:lang w:val="fr-FR"/>
        </w:rPr>
        <w:t xml:space="preserve"> pratiques, de clauses types ou d</w:t>
      </w:r>
      <w:r>
        <w:rPr>
          <w:lang w:val="fr-FR"/>
        </w:rPr>
        <w:t>’</w:t>
      </w:r>
      <w:r w:rsidRPr="00841601">
        <w:rPr>
          <w:lang w:val="fr-FR"/>
        </w:rPr>
        <w:t>autres recommandations</w:t>
      </w:r>
      <w:r>
        <w:rPr>
          <w:lang w:val="fr-FR"/>
        </w:rPr>
        <w:t xml:space="preserve"> pourraient être utiles aux États. Certains membres estimaient qu’à l’inverse, </w:t>
      </w:r>
      <w:r w:rsidRPr="00841601">
        <w:rPr>
          <w:lang w:val="fr-FR"/>
        </w:rPr>
        <w:t>la formulation</w:t>
      </w:r>
      <w:r>
        <w:rPr>
          <w:lang w:val="fr-FR"/>
        </w:rPr>
        <w:t xml:space="preserve"> </w:t>
      </w:r>
      <w:r w:rsidRPr="00841601">
        <w:rPr>
          <w:lang w:val="fr-FR"/>
        </w:rPr>
        <w:t xml:space="preserve">de </w:t>
      </w:r>
      <w:r>
        <w:rPr>
          <w:lang w:val="fr-FR"/>
        </w:rPr>
        <w:t>meilleures</w:t>
      </w:r>
      <w:r w:rsidRPr="00841601">
        <w:rPr>
          <w:lang w:val="fr-FR"/>
        </w:rPr>
        <w:t xml:space="preserve"> pratiques, de clauses types ou d</w:t>
      </w:r>
      <w:r>
        <w:rPr>
          <w:lang w:val="fr-FR"/>
        </w:rPr>
        <w:t>’</w:t>
      </w:r>
      <w:r w:rsidRPr="00841601">
        <w:rPr>
          <w:lang w:val="fr-FR"/>
        </w:rPr>
        <w:t>autres recommandations</w:t>
      </w:r>
      <w:r>
        <w:rPr>
          <w:lang w:val="fr-FR"/>
        </w:rPr>
        <w:t xml:space="preserve"> </w:t>
      </w:r>
      <w:r w:rsidRPr="00841601">
        <w:rPr>
          <w:lang w:val="fr-FR"/>
        </w:rPr>
        <w:t xml:space="preserve">ne serait pas appropriée. On a aussi </w:t>
      </w:r>
      <w:r w:rsidRPr="00841601">
        <w:rPr>
          <w:lang w:val="fr-FR"/>
        </w:rPr>
        <w:lastRenderedPageBreak/>
        <w:t>fait valoir qu</w:t>
      </w:r>
      <w:r>
        <w:rPr>
          <w:lang w:val="fr-FR"/>
        </w:rPr>
        <w:t>’</w:t>
      </w:r>
      <w:r w:rsidRPr="00841601">
        <w:rPr>
          <w:lang w:val="fr-FR"/>
        </w:rPr>
        <w:t xml:space="preserve">il </w:t>
      </w:r>
      <w:r>
        <w:rPr>
          <w:lang w:val="fr-FR"/>
        </w:rPr>
        <w:t>pourrait être</w:t>
      </w:r>
      <w:r w:rsidRPr="00841601">
        <w:rPr>
          <w:lang w:val="fr-FR"/>
        </w:rPr>
        <w:t xml:space="preserve"> utile que la Commission élabore une liste de termes spécifiques ou quelques clauses types qui pourraient aider les États à savoir s</w:t>
      </w:r>
      <w:r>
        <w:rPr>
          <w:lang w:val="fr-FR"/>
        </w:rPr>
        <w:t>’</w:t>
      </w:r>
      <w:r w:rsidRPr="00841601">
        <w:rPr>
          <w:lang w:val="fr-FR"/>
        </w:rPr>
        <w:t>ils sont en présence d</w:t>
      </w:r>
      <w:r>
        <w:rPr>
          <w:lang w:val="fr-FR"/>
        </w:rPr>
        <w:t>’</w:t>
      </w:r>
      <w:r w:rsidRPr="00841601">
        <w:rPr>
          <w:lang w:val="fr-FR"/>
        </w:rPr>
        <w:t>un accord international juridiquement non contraignant.</w:t>
      </w:r>
    </w:p>
    <w:p w14:paraId="33D213B7" w14:textId="77777777" w:rsidR="00C979F6" w:rsidRPr="00841601" w:rsidRDefault="00C979F6" w:rsidP="00C979F6">
      <w:pPr>
        <w:pStyle w:val="SingleTxtG"/>
        <w:ind w:left="1168"/>
      </w:pPr>
      <w:r>
        <w:t>274</w:t>
      </w:r>
      <w:r w:rsidRPr="00841601">
        <w:t>.</w:t>
      </w:r>
      <w:r w:rsidRPr="00841601">
        <w:tab/>
      </w:r>
      <w:r>
        <w:rPr>
          <w:lang w:val="fr-FR"/>
        </w:rPr>
        <w:t xml:space="preserve">Certains </w:t>
      </w:r>
      <w:r w:rsidRPr="00841601">
        <w:rPr>
          <w:lang w:val="fr-FR"/>
        </w:rPr>
        <w:t>membres ont dit que, dans le cadre de l</w:t>
      </w:r>
      <w:r>
        <w:rPr>
          <w:lang w:val="fr-FR"/>
        </w:rPr>
        <w:t>’</w:t>
      </w:r>
      <w:r w:rsidRPr="00841601">
        <w:rPr>
          <w:lang w:val="fr-FR"/>
        </w:rPr>
        <w:t>étude de la pratique existante en matière d</w:t>
      </w:r>
      <w:r>
        <w:rPr>
          <w:lang w:val="fr-FR"/>
        </w:rPr>
        <w:t>’</w:t>
      </w:r>
      <w:r w:rsidRPr="00841601">
        <w:rPr>
          <w:lang w:val="fr-FR"/>
        </w:rPr>
        <w:t xml:space="preserve">accords internationaux juridiquement non contraignants, la Commission pourrait définir une </w:t>
      </w:r>
      <w:r>
        <w:rPr>
          <w:lang w:val="fr-FR"/>
        </w:rPr>
        <w:t xml:space="preserve">éventuelle </w:t>
      </w:r>
      <w:r w:rsidRPr="00841601">
        <w:rPr>
          <w:lang w:val="fr-FR"/>
        </w:rPr>
        <w:t xml:space="preserve">typologie ou </w:t>
      </w:r>
      <w:r>
        <w:rPr>
          <w:lang w:val="fr-FR"/>
        </w:rPr>
        <w:t xml:space="preserve">fournir </w:t>
      </w:r>
      <w:r w:rsidRPr="00841601">
        <w:rPr>
          <w:lang w:val="fr-FR"/>
        </w:rPr>
        <w:t>des</w:t>
      </w:r>
      <w:r>
        <w:rPr>
          <w:lang w:val="fr-FR"/>
        </w:rPr>
        <w:t xml:space="preserve"> exemples de</w:t>
      </w:r>
      <w:r w:rsidRPr="00841601">
        <w:rPr>
          <w:lang w:val="fr-FR"/>
        </w:rPr>
        <w:t xml:space="preserve"> catégories d</w:t>
      </w:r>
      <w:r>
        <w:rPr>
          <w:lang w:val="fr-FR"/>
        </w:rPr>
        <w:t>’</w:t>
      </w:r>
      <w:r w:rsidRPr="00841601">
        <w:rPr>
          <w:lang w:val="fr-FR"/>
        </w:rPr>
        <w:t>accords</w:t>
      </w:r>
      <w:r>
        <w:rPr>
          <w:lang w:val="fr-FR"/>
        </w:rPr>
        <w:t xml:space="preserve"> à titre illustratif. Entre autres catégories mentionnées par les membres figuraient</w:t>
      </w:r>
      <w:r w:rsidRPr="00841601">
        <w:rPr>
          <w:lang w:val="fr-FR"/>
        </w:rPr>
        <w:t xml:space="preserve"> les accords de paix et les accords énonçant des modalités ou conditions pour </w:t>
      </w:r>
      <w:r>
        <w:rPr>
          <w:lang w:val="fr-FR"/>
        </w:rPr>
        <w:t>l’établissement</w:t>
      </w:r>
      <w:r w:rsidRPr="00841601">
        <w:rPr>
          <w:lang w:val="fr-FR"/>
        </w:rPr>
        <w:t xml:space="preserve"> d</w:t>
      </w:r>
      <w:r>
        <w:rPr>
          <w:lang w:val="fr-FR"/>
        </w:rPr>
        <w:t>’</w:t>
      </w:r>
      <w:r w:rsidRPr="00841601">
        <w:rPr>
          <w:lang w:val="fr-FR"/>
        </w:rPr>
        <w:t>une coopération technique complexe dans certains domaines, tels que le droit de l</w:t>
      </w:r>
      <w:r>
        <w:rPr>
          <w:lang w:val="fr-FR"/>
        </w:rPr>
        <w:t>’</w:t>
      </w:r>
      <w:r w:rsidRPr="00841601">
        <w:rPr>
          <w:lang w:val="fr-FR"/>
        </w:rPr>
        <w:t>environnement ou l</w:t>
      </w:r>
      <w:r>
        <w:rPr>
          <w:lang w:val="fr-FR"/>
        </w:rPr>
        <w:t>’</w:t>
      </w:r>
      <w:r w:rsidRPr="00841601">
        <w:rPr>
          <w:lang w:val="fr-FR"/>
        </w:rPr>
        <w:t xml:space="preserve">aide humanitaire. </w:t>
      </w:r>
    </w:p>
    <w:p w14:paraId="1D4B133F" w14:textId="77777777" w:rsidR="00C979F6" w:rsidRPr="00841601" w:rsidRDefault="00C979F6" w:rsidP="002B1B6E">
      <w:pPr>
        <w:pStyle w:val="H23G"/>
        <w:rPr>
          <w:shd w:val="clear" w:color="000000" w:fill="FFFFFF"/>
        </w:rPr>
      </w:pPr>
      <w:r w:rsidRPr="00841601">
        <w:rPr>
          <w:lang w:val="fr-FR"/>
        </w:rPr>
        <w:tab/>
        <w:t>e)</w:t>
      </w:r>
      <w:r w:rsidRPr="00841601">
        <w:rPr>
          <w:lang w:val="fr-FR"/>
        </w:rPr>
        <w:tab/>
        <w:t>Programme de travail futur</w:t>
      </w:r>
    </w:p>
    <w:p w14:paraId="642E2177" w14:textId="77777777" w:rsidR="00C979F6" w:rsidRPr="00841601" w:rsidRDefault="00C979F6" w:rsidP="00C979F6">
      <w:pPr>
        <w:pStyle w:val="SingleTxtG"/>
        <w:ind w:left="1170"/>
      </w:pPr>
      <w:r>
        <w:t>275</w:t>
      </w:r>
      <w:r w:rsidRPr="00841601">
        <w:t>.</w:t>
      </w:r>
      <w:r w:rsidRPr="00841601">
        <w:tab/>
      </w:r>
      <w:r>
        <w:rPr>
          <w:lang w:val="fr-FR"/>
        </w:rPr>
        <w:t>Les</w:t>
      </w:r>
      <w:r w:rsidRPr="00841601">
        <w:rPr>
          <w:lang w:val="fr-FR"/>
        </w:rPr>
        <w:t xml:space="preserve"> membres ont </w:t>
      </w:r>
      <w:r>
        <w:rPr>
          <w:lang w:val="fr-FR"/>
        </w:rPr>
        <w:t>dans l’ensemble souscrit au</w:t>
      </w:r>
      <w:r w:rsidRPr="00841601">
        <w:rPr>
          <w:lang w:val="fr-FR"/>
        </w:rPr>
        <w:t xml:space="preserve"> programme de travail proposé par le Rapporteur spécial. </w:t>
      </w:r>
    </w:p>
    <w:p w14:paraId="58C6BA4E" w14:textId="77777777" w:rsidR="00C979F6" w:rsidRPr="00841601" w:rsidRDefault="00C979F6" w:rsidP="00C979F6">
      <w:pPr>
        <w:pStyle w:val="SingleTxtG"/>
        <w:ind w:left="1170"/>
      </w:pPr>
      <w:r>
        <w:t>276</w:t>
      </w:r>
      <w:r w:rsidRPr="00841601">
        <w:t>.</w:t>
      </w:r>
      <w:r w:rsidRPr="00841601">
        <w:tab/>
      </w:r>
      <w:r w:rsidRPr="00841601">
        <w:rPr>
          <w:lang w:val="fr-FR"/>
        </w:rPr>
        <w:t>Il a été dit qu</w:t>
      </w:r>
      <w:r>
        <w:rPr>
          <w:lang w:val="fr-FR"/>
        </w:rPr>
        <w:t>’</w:t>
      </w:r>
      <w:r w:rsidRPr="00841601">
        <w:rPr>
          <w:lang w:val="fr-FR"/>
        </w:rPr>
        <w:t>il faudrait élaborer un questionnaire relatif à la pratique étatique et attendre d</w:t>
      </w:r>
      <w:r>
        <w:rPr>
          <w:lang w:val="fr-FR"/>
        </w:rPr>
        <w:t>’</w:t>
      </w:r>
      <w:r w:rsidRPr="00841601">
        <w:rPr>
          <w:lang w:val="fr-FR"/>
        </w:rPr>
        <w:t>avoir reçu les réponses des États pour étudier les effets juridiques potentiels des accords internationaux juridiquement non contraignants.</w:t>
      </w:r>
    </w:p>
    <w:p w14:paraId="5AE627A3" w14:textId="77777777" w:rsidR="00C979F6" w:rsidRPr="00841601" w:rsidRDefault="00C979F6" w:rsidP="00C979F6">
      <w:pPr>
        <w:pStyle w:val="SingleTxtG"/>
        <w:ind w:left="1170"/>
      </w:pPr>
      <w:r>
        <w:t>277</w:t>
      </w:r>
      <w:r w:rsidRPr="00841601">
        <w:t>.</w:t>
      </w:r>
      <w:r w:rsidRPr="00841601">
        <w:tab/>
      </w:r>
      <w:r w:rsidRPr="00841601">
        <w:rPr>
          <w:lang w:val="fr-FR"/>
        </w:rPr>
        <w:t>Plusieurs membres ont souscrit à la proposition du Rapporteur spécial consistant à demander des informations sur la pratique des États et des organisations internationales et, en particulier, à solliciter l</w:t>
      </w:r>
      <w:r>
        <w:rPr>
          <w:lang w:val="fr-FR"/>
        </w:rPr>
        <w:t>’</w:t>
      </w:r>
      <w:r w:rsidRPr="00841601">
        <w:rPr>
          <w:lang w:val="fr-FR"/>
        </w:rPr>
        <w:t>accès aux travaux du CAHDI sur le sujet.</w:t>
      </w:r>
    </w:p>
    <w:p w14:paraId="4A8B883B" w14:textId="77777777" w:rsidR="00C979F6" w:rsidRPr="00841601" w:rsidRDefault="00C979F6" w:rsidP="002B1B6E">
      <w:pPr>
        <w:pStyle w:val="H23G"/>
        <w:rPr>
          <w:shd w:val="clear" w:color="000000" w:fill="FFFFFF"/>
        </w:rPr>
      </w:pPr>
      <w:r w:rsidRPr="00841601">
        <w:tab/>
        <w:t>3.</w:t>
      </w:r>
      <w:r w:rsidRPr="00841601">
        <w:tab/>
      </w:r>
      <w:r w:rsidRPr="00841601">
        <w:rPr>
          <w:lang w:val="fr-FR"/>
        </w:rPr>
        <w:t>Conclusions du Rapporteur spécial</w:t>
      </w:r>
    </w:p>
    <w:p w14:paraId="65F62E7A" w14:textId="77777777" w:rsidR="00C979F6" w:rsidRPr="00841601" w:rsidRDefault="00C979F6" w:rsidP="00C979F6">
      <w:pPr>
        <w:pStyle w:val="SingleTxtG"/>
        <w:ind w:left="1170"/>
      </w:pPr>
      <w:r>
        <w:t>278</w:t>
      </w:r>
      <w:r w:rsidRPr="00841601">
        <w:t>.</w:t>
      </w:r>
      <w:r w:rsidRPr="00841601">
        <w:tab/>
      </w:r>
      <w:r>
        <w:rPr>
          <w:lang w:val="fr-FR"/>
        </w:rPr>
        <w:t>Résumant</w:t>
      </w:r>
      <w:r w:rsidRPr="00841601">
        <w:rPr>
          <w:lang w:val="fr-FR"/>
        </w:rPr>
        <w:t xml:space="preserve"> le débat, le Rapporteur spécial a remercié les membres de la Commission </w:t>
      </w:r>
      <w:r>
        <w:rPr>
          <w:lang w:val="fr-FR"/>
        </w:rPr>
        <w:t>de la richesse de leurs observations concernant</w:t>
      </w:r>
      <w:r w:rsidRPr="00841601">
        <w:rPr>
          <w:lang w:val="fr-FR"/>
        </w:rPr>
        <w:t xml:space="preserve"> son premier rapport</w:t>
      </w:r>
      <w:r>
        <w:rPr>
          <w:lang w:val="fr-FR"/>
        </w:rPr>
        <w:t>, des recherches complémentaires qu’ils avaient menées et des éléments d’information dont ils lui avaient fait part</w:t>
      </w:r>
      <w:r w:rsidRPr="00841601">
        <w:rPr>
          <w:lang w:val="fr-FR"/>
        </w:rPr>
        <w:t>. Il a jugé que le débat avait rempli son objectif et lui avait permis de recueillir des idées et des suggestions et de recenser les points d</w:t>
      </w:r>
      <w:r>
        <w:rPr>
          <w:lang w:val="fr-FR"/>
        </w:rPr>
        <w:t>’</w:t>
      </w:r>
      <w:r w:rsidRPr="00841601">
        <w:rPr>
          <w:lang w:val="fr-FR"/>
        </w:rPr>
        <w:t>accord et les points suscitant des divergences importantes. Il a souligné qu</w:t>
      </w:r>
      <w:r>
        <w:rPr>
          <w:lang w:val="fr-FR"/>
        </w:rPr>
        <w:t>’</w:t>
      </w:r>
      <w:r w:rsidRPr="00841601">
        <w:rPr>
          <w:lang w:val="fr-FR"/>
        </w:rPr>
        <w:t>il avait analysé avec soin les arguments que les membres avaient fait valoir et les préoccupations qu</w:t>
      </w:r>
      <w:r>
        <w:rPr>
          <w:lang w:val="fr-FR"/>
        </w:rPr>
        <w:t>’</w:t>
      </w:r>
      <w:r w:rsidRPr="00841601">
        <w:rPr>
          <w:lang w:val="fr-FR"/>
        </w:rPr>
        <w:t>ils avaient exprimées et s</w:t>
      </w:r>
      <w:r>
        <w:rPr>
          <w:lang w:val="fr-FR"/>
        </w:rPr>
        <w:t>’</w:t>
      </w:r>
      <w:r w:rsidRPr="00841601">
        <w:rPr>
          <w:lang w:val="fr-FR"/>
        </w:rPr>
        <w:t>est félicité de ce travail collaboratif.</w:t>
      </w:r>
    </w:p>
    <w:p w14:paraId="3061DF81" w14:textId="77777777" w:rsidR="00C979F6" w:rsidRPr="00841601" w:rsidRDefault="00C979F6" w:rsidP="00C979F6">
      <w:pPr>
        <w:pStyle w:val="SingleTxtG"/>
        <w:ind w:left="1170"/>
      </w:pPr>
      <w:r>
        <w:t>279</w:t>
      </w:r>
      <w:r w:rsidRPr="00841601">
        <w:t>.</w:t>
      </w:r>
      <w:r w:rsidRPr="00841601">
        <w:tab/>
      </w:r>
      <w:r w:rsidRPr="00841601">
        <w:rPr>
          <w:lang w:val="fr-FR"/>
        </w:rPr>
        <w:t>Le Rapporteur spécial a dit qu</w:t>
      </w:r>
      <w:r>
        <w:rPr>
          <w:lang w:val="fr-FR"/>
        </w:rPr>
        <w:t>’</w:t>
      </w:r>
      <w:r w:rsidRPr="00841601">
        <w:rPr>
          <w:lang w:val="fr-FR"/>
        </w:rPr>
        <w:t>il prenait note des observations et suggestions des membres, en particulier celles relatives aux critères de distinction entre les traités et les accords internationaux juridiquement non contraignants, aux effets juridiques potentiels de ces accords et aux éléments de la pratique étatique relative à ces accords. Il a précisé qu</w:t>
      </w:r>
      <w:r>
        <w:rPr>
          <w:lang w:val="fr-FR"/>
        </w:rPr>
        <w:t>’</w:t>
      </w:r>
      <w:r w:rsidRPr="00841601">
        <w:rPr>
          <w:lang w:val="fr-FR"/>
        </w:rPr>
        <w:t>il prendrait en compte ces observations et réflexions en temps utile dans ses futurs rapports et qu</w:t>
      </w:r>
      <w:r>
        <w:rPr>
          <w:lang w:val="fr-FR"/>
        </w:rPr>
        <w:t>’</w:t>
      </w:r>
      <w:r w:rsidRPr="00841601">
        <w:rPr>
          <w:lang w:val="fr-FR"/>
        </w:rPr>
        <w:t>il réévaluerait certaines des propositions formulées dans son premier rapport qui avaient fait l</w:t>
      </w:r>
      <w:r>
        <w:rPr>
          <w:lang w:val="fr-FR"/>
        </w:rPr>
        <w:t>’</w:t>
      </w:r>
      <w:r w:rsidRPr="00841601">
        <w:rPr>
          <w:lang w:val="fr-FR"/>
        </w:rPr>
        <w:t xml:space="preserve">objet de critiques légitimes pendant le débat, par exemple la question des présomptions possibles </w:t>
      </w:r>
      <w:r>
        <w:rPr>
          <w:lang w:val="fr-FR"/>
        </w:rPr>
        <w:t xml:space="preserve">concernant le caractère contraignant ou non contraignant des accords </w:t>
      </w:r>
      <w:r w:rsidRPr="00841601">
        <w:rPr>
          <w:lang w:val="fr-FR"/>
        </w:rPr>
        <w:t xml:space="preserve">ou le pouvoir de requalification </w:t>
      </w:r>
      <w:r>
        <w:rPr>
          <w:lang w:val="fr-FR"/>
        </w:rPr>
        <w:t>des</w:t>
      </w:r>
      <w:r w:rsidRPr="00841601">
        <w:rPr>
          <w:lang w:val="fr-FR"/>
        </w:rPr>
        <w:t xml:space="preserve"> juridictions.</w:t>
      </w:r>
    </w:p>
    <w:p w14:paraId="35C821E5" w14:textId="77777777" w:rsidR="00C979F6" w:rsidRPr="00841601" w:rsidRDefault="00C979F6" w:rsidP="00C979F6">
      <w:pPr>
        <w:pStyle w:val="SingleTxtG"/>
        <w:ind w:left="1170"/>
      </w:pPr>
      <w:r>
        <w:t>280</w:t>
      </w:r>
      <w:r w:rsidRPr="00841601">
        <w:t>.</w:t>
      </w:r>
      <w:r w:rsidRPr="00841601">
        <w:tab/>
      </w:r>
      <w:r w:rsidRPr="00841601">
        <w:rPr>
          <w:lang w:val="fr-FR"/>
        </w:rPr>
        <w:t xml:space="preserve">En ce qui concerne </w:t>
      </w:r>
      <w:r>
        <w:rPr>
          <w:lang w:val="fr-FR"/>
        </w:rPr>
        <w:t>le champ</w:t>
      </w:r>
      <w:r w:rsidRPr="00841601">
        <w:rPr>
          <w:lang w:val="fr-FR"/>
        </w:rPr>
        <w:t xml:space="preserve"> du sujet, le Rapporteur spécial a souligné que les traités et les accords internationaux juridiquement non contraignants étaient de nature différente et qu</w:t>
      </w:r>
      <w:r>
        <w:rPr>
          <w:lang w:val="fr-FR"/>
        </w:rPr>
        <w:t>’</w:t>
      </w:r>
      <w:r w:rsidRPr="00841601">
        <w:rPr>
          <w:lang w:val="fr-FR"/>
        </w:rPr>
        <w:t>il était fondamental de rassurer les États sur cette distinction. S</w:t>
      </w:r>
      <w:r>
        <w:rPr>
          <w:lang w:val="fr-FR"/>
        </w:rPr>
        <w:t>’</w:t>
      </w:r>
      <w:r w:rsidRPr="00841601">
        <w:rPr>
          <w:lang w:val="fr-FR"/>
        </w:rPr>
        <w:t>agissant de la méthode, il a proposé que la Commission suive une approche inductive plutôt que déductive et a rappelé que le succès des travaux de la Commission dépendrait de l</w:t>
      </w:r>
      <w:r>
        <w:rPr>
          <w:lang w:val="fr-FR"/>
        </w:rPr>
        <w:t>’</w:t>
      </w:r>
      <w:r w:rsidRPr="00841601">
        <w:rPr>
          <w:lang w:val="fr-FR"/>
        </w:rPr>
        <w:t xml:space="preserve">attention que celle-ci porterait à la pratique des États et de la solide discipline académique </w:t>
      </w:r>
      <w:r>
        <w:rPr>
          <w:lang w:val="fr-FR"/>
        </w:rPr>
        <w:t>à laquelle elle se tiendrait</w:t>
      </w:r>
      <w:r w:rsidRPr="00841601">
        <w:rPr>
          <w:lang w:val="fr-FR"/>
        </w:rPr>
        <w:t>.</w:t>
      </w:r>
    </w:p>
    <w:p w14:paraId="59C91359" w14:textId="77777777" w:rsidR="00C979F6" w:rsidRPr="00841601" w:rsidRDefault="00C979F6" w:rsidP="00C979F6">
      <w:pPr>
        <w:pStyle w:val="SingleTxtG"/>
        <w:ind w:left="1170"/>
      </w:pPr>
      <w:r>
        <w:t>281</w:t>
      </w:r>
      <w:r w:rsidRPr="00841601">
        <w:t>.</w:t>
      </w:r>
      <w:r w:rsidRPr="00841601">
        <w:tab/>
      </w:r>
      <w:r w:rsidRPr="00841601">
        <w:rPr>
          <w:lang w:val="fr-FR"/>
        </w:rPr>
        <w:t>Le Rapporteur spécial a dit que les discussions sur l</w:t>
      </w:r>
      <w:r>
        <w:rPr>
          <w:lang w:val="fr-FR"/>
        </w:rPr>
        <w:t>’</w:t>
      </w:r>
      <w:r w:rsidRPr="00841601">
        <w:rPr>
          <w:lang w:val="fr-FR"/>
        </w:rPr>
        <w:t xml:space="preserve">objet et </w:t>
      </w:r>
      <w:r>
        <w:rPr>
          <w:lang w:val="fr-FR"/>
        </w:rPr>
        <w:t>le champ</w:t>
      </w:r>
      <w:r w:rsidRPr="00841601">
        <w:rPr>
          <w:lang w:val="fr-FR"/>
        </w:rPr>
        <w:t xml:space="preserve"> du sujet </w:t>
      </w:r>
      <w:r>
        <w:rPr>
          <w:lang w:val="fr-FR"/>
        </w:rPr>
        <w:t>permettaient d’établir</w:t>
      </w:r>
      <w:r w:rsidRPr="00841601">
        <w:rPr>
          <w:lang w:val="fr-FR"/>
        </w:rPr>
        <w:t xml:space="preserve"> une feuille de route </w:t>
      </w:r>
      <w:r>
        <w:rPr>
          <w:lang w:val="fr-FR"/>
        </w:rPr>
        <w:t>à partir de laquelle il pourrait</w:t>
      </w:r>
      <w:r w:rsidRPr="00841601">
        <w:rPr>
          <w:lang w:val="fr-FR"/>
        </w:rPr>
        <w:t xml:space="preserve"> formuler des propositions de texte en accord avec les points généraux émergeant des débats. Dans son résumé, il s</w:t>
      </w:r>
      <w:r>
        <w:rPr>
          <w:lang w:val="fr-FR"/>
        </w:rPr>
        <w:t>’</w:t>
      </w:r>
      <w:r w:rsidRPr="00841601">
        <w:rPr>
          <w:lang w:val="fr-FR"/>
        </w:rPr>
        <w:t xml:space="preserve">est concentré sur cinq points. </w:t>
      </w:r>
    </w:p>
    <w:p w14:paraId="11F83046" w14:textId="50581A0B" w:rsidR="00C979F6" w:rsidRPr="00841601" w:rsidRDefault="00C979F6" w:rsidP="00C979F6">
      <w:pPr>
        <w:pStyle w:val="SingleTxtG"/>
        <w:ind w:left="1170"/>
      </w:pPr>
      <w:r>
        <w:t>282</w:t>
      </w:r>
      <w:r w:rsidRPr="00841601">
        <w:t>.</w:t>
      </w:r>
      <w:r w:rsidRPr="00841601">
        <w:tab/>
      </w:r>
      <w:r>
        <w:rPr>
          <w:lang w:val="fr-FR"/>
        </w:rPr>
        <w:t>Premièrement, le</w:t>
      </w:r>
      <w:r w:rsidRPr="00841601">
        <w:rPr>
          <w:lang w:val="fr-FR"/>
        </w:rPr>
        <w:t xml:space="preserve"> Rapporteur spécial a </w:t>
      </w:r>
      <w:r>
        <w:rPr>
          <w:lang w:val="fr-FR"/>
        </w:rPr>
        <w:t xml:space="preserve">observé </w:t>
      </w:r>
      <w:r w:rsidRPr="00841601">
        <w:rPr>
          <w:lang w:val="fr-FR"/>
        </w:rPr>
        <w:t>que la majorité des membres considéraient que le sujet était d</w:t>
      </w:r>
      <w:r>
        <w:rPr>
          <w:lang w:val="fr-FR"/>
        </w:rPr>
        <w:t>’</w:t>
      </w:r>
      <w:r w:rsidRPr="00841601">
        <w:rPr>
          <w:lang w:val="fr-FR"/>
        </w:rPr>
        <w:t>une grande importance pratique et que la Commission devait se concentrer sur ses aspects pratiques. Les travaux de la Commission devaient être guidés par l</w:t>
      </w:r>
      <w:r>
        <w:rPr>
          <w:lang w:val="fr-FR"/>
        </w:rPr>
        <w:t>’</w:t>
      </w:r>
      <w:r w:rsidRPr="00841601">
        <w:rPr>
          <w:lang w:val="fr-FR"/>
        </w:rPr>
        <w:t>objectif consistant à trouver un équilibre prudent entre le maintien de la liberté d</w:t>
      </w:r>
      <w:r>
        <w:rPr>
          <w:lang w:val="fr-FR"/>
        </w:rPr>
        <w:t>’</w:t>
      </w:r>
      <w:r w:rsidRPr="00841601">
        <w:rPr>
          <w:lang w:val="fr-FR"/>
        </w:rPr>
        <w:t xml:space="preserve">agir des États et le besoin de sécurité juridique. La Commission ne devrait donc pas </w:t>
      </w:r>
      <w:r w:rsidRPr="00841601">
        <w:rPr>
          <w:lang w:val="fr-FR"/>
        </w:rPr>
        <w:lastRenderedPageBreak/>
        <w:t>chercher à être prescriptive, mais plutôt à réduire, dans toute la mesure possible, les zones d</w:t>
      </w:r>
      <w:r>
        <w:rPr>
          <w:lang w:val="fr-FR"/>
        </w:rPr>
        <w:t>’</w:t>
      </w:r>
      <w:r w:rsidRPr="00841601">
        <w:rPr>
          <w:lang w:val="fr-FR"/>
        </w:rPr>
        <w:t xml:space="preserve">incertitude juridique </w:t>
      </w:r>
      <w:r>
        <w:rPr>
          <w:lang w:val="fr-FR"/>
        </w:rPr>
        <w:t>que recelait</w:t>
      </w:r>
      <w:r w:rsidRPr="00841601">
        <w:rPr>
          <w:lang w:val="fr-FR"/>
        </w:rPr>
        <w:t xml:space="preserve"> le domaine.</w:t>
      </w:r>
    </w:p>
    <w:p w14:paraId="7960B954" w14:textId="7A8537B4" w:rsidR="00C979F6" w:rsidRPr="00D65BEA" w:rsidRDefault="00C979F6" w:rsidP="00C979F6">
      <w:pPr>
        <w:pStyle w:val="SingleTxtG"/>
        <w:ind w:left="1170"/>
      </w:pPr>
      <w:r w:rsidRPr="00D65BEA">
        <w:t>283.</w:t>
      </w:r>
      <w:r w:rsidRPr="00D65BEA">
        <w:tab/>
      </w:r>
      <w:r w:rsidRPr="00D65BEA">
        <w:rPr>
          <w:lang w:val="fr-FR"/>
        </w:rPr>
        <w:t xml:space="preserve">Deuxièmement, le Rapporteur spécial s’est référé </w:t>
      </w:r>
      <w:r w:rsidR="00D836ED" w:rsidRPr="00D65BEA">
        <w:rPr>
          <w:lang w:val="fr-FR"/>
        </w:rPr>
        <w:t xml:space="preserve">au </w:t>
      </w:r>
      <w:r w:rsidRPr="00D65BEA">
        <w:rPr>
          <w:lang w:val="fr-FR"/>
        </w:rPr>
        <w:t xml:space="preserve">matériau à examiner, indiquant que la nécessité de garantir sa représentativité faisait consensus. Il a noté que de nombreux membres avaient demandé que la pratique des États soit le point de départ des travaux sur le sujet. Il s’est félicité du soutien apporté à la proposition qu’il avait formulée dans son premier rapport de demander à la présente session des informations aux États, tout en précisant qu’il était favorable à ce que cette demande soit étendue aux organisations internationales, aux sessions suivantes de la Commission. Il a pris note de la proposition de plusieurs membres concernant l’élaboration d’un questionnaire à l’intention des États sur les effets des accords internationaux juridiquement non contraignants et a suggéré que la Commission examine cette proposition quand elle aborderait cet aspect du sujet. </w:t>
      </w:r>
    </w:p>
    <w:p w14:paraId="0EB2CBCC" w14:textId="77777777" w:rsidR="00C979F6" w:rsidRPr="00841601" w:rsidRDefault="00C979F6" w:rsidP="00C979F6">
      <w:pPr>
        <w:pStyle w:val="SingleTxtG"/>
        <w:ind w:left="1170"/>
      </w:pPr>
      <w:r>
        <w:t>284</w:t>
      </w:r>
      <w:r w:rsidRPr="00841601">
        <w:t>.</w:t>
      </w:r>
      <w:r w:rsidRPr="00841601">
        <w:tab/>
      </w:r>
      <w:r>
        <w:rPr>
          <w:lang w:val="fr-FR"/>
        </w:rPr>
        <w:t>Troisièmement</w:t>
      </w:r>
      <w:r w:rsidRPr="00841601">
        <w:rPr>
          <w:lang w:val="fr-FR"/>
        </w:rPr>
        <w:t>, le Rapporteur spécial a constaté que les questions de terminologie avaient donné lieu à de nombreux commentaires et que trois termes</w:t>
      </w:r>
      <w:r>
        <w:rPr>
          <w:lang w:val="fr-FR"/>
        </w:rPr>
        <w:t>, à savoir</w:t>
      </w:r>
      <w:r w:rsidRPr="00841601">
        <w:rPr>
          <w:lang w:val="fr-FR"/>
        </w:rPr>
        <w:t xml:space="preserve"> « accords », « régime » et « effets »</w:t>
      </w:r>
      <w:r>
        <w:rPr>
          <w:lang w:val="fr-FR"/>
        </w:rPr>
        <w:t>,</w:t>
      </w:r>
      <w:r w:rsidRPr="00841601">
        <w:rPr>
          <w:lang w:val="fr-FR"/>
        </w:rPr>
        <w:t xml:space="preserve"> posaient </w:t>
      </w:r>
      <w:r>
        <w:rPr>
          <w:lang w:val="fr-FR"/>
        </w:rPr>
        <w:t>problème</w:t>
      </w:r>
      <w:r w:rsidRPr="00841601">
        <w:rPr>
          <w:lang w:val="fr-FR"/>
        </w:rPr>
        <w:t>.</w:t>
      </w:r>
    </w:p>
    <w:p w14:paraId="7C410362" w14:textId="77777777" w:rsidR="00C979F6" w:rsidRPr="00841601" w:rsidRDefault="00C979F6" w:rsidP="00C979F6">
      <w:pPr>
        <w:pStyle w:val="SingleTxtG"/>
        <w:ind w:left="1170"/>
      </w:pPr>
      <w:r>
        <w:t>285</w:t>
      </w:r>
      <w:r w:rsidRPr="00841601">
        <w:t>.</w:t>
      </w:r>
      <w:r w:rsidRPr="00841601">
        <w:tab/>
      </w:r>
      <w:r w:rsidRPr="00841601">
        <w:rPr>
          <w:lang w:val="fr-FR"/>
        </w:rPr>
        <w:t>S</w:t>
      </w:r>
      <w:r>
        <w:rPr>
          <w:lang w:val="fr-FR"/>
        </w:rPr>
        <w:t>’</w:t>
      </w:r>
      <w:r w:rsidRPr="00841601">
        <w:rPr>
          <w:lang w:val="fr-FR"/>
        </w:rPr>
        <w:t>agissant du terme « accords », le Rapporteur spécial a rappelé que, ainsi qu</w:t>
      </w:r>
      <w:r>
        <w:rPr>
          <w:lang w:val="fr-FR"/>
        </w:rPr>
        <w:t>’</w:t>
      </w:r>
      <w:r w:rsidRPr="00841601">
        <w:rPr>
          <w:lang w:val="fr-FR"/>
        </w:rPr>
        <w:t xml:space="preserve">il a été dit au cours du débat, </w:t>
      </w:r>
      <w:r>
        <w:rPr>
          <w:lang w:val="fr-FR"/>
        </w:rPr>
        <w:t>l’intitulé</w:t>
      </w:r>
      <w:r w:rsidRPr="00841601">
        <w:rPr>
          <w:lang w:val="fr-FR"/>
        </w:rPr>
        <w:t xml:space="preserve"> devait décrire de manière adéquate l</w:t>
      </w:r>
      <w:r>
        <w:rPr>
          <w:lang w:val="fr-FR"/>
        </w:rPr>
        <w:t>’</w:t>
      </w:r>
      <w:r w:rsidRPr="00841601">
        <w:rPr>
          <w:lang w:val="fr-FR"/>
        </w:rPr>
        <w:t xml:space="preserve">objet et </w:t>
      </w:r>
      <w:r>
        <w:rPr>
          <w:lang w:val="fr-FR"/>
        </w:rPr>
        <w:t>le champ</w:t>
      </w:r>
      <w:r w:rsidRPr="00841601">
        <w:rPr>
          <w:lang w:val="fr-FR"/>
        </w:rPr>
        <w:t xml:space="preserve"> des travaux de la Commission, ce qui, à son avis, était le cas </w:t>
      </w:r>
      <w:r>
        <w:rPr>
          <w:lang w:val="fr-FR"/>
        </w:rPr>
        <w:t>de l’intitulé</w:t>
      </w:r>
      <w:r w:rsidRPr="00841601">
        <w:rPr>
          <w:lang w:val="fr-FR"/>
        </w:rPr>
        <w:t xml:space="preserve"> actuel. Il a souligné qu</w:t>
      </w:r>
      <w:r>
        <w:rPr>
          <w:lang w:val="fr-FR"/>
        </w:rPr>
        <w:t>’</w:t>
      </w:r>
      <w:r w:rsidRPr="00841601">
        <w:rPr>
          <w:lang w:val="fr-FR"/>
        </w:rPr>
        <w:t>il ressortait des travaux préparatoires de la Convention de Vienne sur le droit des traités que tous les traités étaient des accords, mais tous les accords n</w:t>
      </w:r>
      <w:r>
        <w:rPr>
          <w:lang w:val="fr-FR"/>
        </w:rPr>
        <w:t>’</w:t>
      </w:r>
      <w:r w:rsidRPr="00841601">
        <w:rPr>
          <w:lang w:val="fr-FR"/>
        </w:rPr>
        <w:t>étaient pas des traités. Il a également noté que certains membres avaient fait référence aux travaux du Comité juridique interaméricain qui allaient dans le même sens.</w:t>
      </w:r>
    </w:p>
    <w:p w14:paraId="652BC23B" w14:textId="77777777" w:rsidR="00C979F6" w:rsidRPr="00841601" w:rsidRDefault="00C979F6" w:rsidP="00C979F6">
      <w:pPr>
        <w:pStyle w:val="SingleTxtG"/>
        <w:ind w:left="1170"/>
      </w:pPr>
      <w:r>
        <w:t>286</w:t>
      </w:r>
      <w:r w:rsidRPr="00841601">
        <w:t>.</w:t>
      </w:r>
      <w:r w:rsidRPr="00841601">
        <w:tab/>
      </w:r>
      <w:r w:rsidRPr="00841601">
        <w:rPr>
          <w:lang w:val="fr-FR"/>
        </w:rPr>
        <w:t>Le Rapporteur spécial a indiqué que, dans la mesure où la tendance semblait être à l</w:t>
      </w:r>
      <w:r>
        <w:rPr>
          <w:lang w:val="fr-FR"/>
        </w:rPr>
        <w:t>’</w:t>
      </w:r>
      <w:r w:rsidRPr="00841601">
        <w:rPr>
          <w:lang w:val="fr-FR"/>
        </w:rPr>
        <w:t>exclusion des résolutions des organisations internationales du champ du sujet, le terme « instruments » pouvait être trompeur, car il pouvait donner l</w:t>
      </w:r>
      <w:r>
        <w:rPr>
          <w:lang w:val="fr-FR"/>
        </w:rPr>
        <w:t>’</w:t>
      </w:r>
      <w:r w:rsidRPr="00841601">
        <w:rPr>
          <w:lang w:val="fr-FR"/>
        </w:rPr>
        <w:t>impression que le sujet couvrait tous les types d</w:t>
      </w:r>
      <w:r>
        <w:rPr>
          <w:lang w:val="fr-FR"/>
        </w:rPr>
        <w:t>’</w:t>
      </w:r>
      <w:r w:rsidRPr="00841601">
        <w:rPr>
          <w:lang w:val="fr-FR"/>
        </w:rPr>
        <w:t>instruments, y compris les résolutions susmentionnées. Il a également fait remarquer que l</w:t>
      </w:r>
      <w:r>
        <w:rPr>
          <w:lang w:val="fr-FR"/>
        </w:rPr>
        <w:t>’</w:t>
      </w:r>
      <w:r w:rsidRPr="00841601">
        <w:rPr>
          <w:lang w:val="fr-FR"/>
        </w:rPr>
        <w:t>emploi d</w:t>
      </w:r>
      <w:r>
        <w:rPr>
          <w:lang w:val="fr-FR"/>
        </w:rPr>
        <w:t>’</w:t>
      </w:r>
      <w:r w:rsidRPr="00841601">
        <w:rPr>
          <w:lang w:val="fr-FR"/>
        </w:rPr>
        <w:t>un tel terme élargirait le champ du sujet. Il estimait que le terme « arrangements » avait un sens administratif ou opérationnel dans certains systèmes juridiques et que l</w:t>
      </w:r>
      <w:r>
        <w:rPr>
          <w:lang w:val="fr-FR"/>
        </w:rPr>
        <w:t>’</w:t>
      </w:r>
      <w:r w:rsidRPr="00841601">
        <w:rPr>
          <w:lang w:val="fr-FR"/>
        </w:rPr>
        <w:t>expression « instruments concertés non conventionnels » était difficile à traduire dans les autres langues officielles de l</w:t>
      </w:r>
      <w:r>
        <w:rPr>
          <w:lang w:val="fr-FR"/>
        </w:rPr>
        <w:t>’</w:t>
      </w:r>
      <w:r w:rsidRPr="00841601">
        <w:rPr>
          <w:lang w:val="fr-FR"/>
        </w:rPr>
        <w:t>ONU, n</w:t>
      </w:r>
      <w:r>
        <w:rPr>
          <w:lang w:val="fr-FR"/>
        </w:rPr>
        <w:t>’</w:t>
      </w:r>
      <w:r w:rsidRPr="00841601">
        <w:rPr>
          <w:lang w:val="fr-FR"/>
        </w:rPr>
        <w:t>était pas utilisée fréquemment dans la pratique et ne permettait pas d</w:t>
      </w:r>
      <w:r>
        <w:rPr>
          <w:lang w:val="fr-FR"/>
        </w:rPr>
        <w:t>’</w:t>
      </w:r>
      <w:r w:rsidRPr="00841601">
        <w:rPr>
          <w:lang w:val="fr-FR"/>
        </w:rPr>
        <w:t>appréhender immédiatement l</w:t>
      </w:r>
      <w:r>
        <w:rPr>
          <w:lang w:val="fr-FR"/>
        </w:rPr>
        <w:t>’</w:t>
      </w:r>
      <w:r w:rsidRPr="00841601">
        <w:rPr>
          <w:lang w:val="fr-FR"/>
        </w:rPr>
        <w:t>objet du sujet.</w:t>
      </w:r>
    </w:p>
    <w:p w14:paraId="5AC7468C" w14:textId="77777777" w:rsidR="00C979F6" w:rsidRPr="00841601" w:rsidRDefault="00C979F6" w:rsidP="00C979F6">
      <w:pPr>
        <w:pStyle w:val="SingleTxtG"/>
        <w:ind w:left="1170"/>
      </w:pPr>
      <w:r>
        <w:t>287</w:t>
      </w:r>
      <w:r w:rsidRPr="00841601">
        <w:t>.</w:t>
      </w:r>
      <w:r w:rsidRPr="00841601">
        <w:tab/>
      </w:r>
      <w:r>
        <w:rPr>
          <w:lang w:val="fr-FR"/>
        </w:rPr>
        <w:t>Le</w:t>
      </w:r>
      <w:r w:rsidRPr="00841601">
        <w:rPr>
          <w:lang w:val="fr-FR"/>
        </w:rPr>
        <w:t xml:space="preserve"> Rapporteur spécial a</w:t>
      </w:r>
      <w:r>
        <w:rPr>
          <w:lang w:val="fr-FR"/>
        </w:rPr>
        <w:t xml:space="preserve"> aussi</w:t>
      </w:r>
      <w:r w:rsidRPr="00841601">
        <w:rPr>
          <w:lang w:val="fr-FR"/>
        </w:rPr>
        <w:t xml:space="preserve"> rappelé que, contrairement à ce que certains membres avaient laissé entendre, </w:t>
      </w:r>
      <w:r>
        <w:rPr>
          <w:lang w:val="fr-FR"/>
        </w:rPr>
        <w:t>à</w:t>
      </w:r>
      <w:r w:rsidRPr="00841601">
        <w:rPr>
          <w:lang w:val="fr-FR"/>
        </w:rPr>
        <w:t xml:space="preserve"> la Sixième Commission</w:t>
      </w:r>
      <w:r>
        <w:rPr>
          <w:lang w:val="fr-FR"/>
        </w:rPr>
        <w:t>, seuls 10 États</w:t>
      </w:r>
      <w:r w:rsidRPr="00841601">
        <w:rPr>
          <w:lang w:val="fr-FR"/>
        </w:rPr>
        <w:t xml:space="preserve"> avaient dit préférer un terme </w:t>
      </w:r>
      <w:r>
        <w:rPr>
          <w:lang w:val="fr-FR"/>
        </w:rPr>
        <w:t xml:space="preserve">autre </w:t>
      </w:r>
      <w:r w:rsidRPr="00841601">
        <w:rPr>
          <w:lang w:val="fr-FR"/>
        </w:rPr>
        <w:t>qu</w:t>
      </w:r>
      <w:r>
        <w:rPr>
          <w:lang w:val="fr-FR"/>
        </w:rPr>
        <w:t>’</w:t>
      </w:r>
      <w:r w:rsidRPr="00841601">
        <w:rPr>
          <w:lang w:val="fr-FR"/>
        </w:rPr>
        <w:t xml:space="preserve">« accords ». Il estimait </w:t>
      </w:r>
      <w:r>
        <w:rPr>
          <w:lang w:val="fr-FR"/>
        </w:rPr>
        <w:t xml:space="preserve">en outre </w:t>
      </w:r>
      <w:r w:rsidRPr="00841601">
        <w:rPr>
          <w:lang w:val="fr-FR"/>
        </w:rPr>
        <w:t>que certains États pourraient changer d</w:t>
      </w:r>
      <w:r>
        <w:rPr>
          <w:lang w:val="fr-FR"/>
        </w:rPr>
        <w:t>’</w:t>
      </w:r>
      <w:r w:rsidRPr="00841601">
        <w:rPr>
          <w:lang w:val="fr-FR"/>
        </w:rPr>
        <w:t xml:space="preserve">avis sur </w:t>
      </w:r>
      <w:r>
        <w:rPr>
          <w:lang w:val="fr-FR"/>
        </w:rPr>
        <w:t xml:space="preserve">l’emploi de </w:t>
      </w:r>
      <w:r w:rsidRPr="00841601">
        <w:rPr>
          <w:lang w:val="fr-FR"/>
        </w:rPr>
        <w:t xml:space="preserve">ce terme après avoir examiné les travaux </w:t>
      </w:r>
      <w:r>
        <w:rPr>
          <w:lang w:val="fr-FR"/>
        </w:rPr>
        <w:t xml:space="preserve">menés </w:t>
      </w:r>
      <w:r w:rsidRPr="00841601">
        <w:rPr>
          <w:lang w:val="fr-FR"/>
        </w:rPr>
        <w:t>par la Commission à la présente session.</w:t>
      </w:r>
    </w:p>
    <w:p w14:paraId="29EA3F07" w14:textId="77777777" w:rsidR="00C979F6" w:rsidRPr="00841601" w:rsidRDefault="00C979F6" w:rsidP="00C979F6">
      <w:pPr>
        <w:pStyle w:val="SingleTxtG"/>
        <w:ind w:left="1170"/>
      </w:pPr>
      <w:r w:rsidRPr="00D65BEA">
        <w:t>288.</w:t>
      </w:r>
      <w:r w:rsidRPr="00D65BEA">
        <w:tab/>
      </w:r>
      <w:r w:rsidRPr="00D65BEA">
        <w:rPr>
          <w:lang w:val="fr-FR"/>
        </w:rPr>
        <w:t>Le Rapporteur spécial a souligné que pour éviter tout malentendu, il faudrait indiquer clairement dans les commentaires du projet de dispositions sur le sujet que le terme « accords » s</w:t>
      </w:r>
      <w:r>
        <w:rPr>
          <w:lang w:val="fr-FR"/>
        </w:rPr>
        <w:t>’</w:t>
      </w:r>
      <w:r w:rsidRPr="00841601">
        <w:rPr>
          <w:lang w:val="fr-FR"/>
        </w:rPr>
        <w:t>entendait de la rencontre des volontés (</w:t>
      </w:r>
      <w:r>
        <w:rPr>
          <w:lang w:val="fr-FR"/>
        </w:rPr>
        <w:t xml:space="preserve">le </w:t>
      </w:r>
      <w:r w:rsidRPr="00841601">
        <w:rPr>
          <w:lang w:val="fr-FR"/>
        </w:rPr>
        <w:t>consentement mutuel) des parties et que l</w:t>
      </w:r>
      <w:r>
        <w:rPr>
          <w:lang w:val="fr-FR"/>
        </w:rPr>
        <w:t>’</w:t>
      </w:r>
      <w:r w:rsidRPr="00841601">
        <w:rPr>
          <w:lang w:val="fr-FR"/>
        </w:rPr>
        <w:t>emploi de ce terme était sans préjudice de la nature et des effets de l</w:t>
      </w:r>
      <w:r>
        <w:rPr>
          <w:lang w:val="fr-FR"/>
        </w:rPr>
        <w:t>’</w:t>
      </w:r>
      <w:r w:rsidRPr="00841601">
        <w:rPr>
          <w:lang w:val="fr-FR"/>
        </w:rPr>
        <w:t>accord et des choix terminologiques faits par les États dans leur pratique.</w:t>
      </w:r>
    </w:p>
    <w:p w14:paraId="1A80C50A" w14:textId="5B648F93" w:rsidR="00C979F6" w:rsidRPr="00841601" w:rsidRDefault="00C979F6" w:rsidP="00C979F6">
      <w:pPr>
        <w:pStyle w:val="SingleTxtG"/>
        <w:ind w:left="1170"/>
      </w:pPr>
      <w:r>
        <w:t>289</w:t>
      </w:r>
      <w:r w:rsidRPr="00841601">
        <w:t>.</w:t>
      </w:r>
      <w:r w:rsidRPr="00841601">
        <w:tab/>
      </w:r>
      <w:r w:rsidRPr="00841601">
        <w:rPr>
          <w:lang w:val="fr-FR"/>
        </w:rPr>
        <w:t xml:space="preserve">En ce qui concerne </w:t>
      </w:r>
      <w:r>
        <w:rPr>
          <w:lang w:val="fr-FR"/>
        </w:rPr>
        <w:t>l’intitulé</w:t>
      </w:r>
      <w:r w:rsidRPr="00841601">
        <w:rPr>
          <w:lang w:val="fr-FR"/>
        </w:rPr>
        <w:t xml:space="preserve"> du sujet, le Rapporteur spécial a dit qu</w:t>
      </w:r>
      <w:r>
        <w:rPr>
          <w:lang w:val="fr-FR"/>
        </w:rPr>
        <w:t>’</w:t>
      </w:r>
      <w:r w:rsidRPr="00841601">
        <w:rPr>
          <w:lang w:val="fr-FR"/>
        </w:rPr>
        <w:t>il devrait être conservé tel quel, mais qu</w:t>
      </w:r>
      <w:r>
        <w:rPr>
          <w:lang w:val="fr-FR"/>
        </w:rPr>
        <w:t>’</w:t>
      </w:r>
      <w:r w:rsidRPr="00841601">
        <w:rPr>
          <w:lang w:val="fr-FR"/>
        </w:rPr>
        <w:t>il serait peut-être nécessaire d</w:t>
      </w:r>
      <w:r>
        <w:rPr>
          <w:lang w:val="fr-FR"/>
        </w:rPr>
        <w:t>’</w:t>
      </w:r>
      <w:r w:rsidRPr="00841601">
        <w:rPr>
          <w:lang w:val="fr-FR"/>
        </w:rPr>
        <w:t>ajuster la version anglaise afin qu</w:t>
      </w:r>
      <w:r>
        <w:rPr>
          <w:lang w:val="fr-FR"/>
        </w:rPr>
        <w:t>’</w:t>
      </w:r>
      <w:r w:rsidRPr="00841601">
        <w:rPr>
          <w:lang w:val="fr-FR"/>
        </w:rPr>
        <w:t>elle soit alignée sur les autres versions linguistiques, notamment le français et l</w:t>
      </w:r>
      <w:r>
        <w:rPr>
          <w:lang w:val="fr-FR"/>
        </w:rPr>
        <w:t>’</w:t>
      </w:r>
      <w:r w:rsidRPr="00841601">
        <w:rPr>
          <w:lang w:val="fr-FR"/>
        </w:rPr>
        <w:t>espagnol. Il s</w:t>
      </w:r>
      <w:r>
        <w:rPr>
          <w:lang w:val="fr-FR"/>
        </w:rPr>
        <w:t>’</w:t>
      </w:r>
      <w:r w:rsidRPr="00841601">
        <w:rPr>
          <w:lang w:val="fr-FR"/>
        </w:rPr>
        <w:t>agirait de parler d</w:t>
      </w:r>
      <w:r>
        <w:rPr>
          <w:lang w:val="fr-FR"/>
        </w:rPr>
        <w:t>’</w:t>
      </w:r>
      <w:r w:rsidRPr="00841601">
        <w:rPr>
          <w:lang w:val="fr-FR"/>
        </w:rPr>
        <w:t>accords « </w:t>
      </w:r>
      <w:proofErr w:type="spellStart"/>
      <w:r w:rsidRPr="00841601">
        <w:rPr>
          <w:i/>
          <w:iCs/>
          <w:lang w:val="fr-FR"/>
        </w:rPr>
        <w:t>legally</w:t>
      </w:r>
      <w:proofErr w:type="spellEnd"/>
      <w:r w:rsidRPr="00841601">
        <w:rPr>
          <w:i/>
          <w:iCs/>
          <w:lang w:val="fr-FR"/>
        </w:rPr>
        <w:t xml:space="preserve"> non-bi</w:t>
      </w:r>
      <w:r w:rsidR="00D65BEA">
        <w:rPr>
          <w:i/>
          <w:iCs/>
          <w:lang w:val="fr-FR"/>
        </w:rPr>
        <w:t>n</w:t>
      </w:r>
      <w:r w:rsidRPr="00841601">
        <w:rPr>
          <w:i/>
          <w:iCs/>
          <w:lang w:val="fr-FR"/>
        </w:rPr>
        <w:t>ding</w:t>
      </w:r>
      <w:r w:rsidRPr="00841601">
        <w:rPr>
          <w:lang w:val="fr-FR"/>
        </w:rPr>
        <w:t> » plutôt que d</w:t>
      </w:r>
      <w:r>
        <w:rPr>
          <w:lang w:val="fr-FR"/>
        </w:rPr>
        <w:t>’</w:t>
      </w:r>
      <w:r w:rsidRPr="00841601">
        <w:rPr>
          <w:lang w:val="fr-FR"/>
        </w:rPr>
        <w:t>accords « </w:t>
      </w:r>
      <w:r w:rsidRPr="00841601">
        <w:rPr>
          <w:i/>
          <w:iCs/>
          <w:lang w:val="fr-FR"/>
        </w:rPr>
        <w:t>non-</w:t>
      </w:r>
      <w:proofErr w:type="spellStart"/>
      <w:r w:rsidRPr="00841601">
        <w:rPr>
          <w:i/>
          <w:iCs/>
          <w:lang w:val="fr-FR"/>
        </w:rPr>
        <w:t>legally</w:t>
      </w:r>
      <w:proofErr w:type="spellEnd"/>
      <w:r w:rsidRPr="00841601">
        <w:rPr>
          <w:i/>
          <w:iCs/>
          <w:lang w:val="fr-FR"/>
        </w:rPr>
        <w:t xml:space="preserve"> binding</w:t>
      </w:r>
      <w:r w:rsidRPr="00841601">
        <w:rPr>
          <w:lang w:val="fr-FR"/>
        </w:rPr>
        <w:t> ». Il a suggéré que le groupe</w:t>
      </w:r>
      <w:r>
        <w:rPr>
          <w:lang w:val="fr-FR"/>
        </w:rPr>
        <w:t xml:space="preserve"> linguistique</w:t>
      </w:r>
      <w:r w:rsidRPr="00841601">
        <w:rPr>
          <w:lang w:val="fr-FR"/>
        </w:rPr>
        <w:t xml:space="preserve"> anglophone conseille la Commission à cet égard.</w:t>
      </w:r>
    </w:p>
    <w:p w14:paraId="5913CDC6" w14:textId="77777777" w:rsidR="00C979F6" w:rsidRPr="00841601" w:rsidRDefault="00C979F6" w:rsidP="00C979F6">
      <w:pPr>
        <w:pStyle w:val="SingleTxtG"/>
        <w:ind w:left="1170"/>
      </w:pPr>
      <w:r>
        <w:t>290</w:t>
      </w:r>
      <w:r w:rsidRPr="00841601">
        <w:t>.</w:t>
      </w:r>
      <w:r w:rsidRPr="00841601">
        <w:tab/>
      </w:r>
      <w:r w:rsidRPr="00841601">
        <w:rPr>
          <w:lang w:val="fr-FR"/>
        </w:rPr>
        <w:t>Le Rapporteur spécial a souligné qu</w:t>
      </w:r>
      <w:r>
        <w:rPr>
          <w:lang w:val="fr-FR"/>
        </w:rPr>
        <w:t>’</w:t>
      </w:r>
      <w:r w:rsidRPr="00841601">
        <w:rPr>
          <w:lang w:val="fr-FR"/>
        </w:rPr>
        <w:t xml:space="preserve">il fallait conserver le terme « juridiquement » dans </w:t>
      </w:r>
      <w:r>
        <w:rPr>
          <w:lang w:val="fr-FR"/>
        </w:rPr>
        <w:t>l’intitulé</w:t>
      </w:r>
      <w:r w:rsidRPr="00841601">
        <w:rPr>
          <w:lang w:val="fr-FR"/>
        </w:rPr>
        <w:t xml:space="preserve"> du sujet</w:t>
      </w:r>
      <w:r>
        <w:rPr>
          <w:lang w:val="fr-FR"/>
        </w:rPr>
        <w:t xml:space="preserve"> car </w:t>
      </w:r>
      <w:r w:rsidRPr="00841601">
        <w:rPr>
          <w:lang w:val="fr-FR"/>
        </w:rPr>
        <w:t>le champ du sujet couvrait les accords du point de vue du droit international et un accord pouvait être politiquement contraignant sans être juridiquement contraignant.</w:t>
      </w:r>
    </w:p>
    <w:p w14:paraId="67CA0729" w14:textId="77777777" w:rsidR="00C979F6" w:rsidRPr="00841601" w:rsidRDefault="00C979F6" w:rsidP="00C979F6">
      <w:pPr>
        <w:pStyle w:val="SingleTxtG"/>
        <w:ind w:left="1170"/>
      </w:pPr>
      <w:r>
        <w:t>291</w:t>
      </w:r>
      <w:r w:rsidRPr="00841601">
        <w:t>.</w:t>
      </w:r>
      <w:r w:rsidRPr="00841601">
        <w:tab/>
      </w:r>
      <w:r w:rsidRPr="00841601">
        <w:rPr>
          <w:lang w:val="fr-FR"/>
        </w:rPr>
        <w:t>Concernant l</w:t>
      </w:r>
      <w:r>
        <w:rPr>
          <w:lang w:val="fr-FR"/>
        </w:rPr>
        <w:t>’</w:t>
      </w:r>
      <w:r w:rsidRPr="00841601">
        <w:rPr>
          <w:lang w:val="fr-FR"/>
        </w:rPr>
        <w:t>utilisation du terme « régime » dans son premier rapport, le Rapporteur spécial a dit qu</w:t>
      </w:r>
      <w:r>
        <w:rPr>
          <w:lang w:val="fr-FR"/>
        </w:rPr>
        <w:t>’</w:t>
      </w:r>
      <w:r w:rsidRPr="00841601">
        <w:rPr>
          <w:lang w:val="fr-FR"/>
        </w:rPr>
        <w:t>il était d</w:t>
      </w:r>
      <w:r>
        <w:rPr>
          <w:lang w:val="fr-FR"/>
        </w:rPr>
        <w:t>’</w:t>
      </w:r>
      <w:r w:rsidRPr="00841601">
        <w:rPr>
          <w:lang w:val="fr-FR"/>
        </w:rPr>
        <w:t>accord avec les membres qui considéraient que l</w:t>
      </w:r>
      <w:r>
        <w:rPr>
          <w:lang w:val="fr-FR"/>
        </w:rPr>
        <w:t>’</w:t>
      </w:r>
      <w:r w:rsidRPr="00841601">
        <w:rPr>
          <w:lang w:val="fr-FR"/>
        </w:rPr>
        <w:t>utilisation de ce terme avait été imprudente, ajoutant que son but n</w:t>
      </w:r>
      <w:r>
        <w:rPr>
          <w:lang w:val="fr-FR"/>
        </w:rPr>
        <w:t>’</w:t>
      </w:r>
      <w:r w:rsidRPr="00841601">
        <w:rPr>
          <w:lang w:val="fr-FR"/>
        </w:rPr>
        <w:t xml:space="preserve">était pas de laisser entendre que la </w:t>
      </w:r>
      <w:r w:rsidRPr="00841601">
        <w:rPr>
          <w:lang w:val="fr-FR"/>
        </w:rPr>
        <w:lastRenderedPageBreak/>
        <w:t xml:space="preserve">Commission </w:t>
      </w:r>
      <w:r>
        <w:rPr>
          <w:lang w:val="fr-FR"/>
        </w:rPr>
        <w:t>établirait</w:t>
      </w:r>
      <w:r w:rsidRPr="00841601">
        <w:rPr>
          <w:lang w:val="fr-FR"/>
        </w:rPr>
        <w:t xml:space="preserve"> un nouveau cadre juridique pour les accords non contraignants. Ce qui précédait était sans préjudice de la possibilité que certaines dispositions du droit des traités s</w:t>
      </w:r>
      <w:r>
        <w:rPr>
          <w:lang w:val="fr-FR"/>
        </w:rPr>
        <w:t>’</w:t>
      </w:r>
      <w:r w:rsidRPr="00841601">
        <w:rPr>
          <w:lang w:val="fr-FR"/>
        </w:rPr>
        <w:t>appliquent par analogie ou en tant que reflet de règles générales ou fondamentales du droit international. Le Rapporteur spécial a pris note du fait que certains membres avaient exprimé des doutes quant à l</w:t>
      </w:r>
      <w:r>
        <w:rPr>
          <w:lang w:val="fr-FR"/>
        </w:rPr>
        <w:t>’</w:t>
      </w:r>
      <w:r w:rsidRPr="00841601">
        <w:rPr>
          <w:lang w:val="fr-FR"/>
        </w:rPr>
        <w:t>intérêt pratique de cette question.</w:t>
      </w:r>
    </w:p>
    <w:p w14:paraId="4C818EC1" w14:textId="77777777" w:rsidR="00C979F6" w:rsidRPr="00841601" w:rsidRDefault="00C979F6" w:rsidP="00C979F6">
      <w:pPr>
        <w:pStyle w:val="SingleTxtG"/>
        <w:ind w:left="1170"/>
      </w:pPr>
      <w:r>
        <w:t>292</w:t>
      </w:r>
      <w:r w:rsidRPr="00841601">
        <w:t>.</w:t>
      </w:r>
      <w:r w:rsidRPr="00841601">
        <w:tab/>
      </w:r>
      <w:r w:rsidRPr="00841601">
        <w:rPr>
          <w:lang w:val="fr-FR"/>
        </w:rPr>
        <w:t xml:space="preserve">Le Rapporteur spécial a dit </w:t>
      </w:r>
      <w:r>
        <w:rPr>
          <w:lang w:val="fr-FR"/>
        </w:rPr>
        <w:t>que l’emploi de</w:t>
      </w:r>
      <w:r w:rsidRPr="00841601">
        <w:rPr>
          <w:lang w:val="fr-FR"/>
        </w:rPr>
        <w:t xml:space="preserve"> l</w:t>
      </w:r>
      <w:r>
        <w:rPr>
          <w:lang w:val="fr-FR"/>
        </w:rPr>
        <w:t>’</w:t>
      </w:r>
      <w:r w:rsidRPr="00841601">
        <w:rPr>
          <w:lang w:val="fr-FR"/>
        </w:rPr>
        <w:t xml:space="preserve">expression « effets juridiques potentiels » </w:t>
      </w:r>
      <w:r>
        <w:rPr>
          <w:lang w:val="fr-FR"/>
        </w:rPr>
        <w:t xml:space="preserve">était peut-être imprudent aussi </w:t>
      </w:r>
      <w:r w:rsidRPr="00841601">
        <w:rPr>
          <w:lang w:val="fr-FR"/>
        </w:rPr>
        <w:t xml:space="preserve">et a mentionné les solutions de remplacement proposées par certains membres, notamment « implications » ou « conséquences ». </w:t>
      </w:r>
    </w:p>
    <w:p w14:paraId="214E5A4E" w14:textId="77777777" w:rsidR="00C979F6" w:rsidRPr="00841601" w:rsidRDefault="00C979F6" w:rsidP="00C979F6">
      <w:pPr>
        <w:pStyle w:val="SingleTxtG"/>
        <w:spacing w:line="242" w:lineRule="atLeast"/>
        <w:ind w:left="1168"/>
      </w:pPr>
      <w:r>
        <w:t>293</w:t>
      </w:r>
      <w:r w:rsidRPr="00841601">
        <w:t>.</w:t>
      </w:r>
      <w:r w:rsidRPr="00841601">
        <w:tab/>
      </w:r>
      <w:r w:rsidRPr="00841601">
        <w:rPr>
          <w:lang w:val="fr-FR"/>
        </w:rPr>
        <w:t xml:space="preserve">Quatrièmement, le Rapporteur spécial </w:t>
      </w:r>
      <w:r>
        <w:rPr>
          <w:lang w:val="fr-FR"/>
        </w:rPr>
        <w:t>a dit que selon lui,</w:t>
      </w:r>
      <w:r w:rsidRPr="00841601">
        <w:rPr>
          <w:lang w:val="fr-FR"/>
        </w:rPr>
        <w:t xml:space="preserve"> les raisons pour lesquelles les États choisissaient de conclure des accords internationaux juridiquement non contraignants ne relevaient pas du sujet. Les travaux de la Commission devraient se limiter aux accords écrits et exclure les dispositions non contraignantes figurant dans des traités ainsi que les actes unilatéraux. Il a précisé que les accords résultant d</w:t>
      </w:r>
      <w:r>
        <w:rPr>
          <w:lang w:val="fr-FR"/>
        </w:rPr>
        <w:t>’</w:t>
      </w:r>
      <w:r w:rsidRPr="00841601">
        <w:rPr>
          <w:lang w:val="fr-FR"/>
        </w:rPr>
        <w:t>un échange de lettres seraient inclus dans le champ du sujet</w:t>
      </w:r>
      <w:r>
        <w:rPr>
          <w:lang w:val="fr-FR"/>
        </w:rPr>
        <w:t xml:space="preserve"> et que celui-ci couvrirait les accords bilatéraux, régionaux et multilatéraux</w:t>
      </w:r>
      <w:r w:rsidRPr="00841601">
        <w:rPr>
          <w:lang w:val="fr-FR"/>
        </w:rPr>
        <w:t>.</w:t>
      </w:r>
    </w:p>
    <w:p w14:paraId="55EB3428" w14:textId="77777777" w:rsidR="00C979F6" w:rsidRPr="00841601" w:rsidRDefault="00C979F6" w:rsidP="00C979F6">
      <w:pPr>
        <w:pStyle w:val="SingleTxtG"/>
        <w:ind w:left="1170"/>
      </w:pPr>
      <w:r>
        <w:t>294</w:t>
      </w:r>
      <w:r w:rsidRPr="00841601">
        <w:t>.</w:t>
      </w:r>
      <w:r w:rsidRPr="00841601">
        <w:tab/>
      </w:r>
      <w:r w:rsidRPr="00841601">
        <w:rPr>
          <w:lang w:val="fr-FR"/>
        </w:rPr>
        <w:t>Le Rapporteur spécial a dit que les accords conclus avec des personnes privées devaient être exclus du champ du sujet, faute de quoi la Commission</w:t>
      </w:r>
      <w:r>
        <w:rPr>
          <w:lang w:val="fr-FR"/>
        </w:rPr>
        <w:t xml:space="preserve"> serait amenée</w:t>
      </w:r>
      <w:r w:rsidRPr="00841601">
        <w:rPr>
          <w:lang w:val="fr-FR"/>
        </w:rPr>
        <w:t xml:space="preserve"> à examiner des instruments de nature différente, mais les accords avec des organisations internationales devaient être inclus. </w:t>
      </w:r>
      <w:r>
        <w:rPr>
          <w:lang w:val="fr-FR"/>
        </w:rPr>
        <w:t xml:space="preserve">Concernant la </w:t>
      </w:r>
      <w:r w:rsidRPr="00841601">
        <w:rPr>
          <w:lang w:val="fr-FR"/>
        </w:rPr>
        <w:t>composante normative des accords</w:t>
      </w:r>
      <w:r>
        <w:rPr>
          <w:lang w:val="fr-FR"/>
        </w:rPr>
        <w:t xml:space="preserve"> à inclure dans le champ du sujet</w:t>
      </w:r>
      <w:r w:rsidRPr="00841601">
        <w:rPr>
          <w:lang w:val="fr-FR"/>
        </w:rPr>
        <w:t xml:space="preserve">, il a </w:t>
      </w:r>
      <w:r>
        <w:rPr>
          <w:lang w:val="fr-FR"/>
        </w:rPr>
        <w:t>dit qu’il proposait</w:t>
      </w:r>
      <w:r w:rsidRPr="00841601">
        <w:rPr>
          <w:lang w:val="fr-FR"/>
        </w:rPr>
        <w:t xml:space="preserve"> de partir du principe</w:t>
      </w:r>
      <w:r>
        <w:rPr>
          <w:lang w:val="fr-FR"/>
        </w:rPr>
        <w:t xml:space="preserve"> qu’il fallait étudier les accords</w:t>
      </w:r>
      <w:r w:rsidRPr="00841601">
        <w:rPr>
          <w:lang w:val="fr-FR"/>
        </w:rPr>
        <w:t xml:space="preserve"> qui comportaient une forme d</w:t>
      </w:r>
      <w:r>
        <w:rPr>
          <w:lang w:val="fr-FR"/>
        </w:rPr>
        <w:t>’</w:t>
      </w:r>
      <w:r w:rsidRPr="00841601">
        <w:rPr>
          <w:lang w:val="fr-FR"/>
        </w:rPr>
        <w:t>engagement à faire quelque chose et ne se limitaient pas à énoncer des faits ou des positions.</w:t>
      </w:r>
    </w:p>
    <w:p w14:paraId="3B3CC9DC" w14:textId="77777777" w:rsidR="00C979F6" w:rsidRPr="00841601" w:rsidRDefault="00C979F6" w:rsidP="00C979F6">
      <w:pPr>
        <w:pStyle w:val="SingleTxtG"/>
        <w:ind w:left="1170"/>
      </w:pPr>
      <w:r>
        <w:t>295</w:t>
      </w:r>
      <w:r w:rsidRPr="00841601">
        <w:t>.</w:t>
      </w:r>
      <w:r w:rsidRPr="00841601">
        <w:tab/>
      </w:r>
      <w:r w:rsidRPr="00841601">
        <w:rPr>
          <w:lang w:val="fr-FR"/>
        </w:rPr>
        <w:t>En outre, le Rapporteur spécial a constaté que, bien qu</w:t>
      </w:r>
      <w:r>
        <w:rPr>
          <w:lang w:val="fr-FR"/>
        </w:rPr>
        <w:t>’</w:t>
      </w:r>
      <w:r w:rsidRPr="00841601">
        <w:rPr>
          <w:lang w:val="fr-FR"/>
        </w:rPr>
        <w:t>il ait proposé dans son rapport d</w:t>
      </w:r>
      <w:r>
        <w:rPr>
          <w:lang w:val="fr-FR"/>
        </w:rPr>
        <w:t>’</w:t>
      </w:r>
      <w:r w:rsidRPr="00841601">
        <w:rPr>
          <w:lang w:val="fr-FR"/>
        </w:rPr>
        <w:t xml:space="preserve">exclure les accords interinstitutionnels du champ du sujet, plusieurs membres </w:t>
      </w:r>
      <w:r>
        <w:rPr>
          <w:lang w:val="fr-FR"/>
        </w:rPr>
        <w:t>étaient en faveur de l’inclusion de ces accords</w:t>
      </w:r>
      <w:r w:rsidRPr="00841601">
        <w:rPr>
          <w:lang w:val="fr-FR"/>
        </w:rPr>
        <w:t>. Il estimait qu</w:t>
      </w:r>
      <w:r>
        <w:rPr>
          <w:lang w:val="fr-FR"/>
        </w:rPr>
        <w:t>’</w:t>
      </w:r>
      <w:r w:rsidRPr="00841601">
        <w:rPr>
          <w:lang w:val="fr-FR"/>
        </w:rPr>
        <w:t>il fallait circonscrire plus précisément les types d</w:t>
      </w:r>
      <w:r>
        <w:rPr>
          <w:lang w:val="fr-FR"/>
        </w:rPr>
        <w:t>’</w:t>
      </w:r>
      <w:r w:rsidRPr="00841601">
        <w:rPr>
          <w:lang w:val="fr-FR"/>
        </w:rPr>
        <w:t>accords interinstitutionnels pris en compte, par exemple en se limitant à ceux qui présentaient un intérêt au regard du droit international. Il a aussi souligné que la prise en compte de ces accords ne devait pas être interprétée comme validant des pratiques qui n</w:t>
      </w:r>
      <w:r>
        <w:rPr>
          <w:lang w:val="fr-FR"/>
        </w:rPr>
        <w:t>’</w:t>
      </w:r>
      <w:r w:rsidRPr="00841601">
        <w:rPr>
          <w:lang w:val="fr-FR"/>
        </w:rPr>
        <w:t xml:space="preserve">étaient pas </w:t>
      </w:r>
      <w:r>
        <w:rPr>
          <w:lang w:val="fr-FR"/>
        </w:rPr>
        <w:t xml:space="preserve">nécessairement </w:t>
      </w:r>
      <w:r w:rsidRPr="00841601">
        <w:rPr>
          <w:lang w:val="fr-FR"/>
        </w:rPr>
        <w:t>autorisées par les autorités nationales chargées des affaires étrangères.</w:t>
      </w:r>
    </w:p>
    <w:p w14:paraId="2618C2E8" w14:textId="77777777" w:rsidR="00C979F6" w:rsidRPr="00841601" w:rsidRDefault="00C979F6" w:rsidP="00C979F6">
      <w:pPr>
        <w:pStyle w:val="SingleTxtG"/>
        <w:ind w:left="1170"/>
      </w:pPr>
      <w:r>
        <w:t>296</w:t>
      </w:r>
      <w:r w:rsidRPr="00841601">
        <w:t>.</w:t>
      </w:r>
      <w:r w:rsidRPr="00841601">
        <w:tab/>
      </w:r>
      <w:r w:rsidRPr="00841601">
        <w:rPr>
          <w:lang w:val="fr-FR"/>
        </w:rPr>
        <w:t>Le Rapporteur spécial a indiqué que l</w:t>
      </w:r>
      <w:r>
        <w:rPr>
          <w:lang w:val="fr-FR"/>
        </w:rPr>
        <w:t>’</w:t>
      </w:r>
      <w:r w:rsidRPr="00841601">
        <w:rPr>
          <w:lang w:val="fr-FR"/>
        </w:rPr>
        <w:t>avis des membres semblait tendre vers l</w:t>
      </w:r>
      <w:r>
        <w:rPr>
          <w:lang w:val="fr-FR"/>
        </w:rPr>
        <w:t>’</w:t>
      </w:r>
      <w:r w:rsidRPr="00841601">
        <w:rPr>
          <w:lang w:val="fr-FR"/>
        </w:rPr>
        <w:t>exclusion des actes adoptés par les organisations internationales agissant en tant que telles, mais a noté que certains membres estimaient que les résolutions des organisations internationales ne devaient pas être catégoriquement exclues du sujet. S</w:t>
      </w:r>
      <w:r>
        <w:rPr>
          <w:lang w:val="fr-FR"/>
        </w:rPr>
        <w:t>’</w:t>
      </w:r>
      <w:r w:rsidRPr="00841601">
        <w:rPr>
          <w:lang w:val="fr-FR"/>
        </w:rPr>
        <w:t>agissant des actes des conférences intergouvernementales, il semblait ressortir des opinions exprimées par les membres qu</w:t>
      </w:r>
      <w:r>
        <w:rPr>
          <w:lang w:val="fr-FR"/>
        </w:rPr>
        <w:t>’</w:t>
      </w:r>
      <w:r w:rsidRPr="00841601">
        <w:rPr>
          <w:lang w:val="fr-FR"/>
        </w:rPr>
        <w:t>ils étaient ouverts à l</w:t>
      </w:r>
      <w:r>
        <w:rPr>
          <w:lang w:val="fr-FR"/>
        </w:rPr>
        <w:t>’</w:t>
      </w:r>
      <w:r w:rsidRPr="00841601">
        <w:rPr>
          <w:lang w:val="fr-FR"/>
        </w:rPr>
        <w:t>inclusion de ces actes, d</w:t>
      </w:r>
      <w:r>
        <w:rPr>
          <w:lang w:val="fr-FR"/>
        </w:rPr>
        <w:t>’</w:t>
      </w:r>
      <w:r w:rsidRPr="00841601">
        <w:rPr>
          <w:lang w:val="fr-FR"/>
        </w:rPr>
        <w:t>autant que ceux-ci représentaient la majeure partie des accords internationaux juridiquement non contraignants conclus au niveau multilatéral. Le Rapporteur spécial a proposé d</w:t>
      </w:r>
      <w:r>
        <w:rPr>
          <w:lang w:val="fr-FR"/>
        </w:rPr>
        <w:t>’</w:t>
      </w:r>
      <w:r w:rsidRPr="00841601">
        <w:rPr>
          <w:lang w:val="fr-FR"/>
        </w:rPr>
        <w:t>inclure ces actes dans les travaux à venir.</w:t>
      </w:r>
    </w:p>
    <w:p w14:paraId="1EFA0AC9" w14:textId="7C1AE93A" w:rsidR="00C979F6" w:rsidRPr="00841601" w:rsidRDefault="00C979F6" w:rsidP="00C979F6">
      <w:pPr>
        <w:pStyle w:val="SingleTxtG"/>
        <w:ind w:left="1170"/>
      </w:pPr>
      <w:r>
        <w:t>297</w:t>
      </w:r>
      <w:r w:rsidRPr="00841601">
        <w:t>.</w:t>
      </w:r>
      <w:r w:rsidRPr="00841601">
        <w:tab/>
      </w:r>
      <w:r>
        <w:rPr>
          <w:lang w:val="fr-FR"/>
        </w:rPr>
        <w:t>Cinquièmement</w:t>
      </w:r>
      <w:r w:rsidRPr="00841601">
        <w:rPr>
          <w:lang w:val="fr-FR"/>
        </w:rPr>
        <w:t>, concernant la forme finale à donner aux travaux de la Commission, le Rapporteur spécial a observé que les membres avaient exprimé des points de vue divergents, avec toutefois un</w:t>
      </w:r>
      <w:r>
        <w:rPr>
          <w:lang w:val="fr-FR"/>
        </w:rPr>
        <w:t>e</w:t>
      </w:r>
      <w:r w:rsidRPr="00841601">
        <w:rPr>
          <w:lang w:val="fr-FR"/>
        </w:rPr>
        <w:t xml:space="preserve"> </w:t>
      </w:r>
      <w:r>
        <w:rPr>
          <w:lang w:val="fr-FR"/>
        </w:rPr>
        <w:t>légère préférence</w:t>
      </w:r>
      <w:r w:rsidRPr="00841601">
        <w:rPr>
          <w:lang w:val="fr-FR"/>
        </w:rPr>
        <w:t xml:space="preserve"> pour </w:t>
      </w:r>
      <w:r>
        <w:rPr>
          <w:lang w:val="fr-FR"/>
        </w:rPr>
        <w:t>un</w:t>
      </w:r>
      <w:r w:rsidRPr="00841601">
        <w:rPr>
          <w:lang w:val="fr-FR"/>
        </w:rPr>
        <w:t xml:space="preserve"> projet de conclusions. Il a rappelé que </w:t>
      </w:r>
      <w:r>
        <w:rPr>
          <w:lang w:val="fr-FR"/>
        </w:rPr>
        <w:t>les</w:t>
      </w:r>
      <w:r w:rsidRPr="00841601">
        <w:rPr>
          <w:lang w:val="fr-FR"/>
        </w:rPr>
        <w:t xml:space="preserve"> membres </w:t>
      </w:r>
      <w:r>
        <w:rPr>
          <w:lang w:val="fr-FR"/>
        </w:rPr>
        <w:t xml:space="preserve">étaient dans l’ensemble </w:t>
      </w:r>
      <w:r w:rsidRPr="00841601">
        <w:rPr>
          <w:lang w:val="fr-FR"/>
        </w:rPr>
        <w:t>convenu</w:t>
      </w:r>
      <w:r>
        <w:rPr>
          <w:lang w:val="fr-FR"/>
        </w:rPr>
        <w:t>s</w:t>
      </w:r>
      <w:r w:rsidRPr="00841601">
        <w:rPr>
          <w:lang w:val="fr-FR"/>
        </w:rPr>
        <w:t xml:space="preserve"> que les travaux de la Commission ne devaient pas être prescriptifs. Il a aussi </w:t>
      </w:r>
      <w:r>
        <w:rPr>
          <w:lang w:val="fr-FR"/>
        </w:rPr>
        <w:t xml:space="preserve">observé </w:t>
      </w:r>
      <w:r w:rsidRPr="00841601">
        <w:rPr>
          <w:lang w:val="fr-FR"/>
        </w:rPr>
        <w:t xml:space="preserve">que la pratique de la Commission montrait que la différence entre projet de conclusions et projet de directives était ténue et que dans les commentaires introductifs des deux types de projet adoptés récemment par la Commission, les mêmes termes étaient utilisés de manière interchangeable pour </w:t>
      </w:r>
      <w:r>
        <w:rPr>
          <w:lang w:val="fr-FR"/>
        </w:rPr>
        <w:t>décrire</w:t>
      </w:r>
      <w:r w:rsidRPr="00841601">
        <w:rPr>
          <w:lang w:val="fr-FR"/>
        </w:rPr>
        <w:t xml:space="preserve"> leurs fonctions respectives. </w:t>
      </w:r>
    </w:p>
    <w:p w14:paraId="797C85F3" w14:textId="77777777" w:rsidR="00C979F6" w:rsidRPr="00841601" w:rsidRDefault="00C979F6" w:rsidP="00C979F6">
      <w:pPr>
        <w:pStyle w:val="SingleTxtG"/>
        <w:ind w:left="1170"/>
      </w:pPr>
      <w:r>
        <w:t>298</w:t>
      </w:r>
      <w:r w:rsidRPr="00841601">
        <w:t>.</w:t>
      </w:r>
      <w:r w:rsidRPr="00841601">
        <w:tab/>
      </w:r>
      <w:r w:rsidRPr="00841601">
        <w:rPr>
          <w:lang w:val="fr-FR"/>
        </w:rPr>
        <w:t>Le Rapporteur spécial a conclu que le choix entre projet de directives et projet de conclusions tenait essentiellement au message que la Commission souhaitait faire passer. Il estimait qu</w:t>
      </w:r>
      <w:r>
        <w:rPr>
          <w:lang w:val="fr-FR"/>
        </w:rPr>
        <w:t>’</w:t>
      </w:r>
      <w:r w:rsidRPr="00841601">
        <w:rPr>
          <w:lang w:val="fr-FR"/>
        </w:rPr>
        <w:t>un projet de directives était un peu plus prescriptif qu</w:t>
      </w:r>
      <w:r>
        <w:rPr>
          <w:lang w:val="fr-FR"/>
        </w:rPr>
        <w:t>’</w:t>
      </w:r>
      <w:r w:rsidRPr="00841601">
        <w:rPr>
          <w:lang w:val="fr-FR"/>
        </w:rPr>
        <w:t>un projet de conclusions. Il a fait remarquer que le terme « directives » en français avait un sens plus fort que « </w:t>
      </w:r>
      <w:r w:rsidRPr="00841601">
        <w:rPr>
          <w:i/>
          <w:iCs/>
          <w:lang w:val="fr-FR"/>
        </w:rPr>
        <w:t>guidelines</w:t>
      </w:r>
      <w:r w:rsidRPr="00841601">
        <w:rPr>
          <w:lang w:val="fr-FR"/>
        </w:rPr>
        <w:t> » en anglais et que le terme « lignes directrices » pourrait être utilisé en français si la Commission décidait d</w:t>
      </w:r>
      <w:r>
        <w:rPr>
          <w:lang w:val="fr-FR"/>
        </w:rPr>
        <w:t>’</w:t>
      </w:r>
      <w:r w:rsidRPr="00841601">
        <w:rPr>
          <w:lang w:val="fr-FR"/>
        </w:rPr>
        <w:t>adopter des « </w:t>
      </w:r>
      <w:r w:rsidRPr="00841601">
        <w:rPr>
          <w:i/>
          <w:iCs/>
          <w:lang w:val="fr-FR"/>
        </w:rPr>
        <w:t>guidelines</w:t>
      </w:r>
      <w:r w:rsidRPr="00841601">
        <w:rPr>
          <w:lang w:val="fr-FR"/>
        </w:rPr>
        <w:t xml:space="preserve"> ». </w:t>
      </w:r>
    </w:p>
    <w:p w14:paraId="392BBFAD" w14:textId="77777777" w:rsidR="00C979F6" w:rsidRPr="00841601" w:rsidRDefault="00C979F6" w:rsidP="00C979F6">
      <w:pPr>
        <w:pStyle w:val="SingleTxtG"/>
        <w:ind w:left="1170"/>
      </w:pPr>
      <w:r>
        <w:lastRenderedPageBreak/>
        <w:t>299</w:t>
      </w:r>
      <w:r w:rsidRPr="00841601">
        <w:t>.</w:t>
      </w:r>
      <w:r w:rsidRPr="00841601">
        <w:tab/>
      </w:r>
      <w:r w:rsidRPr="00841601">
        <w:rPr>
          <w:lang w:val="fr-FR"/>
        </w:rPr>
        <w:t>Le Rapporteur spécial a proposé de présenter, à titre provisoire, le résultat des travaux de la Commission sous la forme d</w:t>
      </w:r>
      <w:r>
        <w:rPr>
          <w:lang w:val="fr-FR"/>
        </w:rPr>
        <w:t>’</w:t>
      </w:r>
      <w:r w:rsidRPr="00841601">
        <w:rPr>
          <w:lang w:val="fr-FR"/>
        </w:rPr>
        <w:t xml:space="preserve">un projet de conclusions dans son prochain rapport et de réexaminer cette décision à la lumière des commentaires que les États formuleraient à la Sixième Commission. Il a aussi noté que certains membres avaient </w:t>
      </w:r>
      <w:r>
        <w:rPr>
          <w:lang w:val="fr-FR"/>
        </w:rPr>
        <w:t xml:space="preserve">dit voir un intérêt à établir </w:t>
      </w:r>
      <w:r w:rsidRPr="00841601">
        <w:rPr>
          <w:lang w:val="fr-FR"/>
        </w:rPr>
        <w:t xml:space="preserve">des clauses types ou </w:t>
      </w:r>
      <w:r>
        <w:rPr>
          <w:lang w:val="fr-FR"/>
        </w:rPr>
        <w:t>à recenser les meilleures</w:t>
      </w:r>
      <w:r w:rsidRPr="00841601">
        <w:rPr>
          <w:lang w:val="fr-FR"/>
        </w:rPr>
        <w:t xml:space="preserve"> pratiques.</w:t>
      </w:r>
    </w:p>
    <w:p w14:paraId="5E652830" w14:textId="77777777" w:rsidR="00C979F6" w:rsidRDefault="00C979F6" w:rsidP="00C979F6">
      <w:pPr>
        <w:pStyle w:val="SingleTxtG"/>
      </w:pPr>
      <w:r>
        <w:t>300</w:t>
      </w:r>
      <w:r w:rsidRPr="00841601">
        <w:t>.</w:t>
      </w:r>
      <w:r w:rsidRPr="00841601">
        <w:tab/>
      </w:r>
      <w:r w:rsidRPr="00841601">
        <w:rPr>
          <w:lang w:val="fr-FR"/>
        </w:rPr>
        <w:t>Le Rapporteur spécial a indiqué qu</w:t>
      </w:r>
      <w:r>
        <w:rPr>
          <w:lang w:val="fr-FR"/>
        </w:rPr>
        <w:t>’</w:t>
      </w:r>
      <w:r w:rsidRPr="00841601">
        <w:rPr>
          <w:lang w:val="fr-FR"/>
        </w:rPr>
        <w:t>il suivrait le programme de travail qu</w:t>
      </w:r>
      <w:r>
        <w:rPr>
          <w:lang w:val="fr-FR"/>
        </w:rPr>
        <w:t>’</w:t>
      </w:r>
      <w:r w:rsidRPr="00841601">
        <w:rPr>
          <w:lang w:val="fr-FR"/>
        </w:rPr>
        <w:t>il avait proposé dans son premier rapport et consacrerait son deuxième rapport au champ du sujet et à la question considérée par certains membres comme la plus importante, à savoir les critères de distinction entre les traités et les accords internationaux juridiquement non contraignants. Il a rappelé qu</w:t>
      </w:r>
      <w:r>
        <w:rPr>
          <w:lang w:val="fr-FR"/>
        </w:rPr>
        <w:t>’</w:t>
      </w:r>
      <w:r w:rsidRPr="00841601">
        <w:rPr>
          <w:lang w:val="fr-FR"/>
        </w:rPr>
        <w:t>il n</w:t>
      </w:r>
      <w:r>
        <w:rPr>
          <w:lang w:val="fr-FR"/>
        </w:rPr>
        <w:t>’</w:t>
      </w:r>
      <w:r w:rsidRPr="00841601">
        <w:rPr>
          <w:lang w:val="fr-FR"/>
        </w:rPr>
        <w:t>avait volontairement pas précisé, dans son premier rapport, la date prévue pour la conclusion de la première lecture, précisant qu</w:t>
      </w:r>
      <w:r>
        <w:rPr>
          <w:lang w:val="fr-FR"/>
        </w:rPr>
        <w:t>’</w:t>
      </w:r>
      <w:r w:rsidRPr="00841601">
        <w:rPr>
          <w:lang w:val="fr-FR"/>
        </w:rPr>
        <w:t>elle dépendait de l</w:t>
      </w:r>
      <w:r>
        <w:rPr>
          <w:lang w:val="fr-FR"/>
        </w:rPr>
        <w:t>’</w:t>
      </w:r>
      <w:r w:rsidRPr="00841601">
        <w:rPr>
          <w:lang w:val="fr-FR"/>
        </w:rPr>
        <w:t>état d</w:t>
      </w:r>
      <w:r>
        <w:rPr>
          <w:lang w:val="fr-FR"/>
        </w:rPr>
        <w:t>’</w:t>
      </w:r>
      <w:r w:rsidRPr="00841601">
        <w:rPr>
          <w:lang w:val="fr-FR"/>
        </w:rPr>
        <w:t>avancement des travaux sur le sujet.</w:t>
      </w:r>
    </w:p>
    <w:p w14:paraId="08462207" w14:textId="77777777" w:rsidR="00F7316E" w:rsidRDefault="00F7316E">
      <w:pPr>
        <w:suppressAutoHyphens w:val="0"/>
        <w:kinsoku/>
        <w:overflowPunct/>
        <w:autoSpaceDE/>
        <w:autoSpaceDN/>
        <w:adjustRightInd/>
        <w:snapToGrid/>
        <w:spacing w:line="240" w:lineRule="auto"/>
        <w:rPr>
          <w:b/>
          <w:sz w:val="28"/>
          <w:lang w:val="fr-FR"/>
        </w:rPr>
      </w:pPr>
      <w:r>
        <w:rPr>
          <w:lang w:val="fr-FR"/>
        </w:rPr>
        <w:br w:type="page"/>
      </w:r>
    </w:p>
    <w:p w14:paraId="2D8DB14E" w14:textId="58FD4B7F" w:rsidR="00737BD1" w:rsidRPr="000F129E" w:rsidRDefault="00737BD1" w:rsidP="00737BD1">
      <w:pPr>
        <w:pStyle w:val="HChG"/>
      </w:pPr>
      <w:r w:rsidRPr="00691C2B">
        <w:rPr>
          <w:lang w:val="fr-FR"/>
        </w:rPr>
        <w:lastRenderedPageBreak/>
        <w:tab/>
      </w:r>
      <w:r w:rsidRPr="00691C2B">
        <w:rPr>
          <w:lang w:val="fr-FR"/>
        </w:rPr>
        <w:tab/>
      </w:r>
      <w:r w:rsidRPr="005F7996">
        <w:rPr>
          <w:lang w:val="fr-FR"/>
        </w:rPr>
        <w:t>Chapitre IX</w:t>
      </w:r>
      <w:bookmarkEnd w:id="53"/>
      <w:bookmarkEnd w:id="54"/>
      <w:bookmarkEnd w:id="55"/>
      <w:r w:rsidRPr="005F7996">
        <w:rPr>
          <w:lang w:val="fr-FR"/>
        </w:rPr>
        <w:br/>
      </w:r>
      <w:bookmarkStart w:id="107" w:name="_Hlk175322977"/>
      <w:r w:rsidRPr="005F7996">
        <w:rPr>
          <w:lang w:val="fr-FR"/>
        </w:rPr>
        <w:tab/>
      </w:r>
      <w:bookmarkStart w:id="108" w:name="_Hlk175323616"/>
      <w:r w:rsidRPr="005F7996">
        <w:rPr>
          <w:lang w:val="fr-FR"/>
        </w:rPr>
        <w:t>Succession d</w:t>
      </w:r>
      <w:r w:rsidR="004C5E26" w:rsidRPr="005F7996">
        <w:rPr>
          <w:lang w:val="fr-FR"/>
        </w:rPr>
        <w:t>’</w:t>
      </w:r>
      <w:r w:rsidRPr="005F7996">
        <w:rPr>
          <w:lang w:val="fr-FR"/>
        </w:rPr>
        <w:t>États en matière de responsabilité de l</w:t>
      </w:r>
      <w:r w:rsidR="004C5E26" w:rsidRPr="005F7996">
        <w:rPr>
          <w:lang w:val="fr-FR"/>
        </w:rPr>
        <w:t>’</w:t>
      </w:r>
      <w:r w:rsidRPr="005F7996">
        <w:rPr>
          <w:lang w:val="fr-FR"/>
        </w:rPr>
        <w:t>État</w:t>
      </w:r>
      <w:bookmarkStart w:id="109" w:name="_Toc142669391"/>
      <w:bookmarkStart w:id="110" w:name="_Toc143610355"/>
      <w:bookmarkStart w:id="111" w:name="_Toc143610850"/>
      <w:bookmarkEnd w:id="109"/>
      <w:bookmarkEnd w:id="110"/>
      <w:bookmarkEnd w:id="111"/>
      <w:bookmarkEnd w:id="107"/>
      <w:bookmarkEnd w:id="108"/>
    </w:p>
    <w:p w14:paraId="2FD7B6E2" w14:textId="77777777" w:rsidR="00737BD1" w:rsidRPr="000F129E" w:rsidRDefault="00737BD1" w:rsidP="00737BD1">
      <w:pPr>
        <w:pStyle w:val="H1G"/>
      </w:pPr>
      <w:r>
        <w:rPr>
          <w:lang w:val="fr-FR"/>
        </w:rPr>
        <w:tab/>
        <w:t>A.</w:t>
      </w:r>
      <w:r>
        <w:rPr>
          <w:lang w:val="fr-FR"/>
        </w:rPr>
        <w:tab/>
      </w:r>
      <w:bookmarkStart w:id="112" w:name="_Hlk175323622"/>
      <w:r>
        <w:rPr>
          <w:lang w:val="fr-FR"/>
        </w:rPr>
        <w:t>Introduction</w:t>
      </w:r>
      <w:bookmarkStart w:id="113" w:name="_Toc142669392"/>
      <w:bookmarkStart w:id="114" w:name="_Toc143610356"/>
      <w:bookmarkStart w:id="115" w:name="_Toc143610851"/>
      <w:bookmarkEnd w:id="113"/>
      <w:bookmarkEnd w:id="114"/>
      <w:bookmarkEnd w:id="115"/>
      <w:bookmarkEnd w:id="112"/>
    </w:p>
    <w:p w14:paraId="018FC2C3" w14:textId="758C2ABE" w:rsidR="00737BD1" w:rsidRPr="00B8322E" w:rsidRDefault="00737BD1" w:rsidP="00737BD1">
      <w:pPr>
        <w:pStyle w:val="SingleTxtG"/>
        <w:rPr>
          <w:rFonts w:eastAsia="SimSun"/>
        </w:rPr>
      </w:pPr>
      <w:r>
        <w:rPr>
          <w:lang w:val="fr-FR"/>
        </w:rPr>
        <w:t>301.</w:t>
      </w:r>
      <w:r>
        <w:rPr>
          <w:lang w:val="fr-FR"/>
        </w:rPr>
        <w:tab/>
      </w:r>
      <w:r w:rsidRPr="00B8322E">
        <w:rPr>
          <w:rFonts w:eastAsia="Calibri"/>
          <w:lang w:val="fr-FR"/>
        </w:rPr>
        <w:t>À sa soixante-neuvième session (2017), la Commission a décidé d</w:t>
      </w:r>
      <w:r w:rsidR="004C5E26">
        <w:rPr>
          <w:rFonts w:eastAsia="Calibri"/>
          <w:lang w:val="fr-FR"/>
        </w:rPr>
        <w:t>’</w:t>
      </w:r>
      <w:r w:rsidRPr="00B8322E">
        <w:rPr>
          <w:rFonts w:eastAsia="Calibri"/>
          <w:lang w:val="fr-FR"/>
        </w:rPr>
        <w:t>inscrire le sujet « Succession d</w:t>
      </w:r>
      <w:r w:rsidR="004C5E26">
        <w:rPr>
          <w:rFonts w:eastAsia="Calibri"/>
          <w:lang w:val="fr-FR"/>
        </w:rPr>
        <w:t>’</w:t>
      </w:r>
      <w:r w:rsidRPr="00B8322E">
        <w:rPr>
          <w:rFonts w:eastAsia="Calibri"/>
          <w:lang w:val="fr-FR"/>
        </w:rPr>
        <w:t xml:space="preserve">États en </w:t>
      </w:r>
      <w:r w:rsidRPr="00B8322E">
        <w:rPr>
          <w:rFonts w:eastAsia="Calibri"/>
        </w:rPr>
        <w:t>matière</w:t>
      </w:r>
      <w:r w:rsidRPr="00B8322E">
        <w:rPr>
          <w:rFonts w:eastAsia="Calibri"/>
          <w:lang w:val="fr-FR"/>
        </w:rPr>
        <w:t xml:space="preserve"> de responsabilité de l</w:t>
      </w:r>
      <w:r w:rsidR="004C5E26">
        <w:rPr>
          <w:rFonts w:eastAsia="Calibri"/>
          <w:lang w:val="fr-FR"/>
        </w:rPr>
        <w:t>’</w:t>
      </w:r>
      <w:r w:rsidRPr="00B8322E">
        <w:rPr>
          <w:rFonts w:eastAsia="Calibri"/>
          <w:lang w:val="fr-FR"/>
        </w:rPr>
        <w:t xml:space="preserve">État » à son programme de travail et a désigné M. Pavel </w:t>
      </w:r>
      <w:proofErr w:type="spellStart"/>
      <w:r w:rsidRPr="00B8322E">
        <w:rPr>
          <w:rFonts w:eastAsia="Calibri"/>
          <w:lang w:val="fr-FR"/>
        </w:rPr>
        <w:t>Šturma</w:t>
      </w:r>
      <w:proofErr w:type="spellEnd"/>
      <w:r w:rsidRPr="00B8322E">
        <w:rPr>
          <w:rFonts w:eastAsia="Calibri"/>
          <w:lang w:val="fr-FR"/>
        </w:rPr>
        <w:t xml:space="preserve"> Rapporteur spécial</w:t>
      </w:r>
      <w:r w:rsidRPr="00E9227E">
        <w:rPr>
          <w:rStyle w:val="Appelnotedebasdep"/>
        </w:rPr>
        <w:footnoteReference w:id="241"/>
      </w:r>
      <w:r w:rsidRPr="00B8322E">
        <w:rPr>
          <w:rFonts w:eastAsia="Calibri"/>
          <w:lang w:val="fr-FR"/>
        </w:rPr>
        <w:t xml:space="preserve">. Dans sa résolution </w:t>
      </w:r>
      <w:hyperlink r:id="rId70" w:history="1">
        <w:r w:rsidRPr="00975643">
          <w:rPr>
            <w:rFonts w:eastAsia="Calibri"/>
            <w:color w:val="0000FF"/>
            <w:lang w:val="fr-FR"/>
          </w:rPr>
          <w:t>72/116</w:t>
        </w:r>
      </w:hyperlink>
      <w:r w:rsidRPr="00B8322E">
        <w:rPr>
          <w:rFonts w:eastAsia="Calibri"/>
          <w:lang w:val="fr-FR"/>
        </w:rPr>
        <w:t xml:space="preserve"> du 7 décembre 2017, l</w:t>
      </w:r>
      <w:r w:rsidR="004C5E26">
        <w:rPr>
          <w:rFonts w:eastAsia="Calibri"/>
          <w:lang w:val="fr-FR"/>
        </w:rPr>
        <w:t>’</w:t>
      </w:r>
      <w:r w:rsidRPr="00B8322E">
        <w:rPr>
          <w:rFonts w:eastAsia="Calibri"/>
          <w:lang w:val="fr-FR"/>
        </w:rPr>
        <w:t>Assemblée générale a pris note de la décision de la Commission.</w:t>
      </w:r>
    </w:p>
    <w:p w14:paraId="032F7156" w14:textId="658714C5" w:rsidR="00737BD1" w:rsidRPr="000F129E" w:rsidRDefault="00737BD1" w:rsidP="00737BD1">
      <w:pPr>
        <w:pStyle w:val="SingleTxtG"/>
      </w:pPr>
      <w:r>
        <w:rPr>
          <w:lang w:val="fr-FR"/>
        </w:rPr>
        <w:t>302.</w:t>
      </w:r>
      <w:r>
        <w:rPr>
          <w:lang w:val="fr-FR"/>
        </w:rPr>
        <w:tab/>
        <w:t>Le Rapporteur spécial a soumis cinq rapports entre 2017 et 2022</w:t>
      </w:r>
      <w:r w:rsidRPr="00E9227E">
        <w:rPr>
          <w:rStyle w:val="Appelnotedebasdep"/>
        </w:rPr>
        <w:footnoteReference w:id="242"/>
      </w:r>
      <w:r>
        <w:rPr>
          <w:lang w:val="fr-FR"/>
        </w:rPr>
        <w:t>. La Commission était également saisie, à sa soixante et onzième session (2019) d</w:t>
      </w:r>
      <w:r w:rsidR="004C5E26">
        <w:rPr>
          <w:lang w:val="fr-FR"/>
        </w:rPr>
        <w:t>’</w:t>
      </w:r>
      <w:r>
        <w:rPr>
          <w:lang w:val="fr-FR"/>
        </w:rPr>
        <w:t>une étude du Secrétariat contenant des informations sur les instruments qui pourraient présenter un intérêt pour la suite des travaux de la Commission sur le sujet</w:t>
      </w:r>
      <w:r w:rsidRPr="00E9227E">
        <w:rPr>
          <w:rStyle w:val="Appelnotedebasdep"/>
        </w:rPr>
        <w:footnoteReference w:id="243"/>
      </w:r>
      <w:r>
        <w:rPr>
          <w:lang w:val="fr-FR"/>
        </w:rPr>
        <w:t>. À l</w:t>
      </w:r>
      <w:r w:rsidR="004C5E26">
        <w:rPr>
          <w:lang w:val="fr-FR"/>
        </w:rPr>
        <w:t>’</w:t>
      </w:r>
      <w:r>
        <w:rPr>
          <w:lang w:val="fr-FR"/>
        </w:rPr>
        <w:t>issue de chaque débat sur l</w:t>
      </w:r>
      <w:r w:rsidR="004C5E26">
        <w:rPr>
          <w:lang w:val="fr-FR"/>
        </w:rPr>
        <w:t>’</w:t>
      </w:r>
      <w:r>
        <w:rPr>
          <w:lang w:val="fr-FR"/>
        </w:rPr>
        <w:t>un des rapports, la Commission a décidé de renvoyer au Comité de rédaction les projets d</w:t>
      </w:r>
      <w:r w:rsidR="004C5E26">
        <w:rPr>
          <w:lang w:val="fr-FR"/>
        </w:rPr>
        <w:t>’</w:t>
      </w:r>
      <w:r>
        <w:rPr>
          <w:lang w:val="fr-FR"/>
        </w:rPr>
        <w:t>article proposés par le Rapporteur spécial. Elle a entendu les rapports intermédiaires et les déclarations faits par les présidents successifs du Comité de rédaction sur la succession d</w:t>
      </w:r>
      <w:r w:rsidR="004C5E26">
        <w:rPr>
          <w:lang w:val="fr-FR"/>
        </w:rPr>
        <w:t>’</w:t>
      </w:r>
      <w:r>
        <w:rPr>
          <w:lang w:val="fr-FR"/>
        </w:rPr>
        <w:t>États en matière de responsabilité de l</w:t>
      </w:r>
      <w:r w:rsidR="004C5E26">
        <w:rPr>
          <w:lang w:val="fr-FR"/>
        </w:rPr>
        <w:t>’</w:t>
      </w:r>
      <w:r>
        <w:rPr>
          <w:lang w:val="fr-FR"/>
        </w:rPr>
        <w:t>État, de la soixante-neuvième à la soixante-treizième session (2017 à 2019, 2021 et 2022).</w:t>
      </w:r>
    </w:p>
    <w:p w14:paraId="4E1B9016" w14:textId="246C0353" w:rsidR="00737BD1" w:rsidRPr="000F129E" w:rsidRDefault="00737BD1" w:rsidP="00737BD1">
      <w:pPr>
        <w:pStyle w:val="SingleTxtG"/>
      </w:pPr>
      <w:r w:rsidRPr="002C22FA">
        <w:rPr>
          <w:lang w:val="fr-FR"/>
        </w:rPr>
        <w:t>303.</w:t>
      </w:r>
      <w:r w:rsidRPr="002C22FA">
        <w:rPr>
          <w:lang w:val="fr-FR"/>
        </w:rPr>
        <w:tab/>
        <w:t>À sa soixante-treizième session (2022), le 17 mai 2022, la Commission a décidé, sur recommandation du Rapporteur spécial, de charger le Comité de rédaction de passer à l</w:t>
      </w:r>
      <w:r w:rsidR="004C5E26">
        <w:rPr>
          <w:lang w:val="fr-FR"/>
        </w:rPr>
        <w:t>’</w:t>
      </w:r>
      <w:r w:rsidRPr="002C22FA">
        <w:rPr>
          <w:lang w:val="fr-FR"/>
        </w:rPr>
        <w:t>élaboration d</w:t>
      </w:r>
      <w:r w:rsidR="004C5E26">
        <w:rPr>
          <w:lang w:val="fr-FR"/>
        </w:rPr>
        <w:t>’</w:t>
      </w:r>
      <w:r w:rsidRPr="002C22FA">
        <w:rPr>
          <w:lang w:val="fr-FR"/>
        </w:rPr>
        <w:t>un projet de directives sur la base des dispositions précédemment renvoyées au Comité de rédaction (y compris celles provisoirement adoptées par la Commission lors de précédentes sessions), en tenant compte du débat consacré en plénière au cinquième rapport du Rapporteur spécial.</w:t>
      </w:r>
    </w:p>
    <w:p w14:paraId="127388E7" w14:textId="45F63C33" w:rsidR="00737BD1" w:rsidRDefault="00737BD1" w:rsidP="00737BD1">
      <w:pPr>
        <w:pStyle w:val="SingleTxtG"/>
      </w:pPr>
      <w:r>
        <w:rPr>
          <w:lang w:val="fr-FR"/>
        </w:rPr>
        <w:t>304.</w:t>
      </w:r>
      <w:r>
        <w:rPr>
          <w:lang w:val="fr-FR"/>
        </w:rPr>
        <w:tab/>
        <w:t>À sa soixante-treizième session également, la Commission a provisoirement adopté les projets de directives 6, 10, 10 </w:t>
      </w:r>
      <w:r w:rsidRPr="00251130">
        <w:rPr>
          <w:i/>
          <w:iCs/>
          <w:lang w:val="fr-FR"/>
        </w:rPr>
        <w:t>bis</w:t>
      </w:r>
      <w:r>
        <w:rPr>
          <w:lang w:val="fr-FR"/>
        </w:rPr>
        <w:t xml:space="preserve"> et 11, qui avaient été provisoirement adoptés par le Comité de rédaction en 2018 et 2021, ainsi que les projets de directives 7 </w:t>
      </w:r>
      <w:r w:rsidRPr="00251130">
        <w:rPr>
          <w:i/>
          <w:iCs/>
          <w:lang w:val="fr-FR"/>
        </w:rPr>
        <w:t>bis</w:t>
      </w:r>
      <w:r>
        <w:rPr>
          <w:lang w:val="fr-FR"/>
        </w:rPr>
        <w:t>, 12, 13, 13 </w:t>
      </w:r>
      <w:r w:rsidRPr="00251130">
        <w:rPr>
          <w:i/>
          <w:iCs/>
          <w:lang w:val="fr-FR"/>
        </w:rPr>
        <w:t>bis</w:t>
      </w:r>
      <w:r>
        <w:rPr>
          <w:lang w:val="fr-FR"/>
        </w:rPr>
        <w:t>, 14, 15 et 15 </w:t>
      </w:r>
      <w:r w:rsidRPr="00251130">
        <w:rPr>
          <w:i/>
          <w:iCs/>
          <w:lang w:val="fr-FR"/>
        </w:rPr>
        <w:t>bis</w:t>
      </w:r>
      <w:r>
        <w:rPr>
          <w:lang w:val="fr-FR"/>
        </w:rPr>
        <w:t>, qui avaient été provisoirement adoptés par le Comité de rédaction en 2022, ainsi que les commentaires y relatifs. La forme proposée du résultat des travaux ayant été modifiée, la Commission a aussi pris note des projets d</w:t>
      </w:r>
      <w:r w:rsidR="004C5E26">
        <w:rPr>
          <w:lang w:val="fr-FR"/>
        </w:rPr>
        <w:t>’</w:t>
      </w:r>
      <w:r>
        <w:rPr>
          <w:lang w:val="fr-FR"/>
        </w:rPr>
        <w:t>articles 1, 2, 5, 7, 8 et 9, transformés en projets de directive par le Comité de rédaction.</w:t>
      </w:r>
    </w:p>
    <w:p w14:paraId="7557B62B" w14:textId="1DE064DB" w:rsidR="00737BD1" w:rsidRDefault="00737BD1" w:rsidP="00737BD1">
      <w:pPr>
        <w:pStyle w:val="SingleTxtG"/>
      </w:pPr>
      <w:r>
        <w:rPr>
          <w:lang w:val="fr-FR"/>
        </w:rPr>
        <w:t>305.</w:t>
      </w:r>
      <w:r>
        <w:rPr>
          <w:lang w:val="fr-FR"/>
        </w:rPr>
        <w:tab/>
        <w:t>À sa soixante-quatorzième session (2023), la Commission n</w:t>
      </w:r>
      <w:r w:rsidR="004C5E26">
        <w:rPr>
          <w:lang w:val="fr-FR"/>
        </w:rPr>
        <w:t>’</w:t>
      </w:r>
      <w:r>
        <w:rPr>
          <w:lang w:val="fr-FR"/>
        </w:rPr>
        <w:t>était saisie d</w:t>
      </w:r>
      <w:r w:rsidR="004C5E26">
        <w:rPr>
          <w:lang w:val="fr-FR"/>
        </w:rPr>
        <w:t>’</w:t>
      </w:r>
      <w:r>
        <w:rPr>
          <w:lang w:val="fr-FR"/>
        </w:rPr>
        <w:t>aucun rapport sur le sujet car le Rapporteur spécial ne faisait plus partie de la Commission. À sa 3621</w:t>
      </w:r>
      <w:r w:rsidRPr="00251130">
        <w:rPr>
          <w:vertAlign w:val="superscript"/>
          <w:lang w:val="fr-FR"/>
        </w:rPr>
        <w:t>e</w:t>
      </w:r>
      <w:r>
        <w:rPr>
          <w:lang w:val="fr-FR"/>
        </w:rPr>
        <w:t> séance, le 10 mai 2023, elle a décidé de constituer un groupe de travail sur le sujet, et l</w:t>
      </w:r>
      <w:r w:rsidR="004C5E26">
        <w:rPr>
          <w:lang w:val="fr-FR"/>
        </w:rPr>
        <w:t>’</w:t>
      </w:r>
      <w:r>
        <w:rPr>
          <w:lang w:val="fr-FR"/>
        </w:rPr>
        <w:t xml:space="preserve">a placé sous la présidence de M. August </w:t>
      </w:r>
      <w:proofErr w:type="spellStart"/>
      <w:r>
        <w:rPr>
          <w:lang w:val="fr-FR"/>
        </w:rPr>
        <w:t>Reinisch</w:t>
      </w:r>
      <w:proofErr w:type="spellEnd"/>
      <w:r>
        <w:rPr>
          <w:lang w:val="fr-FR"/>
        </w:rPr>
        <w:t xml:space="preserve"> (voir sect. C.1 ci-dessous).</w:t>
      </w:r>
      <w:bookmarkStart w:id="116" w:name="_Hlk170894385"/>
      <w:bookmarkEnd w:id="116"/>
    </w:p>
    <w:p w14:paraId="40F48EED" w14:textId="77777777" w:rsidR="00737BD1" w:rsidRPr="000F129E" w:rsidRDefault="00737BD1" w:rsidP="00737BD1">
      <w:pPr>
        <w:pStyle w:val="H1G"/>
      </w:pPr>
      <w:r>
        <w:rPr>
          <w:lang w:val="fr-FR"/>
        </w:rPr>
        <w:tab/>
        <w:t>B.</w:t>
      </w:r>
      <w:r>
        <w:rPr>
          <w:lang w:val="fr-FR"/>
        </w:rPr>
        <w:tab/>
      </w:r>
      <w:bookmarkStart w:id="117" w:name="_Hlk175323628"/>
      <w:r w:rsidRPr="00AC4DDC">
        <w:t>Examen</w:t>
      </w:r>
      <w:r>
        <w:rPr>
          <w:lang w:val="fr-FR"/>
        </w:rPr>
        <w:t xml:space="preserve"> du sujet à la présente session</w:t>
      </w:r>
      <w:bookmarkStart w:id="118" w:name="_Toc142669393"/>
      <w:bookmarkStart w:id="119" w:name="_Toc143610357"/>
      <w:bookmarkStart w:id="120" w:name="_Toc143610852"/>
      <w:bookmarkEnd w:id="118"/>
      <w:bookmarkEnd w:id="119"/>
      <w:bookmarkEnd w:id="120"/>
      <w:bookmarkEnd w:id="117"/>
    </w:p>
    <w:p w14:paraId="011BE4F5" w14:textId="0FC9E6F0" w:rsidR="00737BD1" w:rsidRDefault="00737BD1" w:rsidP="00737BD1">
      <w:pPr>
        <w:pStyle w:val="SingleTxtG"/>
      </w:pPr>
      <w:r>
        <w:rPr>
          <w:lang w:val="fr-FR"/>
        </w:rPr>
        <w:t>306.</w:t>
      </w:r>
      <w:r>
        <w:rPr>
          <w:lang w:val="fr-FR"/>
        </w:rPr>
        <w:tab/>
        <w:t xml:space="preserve">À la présente session, la Commission a reconstitué le Groupe de travail </w:t>
      </w:r>
      <w:r w:rsidRPr="00251130">
        <w:rPr>
          <w:lang w:val="fr-FR"/>
        </w:rPr>
        <w:t>et l</w:t>
      </w:r>
      <w:r w:rsidR="004C5E26">
        <w:rPr>
          <w:lang w:val="fr-FR"/>
        </w:rPr>
        <w:t>’</w:t>
      </w:r>
      <w:r w:rsidRPr="00251130">
        <w:rPr>
          <w:lang w:val="fr-FR"/>
        </w:rPr>
        <w:t>a placé sous la présidence</w:t>
      </w:r>
      <w:r>
        <w:rPr>
          <w:lang w:val="fr-FR"/>
        </w:rPr>
        <w:t xml:space="preserve"> de M. August </w:t>
      </w:r>
      <w:proofErr w:type="spellStart"/>
      <w:r>
        <w:rPr>
          <w:lang w:val="fr-FR"/>
        </w:rPr>
        <w:t>Reinisch</w:t>
      </w:r>
      <w:proofErr w:type="spellEnd"/>
      <w:r>
        <w:rPr>
          <w:lang w:val="fr-FR"/>
        </w:rPr>
        <w:t>. Le Groupe de travail s</w:t>
      </w:r>
      <w:r w:rsidR="004C5E26">
        <w:rPr>
          <w:lang w:val="fr-FR"/>
        </w:rPr>
        <w:t>’</w:t>
      </w:r>
      <w:r>
        <w:rPr>
          <w:lang w:val="fr-FR"/>
        </w:rPr>
        <w:t>est réuni deux fois, le 20 mai et le 8 juillet 2024.</w:t>
      </w:r>
    </w:p>
    <w:p w14:paraId="262B29BA" w14:textId="77777777" w:rsidR="00737BD1" w:rsidRDefault="00737BD1" w:rsidP="00737BD1">
      <w:pPr>
        <w:pStyle w:val="SingleTxtG"/>
      </w:pPr>
      <w:r>
        <w:rPr>
          <w:lang w:val="fr-FR"/>
        </w:rPr>
        <w:t>307.</w:t>
      </w:r>
      <w:r>
        <w:rPr>
          <w:lang w:val="fr-FR"/>
        </w:rPr>
        <w:tab/>
        <w:t>À sa 3694</w:t>
      </w:r>
      <w:r w:rsidRPr="006A377E">
        <w:rPr>
          <w:vertAlign w:val="superscript"/>
          <w:lang w:val="fr-FR"/>
        </w:rPr>
        <w:t>e</w:t>
      </w:r>
      <w:r>
        <w:rPr>
          <w:lang w:val="fr-FR"/>
        </w:rPr>
        <w:t> séance, le 26 juillet 2024, la Commission a examiné le rapport du Groupe de travail (</w:t>
      </w:r>
      <w:hyperlink r:id="rId71" w:history="1">
        <w:r w:rsidRPr="00975643">
          <w:rPr>
            <w:rStyle w:val="Lienhypertexte"/>
            <w:lang w:val="fr-FR"/>
          </w:rPr>
          <w:t>A/CN.4/L.1003</w:t>
        </w:r>
      </w:hyperlink>
      <w:r>
        <w:rPr>
          <w:lang w:val="fr-FR"/>
        </w:rPr>
        <w:t>), reproduit à la section C ci-dessous, et en a pris note.</w:t>
      </w:r>
    </w:p>
    <w:p w14:paraId="60EC8A2E" w14:textId="77777777" w:rsidR="00737BD1" w:rsidRDefault="00737BD1" w:rsidP="00737BD1">
      <w:pPr>
        <w:pStyle w:val="SingleTxtG"/>
        <w:keepNext/>
      </w:pPr>
      <w:r>
        <w:rPr>
          <w:lang w:val="fr-FR"/>
        </w:rPr>
        <w:lastRenderedPageBreak/>
        <w:t>308.</w:t>
      </w:r>
      <w:r>
        <w:rPr>
          <w:lang w:val="fr-FR"/>
        </w:rPr>
        <w:tab/>
        <w:t>À la même séance, ayant examiné les recommandations du Groupe de travail, la Commission :</w:t>
      </w:r>
    </w:p>
    <w:p w14:paraId="6D7DE23C" w14:textId="10AA9F66" w:rsidR="00737BD1" w:rsidRDefault="00737BD1" w:rsidP="00737BD1">
      <w:pPr>
        <w:pStyle w:val="SingleTxtG"/>
        <w:ind w:firstLine="567"/>
      </w:pPr>
      <w:r>
        <w:rPr>
          <w:lang w:val="fr-FR"/>
        </w:rPr>
        <w:t>a)</w:t>
      </w:r>
      <w:r>
        <w:rPr>
          <w:lang w:val="fr-FR"/>
        </w:rPr>
        <w:tab/>
        <w:t xml:space="preserve">A décidé de constituer à sa soixante-seizième session (2025) un </w:t>
      </w:r>
      <w:r w:rsidRPr="00F75A45">
        <w:rPr>
          <w:lang w:val="fr-FR"/>
        </w:rPr>
        <w:t>Groupe de travail</w:t>
      </w:r>
      <w:r>
        <w:rPr>
          <w:lang w:val="fr-FR"/>
        </w:rPr>
        <w:t xml:space="preserve"> sur la succession d</w:t>
      </w:r>
      <w:r w:rsidR="004C5E26">
        <w:rPr>
          <w:lang w:val="fr-FR"/>
        </w:rPr>
        <w:t>’</w:t>
      </w:r>
      <w:r>
        <w:rPr>
          <w:lang w:val="fr-FR"/>
        </w:rPr>
        <w:t>États en matière de responsabilité de l</w:t>
      </w:r>
      <w:r w:rsidR="004C5E26">
        <w:rPr>
          <w:lang w:val="fr-FR"/>
        </w:rPr>
        <w:t>’</w:t>
      </w:r>
      <w:r>
        <w:rPr>
          <w:lang w:val="fr-FR"/>
        </w:rPr>
        <w:t>État afin qu</w:t>
      </w:r>
      <w:r w:rsidR="004C5E26">
        <w:rPr>
          <w:lang w:val="fr-FR"/>
        </w:rPr>
        <w:t>’</w:t>
      </w:r>
      <w:r>
        <w:rPr>
          <w:lang w:val="fr-FR"/>
        </w:rPr>
        <w:t>il rédige un rapport qui mettra fin aux travaux de la Commission sur le sujet ;</w:t>
      </w:r>
    </w:p>
    <w:p w14:paraId="115CFFF3" w14:textId="4897E6E4" w:rsidR="00737BD1" w:rsidRDefault="00737BD1" w:rsidP="00737BD1">
      <w:pPr>
        <w:pStyle w:val="SingleTxtG"/>
        <w:ind w:firstLine="567"/>
      </w:pPr>
      <w:r>
        <w:rPr>
          <w:lang w:val="fr-FR"/>
        </w:rPr>
        <w:t>b)</w:t>
      </w:r>
      <w:r>
        <w:rPr>
          <w:lang w:val="fr-FR"/>
        </w:rPr>
        <w:tab/>
        <w:t>A décidé que le rapport contiendrait un résumé des difficultés que la Commission rencontrerait si elle décidait de poursuivre ses travaux sur le sujet et une explication des raisons justifiant l</w:t>
      </w:r>
      <w:r w:rsidR="004C5E26">
        <w:rPr>
          <w:lang w:val="fr-FR"/>
        </w:rPr>
        <w:t>’</w:t>
      </w:r>
      <w:r>
        <w:rPr>
          <w:lang w:val="fr-FR"/>
        </w:rPr>
        <w:t>arrêt des travaux ;</w:t>
      </w:r>
    </w:p>
    <w:p w14:paraId="37D3D356" w14:textId="77777777" w:rsidR="00737BD1" w:rsidRPr="005B4D29" w:rsidRDefault="00737BD1" w:rsidP="00737BD1">
      <w:pPr>
        <w:pStyle w:val="SingleTxtG"/>
        <w:ind w:firstLine="567"/>
        <w:rPr>
          <w:lang w:val="fr-FR"/>
        </w:rPr>
      </w:pPr>
      <w:r>
        <w:rPr>
          <w:lang w:val="fr-FR"/>
        </w:rPr>
        <w:t>c)</w:t>
      </w:r>
      <w:r>
        <w:rPr>
          <w:lang w:val="fr-FR"/>
        </w:rPr>
        <w:tab/>
        <w:t xml:space="preserve">A décidé de désigner M. Bimal N. Patel Président du Groupe de travail qui sera constitué à la soixante-seizième session de la Commission et a recommandé </w:t>
      </w:r>
      <w:r w:rsidRPr="00F75A45">
        <w:rPr>
          <w:lang w:val="fr-FR"/>
        </w:rPr>
        <w:t xml:space="preserve">que le Président soit invité à établir </w:t>
      </w:r>
      <w:r>
        <w:rPr>
          <w:lang w:val="fr-FR"/>
        </w:rPr>
        <w:t>un projet de rapport du Groupe de travail avant la session, en étroite collaboration avec les membres intéressés.</w:t>
      </w:r>
    </w:p>
    <w:p w14:paraId="545F5DB6" w14:textId="77777777" w:rsidR="00737BD1" w:rsidRPr="00CE65DF" w:rsidRDefault="00737BD1" w:rsidP="00737BD1">
      <w:pPr>
        <w:pStyle w:val="H1G"/>
        <w:rPr>
          <w:rFonts w:asciiTheme="majorBidi" w:hAnsiTheme="majorBidi" w:cstheme="majorBidi"/>
          <w:lang w:val="fr-FR"/>
        </w:rPr>
      </w:pPr>
      <w:r>
        <w:rPr>
          <w:lang w:val="fr-FR"/>
        </w:rPr>
        <w:tab/>
        <w:t>C.</w:t>
      </w:r>
      <w:r>
        <w:rPr>
          <w:lang w:val="fr-FR"/>
        </w:rPr>
        <w:tab/>
      </w:r>
      <w:bookmarkStart w:id="121" w:name="_Hlk175323635"/>
      <w:r>
        <w:rPr>
          <w:lang w:val="fr-FR"/>
        </w:rPr>
        <w:t>R</w:t>
      </w:r>
      <w:r w:rsidRPr="00CE65DF">
        <w:rPr>
          <w:lang w:val="fr-FR"/>
        </w:rPr>
        <w:t>apport du Groupe de travail</w:t>
      </w:r>
      <w:bookmarkEnd w:id="121"/>
    </w:p>
    <w:p w14:paraId="699AF64B" w14:textId="77777777" w:rsidR="00737BD1" w:rsidRPr="0046500A" w:rsidRDefault="00737BD1" w:rsidP="00737BD1">
      <w:pPr>
        <w:pStyle w:val="H23G"/>
        <w:rPr>
          <w:lang w:val="fr-FR"/>
        </w:rPr>
      </w:pPr>
      <w:r w:rsidRPr="0046500A">
        <w:rPr>
          <w:lang w:val="fr-FR"/>
        </w:rPr>
        <w:tab/>
      </w:r>
      <w:r>
        <w:rPr>
          <w:lang w:val="fr-FR"/>
        </w:rPr>
        <w:t>1</w:t>
      </w:r>
      <w:r w:rsidRPr="0046500A">
        <w:rPr>
          <w:lang w:val="fr-FR"/>
        </w:rPr>
        <w:t>.</w:t>
      </w:r>
      <w:r w:rsidRPr="0046500A">
        <w:rPr>
          <w:lang w:val="fr-FR"/>
        </w:rPr>
        <w:tab/>
      </w:r>
      <w:bookmarkStart w:id="122" w:name="_Hlk175323642"/>
      <w:r w:rsidRPr="0046500A">
        <w:rPr>
          <w:lang w:val="fr-FR"/>
        </w:rPr>
        <w:t>Introduction</w:t>
      </w:r>
      <w:bookmarkEnd w:id="122"/>
    </w:p>
    <w:p w14:paraId="78E779A7" w14:textId="2F60A5CC" w:rsidR="00737BD1" w:rsidRPr="00CE65DF" w:rsidRDefault="00737BD1" w:rsidP="00737BD1">
      <w:pPr>
        <w:pStyle w:val="SingleTxtG"/>
        <w:rPr>
          <w:lang w:val="fr-FR"/>
        </w:rPr>
      </w:pPr>
      <w:r>
        <w:rPr>
          <w:lang w:val="fr-FR"/>
        </w:rPr>
        <w:t>309</w:t>
      </w:r>
      <w:r w:rsidRPr="00CE65DF">
        <w:rPr>
          <w:lang w:val="fr-FR"/>
        </w:rPr>
        <w:t>.</w:t>
      </w:r>
      <w:r w:rsidRPr="00CE65DF">
        <w:rPr>
          <w:lang w:val="fr-FR"/>
        </w:rPr>
        <w:tab/>
        <w:t>À</w:t>
      </w:r>
      <w:r>
        <w:rPr>
          <w:lang w:val="fr-FR"/>
        </w:rPr>
        <w:t xml:space="preserve"> </w:t>
      </w:r>
      <w:r w:rsidRPr="00CE65DF">
        <w:rPr>
          <w:lang w:val="fr-FR"/>
        </w:rPr>
        <w:t>sa 3621</w:t>
      </w:r>
      <w:r w:rsidRPr="00CE65DF">
        <w:rPr>
          <w:vertAlign w:val="superscript"/>
          <w:lang w:val="fr-FR"/>
        </w:rPr>
        <w:t>e</w:t>
      </w:r>
      <w:r w:rsidRPr="00CE65DF">
        <w:rPr>
          <w:lang w:val="fr-FR"/>
        </w:rPr>
        <w:t xml:space="preserve"> séance, le 10 mai 2023, </w:t>
      </w:r>
      <w:r>
        <w:rPr>
          <w:lang w:val="fr-FR"/>
        </w:rPr>
        <w:t>la</w:t>
      </w:r>
      <w:r w:rsidRPr="00CE65DF">
        <w:rPr>
          <w:lang w:val="fr-FR"/>
        </w:rPr>
        <w:t xml:space="preserve"> Commission du droit international a décidé d</w:t>
      </w:r>
      <w:r w:rsidR="004C5E26">
        <w:rPr>
          <w:lang w:val="fr-FR"/>
        </w:rPr>
        <w:t>’</w:t>
      </w:r>
      <w:r w:rsidRPr="00CE65DF">
        <w:rPr>
          <w:lang w:val="fr-FR"/>
        </w:rPr>
        <w:t>établir un groupe de travail sur le sujet « Succession d</w:t>
      </w:r>
      <w:r w:rsidR="004C5E26">
        <w:rPr>
          <w:lang w:val="fr-FR"/>
        </w:rPr>
        <w:t>’</w:t>
      </w:r>
      <w:r w:rsidRPr="00CE65DF">
        <w:rPr>
          <w:lang w:val="fr-FR"/>
        </w:rPr>
        <w:t>États en matière de responsabilité de</w:t>
      </w:r>
      <w:r>
        <w:rPr>
          <w:lang w:val="fr-FR"/>
        </w:rPr>
        <w:t xml:space="preserve"> l</w:t>
      </w:r>
      <w:r w:rsidR="004C5E26">
        <w:rPr>
          <w:lang w:val="fr-FR"/>
        </w:rPr>
        <w:t>’</w:t>
      </w:r>
      <w:r w:rsidRPr="00CE65DF">
        <w:rPr>
          <w:lang w:val="fr-FR"/>
        </w:rPr>
        <w:t xml:space="preserve">État » </w:t>
      </w:r>
      <w:r w:rsidRPr="008B70DE">
        <w:rPr>
          <w:lang w:val="fr-FR"/>
        </w:rPr>
        <w:t>et l</w:t>
      </w:r>
      <w:r w:rsidR="004C5E26">
        <w:rPr>
          <w:lang w:val="fr-FR"/>
        </w:rPr>
        <w:t>’</w:t>
      </w:r>
      <w:r w:rsidRPr="008B70DE">
        <w:rPr>
          <w:lang w:val="fr-FR"/>
        </w:rPr>
        <w:t>a p</w:t>
      </w:r>
      <w:r w:rsidRPr="00CE65DF">
        <w:rPr>
          <w:lang w:val="fr-FR"/>
        </w:rPr>
        <w:t xml:space="preserve">lacé sous la présidence de M. August </w:t>
      </w:r>
      <w:proofErr w:type="spellStart"/>
      <w:r w:rsidRPr="00CE65DF">
        <w:rPr>
          <w:lang w:val="fr-FR"/>
        </w:rPr>
        <w:t>Reinisch</w:t>
      </w:r>
      <w:proofErr w:type="spellEnd"/>
      <w:r w:rsidRPr="00CE65DF">
        <w:rPr>
          <w:lang w:val="fr-FR"/>
        </w:rPr>
        <w:t>. L</w:t>
      </w:r>
      <w:r w:rsidR="004C5E26">
        <w:rPr>
          <w:lang w:val="fr-FR"/>
        </w:rPr>
        <w:t>’</w:t>
      </w:r>
      <w:r w:rsidRPr="00CE65DF">
        <w:rPr>
          <w:lang w:val="fr-FR"/>
        </w:rPr>
        <w:t>objectif du Groupe de travail était d</w:t>
      </w:r>
      <w:r w:rsidR="004C5E26">
        <w:rPr>
          <w:lang w:val="fr-FR"/>
        </w:rPr>
        <w:t>’</w:t>
      </w:r>
      <w:r w:rsidRPr="00CE65DF">
        <w:rPr>
          <w:lang w:val="fr-FR"/>
        </w:rPr>
        <w:t>examiner quelle suite donner aux travaux de la Commission sur le sujet, étant donné que le Rapporteur spécial ne faisait plus partie de la Commission. Le Groupe de travail s</w:t>
      </w:r>
      <w:r w:rsidR="004C5E26">
        <w:rPr>
          <w:lang w:val="fr-FR"/>
        </w:rPr>
        <w:t>’</w:t>
      </w:r>
      <w:r w:rsidRPr="00CE65DF">
        <w:rPr>
          <w:lang w:val="fr-FR"/>
        </w:rPr>
        <w:t xml:space="preserve">est réuni quatre </w:t>
      </w:r>
      <w:r w:rsidRPr="00E532EE">
        <w:rPr>
          <w:lang w:val="fr-FR"/>
        </w:rPr>
        <w:t xml:space="preserve">fois </w:t>
      </w:r>
      <w:r>
        <w:rPr>
          <w:lang w:val="fr-FR"/>
        </w:rPr>
        <w:t>pendant</w:t>
      </w:r>
      <w:r w:rsidRPr="00E532EE">
        <w:rPr>
          <w:lang w:val="fr-FR"/>
        </w:rPr>
        <w:t xml:space="preserve"> la</w:t>
      </w:r>
      <w:r w:rsidRPr="00CE65DF">
        <w:rPr>
          <w:lang w:val="fr-FR"/>
        </w:rPr>
        <w:t xml:space="preserve"> soixante-quatorzième session</w:t>
      </w:r>
      <w:r>
        <w:rPr>
          <w:lang w:val="fr-FR"/>
        </w:rPr>
        <w:t xml:space="preserve"> (2023)</w:t>
      </w:r>
      <w:r w:rsidRPr="00CE65DF">
        <w:rPr>
          <w:lang w:val="fr-FR"/>
        </w:rPr>
        <w:t>.</w:t>
      </w:r>
    </w:p>
    <w:p w14:paraId="6332F6C6" w14:textId="12E20F95" w:rsidR="00737BD1" w:rsidRPr="00CE65DF" w:rsidRDefault="00737BD1" w:rsidP="00737BD1">
      <w:pPr>
        <w:pStyle w:val="SingleTxtG"/>
        <w:rPr>
          <w:lang w:val="fr-FR"/>
        </w:rPr>
      </w:pPr>
      <w:r>
        <w:rPr>
          <w:lang w:val="fr-FR"/>
        </w:rPr>
        <w:t>310</w:t>
      </w:r>
      <w:r w:rsidRPr="00CE65DF">
        <w:rPr>
          <w:lang w:val="fr-FR"/>
        </w:rPr>
        <w:t>.</w:t>
      </w:r>
      <w:r w:rsidRPr="00CE65DF">
        <w:rPr>
          <w:lang w:val="fr-FR"/>
        </w:rPr>
        <w:tab/>
        <w:t>Le Groupe de travail a recommand</w:t>
      </w:r>
      <w:r>
        <w:rPr>
          <w:lang w:val="fr-FR"/>
        </w:rPr>
        <w:t>é</w:t>
      </w:r>
      <w:r w:rsidRPr="00CE65DF">
        <w:rPr>
          <w:lang w:val="fr-FR"/>
        </w:rPr>
        <w:t xml:space="preserve"> </w:t>
      </w:r>
      <w:r>
        <w:rPr>
          <w:lang w:val="fr-FR"/>
        </w:rPr>
        <w:t>que</w:t>
      </w:r>
      <w:r w:rsidRPr="00CE65DF">
        <w:rPr>
          <w:lang w:val="fr-FR"/>
        </w:rPr>
        <w:t xml:space="preserve"> la Commission poursuive son examen du sujet, tout en se gardant, à ce stade, de désigner un nouveau rapporteur spécial. </w:t>
      </w:r>
      <w:r w:rsidRPr="0040427F">
        <w:rPr>
          <w:lang w:val="fr-FR"/>
        </w:rPr>
        <w:t>Il</w:t>
      </w:r>
      <w:r>
        <w:rPr>
          <w:lang w:val="fr-FR"/>
        </w:rPr>
        <w:t xml:space="preserve"> </w:t>
      </w:r>
      <w:r w:rsidRPr="0040427F">
        <w:rPr>
          <w:lang w:val="fr-FR"/>
        </w:rPr>
        <w:t>a également recommandé que lui-même s</w:t>
      </w:r>
      <w:r w:rsidRPr="00CE65DF">
        <w:rPr>
          <w:lang w:val="fr-FR"/>
        </w:rPr>
        <w:t xml:space="preserve">oit reconstitué à la soixante-quinzième session (2024) de la Commission, avec </w:t>
      </w:r>
      <w:r>
        <w:rPr>
          <w:lang w:val="fr-FR"/>
        </w:rPr>
        <w:t>de nouveau</w:t>
      </w:r>
      <w:r w:rsidRPr="00CE65DF">
        <w:rPr>
          <w:lang w:val="fr-FR"/>
        </w:rPr>
        <w:t xml:space="preserve"> une composition non</w:t>
      </w:r>
      <w:r>
        <w:rPr>
          <w:lang w:val="fr-FR"/>
        </w:rPr>
        <w:t xml:space="preserve"> </w:t>
      </w:r>
      <w:r w:rsidRPr="00CE65DF">
        <w:rPr>
          <w:lang w:val="fr-FR"/>
        </w:rPr>
        <w:t>limitée, afin qu</w:t>
      </w:r>
      <w:r w:rsidR="004C5E26">
        <w:rPr>
          <w:lang w:val="fr-FR"/>
        </w:rPr>
        <w:t>’</w:t>
      </w:r>
      <w:r w:rsidRPr="00CE65DF">
        <w:rPr>
          <w:lang w:val="fr-FR"/>
        </w:rPr>
        <w:t xml:space="preserve">il poursuive </w:t>
      </w:r>
      <w:r>
        <w:rPr>
          <w:lang w:val="fr-FR"/>
        </w:rPr>
        <w:t>s</w:t>
      </w:r>
      <w:r w:rsidRPr="00CE65DF">
        <w:rPr>
          <w:lang w:val="fr-FR"/>
        </w:rPr>
        <w:t xml:space="preserve">a réflexion </w:t>
      </w:r>
      <w:r>
        <w:rPr>
          <w:lang w:val="fr-FR"/>
        </w:rPr>
        <w:t xml:space="preserve">et formule des recommandations </w:t>
      </w:r>
      <w:r w:rsidRPr="00CE65DF">
        <w:rPr>
          <w:lang w:val="fr-FR"/>
        </w:rPr>
        <w:t>sur la voie à suivre concernant le sujet</w:t>
      </w:r>
      <w:r w:rsidRPr="00770EFB">
        <w:rPr>
          <w:lang w:val="fr-FR"/>
        </w:rPr>
        <w:t>,</w:t>
      </w:r>
      <w:r w:rsidRPr="00CE65DF">
        <w:rPr>
          <w:lang w:val="fr-FR"/>
        </w:rPr>
        <w:t xml:space="preserve"> en tenant compte des avis exprimés et des possibilités </w:t>
      </w:r>
      <w:r w:rsidRPr="00770EFB">
        <w:rPr>
          <w:lang w:val="fr-FR"/>
        </w:rPr>
        <w:t>recensées dans le cadre de ses</w:t>
      </w:r>
      <w:r>
        <w:rPr>
          <w:lang w:val="fr-FR"/>
        </w:rPr>
        <w:t xml:space="preserve"> </w:t>
      </w:r>
      <w:r w:rsidRPr="00770EFB">
        <w:rPr>
          <w:lang w:val="fr-FR"/>
        </w:rPr>
        <w:t>débats.</w:t>
      </w:r>
    </w:p>
    <w:p w14:paraId="3531F48E" w14:textId="77777777" w:rsidR="00737BD1" w:rsidRPr="00CE65DF" w:rsidRDefault="00737BD1" w:rsidP="00737BD1">
      <w:pPr>
        <w:pStyle w:val="SingleTxtG"/>
        <w:rPr>
          <w:lang w:val="fr-FR"/>
        </w:rPr>
      </w:pPr>
      <w:r>
        <w:rPr>
          <w:lang w:val="fr-FR"/>
        </w:rPr>
        <w:t>311</w:t>
      </w:r>
      <w:r w:rsidRPr="00CE65DF">
        <w:rPr>
          <w:lang w:val="fr-FR"/>
        </w:rPr>
        <w:t>.</w:t>
      </w:r>
      <w:r w:rsidRPr="00CE65DF">
        <w:rPr>
          <w:lang w:val="fr-FR"/>
        </w:rPr>
        <w:tab/>
        <w:t>À sa 3648</w:t>
      </w:r>
      <w:r w:rsidRPr="00FC06A4">
        <w:rPr>
          <w:vertAlign w:val="superscript"/>
          <w:lang w:val="fr-FR"/>
        </w:rPr>
        <w:t>e</w:t>
      </w:r>
      <w:r>
        <w:rPr>
          <w:lang w:val="fr-FR"/>
        </w:rPr>
        <w:t> </w:t>
      </w:r>
      <w:r w:rsidRPr="00CE65DF">
        <w:rPr>
          <w:lang w:val="fr-FR"/>
        </w:rPr>
        <w:t xml:space="preserve">séance, le 27 juillet 2023, la Commission a pris note du rapport oral du Président du Groupe de travail, y compris des recommandations </w:t>
      </w:r>
      <w:r>
        <w:rPr>
          <w:lang w:val="fr-FR"/>
        </w:rPr>
        <w:t>formulé</w:t>
      </w:r>
      <w:r w:rsidRPr="00CE65DF">
        <w:rPr>
          <w:lang w:val="fr-FR"/>
        </w:rPr>
        <w:t>es.</w:t>
      </w:r>
    </w:p>
    <w:p w14:paraId="587FB145" w14:textId="2147D5AA" w:rsidR="00737BD1" w:rsidRPr="00CE65DF" w:rsidRDefault="00737BD1" w:rsidP="00737BD1">
      <w:pPr>
        <w:pStyle w:val="SingleTxtG"/>
        <w:rPr>
          <w:lang w:val="fr-FR"/>
        </w:rPr>
      </w:pPr>
      <w:r>
        <w:rPr>
          <w:lang w:val="fr-FR"/>
        </w:rPr>
        <w:t>312</w:t>
      </w:r>
      <w:r w:rsidRPr="00CE65DF">
        <w:rPr>
          <w:lang w:val="fr-FR"/>
        </w:rPr>
        <w:t>.</w:t>
      </w:r>
      <w:r w:rsidRPr="00CE65DF">
        <w:rPr>
          <w:lang w:val="fr-FR"/>
        </w:rPr>
        <w:tab/>
      </w:r>
      <w:r>
        <w:rPr>
          <w:lang w:val="fr-FR"/>
        </w:rPr>
        <w:t>Le 20</w:t>
      </w:r>
      <w:r w:rsidRPr="00CE65DF">
        <w:rPr>
          <w:lang w:val="fr-FR"/>
        </w:rPr>
        <w:t xml:space="preserve"> décembre 2023, le Président du Groupe de travail a </w:t>
      </w:r>
      <w:r>
        <w:rPr>
          <w:lang w:val="fr-FR"/>
        </w:rPr>
        <w:t xml:space="preserve">tenu une </w:t>
      </w:r>
      <w:r w:rsidRPr="00CE65DF">
        <w:rPr>
          <w:lang w:val="fr-FR"/>
        </w:rPr>
        <w:t>réuni</w:t>
      </w:r>
      <w:r>
        <w:rPr>
          <w:lang w:val="fr-FR"/>
        </w:rPr>
        <w:t>on</w:t>
      </w:r>
      <w:r w:rsidRPr="00CE65DF">
        <w:rPr>
          <w:lang w:val="fr-FR"/>
        </w:rPr>
        <w:t xml:space="preserve"> en ligne </w:t>
      </w:r>
      <w:r>
        <w:rPr>
          <w:lang w:val="fr-FR"/>
        </w:rPr>
        <w:t xml:space="preserve">avec </w:t>
      </w:r>
      <w:r w:rsidRPr="00CE65DF">
        <w:rPr>
          <w:lang w:val="fr-FR"/>
        </w:rPr>
        <w:t xml:space="preserve">des membres intéressés de </w:t>
      </w:r>
      <w:r w:rsidRPr="00A00DFB">
        <w:rPr>
          <w:lang w:val="fr-FR"/>
        </w:rPr>
        <w:t xml:space="preserve">la Commission afin </w:t>
      </w:r>
      <w:r>
        <w:rPr>
          <w:lang w:val="fr-FR"/>
        </w:rPr>
        <w:t>qu</w:t>
      </w:r>
      <w:r w:rsidR="004C5E26">
        <w:rPr>
          <w:lang w:val="fr-FR"/>
        </w:rPr>
        <w:t>’</w:t>
      </w:r>
      <w:r>
        <w:rPr>
          <w:lang w:val="fr-FR"/>
        </w:rPr>
        <w:t>ils échangent des vues sur l</w:t>
      </w:r>
      <w:r w:rsidRPr="00A00DFB">
        <w:rPr>
          <w:lang w:val="fr-FR"/>
        </w:rPr>
        <w:t>es</w:t>
      </w:r>
      <w:r w:rsidRPr="00CE65DF">
        <w:rPr>
          <w:lang w:val="fr-FR"/>
        </w:rPr>
        <w:t xml:space="preserve"> </w:t>
      </w:r>
      <w:r>
        <w:rPr>
          <w:lang w:val="fr-FR"/>
        </w:rPr>
        <w:t>points</w:t>
      </w:r>
      <w:r w:rsidRPr="00CE65DF">
        <w:rPr>
          <w:lang w:val="fr-FR"/>
        </w:rPr>
        <w:t xml:space="preserve"> à traiter par le Groupe de travail. Au cours de cette réunion intersessions, un certain nombre de points sur lesquels la Commission devrait réfléchir plus avant ont été recensés. </w:t>
      </w:r>
      <w:r w:rsidRPr="009E3389">
        <w:rPr>
          <w:lang w:val="fr-FR"/>
        </w:rPr>
        <w:t>La question</w:t>
      </w:r>
      <w:r w:rsidRPr="00CE65DF">
        <w:rPr>
          <w:lang w:val="fr-FR"/>
        </w:rPr>
        <w:t xml:space="preserve"> </w:t>
      </w:r>
      <w:r>
        <w:rPr>
          <w:lang w:val="fr-FR"/>
        </w:rPr>
        <w:t xml:space="preserve">principale était </w:t>
      </w:r>
      <w:r w:rsidRPr="00CE65DF">
        <w:rPr>
          <w:lang w:val="fr-FR"/>
        </w:rPr>
        <w:t>de savoir s</w:t>
      </w:r>
      <w:r w:rsidR="004C5E26">
        <w:rPr>
          <w:lang w:val="fr-FR"/>
        </w:rPr>
        <w:t>’</w:t>
      </w:r>
      <w:r w:rsidRPr="00CE65DF">
        <w:rPr>
          <w:lang w:val="fr-FR"/>
        </w:rPr>
        <w:t xml:space="preserve">il existait une pratique des États suffisante dans ce domaine et, en particulier, si la pratique étatique </w:t>
      </w:r>
      <w:r w:rsidRPr="006D5D1E">
        <w:rPr>
          <w:lang w:val="fr-FR"/>
        </w:rPr>
        <w:t>recensée à ce jour par</w:t>
      </w:r>
      <w:r w:rsidRPr="00CE65DF">
        <w:rPr>
          <w:lang w:val="fr-FR"/>
        </w:rPr>
        <w:t xml:space="preserve"> la Commission était suffisamment large et représentative pour que l</w:t>
      </w:r>
      <w:r w:rsidR="004C5E26">
        <w:rPr>
          <w:lang w:val="fr-FR"/>
        </w:rPr>
        <w:t>’</w:t>
      </w:r>
      <w:r w:rsidRPr="00CE65DF">
        <w:rPr>
          <w:lang w:val="fr-FR"/>
        </w:rPr>
        <w:t xml:space="preserve">on puisse </w:t>
      </w:r>
      <w:r>
        <w:rPr>
          <w:lang w:val="fr-FR"/>
        </w:rPr>
        <w:t xml:space="preserve">en </w:t>
      </w:r>
      <w:r w:rsidRPr="00CE65DF">
        <w:rPr>
          <w:lang w:val="fr-FR"/>
        </w:rPr>
        <w:t xml:space="preserve">tirer des conclusions </w:t>
      </w:r>
      <w:r>
        <w:rPr>
          <w:lang w:val="fr-FR"/>
        </w:rPr>
        <w:t>quant à l</w:t>
      </w:r>
      <w:r w:rsidR="004C5E26">
        <w:rPr>
          <w:lang w:val="fr-FR"/>
        </w:rPr>
        <w:t>’</w:t>
      </w:r>
      <w:r>
        <w:rPr>
          <w:lang w:val="fr-FR"/>
        </w:rPr>
        <w:t>existence de règles applicables du</w:t>
      </w:r>
      <w:r w:rsidRPr="00CE65DF">
        <w:rPr>
          <w:lang w:val="fr-FR"/>
        </w:rPr>
        <w:t xml:space="preserve"> droit international coutumier. Compte tenu de l</w:t>
      </w:r>
      <w:r w:rsidR="004C5E26">
        <w:rPr>
          <w:lang w:val="fr-FR"/>
        </w:rPr>
        <w:t>’</w:t>
      </w:r>
      <w:r w:rsidRPr="00CE65DF">
        <w:rPr>
          <w:lang w:val="fr-FR"/>
        </w:rPr>
        <w:t>utilité de solutions négociées entre États concernés dans une situation donnée, on s</w:t>
      </w:r>
      <w:r w:rsidR="004C5E26">
        <w:rPr>
          <w:lang w:val="fr-FR"/>
        </w:rPr>
        <w:t>’</w:t>
      </w:r>
      <w:r w:rsidRPr="00CE65DF">
        <w:rPr>
          <w:lang w:val="fr-FR"/>
        </w:rPr>
        <w:t xml:space="preserve">est demandé si de telles solutions spécialement élaborées pouvaient adéquatement servir </w:t>
      </w:r>
      <w:r>
        <w:rPr>
          <w:lang w:val="fr-FR"/>
        </w:rPr>
        <w:t xml:space="preserve">de base </w:t>
      </w:r>
      <w:r w:rsidRPr="00CE65DF">
        <w:rPr>
          <w:lang w:val="fr-FR"/>
        </w:rPr>
        <w:t xml:space="preserve">à la détermination de règles </w:t>
      </w:r>
      <w:r>
        <w:rPr>
          <w:lang w:val="fr-FR"/>
        </w:rPr>
        <w:t>de</w:t>
      </w:r>
      <w:r w:rsidRPr="00CE65DF">
        <w:rPr>
          <w:lang w:val="fr-FR"/>
        </w:rPr>
        <w:t xml:space="preserve"> droit international coutumier.</w:t>
      </w:r>
    </w:p>
    <w:p w14:paraId="35C07B0F" w14:textId="7735727A" w:rsidR="00737BD1" w:rsidRPr="00CE65DF" w:rsidRDefault="00737BD1" w:rsidP="00737BD1">
      <w:pPr>
        <w:pStyle w:val="SingleTxtG"/>
        <w:rPr>
          <w:lang w:val="fr-FR"/>
        </w:rPr>
      </w:pPr>
      <w:r>
        <w:rPr>
          <w:lang w:val="fr-FR"/>
        </w:rPr>
        <w:t>313</w:t>
      </w:r>
      <w:r w:rsidRPr="00CE65DF">
        <w:rPr>
          <w:lang w:val="fr-FR"/>
        </w:rPr>
        <w:t>.</w:t>
      </w:r>
      <w:r w:rsidRPr="00CE65DF">
        <w:rPr>
          <w:lang w:val="fr-FR"/>
        </w:rPr>
        <w:tab/>
        <w:t xml:space="preserve">Les membres ont </w:t>
      </w:r>
      <w:r>
        <w:rPr>
          <w:lang w:val="fr-FR"/>
        </w:rPr>
        <w:t>estimé</w:t>
      </w:r>
      <w:r w:rsidRPr="00882D49">
        <w:rPr>
          <w:lang w:val="fr-FR"/>
        </w:rPr>
        <w:t xml:space="preserve"> </w:t>
      </w:r>
      <w:r w:rsidRPr="00CE65DF">
        <w:rPr>
          <w:lang w:val="fr-FR"/>
        </w:rPr>
        <w:t>qu</w:t>
      </w:r>
      <w:r w:rsidR="004C5E26">
        <w:rPr>
          <w:lang w:val="fr-FR"/>
        </w:rPr>
        <w:t>’</w:t>
      </w:r>
      <w:r w:rsidRPr="00CE65DF">
        <w:rPr>
          <w:lang w:val="fr-FR"/>
        </w:rPr>
        <w:t>il pourrait être nécessaire de revenir plus longuement sur la nécessité et la possibilité de distinguer entre le transfert de la responsabilité proprement dite et le transfert des droits et des obligations découlant de la responsabilité d</w:t>
      </w:r>
      <w:r w:rsidR="004C5E26">
        <w:rPr>
          <w:lang w:val="fr-FR"/>
        </w:rPr>
        <w:t>’</w:t>
      </w:r>
      <w:r w:rsidRPr="00CE65DF">
        <w:rPr>
          <w:lang w:val="fr-FR"/>
        </w:rPr>
        <w:t xml:space="preserve">un État prédécesseur. La question </w:t>
      </w:r>
      <w:r w:rsidRPr="00E03F77">
        <w:rPr>
          <w:lang w:val="fr-FR"/>
        </w:rPr>
        <w:t>sembl</w:t>
      </w:r>
      <w:r>
        <w:rPr>
          <w:lang w:val="fr-FR"/>
        </w:rPr>
        <w:t>ait</w:t>
      </w:r>
      <w:r w:rsidRPr="00CE65DF">
        <w:rPr>
          <w:lang w:val="fr-FR"/>
        </w:rPr>
        <w:t xml:space="preserve"> particulièrement importante au vu de ce qui pou</w:t>
      </w:r>
      <w:r>
        <w:rPr>
          <w:lang w:val="fr-FR"/>
        </w:rPr>
        <w:t>v</w:t>
      </w:r>
      <w:r w:rsidRPr="00CE65DF">
        <w:rPr>
          <w:lang w:val="fr-FR"/>
        </w:rPr>
        <w:t xml:space="preserve">ait être perçu comme </w:t>
      </w:r>
      <w:r w:rsidRPr="0028799F">
        <w:rPr>
          <w:lang w:val="fr-FR"/>
        </w:rPr>
        <w:t>des différences da</w:t>
      </w:r>
      <w:r w:rsidRPr="00CE65DF">
        <w:rPr>
          <w:lang w:val="fr-FR"/>
        </w:rPr>
        <w:t>ns les dispositions examinées à ce jour par la Commission en ce qui concerne les droits, d</w:t>
      </w:r>
      <w:r w:rsidR="004C5E26">
        <w:rPr>
          <w:lang w:val="fr-FR"/>
        </w:rPr>
        <w:t>’</w:t>
      </w:r>
      <w:r w:rsidRPr="00CE65DF">
        <w:rPr>
          <w:lang w:val="fr-FR"/>
        </w:rPr>
        <w:t>une part, et les obligations, d</w:t>
      </w:r>
      <w:r w:rsidR="004C5E26">
        <w:rPr>
          <w:lang w:val="fr-FR"/>
        </w:rPr>
        <w:t>’</w:t>
      </w:r>
      <w:r w:rsidRPr="00CE65DF">
        <w:rPr>
          <w:lang w:val="fr-FR"/>
        </w:rPr>
        <w:t>autre part.</w:t>
      </w:r>
    </w:p>
    <w:p w14:paraId="343DC3DE" w14:textId="7A0B3F21" w:rsidR="00737BD1" w:rsidRPr="00CE65DF" w:rsidRDefault="00737BD1" w:rsidP="00737BD1">
      <w:pPr>
        <w:pStyle w:val="SingleTxtG"/>
        <w:rPr>
          <w:lang w:val="fr-FR"/>
        </w:rPr>
      </w:pPr>
      <w:r>
        <w:rPr>
          <w:lang w:val="fr-FR"/>
        </w:rPr>
        <w:t>314</w:t>
      </w:r>
      <w:r w:rsidRPr="00CE65DF">
        <w:rPr>
          <w:lang w:val="fr-FR"/>
        </w:rPr>
        <w:t>.</w:t>
      </w:r>
      <w:r w:rsidRPr="00CE65DF">
        <w:rPr>
          <w:lang w:val="fr-FR"/>
        </w:rPr>
        <w:tab/>
        <w:t>Il a semblé opportun que la Commission distingue plus clairement ce qui, selon elle, relèverait de la codification et ce qui relèverait du développement progressif du droit international</w:t>
      </w:r>
      <w:r>
        <w:rPr>
          <w:lang w:val="fr-FR"/>
        </w:rPr>
        <w:t>,</w:t>
      </w:r>
      <w:r w:rsidRPr="00CE65DF">
        <w:rPr>
          <w:lang w:val="fr-FR"/>
        </w:rPr>
        <w:t xml:space="preserve"> dans le domaine de la succession d</w:t>
      </w:r>
      <w:r w:rsidR="004C5E26">
        <w:rPr>
          <w:lang w:val="fr-FR"/>
        </w:rPr>
        <w:t>’</w:t>
      </w:r>
      <w:r w:rsidRPr="00CE65DF">
        <w:rPr>
          <w:lang w:val="fr-FR"/>
        </w:rPr>
        <w:t>États en matière de responsabilité de l</w:t>
      </w:r>
      <w:r w:rsidR="004C5E26">
        <w:rPr>
          <w:lang w:val="fr-FR"/>
        </w:rPr>
        <w:t>’</w:t>
      </w:r>
      <w:r w:rsidRPr="00CE65DF">
        <w:rPr>
          <w:lang w:val="fr-FR"/>
        </w:rPr>
        <w:t xml:space="preserve">État. Il a aussi semblé important </w:t>
      </w:r>
      <w:r>
        <w:rPr>
          <w:lang w:val="fr-FR"/>
        </w:rPr>
        <w:t>qu</w:t>
      </w:r>
      <w:r w:rsidR="004C5E26">
        <w:rPr>
          <w:lang w:val="fr-FR"/>
        </w:rPr>
        <w:t>’</w:t>
      </w:r>
      <w:r>
        <w:rPr>
          <w:lang w:val="fr-FR"/>
        </w:rPr>
        <w:t>elle</w:t>
      </w:r>
      <w:r w:rsidRPr="00CE65DF">
        <w:rPr>
          <w:lang w:val="fr-FR"/>
        </w:rPr>
        <w:t xml:space="preserve"> souligne plus clairement les principes justificatifs sous</w:t>
      </w:r>
      <w:r>
        <w:rPr>
          <w:lang w:val="fr-FR"/>
        </w:rPr>
        <w:noBreakHyphen/>
      </w:r>
      <w:r w:rsidRPr="00CE65DF">
        <w:rPr>
          <w:lang w:val="fr-FR"/>
        </w:rPr>
        <w:t xml:space="preserve">jacents des </w:t>
      </w:r>
      <w:r>
        <w:rPr>
          <w:lang w:val="fr-FR"/>
        </w:rPr>
        <w:t xml:space="preserve">projets de </w:t>
      </w:r>
      <w:r w:rsidRPr="00CE65DF">
        <w:rPr>
          <w:lang w:val="fr-FR"/>
        </w:rPr>
        <w:t xml:space="preserve">directive proposés. Ces principes ont été clairement exposés dans </w:t>
      </w:r>
      <w:r w:rsidRPr="00CE65DF">
        <w:rPr>
          <w:lang w:val="fr-FR"/>
        </w:rPr>
        <w:lastRenderedPageBreak/>
        <w:t>les travaux de l</w:t>
      </w:r>
      <w:r w:rsidR="004C5E26">
        <w:rPr>
          <w:lang w:val="fr-FR"/>
        </w:rPr>
        <w:t>’</w:t>
      </w:r>
      <w:r w:rsidRPr="00CE65DF">
        <w:rPr>
          <w:lang w:val="fr-FR"/>
        </w:rPr>
        <w:t>Institut de droit international</w:t>
      </w:r>
      <w:r w:rsidRPr="00E9227E">
        <w:rPr>
          <w:rStyle w:val="Appelnotedebasdep"/>
        </w:rPr>
        <w:footnoteReference w:id="244"/>
      </w:r>
      <w:r w:rsidRPr="00CE65DF">
        <w:rPr>
          <w:lang w:val="fr-FR"/>
        </w:rPr>
        <w:t>, mais sont moins explicites dans ceux de la</w:t>
      </w:r>
      <w:r>
        <w:rPr>
          <w:lang w:val="fr-FR"/>
        </w:rPr>
        <w:t> </w:t>
      </w:r>
      <w:r w:rsidRPr="00CE65DF">
        <w:rPr>
          <w:lang w:val="fr-FR"/>
        </w:rPr>
        <w:t>Commission.</w:t>
      </w:r>
    </w:p>
    <w:p w14:paraId="408FF82F" w14:textId="3C4F8560" w:rsidR="00737BD1" w:rsidRPr="00CE65DF" w:rsidRDefault="00737BD1" w:rsidP="00737BD1">
      <w:pPr>
        <w:pStyle w:val="SingleTxtG"/>
        <w:rPr>
          <w:lang w:val="fr-FR"/>
        </w:rPr>
      </w:pPr>
      <w:r>
        <w:rPr>
          <w:lang w:val="fr-FR"/>
        </w:rPr>
        <w:t>315</w:t>
      </w:r>
      <w:r w:rsidRPr="00CE65DF">
        <w:rPr>
          <w:lang w:val="fr-FR"/>
        </w:rPr>
        <w:t>.</w:t>
      </w:r>
      <w:r w:rsidRPr="00CE65DF">
        <w:rPr>
          <w:lang w:val="fr-FR"/>
        </w:rPr>
        <w:tab/>
      </w:r>
      <w:r>
        <w:rPr>
          <w:lang w:val="fr-FR"/>
        </w:rPr>
        <w:t xml:space="preserve">Il </w:t>
      </w:r>
      <w:r w:rsidRPr="009F4D04">
        <w:rPr>
          <w:lang w:val="fr-FR"/>
        </w:rPr>
        <w:t>a également été</w:t>
      </w:r>
      <w:r w:rsidRPr="00CE65DF">
        <w:rPr>
          <w:lang w:val="fr-FR"/>
        </w:rPr>
        <w:t xml:space="preserve"> </w:t>
      </w:r>
      <w:r>
        <w:rPr>
          <w:lang w:val="fr-FR"/>
        </w:rPr>
        <w:t>considéré</w:t>
      </w:r>
      <w:r w:rsidRPr="00CE65DF">
        <w:rPr>
          <w:lang w:val="fr-FR"/>
        </w:rPr>
        <w:t xml:space="preserve"> que la question de savoir dans quelle mesure un parallèle pouvait être établi entre les règles relatives à la succession d</w:t>
      </w:r>
      <w:r w:rsidR="004C5E26">
        <w:rPr>
          <w:lang w:val="fr-FR"/>
        </w:rPr>
        <w:t>’</w:t>
      </w:r>
      <w:r w:rsidRPr="00CE65DF">
        <w:rPr>
          <w:lang w:val="fr-FR"/>
        </w:rPr>
        <w:t xml:space="preserve">États en matière de dettes et la question de la succession en matière de responsabilité nécessitait </w:t>
      </w:r>
      <w:r>
        <w:rPr>
          <w:lang w:val="fr-FR"/>
        </w:rPr>
        <w:t>une</w:t>
      </w:r>
      <w:r w:rsidRPr="00CE65DF">
        <w:rPr>
          <w:lang w:val="fr-FR"/>
        </w:rPr>
        <w:t xml:space="preserve"> réflexion</w:t>
      </w:r>
      <w:r>
        <w:rPr>
          <w:lang w:val="fr-FR"/>
        </w:rPr>
        <w:t xml:space="preserve"> plus approfondie</w:t>
      </w:r>
      <w:r w:rsidRPr="00CE65DF">
        <w:rPr>
          <w:lang w:val="fr-FR"/>
        </w:rPr>
        <w:t>.</w:t>
      </w:r>
      <w:r>
        <w:rPr>
          <w:lang w:val="fr-FR"/>
        </w:rPr>
        <w:t xml:space="preserve"> La Commission a </w:t>
      </w:r>
      <w:r w:rsidRPr="00CE65DF">
        <w:rPr>
          <w:lang w:val="fr-FR"/>
        </w:rPr>
        <w:t>partiellement évoqué</w:t>
      </w:r>
      <w:r>
        <w:rPr>
          <w:lang w:val="fr-FR"/>
        </w:rPr>
        <w:t xml:space="preserve"> de tels parallèles</w:t>
      </w:r>
      <w:r w:rsidRPr="00CE65DF">
        <w:rPr>
          <w:lang w:val="fr-FR"/>
        </w:rPr>
        <w:t xml:space="preserve"> dans les travaux </w:t>
      </w:r>
      <w:r>
        <w:rPr>
          <w:lang w:val="fr-FR"/>
        </w:rPr>
        <w:t>menés</w:t>
      </w:r>
      <w:r w:rsidRPr="00CE65DF">
        <w:rPr>
          <w:lang w:val="fr-FR"/>
        </w:rPr>
        <w:t xml:space="preserve"> à ce jour. Toutefois, </w:t>
      </w:r>
      <w:r>
        <w:rPr>
          <w:lang w:val="fr-FR"/>
        </w:rPr>
        <w:t xml:space="preserve">on ne voyait pas clairement dans quelle </w:t>
      </w:r>
      <w:r w:rsidRPr="00CE65DF">
        <w:rPr>
          <w:lang w:val="fr-FR"/>
        </w:rPr>
        <w:t xml:space="preserve">mesure ils </w:t>
      </w:r>
      <w:r>
        <w:rPr>
          <w:lang w:val="fr-FR"/>
        </w:rPr>
        <w:t>justifi</w:t>
      </w:r>
      <w:r w:rsidRPr="00CE65DF">
        <w:rPr>
          <w:lang w:val="fr-FR"/>
        </w:rPr>
        <w:t>aient suffisa</w:t>
      </w:r>
      <w:r>
        <w:rPr>
          <w:lang w:val="fr-FR"/>
        </w:rPr>
        <w:t xml:space="preserve">mment </w:t>
      </w:r>
      <w:r w:rsidRPr="00CE65DF">
        <w:rPr>
          <w:lang w:val="fr-FR"/>
        </w:rPr>
        <w:t xml:space="preserve">les </w:t>
      </w:r>
      <w:r>
        <w:rPr>
          <w:lang w:val="fr-FR"/>
        </w:rPr>
        <w:t xml:space="preserve">projets de </w:t>
      </w:r>
      <w:r w:rsidRPr="00CE65DF">
        <w:rPr>
          <w:lang w:val="fr-FR"/>
        </w:rPr>
        <w:t>directive proposés.</w:t>
      </w:r>
    </w:p>
    <w:p w14:paraId="6E31096C" w14:textId="59A85E6A" w:rsidR="00737BD1" w:rsidRPr="00CE65DF" w:rsidRDefault="00737BD1" w:rsidP="00737BD1">
      <w:pPr>
        <w:pStyle w:val="SingleTxtG"/>
        <w:rPr>
          <w:lang w:val="fr-FR"/>
        </w:rPr>
      </w:pPr>
      <w:r>
        <w:rPr>
          <w:lang w:val="fr-FR"/>
        </w:rPr>
        <w:t>316</w:t>
      </w:r>
      <w:r w:rsidRPr="00CE65DF">
        <w:rPr>
          <w:lang w:val="fr-FR"/>
        </w:rPr>
        <w:t>.</w:t>
      </w:r>
      <w:r w:rsidRPr="00CE65DF">
        <w:rPr>
          <w:lang w:val="fr-FR"/>
        </w:rPr>
        <w:tab/>
        <w:t xml:space="preserve">On a </w:t>
      </w:r>
      <w:r>
        <w:rPr>
          <w:lang w:val="fr-FR"/>
        </w:rPr>
        <w:t>considéré</w:t>
      </w:r>
      <w:r w:rsidRPr="00CE65DF">
        <w:rPr>
          <w:lang w:val="fr-FR"/>
        </w:rPr>
        <w:t xml:space="preserve"> </w:t>
      </w:r>
      <w:r>
        <w:rPr>
          <w:lang w:val="fr-FR"/>
        </w:rPr>
        <w:t>que le</w:t>
      </w:r>
      <w:r w:rsidRPr="00CE65DF">
        <w:rPr>
          <w:lang w:val="fr-FR"/>
        </w:rPr>
        <w:t xml:space="preserve"> principe de l</w:t>
      </w:r>
      <w:r w:rsidR="004C5E26">
        <w:rPr>
          <w:lang w:val="fr-FR"/>
        </w:rPr>
        <w:t>’</w:t>
      </w:r>
      <w:r w:rsidRPr="00CE65DF">
        <w:rPr>
          <w:lang w:val="fr-FR"/>
        </w:rPr>
        <w:t>enrichissement injustifié, qui a</w:t>
      </w:r>
      <w:r>
        <w:rPr>
          <w:lang w:val="fr-FR"/>
        </w:rPr>
        <w:t>vait</w:t>
      </w:r>
      <w:r w:rsidRPr="00CE65DF">
        <w:rPr>
          <w:lang w:val="fr-FR"/>
        </w:rPr>
        <w:t xml:space="preserve"> été mentionné pour justifier certains </w:t>
      </w:r>
      <w:r>
        <w:rPr>
          <w:lang w:val="fr-FR"/>
        </w:rPr>
        <w:t xml:space="preserve">projets de </w:t>
      </w:r>
      <w:r w:rsidRPr="00CE65DF">
        <w:rPr>
          <w:lang w:val="fr-FR"/>
        </w:rPr>
        <w:t>directive mais qui pou</w:t>
      </w:r>
      <w:r>
        <w:rPr>
          <w:lang w:val="fr-FR"/>
        </w:rPr>
        <w:t>v</w:t>
      </w:r>
      <w:r w:rsidRPr="00CE65DF">
        <w:rPr>
          <w:lang w:val="fr-FR"/>
        </w:rPr>
        <w:t xml:space="preserve">ait sous-tendre, dans un sens plus large et conceptuel, les </w:t>
      </w:r>
      <w:r>
        <w:rPr>
          <w:lang w:val="fr-FR"/>
        </w:rPr>
        <w:t xml:space="preserve">projets de </w:t>
      </w:r>
      <w:r w:rsidRPr="00CE65DF">
        <w:rPr>
          <w:lang w:val="fr-FR"/>
        </w:rPr>
        <w:t>directive actuels tels qu</w:t>
      </w:r>
      <w:r w:rsidR="004C5E26">
        <w:rPr>
          <w:lang w:val="fr-FR"/>
        </w:rPr>
        <w:t>’</w:t>
      </w:r>
      <w:r>
        <w:rPr>
          <w:lang w:val="fr-FR"/>
        </w:rPr>
        <w:t>il</w:t>
      </w:r>
      <w:r w:rsidRPr="00CE65DF">
        <w:rPr>
          <w:lang w:val="fr-FR"/>
        </w:rPr>
        <w:t xml:space="preserve">s </w:t>
      </w:r>
      <w:r>
        <w:rPr>
          <w:lang w:val="fr-FR"/>
        </w:rPr>
        <w:t>étaient</w:t>
      </w:r>
      <w:r w:rsidRPr="00CE65DF">
        <w:rPr>
          <w:lang w:val="fr-FR"/>
        </w:rPr>
        <w:t xml:space="preserve"> formulés</w:t>
      </w:r>
      <w:r>
        <w:rPr>
          <w:lang w:val="fr-FR"/>
        </w:rPr>
        <w:t>, devait faire l</w:t>
      </w:r>
      <w:r w:rsidR="004C5E26">
        <w:rPr>
          <w:lang w:val="fr-FR"/>
        </w:rPr>
        <w:t>’</w:t>
      </w:r>
      <w:r>
        <w:rPr>
          <w:lang w:val="fr-FR"/>
        </w:rPr>
        <w:t>objet d</w:t>
      </w:r>
      <w:r w:rsidR="004C5E26">
        <w:rPr>
          <w:lang w:val="fr-FR"/>
        </w:rPr>
        <w:t>’</w:t>
      </w:r>
      <w:r>
        <w:rPr>
          <w:lang w:val="fr-FR"/>
        </w:rPr>
        <w:t>une plus grande attention</w:t>
      </w:r>
      <w:r w:rsidRPr="00CE65DF">
        <w:rPr>
          <w:lang w:val="fr-FR"/>
        </w:rPr>
        <w:t xml:space="preserve">. Il est également apparu que certains projets de directive provisoirement adoptés par le Comité de rédaction devaient être </w:t>
      </w:r>
      <w:r>
        <w:rPr>
          <w:lang w:val="fr-FR"/>
        </w:rPr>
        <w:t xml:space="preserve">davantage </w:t>
      </w:r>
      <w:r w:rsidRPr="00CE65DF">
        <w:rPr>
          <w:lang w:val="fr-FR"/>
        </w:rPr>
        <w:t>explicités et harmonisés.</w:t>
      </w:r>
    </w:p>
    <w:p w14:paraId="6A437914" w14:textId="66DD3CC9" w:rsidR="00737BD1" w:rsidRPr="00CE65DF" w:rsidRDefault="00737BD1" w:rsidP="00737BD1">
      <w:pPr>
        <w:pStyle w:val="SingleTxtG"/>
        <w:rPr>
          <w:lang w:val="fr-FR"/>
        </w:rPr>
      </w:pPr>
      <w:r>
        <w:rPr>
          <w:lang w:val="fr-FR"/>
        </w:rPr>
        <w:t>317</w:t>
      </w:r>
      <w:r w:rsidRPr="00CE65DF">
        <w:rPr>
          <w:lang w:val="fr-FR"/>
        </w:rPr>
        <w:t>.</w:t>
      </w:r>
      <w:r w:rsidRPr="00CE65DF">
        <w:rPr>
          <w:lang w:val="fr-FR"/>
        </w:rPr>
        <w:tab/>
        <w:t xml:space="preserve">Enfin, </w:t>
      </w:r>
      <w:r>
        <w:rPr>
          <w:lang w:val="fr-FR"/>
        </w:rPr>
        <w:t xml:space="preserve">les membres intéressés </w:t>
      </w:r>
      <w:r w:rsidRPr="00CE65DF">
        <w:rPr>
          <w:lang w:val="fr-FR"/>
        </w:rPr>
        <w:t>on</w:t>
      </w:r>
      <w:r>
        <w:rPr>
          <w:lang w:val="fr-FR"/>
        </w:rPr>
        <w:t>t jugé</w:t>
      </w:r>
      <w:r w:rsidRPr="00CE65DF">
        <w:rPr>
          <w:lang w:val="fr-FR"/>
        </w:rPr>
        <w:t xml:space="preserve"> </w:t>
      </w:r>
      <w:r>
        <w:rPr>
          <w:lang w:val="fr-FR"/>
        </w:rPr>
        <w:t>qu</w:t>
      </w:r>
      <w:r w:rsidR="004C5E26">
        <w:rPr>
          <w:lang w:val="fr-FR"/>
        </w:rPr>
        <w:t>’</w:t>
      </w:r>
      <w:r>
        <w:rPr>
          <w:lang w:val="fr-FR"/>
        </w:rPr>
        <w:t xml:space="preserve">une réflexion plus approfondie était nécessaire quant </w:t>
      </w:r>
      <w:r w:rsidRPr="00CE65DF">
        <w:rPr>
          <w:lang w:val="fr-FR"/>
        </w:rPr>
        <w:t xml:space="preserve">au résultat des travaux de la Commission, en particulier </w:t>
      </w:r>
      <w:r>
        <w:rPr>
          <w:lang w:val="fr-FR"/>
        </w:rPr>
        <w:t>s</w:t>
      </w:r>
      <w:r w:rsidR="004C5E26">
        <w:rPr>
          <w:lang w:val="fr-FR"/>
        </w:rPr>
        <w:t>’</w:t>
      </w:r>
      <w:r>
        <w:rPr>
          <w:lang w:val="fr-FR"/>
        </w:rPr>
        <w:t xml:space="preserve">agissant de </w:t>
      </w:r>
      <w:r w:rsidRPr="00CE65DF">
        <w:rPr>
          <w:lang w:val="fr-FR"/>
        </w:rPr>
        <w:t>la possibilité que celle-ci choisisse d</w:t>
      </w:r>
      <w:r w:rsidR="004C5E26">
        <w:rPr>
          <w:lang w:val="fr-FR"/>
        </w:rPr>
        <w:t>’</w:t>
      </w:r>
      <w:r w:rsidRPr="00CE65DF">
        <w:rPr>
          <w:lang w:val="fr-FR"/>
        </w:rPr>
        <w:t>établir un rapport final sur le sujet.</w:t>
      </w:r>
    </w:p>
    <w:p w14:paraId="3988F66B" w14:textId="36884E3B" w:rsidR="00737BD1" w:rsidRPr="00CE65DF" w:rsidRDefault="00737BD1" w:rsidP="00737BD1">
      <w:pPr>
        <w:pStyle w:val="SingleTxtG"/>
        <w:rPr>
          <w:lang w:val="fr-FR"/>
        </w:rPr>
      </w:pPr>
      <w:r>
        <w:rPr>
          <w:lang w:val="fr-FR"/>
        </w:rPr>
        <w:t>318</w:t>
      </w:r>
      <w:r w:rsidRPr="00CE65DF">
        <w:rPr>
          <w:lang w:val="fr-FR"/>
        </w:rPr>
        <w:t>.</w:t>
      </w:r>
      <w:r w:rsidRPr="00CE65DF">
        <w:rPr>
          <w:lang w:val="fr-FR"/>
        </w:rPr>
        <w:tab/>
      </w:r>
      <w:r>
        <w:rPr>
          <w:lang w:val="fr-FR"/>
        </w:rPr>
        <w:t>Conformément</w:t>
      </w:r>
      <w:r w:rsidRPr="00CE65DF">
        <w:rPr>
          <w:lang w:val="fr-FR"/>
        </w:rPr>
        <w:t xml:space="preserve"> à la recommandation adoptée par la Commission à sa soixante</w:t>
      </w:r>
      <w:r>
        <w:rPr>
          <w:lang w:val="fr-FR"/>
        </w:rPr>
        <w:noBreakHyphen/>
      </w:r>
      <w:r w:rsidRPr="00CE65DF">
        <w:rPr>
          <w:lang w:val="fr-FR"/>
        </w:rPr>
        <w:t>quatorzième session, un document de travail a été établi par le Président du Groupe de travail, avec l</w:t>
      </w:r>
      <w:r w:rsidR="004C5E26">
        <w:rPr>
          <w:lang w:val="fr-FR"/>
        </w:rPr>
        <w:t>’</w:t>
      </w:r>
      <w:r w:rsidRPr="00CE65DF">
        <w:rPr>
          <w:lang w:val="fr-FR"/>
        </w:rPr>
        <w:t>a</w:t>
      </w:r>
      <w:r>
        <w:rPr>
          <w:lang w:val="fr-FR"/>
        </w:rPr>
        <w:t>ssistanc</w:t>
      </w:r>
      <w:r w:rsidRPr="00CE65DF">
        <w:rPr>
          <w:lang w:val="fr-FR"/>
        </w:rPr>
        <w:t>e de</w:t>
      </w:r>
      <w:r>
        <w:rPr>
          <w:lang w:val="fr-FR"/>
        </w:rPr>
        <w:t>s</w:t>
      </w:r>
      <w:r w:rsidRPr="00CE65DF">
        <w:rPr>
          <w:lang w:val="fr-FR"/>
        </w:rPr>
        <w:t xml:space="preserve"> membres intéressés. Il contenait un résumé des travaux </w:t>
      </w:r>
      <w:r>
        <w:rPr>
          <w:lang w:val="fr-FR"/>
        </w:rPr>
        <w:t xml:space="preserve">menés à ce jour </w:t>
      </w:r>
      <w:r w:rsidRPr="00CE65DF">
        <w:rPr>
          <w:lang w:val="fr-FR"/>
        </w:rPr>
        <w:t xml:space="preserve">sur le sujet </w:t>
      </w:r>
      <w:r>
        <w:rPr>
          <w:lang w:val="fr-FR"/>
        </w:rPr>
        <w:t>ainsi qu</w:t>
      </w:r>
      <w:r w:rsidR="004C5E26">
        <w:rPr>
          <w:lang w:val="fr-FR"/>
        </w:rPr>
        <w:t>’</w:t>
      </w:r>
      <w:r w:rsidRPr="00CE65DF">
        <w:rPr>
          <w:lang w:val="fr-FR"/>
        </w:rPr>
        <w:t xml:space="preserve">un aperçu des questions à </w:t>
      </w:r>
      <w:r>
        <w:rPr>
          <w:lang w:val="fr-FR"/>
        </w:rPr>
        <w:t>examin</w:t>
      </w:r>
      <w:r w:rsidRPr="00CE65DF">
        <w:rPr>
          <w:lang w:val="fr-FR"/>
        </w:rPr>
        <w:t>er par le Groupe de travail, telles que recensées à la réunion intersessions, ainsi qu</w:t>
      </w:r>
      <w:r w:rsidR="004C5E26">
        <w:rPr>
          <w:lang w:val="fr-FR"/>
        </w:rPr>
        <w:t>’</w:t>
      </w:r>
      <w:r w:rsidRPr="00CE65DF">
        <w:rPr>
          <w:lang w:val="fr-FR"/>
        </w:rPr>
        <w:t>un</w:t>
      </w:r>
      <w:r>
        <w:rPr>
          <w:lang w:val="fr-FR"/>
        </w:rPr>
        <w:t>e</w:t>
      </w:r>
      <w:r w:rsidRPr="00CE65DF">
        <w:rPr>
          <w:lang w:val="fr-FR"/>
        </w:rPr>
        <w:t xml:space="preserve"> présentation des options s</w:t>
      </w:r>
      <w:r w:rsidR="004C5E26">
        <w:rPr>
          <w:lang w:val="fr-FR"/>
        </w:rPr>
        <w:t>’</w:t>
      </w:r>
      <w:r w:rsidRPr="00CE65DF">
        <w:rPr>
          <w:lang w:val="fr-FR"/>
        </w:rPr>
        <w:t>offr</w:t>
      </w:r>
      <w:r>
        <w:rPr>
          <w:lang w:val="fr-FR"/>
        </w:rPr>
        <w:t>a</w:t>
      </w:r>
      <w:r w:rsidRPr="00CE65DF">
        <w:rPr>
          <w:lang w:val="fr-FR"/>
        </w:rPr>
        <w:t>nt à la Commission pour ses travaux futurs sur le sujet.</w:t>
      </w:r>
    </w:p>
    <w:p w14:paraId="56622DE7" w14:textId="77777777" w:rsidR="00737BD1" w:rsidRPr="0046500A" w:rsidRDefault="00737BD1" w:rsidP="00737BD1">
      <w:pPr>
        <w:pStyle w:val="H23G"/>
        <w:rPr>
          <w:lang w:val="fr-FR"/>
        </w:rPr>
      </w:pPr>
      <w:r w:rsidRPr="0046500A">
        <w:rPr>
          <w:lang w:val="fr-FR"/>
        </w:rPr>
        <w:tab/>
        <w:t>2.</w:t>
      </w:r>
      <w:r w:rsidRPr="0046500A">
        <w:rPr>
          <w:lang w:val="fr-FR"/>
        </w:rPr>
        <w:tab/>
      </w:r>
      <w:bookmarkStart w:id="123" w:name="_Hlk175323650"/>
      <w:r w:rsidRPr="0046500A">
        <w:rPr>
          <w:lang w:val="fr-FR"/>
        </w:rPr>
        <w:t>Travaux menés à la présente session</w:t>
      </w:r>
      <w:bookmarkEnd w:id="123"/>
    </w:p>
    <w:p w14:paraId="0F87D841" w14:textId="73DA36C3" w:rsidR="00737BD1" w:rsidRPr="00CE65DF" w:rsidRDefault="00737BD1" w:rsidP="00737BD1">
      <w:pPr>
        <w:pStyle w:val="SingleTxtG"/>
        <w:rPr>
          <w:lang w:val="fr-FR"/>
        </w:rPr>
      </w:pPr>
      <w:r>
        <w:rPr>
          <w:lang w:val="fr-FR"/>
        </w:rPr>
        <w:t>319</w:t>
      </w:r>
      <w:r w:rsidRPr="00CE65DF">
        <w:rPr>
          <w:lang w:val="fr-FR"/>
        </w:rPr>
        <w:t>.</w:t>
      </w:r>
      <w:r w:rsidRPr="00CE65DF">
        <w:rPr>
          <w:lang w:val="fr-FR"/>
        </w:rPr>
        <w:tab/>
        <w:t>Le Groupe de travail sur la succession d</w:t>
      </w:r>
      <w:r w:rsidR="004C5E26">
        <w:rPr>
          <w:lang w:val="fr-FR"/>
        </w:rPr>
        <w:t>’</w:t>
      </w:r>
      <w:r w:rsidRPr="00CE65DF">
        <w:rPr>
          <w:lang w:val="fr-FR"/>
        </w:rPr>
        <w:t>États en matière de responsabilité de</w:t>
      </w:r>
      <w:r>
        <w:rPr>
          <w:lang w:val="fr-FR"/>
        </w:rPr>
        <w:t xml:space="preserve"> l</w:t>
      </w:r>
      <w:r w:rsidR="004C5E26">
        <w:rPr>
          <w:lang w:val="fr-FR"/>
        </w:rPr>
        <w:t>’</w:t>
      </w:r>
      <w:r w:rsidRPr="009C2D9F">
        <w:rPr>
          <w:lang w:val="fr-FR"/>
        </w:rPr>
        <w:t>État a été reconstitué</w:t>
      </w:r>
      <w:r w:rsidRPr="00CE65DF">
        <w:rPr>
          <w:lang w:val="fr-FR"/>
        </w:rPr>
        <w:t xml:space="preserve"> à la 3658</w:t>
      </w:r>
      <w:r w:rsidRPr="009C2D9F">
        <w:rPr>
          <w:vertAlign w:val="superscript"/>
          <w:lang w:val="fr-FR"/>
        </w:rPr>
        <w:t>e</w:t>
      </w:r>
      <w:r>
        <w:rPr>
          <w:lang w:val="fr-FR"/>
        </w:rPr>
        <w:t> </w:t>
      </w:r>
      <w:r w:rsidRPr="00CE65DF">
        <w:rPr>
          <w:lang w:val="fr-FR"/>
        </w:rPr>
        <w:t>séance, le 29 avril 2024. Il s</w:t>
      </w:r>
      <w:r w:rsidR="004C5E26">
        <w:rPr>
          <w:lang w:val="fr-FR"/>
        </w:rPr>
        <w:t>’</w:t>
      </w:r>
      <w:r w:rsidRPr="00CE65DF">
        <w:rPr>
          <w:lang w:val="fr-FR"/>
        </w:rPr>
        <w:t xml:space="preserve">est réuni deux fois </w:t>
      </w:r>
      <w:r>
        <w:rPr>
          <w:lang w:val="fr-FR"/>
        </w:rPr>
        <w:t>pendant</w:t>
      </w:r>
      <w:r w:rsidRPr="00554D7E">
        <w:rPr>
          <w:lang w:val="fr-FR"/>
        </w:rPr>
        <w:t xml:space="preserve"> la pré</w:t>
      </w:r>
      <w:r w:rsidRPr="00CE65DF">
        <w:rPr>
          <w:lang w:val="fr-FR"/>
        </w:rPr>
        <w:t xml:space="preserve">sente session de la Commission, le 20 mai 2024 et le </w:t>
      </w:r>
      <w:r>
        <w:rPr>
          <w:lang w:val="fr-FR"/>
        </w:rPr>
        <w:t>8</w:t>
      </w:r>
      <w:r w:rsidRPr="00CE65DF">
        <w:rPr>
          <w:lang w:val="fr-FR"/>
        </w:rPr>
        <w:t xml:space="preserve"> juillet 2024. Il était saisi du document de travail établi par le Président du Groupe de travail. Il a examiné et approuvé son rapport à sa deuxième réunion.</w:t>
      </w:r>
    </w:p>
    <w:p w14:paraId="697FE737" w14:textId="77777777" w:rsidR="00737BD1" w:rsidRPr="0046500A" w:rsidRDefault="00737BD1" w:rsidP="00737BD1">
      <w:pPr>
        <w:pStyle w:val="H23G"/>
        <w:rPr>
          <w:lang w:val="fr-FR"/>
        </w:rPr>
      </w:pPr>
      <w:r w:rsidRPr="0046500A">
        <w:rPr>
          <w:lang w:val="fr-FR"/>
        </w:rPr>
        <w:tab/>
        <w:t>a)</w:t>
      </w:r>
      <w:r w:rsidRPr="0046500A">
        <w:rPr>
          <w:lang w:val="fr-FR"/>
        </w:rPr>
        <w:tab/>
        <w:t>Débats au sein du Groupe de travail</w:t>
      </w:r>
    </w:p>
    <w:p w14:paraId="6AD60C42" w14:textId="4A30438D" w:rsidR="00737BD1" w:rsidRPr="00CE65DF" w:rsidRDefault="00737BD1" w:rsidP="00737BD1">
      <w:pPr>
        <w:pStyle w:val="SingleTxtG"/>
        <w:rPr>
          <w:lang w:val="fr-FR"/>
        </w:rPr>
      </w:pPr>
      <w:r>
        <w:rPr>
          <w:lang w:val="fr-FR"/>
        </w:rPr>
        <w:t>320</w:t>
      </w:r>
      <w:r w:rsidRPr="00CE65DF">
        <w:rPr>
          <w:lang w:val="fr-FR"/>
        </w:rPr>
        <w:t>.</w:t>
      </w:r>
      <w:r w:rsidRPr="00CE65DF">
        <w:rPr>
          <w:lang w:val="fr-FR"/>
        </w:rPr>
        <w:tab/>
      </w:r>
      <w:r>
        <w:rPr>
          <w:lang w:val="fr-FR"/>
        </w:rPr>
        <w:t>À</w:t>
      </w:r>
      <w:r w:rsidRPr="00CE65DF">
        <w:rPr>
          <w:lang w:val="fr-FR"/>
        </w:rPr>
        <w:t xml:space="preserve"> la première réunion du Groupe de travail, ses membres ont remercié le Président pour les travaux intersessions qu</w:t>
      </w:r>
      <w:r w:rsidR="004C5E26">
        <w:rPr>
          <w:lang w:val="fr-FR"/>
        </w:rPr>
        <w:t>’</w:t>
      </w:r>
      <w:r w:rsidRPr="00CE65DF">
        <w:rPr>
          <w:lang w:val="fr-FR"/>
        </w:rPr>
        <w:t xml:space="preserve">il avait menés et </w:t>
      </w:r>
      <w:r>
        <w:rPr>
          <w:lang w:val="fr-FR"/>
        </w:rPr>
        <w:t xml:space="preserve">pour </w:t>
      </w:r>
      <w:r w:rsidRPr="00CE65DF">
        <w:rPr>
          <w:lang w:val="fr-FR"/>
        </w:rPr>
        <w:t>le document de travail qu</w:t>
      </w:r>
      <w:r w:rsidR="004C5E26">
        <w:rPr>
          <w:lang w:val="fr-FR"/>
        </w:rPr>
        <w:t>’</w:t>
      </w:r>
      <w:r w:rsidRPr="00CE65DF">
        <w:rPr>
          <w:lang w:val="fr-FR"/>
        </w:rPr>
        <w:t xml:space="preserve">il avait </w:t>
      </w:r>
      <w:r>
        <w:rPr>
          <w:lang w:val="fr-FR"/>
        </w:rPr>
        <w:t xml:space="preserve">ensuite </w:t>
      </w:r>
      <w:r w:rsidRPr="00CE65DF">
        <w:rPr>
          <w:lang w:val="fr-FR"/>
        </w:rPr>
        <w:t>établi. Ils ont également remercié les membres de la Commission qui avaient participé à ces travaux, en particulier M.</w:t>
      </w:r>
      <w:r>
        <w:rPr>
          <w:lang w:val="fr-FR"/>
        </w:rPr>
        <w:t> </w:t>
      </w:r>
      <w:r w:rsidRPr="00CE65DF">
        <w:rPr>
          <w:lang w:val="fr-FR"/>
        </w:rPr>
        <w:t>Patel pour son importante contribution au document de</w:t>
      </w:r>
      <w:r>
        <w:rPr>
          <w:lang w:val="fr-FR"/>
        </w:rPr>
        <w:t xml:space="preserve"> </w:t>
      </w:r>
      <w:r w:rsidRPr="00CE65DF">
        <w:rPr>
          <w:lang w:val="fr-FR"/>
        </w:rPr>
        <w:t>travail.</w:t>
      </w:r>
    </w:p>
    <w:p w14:paraId="30A133AB" w14:textId="412F0EAA" w:rsidR="00737BD1" w:rsidRPr="00CE65DF" w:rsidRDefault="00737BD1" w:rsidP="00737BD1">
      <w:pPr>
        <w:pStyle w:val="SingleTxtG"/>
        <w:rPr>
          <w:lang w:val="fr-FR"/>
        </w:rPr>
      </w:pPr>
      <w:r>
        <w:rPr>
          <w:lang w:val="fr-FR"/>
        </w:rPr>
        <w:t>321</w:t>
      </w:r>
      <w:r w:rsidRPr="00CE65DF">
        <w:rPr>
          <w:lang w:val="fr-FR"/>
        </w:rPr>
        <w:t>.</w:t>
      </w:r>
      <w:r w:rsidRPr="00CE65DF">
        <w:rPr>
          <w:lang w:val="fr-FR"/>
        </w:rPr>
        <w:tab/>
      </w:r>
      <w:r w:rsidRPr="00EA536D">
        <w:rPr>
          <w:spacing w:val="-1"/>
          <w:lang w:val="fr-FR"/>
        </w:rPr>
        <w:t>Le débat au sein du Groupe de travail a d</w:t>
      </w:r>
      <w:r w:rsidR="004C5E26">
        <w:rPr>
          <w:spacing w:val="-1"/>
          <w:lang w:val="fr-FR"/>
        </w:rPr>
        <w:t>’</w:t>
      </w:r>
      <w:r w:rsidRPr="00EA536D">
        <w:rPr>
          <w:spacing w:val="-1"/>
          <w:lang w:val="fr-FR"/>
        </w:rPr>
        <w:t>abord porté sur les difficultés que la Commission rencontrerait dans la poursuite de l</w:t>
      </w:r>
      <w:r w:rsidR="004C5E26">
        <w:rPr>
          <w:spacing w:val="-1"/>
          <w:lang w:val="fr-FR"/>
        </w:rPr>
        <w:t>’</w:t>
      </w:r>
      <w:r w:rsidRPr="00EA536D">
        <w:rPr>
          <w:spacing w:val="-1"/>
          <w:lang w:val="fr-FR"/>
        </w:rPr>
        <w:t>examen du sujet, spécialement celles recensées dans le document de travail. Les membres ont insisté sur le caractère généralement complexe et sensible du sujet. Nombre d</w:t>
      </w:r>
      <w:r w:rsidR="004C5E26">
        <w:rPr>
          <w:spacing w:val="-1"/>
          <w:lang w:val="fr-FR"/>
        </w:rPr>
        <w:t>’</w:t>
      </w:r>
      <w:r w:rsidRPr="00EA536D">
        <w:rPr>
          <w:spacing w:val="-1"/>
          <w:lang w:val="fr-FR"/>
        </w:rPr>
        <w:t>entre eux ont rappelé le manque de pratique des États en la matière, qui compromettait la détermination de règles du droit international coutumier. Un certain nombre d</w:t>
      </w:r>
      <w:r w:rsidR="004C5E26">
        <w:rPr>
          <w:spacing w:val="-1"/>
          <w:lang w:val="fr-FR"/>
        </w:rPr>
        <w:t>’</w:t>
      </w:r>
      <w:r w:rsidRPr="00EA536D">
        <w:rPr>
          <w:spacing w:val="-1"/>
          <w:lang w:val="fr-FR"/>
        </w:rPr>
        <w:t>entre eux ont fait observer que la pratique des États recensée n</w:t>
      </w:r>
      <w:r w:rsidR="004C5E26">
        <w:rPr>
          <w:spacing w:val="-1"/>
          <w:lang w:val="fr-FR"/>
        </w:rPr>
        <w:t>’</w:t>
      </w:r>
      <w:r w:rsidRPr="00EA536D">
        <w:rPr>
          <w:spacing w:val="-1"/>
          <w:lang w:val="fr-FR"/>
        </w:rPr>
        <w:t>était pas cohérente, et plusieurs intervenants ont fait remarquer que la pratique de différentes régions du monde, en particulier celle d</w:t>
      </w:r>
      <w:r w:rsidR="004C5E26">
        <w:rPr>
          <w:spacing w:val="-1"/>
          <w:lang w:val="fr-FR"/>
        </w:rPr>
        <w:t>’</w:t>
      </w:r>
      <w:r w:rsidRPr="00EA536D">
        <w:rPr>
          <w:spacing w:val="-1"/>
          <w:lang w:val="fr-FR"/>
        </w:rPr>
        <w:t>États africains et asiatiques, n</w:t>
      </w:r>
      <w:r w:rsidR="004C5E26">
        <w:rPr>
          <w:spacing w:val="-1"/>
          <w:lang w:val="fr-FR"/>
        </w:rPr>
        <w:t>’</w:t>
      </w:r>
      <w:r w:rsidRPr="00EA536D">
        <w:rPr>
          <w:spacing w:val="-1"/>
          <w:lang w:val="fr-FR"/>
        </w:rPr>
        <w:t>avait pas été suffisamment prise en compte. Il a également été rappelé qu</w:t>
      </w:r>
      <w:r w:rsidR="004C5E26">
        <w:rPr>
          <w:spacing w:val="-1"/>
          <w:lang w:val="fr-FR"/>
        </w:rPr>
        <w:t>’</w:t>
      </w:r>
      <w:r w:rsidRPr="00EA536D">
        <w:rPr>
          <w:spacing w:val="-1"/>
          <w:lang w:val="fr-FR"/>
        </w:rPr>
        <w:t>une grande partie de la pratique recensée correspondait à des traités conclus entre des États concernés, et des membres ont souligné la difficulté qu</w:t>
      </w:r>
      <w:r w:rsidR="004C5E26">
        <w:rPr>
          <w:spacing w:val="-1"/>
          <w:lang w:val="fr-FR"/>
        </w:rPr>
        <w:t>’</w:t>
      </w:r>
      <w:r w:rsidRPr="00EA536D">
        <w:rPr>
          <w:spacing w:val="-1"/>
          <w:lang w:val="fr-FR"/>
        </w:rPr>
        <w:t>il y avait à établir un lien entre cette pratique et des règles du droit international coutumier. Plusieurs membres ont estimé que la poursuite de l</w:t>
      </w:r>
      <w:r w:rsidR="004C5E26">
        <w:rPr>
          <w:spacing w:val="-1"/>
          <w:lang w:val="fr-FR"/>
        </w:rPr>
        <w:t>’</w:t>
      </w:r>
      <w:r w:rsidRPr="00EA536D">
        <w:rPr>
          <w:spacing w:val="-1"/>
          <w:lang w:val="fr-FR"/>
        </w:rPr>
        <w:t>étude du sujet nécessiterait un examen approfondi de la pratique étatique la plus large possible.</w:t>
      </w:r>
    </w:p>
    <w:p w14:paraId="3347EBFB" w14:textId="74FEADD0" w:rsidR="00737BD1" w:rsidRPr="00CE65DF" w:rsidRDefault="00737BD1" w:rsidP="00737BD1">
      <w:pPr>
        <w:pStyle w:val="SingleTxtG"/>
        <w:rPr>
          <w:lang w:val="fr-FR"/>
        </w:rPr>
      </w:pPr>
      <w:r>
        <w:rPr>
          <w:lang w:val="fr-FR"/>
        </w:rPr>
        <w:t>322</w:t>
      </w:r>
      <w:r w:rsidRPr="00CE65DF">
        <w:rPr>
          <w:lang w:val="fr-FR"/>
        </w:rPr>
        <w:t>.</w:t>
      </w:r>
      <w:r w:rsidRPr="00CE65DF">
        <w:rPr>
          <w:lang w:val="fr-FR"/>
        </w:rPr>
        <w:tab/>
        <w:t xml:space="preserve">Des membres </w:t>
      </w:r>
      <w:r w:rsidRPr="004821CE">
        <w:rPr>
          <w:lang w:val="fr-FR"/>
        </w:rPr>
        <w:t>du Groupe de travail</w:t>
      </w:r>
      <w:r>
        <w:rPr>
          <w:lang w:val="fr-FR"/>
        </w:rPr>
        <w:t xml:space="preserve"> </w:t>
      </w:r>
      <w:r w:rsidRPr="00CE65DF">
        <w:rPr>
          <w:lang w:val="fr-FR"/>
        </w:rPr>
        <w:t xml:space="preserve">ont également rappelé un certain nombre </w:t>
      </w:r>
      <w:r>
        <w:rPr>
          <w:lang w:val="fr-FR"/>
        </w:rPr>
        <w:t>de questions</w:t>
      </w:r>
      <w:r w:rsidRPr="00CE65DF">
        <w:rPr>
          <w:lang w:val="fr-FR"/>
        </w:rPr>
        <w:t xml:space="preserve"> de fond </w:t>
      </w:r>
      <w:r>
        <w:rPr>
          <w:lang w:val="fr-FR"/>
        </w:rPr>
        <w:t>concernant le</w:t>
      </w:r>
      <w:r w:rsidRPr="00CE65DF">
        <w:rPr>
          <w:lang w:val="fr-FR"/>
        </w:rPr>
        <w:t xml:space="preserve"> sujet que la Commission n</w:t>
      </w:r>
      <w:r w:rsidR="004C5E26">
        <w:rPr>
          <w:lang w:val="fr-FR"/>
        </w:rPr>
        <w:t>’</w:t>
      </w:r>
      <w:r w:rsidRPr="00CE65DF">
        <w:rPr>
          <w:lang w:val="fr-FR"/>
        </w:rPr>
        <w:t xml:space="preserve">avait pas encore </w:t>
      </w:r>
      <w:r w:rsidRPr="00971841">
        <w:rPr>
          <w:lang w:val="fr-FR"/>
        </w:rPr>
        <w:t>entièrement traité</w:t>
      </w:r>
      <w:r>
        <w:rPr>
          <w:lang w:val="fr-FR"/>
        </w:rPr>
        <w:t>e</w:t>
      </w:r>
      <w:r w:rsidRPr="00971841">
        <w:rPr>
          <w:lang w:val="fr-FR"/>
        </w:rPr>
        <w:t>s</w:t>
      </w:r>
      <w:r>
        <w:rPr>
          <w:lang w:val="fr-FR"/>
        </w:rPr>
        <w:t>. Il en allait ainsi</w:t>
      </w:r>
      <w:r w:rsidRPr="00CE65DF">
        <w:rPr>
          <w:lang w:val="fr-FR"/>
        </w:rPr>
        <w:t xml:space="preserve"> notamment</w:t>
      </w:r>
      <w:r>
        <w:rPr>
          <w:lang w:val="fr-FR"/>
        </w:rPr>
        <w:t xml:space="preserve"> de </w:t>
      </w:r>
      <w:r w:rsidRPr="00CE65DF">
        <w:rPr>
          <w:lang w:val="fr-FR"/>
        </w:rPr>
        <w:t>: la</w:t>
      </w:r>
      <w:r>
        <w:rPr>
          <w:lang w:val="fr-FR"/>
        </w:rPr>
        <w:t xml:space="preserve"> </w:t>
      </w:r>
      <w:r w:rsidRPr="00CE65DF">
        <w:rPr>
          <w:lang w:val="fr-FR"/>
        </w:rPr>
        <w:t>question de savoir si c</w:t>
      </w:r>
      <w:r w:rsidR="004C5E26">
        <w:rPr>
          <w:lang w:val="fr-FR"/>
        </w:rPr>
        <w:t>’</w:t>
      </w:r>
      <w:r>
        <w:rPr>
          <w:lang w:val="fr-FR"/>
        </w:rPr>
        <w:t>était</w:t>
      </w:r>
      <w:r w:rsidRPr="00CE65DF">
        <w:rPr>
          <w:lang w:val="fr-FR"/>
        </w:rPr>
        <w:t xml:space="preserve"> la responsabilité ou </w:t>
      </w:r>
      <w:r w:rsidRPr="00CE65DF">
        <w:rPr>
          <w:lang w:val="fr-FR"/>
        </w:rPr>
        <w:lastRenderedPageBreak/>
        <w:t>les droits et obligations qui en découlent qui seraient transférés en cas de succession d</w:t>
      </w:r>
      <w:r w:rsidR="004C5E26">
        <w:rPr>
          <w:lang w:val="fr-FR"/>
        </w:rPr>
        <w:t>’</w:t>
      </w:r>
      <w:r w:rsidRPr="00CE65DF">
        <w:rPr>
          <w:lang w:val="fr-FR"/>
        </w:rPr>
        <w:t>États ; l</w:t>
      </w:r>
      <w:r w:rsidR="004C5E26">
        <w:rPr>
          <w:lang w:val="fr-FR"/>
        </w:rPr>
        <w:t>’</w:t>
      </w:r>
      <w:r w:rsidRPr="00CE65DF">
        <w:rPr>
          <w:lang w:val="fr-FR"/>
        </w:rPr>
        <w:t>opportunité d</w:t>
      </w:r>
      <w:r w:rsidR="004C5E26">
        <w:rPr>
          <w:lang w:val="fr-FR"/>
        </w:rPr>
        <w:t>’</w:t>
      </w:r>
      <w:r w:rsidRPr="00CE65DF">
        <w:rPr>
          <w:lang w:val="fr-FR"/>
        </w:rPr>
        <w:t>un parallèle avec les cas de succession de dettes d</w:t>
      </w:r>
      <w:r w:rsidR="004C5E26">
        <w:rPr>
          <w:lang w:val="fr-FR"/>
        </w:rPr>
        <w:t>’</w:t>
      </w:r>
      <w:r w:rsidRPr="00CE65DF">
        <w:rPr>
          <w:lang w:val="fr-FR"/>
        </w:rPr>
        <w:t xml:space="preserve">État ; le rapport entre le sujet et le droit </w:t>
      </w:r>
      <w:r>
        <w:rPr>
          <w:lang w:val="fr-FR"/>
        </w:rPr>
        <w:t>régiss</w:t>
      </w:r>
      <w:r w:rsidRPr="00CE65DF">
        <w:rPr>
          <w:lang w:val="fr-FR"/>
        </w:rPr>
        <w:t>ant l</w:t>
      </w:r>
      <w:r w:rsidR="004C5E26">
        <w:rPr>
          <w:lang w:val="fr-FR"/>
        </w:rPr>
        <w:t>’</w:t>
      </w:r>
      <w:r w:rsidRPr="00CE65DF">
        <w:rPr>
          <w:lang w:val="fr-FR"/>
        </w:rPr>
        <w:t xml:space="preserve">enrichissement injustifié, </w:t>
      </w:r>
      <w:r w:rsidRPr="0090106C">
        <w:rPr>
          <w:lang w:val="fr-FR"/>
        </w:rPr>
        <w:t>et les règles régissant les</w:t>
      </w:r>
      <w:r w:rsidRPr="00CE65DF">
        <w:rPr>
          <w:lang w:val="fr-FR"/>
        </w:rPr>
        <w:t xml:space="preserve"> conséquences juridiques d</w:t>
      </w:r>
      <w:r>
        <w:rPr>
          <w:lang w:val="fr-FR"/>
        </w:rPr>
        <w:t>e</w:t>
      </w:r>
      <w:r w:rsidRPr="00CE65DF">
        <w:rPr>
          <w:lang w:val="fr-FR"/>
        </w:rPr>
        <w:t xml:space="preserve"> fait</w:t>
      </w:r>
      <w:r>
        <w:rPr>
          <w:lang w:val="fr-FR"/>
        </w:rPr>
        <w:t>s</w:t>
      </w:r>
      <w:r w:rsidRPr="00CE65DF">
        <w:rPr>
          <w:lang w:val="fr-FR"/>
        </w:rPr>
        <w:t xml:space="preserve"> internationalement illicite</w:t>
      </w:r>
      <w:r>
        <w:rPr>
          <w:lang w:val="fr-FR"/>
        </w:rPr>
        <w:t>s</w:t>
      </w:r>
      <w:r w:rsidRPr="00CE65DF">
        <w:rPr>
          <w:lang w:val="fr-FR"/>
        </w:rPr>
        <w:t xml:space="preserve">. </w:t>
      </w:r>
      <w:r w:rsidRPr="007369B1">
        <w:rPr>
          <w:lang w:val="fr-FR"/>
        </w:rPr>
        <w:t>Il a été fait observer</w:t>
      </w:r>
      <w:r w:rsidRPr="00CE65DF">
        <w:rPr>
          <w:lang w:val="fr-FR"/>
        </w:rPr>
        <w:t xml:space="preserve"> que plusieurs délégations au sein de la Sixième </w:t>
      </w:r>
      <w:r>
        <w:rPr>
          <w:lang w:val="fr-FR"/>
        </w:rPr>
        <w:t>C</w:t>
      </w:r>
      <w:r w:rsidRPr="00CE65DF">
        <w:rPr>
          <w:lang w:val="fr-FR"/>
        </w:rPr>
        <w:t xml:space="preserve">ommission avaient demandé que, dans ses travaux sur le sujet, la Commission distingue plus </w:t>
      </w:r>
      <w:r w:rsidRPr="00D21DA2">
        <w:rPr>
          <w:lang w:val="fr-FR"/>
        </w:rPr>
        <w:t>clairement ce qui relevait de la codification et ce qui relevait du développement progressif du droit international. Il a</w:t>
      </w:r>
      <w:r w:rsidRPr="00CE65DF">
        <w:rPr>
          <w:lang w:val="fr-FR"/>
        </w:rPr>
        <w:t xml:space="preserve"> </w:t>
      </w:r>
      <w:r w:rsidRPr="00360616">
        <w:rPr>
          <w:lang w:val="fr-FR"/>
        </w:rPr>
        <w:t>également été dit que</w:t>
      </w:r>
      <w:r w:rsidRPr="00CE65DF">
        <w:rPr>
          <w:lang w:val="fr-FR"/>
        </w:rPr>
        <w:t xml:space="preserve"> la Commission devrait aborder ces travaux avec</w:t>
      </w:r>
      <w:r>
        <w:rPr>
          <w:lang w:val="fr-FR"/>
        </w:rPr>
        <w:t xml:space="preserve"> </w:t>
      </w:r>
      <w:r w:rsidRPr="00CE65DF">
        <w:rPr>
          <w:lang w:val="fr-FR"/>
        </w:rPr>
        <w:t>prudence.</w:t>
      </w:r>
    </w:p>
    <w:p w14:paraId="6934D340" w14:textId="5C6BA4A6" w:rsidR="00737BD1" w:rsidRPr="00CE65DF" w:rsidRDefault="00737BD1" w:rsidP="00737BD1">
      <w:pPr>
        <w:pStyle w:val="SingleTxtG"/>
        <w:rPr>
          <w:lang w:val="fr-FR"/>
        </w:rPr>
      </w:pPr>
      <w:r>
        <w:rPr>
          <w:lang w:val="fr-FR"/>
        </w:rPr>
        <w:t>323</w:t>
      </w:r>
      <w:r w:rsidRPr="00CE65DF">
        <w:rPr>
          <w:lang w:val="fr-FR"/>
        </w:rPr>
        <w:t>.</w:t>
      </w:r>
      <w:r w:rsidRPr="00CE65DF">
        <w:rPr>
          <w:lang w:val="fr-FR"/>
        </w:rPr>
        <w:tab/>
        <w:t>On a insisté sur le fait qu</w:t>
      </w:r>
      <w:r w:rsidR="004C5E26">
        <w:rPr>
          <w:lang w:val="fr-FR"/>
        </w:rPr>
        <w:t>’</w:t>
      </w:r>
      <w:r w:rsidRPr="00CE65DF">
        <w:rPr>
          <w:lang w:val="fr-FR"/>
        </w:rPr>
        <w:t xml:space="preserve">il importait de maintenir la cohérence </w:t>
      </w:r>
      <w:r>
        <w:rPr>
          <w:lang w:val="fr-FR"/>
        </w:rPr>
        <w:t xml:space="preserve">des travaux en cours </w:t>
      </w:r>
      <w:r w:rsidRPr="00CE65DF">
        <w:rPr>
          <w:lang w:val="fr-FR"/>
        </w:rPr>
        <w:t>avec les travaux antérieurs de la Commission, en particulier avec les autres aspects de la succession d</w:t>
      </w:r>
      <w:r w:rsidR="004C5E26">
        <w:rPr>
          <w:lang w:val="fr-FR"/>
        </w:rPr>
        <w:t>’</w:t>
      </w:r>
      <w:r w:rsidRPr="00CE65DF">
        <w:rPr>
          <w:lang w:val="fr-FR"/>
        </w:rPr>
        <w:t xml:space="preserve">États </w:t>
      </w:r>
      <w:r>
        <w:rPr>
          <w:lang w:val="fr-FR"/>
        </w:rPr>
        <w:t>ainsi qu</w:t>
      </w:r>
      <w:r w:rsidR="004C5E26">
        <w:rPr>
          <w:lang w:val="fr-FR"/>
        </w:rPr>
        <w:t>’</w:t>
      </w:r>
      <w:r>
        <w:rPr>
          <w:lang w:val="fr-FR"/>
        </w:rPr>
        <w:t xml:space="preserve">avec </w:t>
      </w:r>
      <w:r w:rsidRPr="00CE65DF">
        <w:rPr>
          <w:lang w:val="fr-FR"/>
        </w:rPr>
        <w:t>les articles sur la responsabilité de l</w:t>
      </w:r>
      <w:r w:rsidR="004C5E26">
        <w:rPr>
          <w:lang w:val="fr-FR"/>
        </w:rPr>
        <w:t>’</w:t>
      </w:r>
      <w:r w:rsidRPr="00CE65DF">
        <w:rPr>
          <w:lang w:val="fr-FR"/>
        </w:rPr>
        <w:t xml:space="preserve">État pour fait internationalement illicite. Il a aussi été jugé nécessaire </w:t>
      </w:r>
      <w:r>
        <w:rPr>
          <w:lang w:val="fr-FR"/>
        </w:rPr>
        <w:t>d</w:t>
      </w:r>
      <w:r w:rsidR="004C5E26">
        <w:rPr>
          <w:lang w:val="fr-FR"/>
        </w:rPr>
        <w:t>’</w:t>
      </w:r>
      <w:r>
        <w:rPr>
          <w:lang w:val="fr-FR"/>
        </w:rPr>
        <w:t>examiner</w:t>
      </w:r>
      <w:r w:rsidRPr="00CE65DF">
        <w:rPr>
          <w:lang w:val="fr-FR"/>
        </w:rPr>
        <w:t xml:space="preserve"> les principes justificatifs des différentes solutions juridiques et </w:t>
      </w:r>
      <w:r w:rsidRPr="005F70F6">
        <w:rPr>
          <w:lang w:val="fr-FR"/>
        </w:rPr>
        <w:t>la possibilité de parvenir à un résultat universellement applicable.</w:t>
      </w:r>
    </w:p>
    <w:p w14:paraId="2A991AA3" w14:textId="77777777" w:rsidR="00737BD1" w:rsidRPr="0046500A" w:rsidRDefault="00737BD1" w:rsidP="00737BD1">
      <w:pPr>
        <w:pStyle w:val="H23G"/>
        <w:rPr>
          <w:lang w:val="fr-FR"/>
        </w:rPr>
      </w:pPr>
      <w:r w:rsidRPr="0046500A">
        <w:rPr>
          <w:lang w:val="fr-FR"/>
        </w:rPr>
        <w:tab/>
        <w:t>b)</w:t>
      </w:r>
      <w:r w:rsidRPr="0046500A">
        <w:rPr>
          <w:lang w:val="fr-FR"/>
        </w:rPr>
        <w:tab/>
        <w:t>Options pour la voie à suivre</w:t>
      </w:r>
    </w:p>
    <w:p w14:paraId="4E9FB7A1" w14:textId="7698CBFF" w:rsidR="00737BD1" w:rsidRPr="00CE65DF" w:rsidRDefault="00737BD1" w:rsidP="00737BD1">
      <w:pPr>
        <w:pStyle w:val="SingleTxtG"/>
        <w:spacing w:after="100"/>
        <w:rPr>
          <w:lang w:val="fr-FR"/>
        </w:rPr>
      </w:pPr>
      <w:r>
        <w:rPr>
          <w:lang w:val="fr-FR"/>
        </w:rPr>
        <w:t>324</w:t>
      </w:r>
      <w:r w:rsidRPr="00CE65DF">
        <w:rPr>
          <w:lang w:val="fr-FR"/>
        </w:rPr>
        <w:t>.</w:t>
      </w:r>
      <w:r w:rsidRPr="00CE65DF">
        <w:rPr>
          <w:lang w:val="fr-FR"/>
        </w:rPr>
        <w:tab/>
        <w:t xml:space="preserve">Compte tenu des </w:t>
      </w:r>
      <w:r>
        <w:rPr>
          <w:lang w:val="fr-FR"/>
        </w:rPr>
        <w:t xml:space="preserve">questions et </w:t>
      </w:r>
      <w:r w:rsidRPr="00CE65DF">
        <w:rPr>
          <w:lang w:val="fr-FR"/>
        </w:rPr>
        <w:t xml:space="preserve">difficultés </w:t>
      </w:r>
      <w:r>
        <w:rPr>
          <w:lang w:val="fr-FR"/>
        </w:rPr>
        <w:t>dont il a discuté</w:t>
      </w:r>
      <w:r w:rsidRPr="00CE65DF">
        <w:rPr>
          <w:lang w:val="fr-FR"/>
        </w:rPr>
        <w:t xml:space="preserve">, le Groupe de travail a également envisagé plusieurs </w:t>
      </w:r>
      <w:r>
        <w:rPr>
          <w:lang w:val="fr-FR"/>
        </w:rPr>
        <w:t>options</w:t>
      </w:r>
      <w:r w:rsidRPr="00BA51B3">
        <w:rPr>
          <w:lang w:val="fr-FR"/>
        </w:rPr>
        <w:t xml:space="preserve"> possibles</w:t>
      </w:r>
      <w:r w:rsidRPr="00CE65DF">
        <w:rPr>
          <w:lang w:val="fr-FR"/>
        </w:rPr>
        <w:t xml:space="preserve"> pour achever les travaux de la Commission sur le sujet. </w:t>
      </w:r>
      <w:r>
        <w:rPr>
          <w:lang w:val="fr-FR"/>
        </w:rPr>
        <w:t>De l</w:t>
      </w:r>
      <w:r w:rsidR="004C5E26">
        <w:rPr>
          <w:lang w:val="fr-FR"/>
        </w:rPr>
        <w:t>’</w:t>
      </w:r>
      <w:r>
        <w:rPr>
          <w:lang w:val="fr-FR"/>
        </w:rPr>
        <w:t>avis</w:t>
      </w:r>
      <w:r w:rsidRPr="00CE65DF">
        <w:rPr>
          <w:lang w:val="fr-FR"/>
        </w:rPr>
        <w:t xml:space="preserve"> général</w:t>
      </w:r>
      <w:r>
        <w:rPr>
          <w:lang w:val="fr-FR"/>
        </w:rPr>
        <w:t>, il fallait</w:t>
      </w:r>
      <w:r w:rsidRPr="00CE65DF">
        <w:rPr>
          <w:lang w:val="fr-FR"/>
        </w:rPr>
        <w:t xml:space="preserve"> déterminer la </w:t>
      </w:r>
      <w:r>
        <w:rPr>
          <w:lang w:val="fr-FR"/>
        </w:rPr>
        <w:t>voie</w:t>
      </w:r>
      <w:r w:rsidRPr="00CE65DF">
        <w:rPr>
          <w:lang w:val="fr-FR"/>
        </w:rPr>
        <w:t xml:space="preserve"> à suivre à la présente session. </w:t>
      </w:r>
      <w:r>
        <w:rPr>
          <w:lang w:val="fr-FR"/>
        </w:rPr>
        <w:t>D</w:t>
      </w:r>
      <w:r w:rsidRPr="00CE65DF">
        <w:rPr>
          <w:lang w:val="fr-FR"/>
        </w:rPr>
        <w:t>es</w:t>
      </w:r>
      <w:r>
        <w:rPr>
          <w:lang w:val="fr-FR"/>
        </w:rPr>
        <w:t> </w:t>
      </w:r>
      <w:r w:rsidRPr="00CE65DF">
        <w:rPr>
          <w:lang w:val="fr-FR"/>
        </w:rPr>
        <w:t xml:space="preserve">membres ont rappelé que plusieurs États avaient dit souhaiter une conclusion </w:t>
      </w:r>
      <w:r>
        <w:rPr>
          <w:lang w:val="fr-FR"/>
        </w:rPr>
        <w:t xml:space="preserve">sans délai </w:t>
      </w:r>
      <w:r w:rsidRPr="00CE65DF">
        <w:rPr>
          <w:lang w:val="fr-FR"/>
        </w:rPr>
        <w:t>des travaux. Un certain nombre de possibilités ont été examinées.</w:t>
      </w:r>
    </w:p>
    <w:p w14:paraId="60548237" w14:textId="6324D1E6" w:rsidR="00737BD1" w:rsidRPr="00CE65DF" w:rsidRDefault="00737BD1" w:rsidP="00737BD1">
      <w:pPr>
        <w:pStyle w:val="SingleTxtG"/>
        <w:spacing w:after="100"/>
        <w:rPr>
          <w:lang w:val="fr-FR"/>
        </w:rPr>
      </w:pPr>
      <w:r>
        <w:rPr>
          <w:lang w:val="fr-FR"/>
        </w:rPr>
        <w:t>325</w:t>
      </w:r>
      <w:r w:rsidRPr="003C5B22">
        <w:rPr>
          <w:lang w:val="fr-FR"/>
        </w:rPr>
        <w:t>.</w:t>
      </w:r>
      <w:r w:rsidRPr="003C5B22">
        <w:rPr>
          <w:lang w:val="fr-FR"/>
        </w:rPr>
        <w:tab/>
      </w:r>
      <w:r>
        <w:rPr>
          <w:lang w:val="fr-FR"/>
        </w:rPr>
        <w:t>Il a été proposé</w:t>
      </w:r>
      <w:r w:rsidRPr="003C5B22">
        <w:rPr>
          <w:lang w:val="fr-FR"/>
        </w:rPr>
        <w:t xml:space="preserve"> que</w:t>
      </w:r>
      <w:r w:rsidRPr="00CE65DF">
        <w:rPr>
          <w:lang w:val="fr-FR"/>
        </w:rPr>
        <w:t xml:space="preserve"> la Commission crée un groupe de travail et le charge de poursuivre </w:t>
      </w:r>
      <w:r>
        <w:rPr>
          <w:lang w:val="fr-FR"/>
        </w:rPr>
        <w:t>l</w:t>
      </w:r>
      <w:r w:rsidR="004C5E26">
        <w:rPr>
          <w:lang w:val="fr-FR"/>
        </w:rPr>
        <w:t>’</w:t>
      </w:r>
      <w:r>
        <w:rPr>
          <w:lang w:val="fr-FR"/>
        </w:rPr>
        <w:t>examen au</w:t>
      </w:r>
      <w:r w:rsidRPr="00CE65DF">
        <w:rPr>
          <w:lang w:val="fr-FR"/>
        </w:rPr>
        <w:t xml:space="preserve"> fond du sujet. Il </w:t>
      </w:r>
      <w:r w:rsidRPr="0044317D">
        <w:rPr>
          <w:lang w:val="fr-FR"/>
        </w:rPr>
        <w:t>a été fait observer qu</w:t>
      </w:r>
      <w:r w:rsidR="004C5E26">
        <w:rPr>
          <w:lang w:val="fr-FR"/>
        </w:rPr>
        <w:t>’</w:t>
      </w:r>
      <w:r w:rsidRPr="0044317D">
        <w:rPr>
          <w:lang w:val="fr-FR"/>
        </w:rPr>
        <w:t>un</w:t>
      </w:r>
      <w:r w:rsidRPr="00CE65DF">
        <w:rPr>
          <w:lang w:val="fr-FR"/>
        </w:rPr>
        <w:t xml:space="preserve"> certain nombre de délégations </w:t>
      </w:r>
      <w:r>
        <w:rPr>
          <w:lang w:val="fr-FR"/>
        </w:rPr>
        <w:t>au sein de</w:t>
      </w:r>
      <w:r w:rsidRPr="00CE65DF">
        <w:rPr>
          <w:lang w:val="fr-FR"/>
        </w:rPr>
        <w:t xml:space="preserve"> la Sixième Commission</w:t>
      </w:r>
      <w:r w:rsidRPr="001A6001">
        <w:rPr>
          <w:lang w:val="fr-FR"/>
        </w:rPr>
        <w:t xml:space="preserve"> </w:t>
      </w:r>
      <w:r w:rsidRPr="00FD1357">
        <w:rPr>
          <w:lang w:val="fr-FR"/>
        </w:rPr>
        <w:t>s</w:t>
      </w:r>
      <w:r w:rsidR="004C5E26">
        <w:rPr>
          <w:lang w:val="fr-FR"/>
        </w:rPr>
        <w:t>’</w:t>
      </w:r>
      <w:r w:rsidRPr="00FD1357">
        <w:rPr>
          <w:lang w:val="fr-FR"/>
        </w:rPr>
        <w:t xml:space="preserve">étaient dites intéressées par la poursuite des travaux. Plusieurs membres ont </w:t>
      </w:r>
      <w:r>
        <w:rPr>
          <w:lang w:val="fr-FR"/>
        </w:rPr>
        <w:t>relevé</w:t>
      </w:r>
      <w:r w:rsidRPr="00FD1357">
        <w:rPr>
          <w:lang w:val="fr-FR"/>
        </w:rPr>
        <w:t xml:space="preserve"> que l</w:t>
      </w:r>
      <w:r w:rsidR="004C5E26">
        <w:rPr>
          <w:lang w:val="fr-FR"/>
        </w:rPr>
        <w:t>’</w:t>
      </w:r>
      <w:r w:rsidRPr="00FD1357">
        <w:rPr>
          <w:lang w:val="fr-FR"/>
        </w:rPr>
        <w:t xml:space="preserve">on pourrait </w:t>
      </w:r>
      <w:r w:rsidRPr="00CE65DF">
        <w:rPr>
          <w:lang w:val="fr-FR"/>
        </w:rPr>
        <w:t>approfondir les recher</w:t>
      </w:r>
      <w:r>
        <w:rPr>
          <w:lang w:val="fr-FR"/>
        </w:rPr>
        <w:t>ches</w:t>
      </w:r>
      <w:r w:rsidRPr="00CE65DF">
        <w:rPr>
          <w:lang w:val="fr-FR"/>
        </w:rPr>
        <w:t xml:space="preserve"> sur la pratique des États, en</w:t>
      </w:r>
      <w:r>
        <w:rPr>
          <w:lang w:val="fr-FR"/>
        </w:rPr>
        <w:t> </w:t>
      </w:r>
      <w:r w:rsidRPr="00925968">
        <w:rPr>
          <w:lang w:val="fr-FR"/>
        </w:rPr>
        <w:t xml:space="preserve">particulier </w:t>
      </w:r>
      <w:r>
        <w:rPr>
          <w:lang w:val="fr-FR"/>
        </w:rPr>
        <w:t>ceux</w:t>
      </w:r>
      <w:r w:rsidRPr="00925968">
        <w:rPr>
          <w:lang w:val="fr-FR"/>
        </w:rPr>
        <w:t xml:space="preserve"> d</w:t>
      </w:r>
      <w:r w:rsidR="004C5E26">
        <w:rPr>
          <w:lang w:val="fr-FR"/>
        </w:rPr>
        <w:t>’</w:t>
      </w:r>
      <w:r w:rsidRPr="00925968">
        <w:rPr>
          <w:lang w:val="fr-FR"/>
        </w:rPr>
        <w:t>Afrique</w:t>
      </w:r>
      <w:r w:rsidRPr="00CE65DF">
        <w:rPr>
          <w:lang w:val="fr-FR"/>
        </w:rPr>
        <w:t xml:space="preserve"> et d</w:t>
      </w:r>
      <w:r w:rsidR="004C5E26">
        <w:rPr>
          <w:lang w:val="fr-FR"/>
        </w:rPr>
        <w:t>’</w:t>
      </w:r>
      <w:r w:rsidRPr="00CE65DF">
        <w:rPr>
          <w:lang w:val="fr-FR"/>
        </w:rPr>
        <w:t xml:space="preserve">Asie. Il a également été proposé </w:t>
      </w:r>
      <w:r>
        <w:rPr>
          <w:lang w:val="fr-FR"/>
        </w:rPr>
        <w:t>que le</w:t>
      </w:r>
      <w:r w:rsidRPr="00CE65DF">
        <w:rPr>
          <w:lang w:val="fr-FR"/>
        </w:rPr>
        <w:t xml:space="preserve"> groupe de travail</w:t>
      </w:r>
      <w:r>
        <w:rPr>
          <w:lang w:val="fr-FR"/>
        </w:rPr>
        <w:t xml:space="preserve"> envisagé</w:t>
      </w:r>
      <w:r w:rsidRPr="00CE65DF">
        <w:rPr>
          <w:lang w:val="fr-FR"/>
        </w:rPr>
        <w:t xml:space="preserve"> examine les questions de fond </w:t>
      </w:r>
      <w:r>
        <w:rPr>
          <w:lang w:val="fr-FR"/>
        </w:rPr>
        <w:t>concernant le</w:t>
      </w:r>
      <w:r w:rsidRPr="00CE65DF">
        <w:rPr>
          <w:lang w:val="fr-FR"/>
        </w:rPr>
        <w:t xml:space="preserve"> sujet</w:t>
      </w:r>
      <w:r>
        <w:rPr>
          <w:lang w:val="fr-FR"/>
        </w:rPr>
        <w:t>,</w:t>
      </w:r>
      <w:r w:rsidRPr="00CE65DF">
        <w:rPr>
          <w:lang w:val="fr-FR"/>
        </w:rPr>
        <w:t xml:space="preserve"> </w:t>
      </w:r>
      <w:r>
        <w:rPr>
          <w:lang w:val="fr-FR"/>
        </w:rPr>
        <w:t>restées</w:t>
      </w:r>
      <w:r w:rsidRPr="00CE65DF">
        <w:rPr>
          <w:lang w:val="fr-FR"/>
        </w:rPr>
        <w:t xml:space="preserve"> en suspens. Le rapport pourrait également inclure une bibliographie complète et multilingue sur le sujet.</w:t>
      </w:r>
    </w:p>
    <w:p w14:paraId="251452F2" w14:textId="26EE8E11" w:rsidR="00737BD1" w:rsidRPr="00CE65DF" w:rsidRDefault="00737BD1" w:rsidP="00737BD1">
      <w:pPr>
        <w:pStyle w:val="SingleTxtG"/>
        <w:spacing w:after="100"/>
        <w:rPr>
          <w:lang w:val="fr-FR"/>
        </w:rPr>
      </w:pPr>
      <w:r>
        <w:rPr>
          <w:lang w:val="fr-FR"/>
        </w:rPr>
        <w:t>326</w:t>
      </w:r>
      <w:r w:rsidRPr="00CE65DF">
        <w:rPr>
          <w:lang w:val="fr-FR"/>
        </w:rPr>
        <w:t>.</w:t>
      </w:r>
      <w:r w:rsidRPr="00CE65DF">
        <w:rPr>
          <w:lang w:val="fr-FR"/>
        </w:rPr>
        <w:tab/>
        <w:t xml:space="preserve">Une autre possibilité </w:t>
      </w:r>
      <w:r>
        <w:rPr>
          <w:lang w:val="fr-FR"/>
        </w:rPr>
        <w:t>envisagée</w:t>
      </w:r>
      <w:r w:rsidRPr="00CE65DF">
        <w:rPr>
          <w:lang w:val="fr-FR"/>
        </w:rPr>
        <w:t xml:space="preserve"> </w:t>
      </w:r>
      <w:r>
        <w:rPr>
          <w:lang w:val="fr-FR"/>
        </w:rPr>
        <w:t>concernait</w:t>
      </w:r>
      <w:r w:rsidRPr="00CE65DF">
        <w:rPr>
          <w:lang w:val="fr-FR"/>
        </w:rPr>
        <w:t xml:space="preserve"> la création d</w:t>
      </w:r>
      <w:r w:rsidR="004C5E26">
        <w:rPr>
          <w:lang w:val="fr-FR"/>
        </w:rPr>
        <w:t>’</w:t>
      </w:r>
      <w:r w:rsidRPr="00CE65DF">
        <w:rPr>
          <w:lang w:val="fr-FR"/>
        </w:rPr>
        <w:t xml:space="preserve">un </w:t>
      </w:r>
      <w:r>
        <w:rPr>
          <w:lang w:val="fr-FR"/>
        </w:rPr>
        <w:t>g</w:t>
      </w:r>
      <w:r w:rsidRPr="00CE65DF">
        <w:rPr>
          <w:lang w:val="fr-FR"/>
        </w:rPr>
        <w:t>roupe de travail chargé d</w:t>
      </w:r>
      <w:r w:rsidR="004C5E26">
        <w:rPr>
          <w:lang w:val="fr-FR"/>
        </w:rPr>
        <w:t>’</w:t>
      </w:r>
      <w:r w:rsidRPr="00CE65DF">
        <w:rPr>
          <w:lang w:val="fr-FR"/>
        </w:rPr>
        <w:t>établir un rapport de procédure</w:t>
      </w:r>
      <w:r>
        <w:rPr>
          <w:lang w:val="fr-FR"/>
        </w:rPr>
        <w:t xml:space="preserve">, lequel marquerait la fin des travaux de la </w:t>
      </w:r>
      <w:r w:rsidRPr="00CE65DF">
        <w:rPr>
          <w:lang w:val="fr-FR"/>
        </w:rPr>
        <w:t xml:space="preserve">Commission </w:t>
      </w:r>
      <w:r>
        <w:rPr>
          <w:lang w:val="fr-FR"/>
        </w:rPr>
        <w:t xml:space="preserve">sur le sujet </w:t>
      </w:r>
      <w:r w:rsidRPr="00CE65DF">
        <w:rPr>
          <w:lang w:val="fr-FR"/>
        </w:rPr>
        <w:t xml:space="preserve">à sa prochaine session. Dans </w:t>
      </w:r>
      <w:r>
        <w:rPr>
          <w:lang w:val="fr-FR"/>
        </w:rPr>
        <w:t>ce</w:t>
      </w:r>
      <w:r w:rsidRPr="00CE65DF">
        <w:rPr>
          <w:lang w:val="fr-FR"/>
        </w:rPr>
        <w:t xml:space="preserve"> rapport, le </w:t>
      </w:r>
      <w:r>
        <w:rPr>
          <w:lang w:val="fr-FR"/>
        </w:rPr>
        <w:t>g</w:t>
      </w:r>
      <w:r w:rsidRPr="00CE65DF">
        <w:rPr>
          <w:lang w:val="fr-FR"/>
        </w:rPr>
        <w:t xml:space="preserve">roupe de travail pourrait résumer les travaux de la Commission sur le sujet à ce jour. Il pourrait </w:t>
      </w:r>
      <w:r>
        <w:rPr>
          <w:lang w:val="fr-FR"/>
        </w:rPr>
        <w:t>également</w:t>
      </w:r>
      <w:r w:rsidRPr="00CE65DF">
        <w:rPr>
          <w:lang w:val="fr-FR"/>
        </w:rPr>
        <w:t xml:space="preserve"> explique</w:t>
      </w:r>
      <w:r>
        <w:rPr>
          <w:lang w:val="fr-FR"/>
        </w:rPr>
        <w:t>r</w:t>
      </w:r>
      <w:r w:rsidRPr="00CE65DF">
        <w:rPr>
          <w:lang w:val="fr-FR"/>
        </w:rPr>
        <w:t xml:space="preserve"> en </w:t>
      </w:r>
      <w:r w:rsidRPr="009B63C4">
        <w:rPr>
          <w:lang w:val="fr-FR"/>
        </w:rPr>
        <w:t xml:space="preserve">détail </w:t>
      </w:r>
      <w:r>
        <w:rPr>
          <w:lang w:val="fr-FR"/>
        </w:rPr>
        <w:t>les raisons pour lesquelles</w:t>
      </w:r>
      <w:r w:rsidRPr="009B63C4">
        <w:rPr>
          <w:lang w:val="fr-FR"/>
        </w:rPr>
        <w:t xml:space="preserve"> la</w:t>
      </w:r>
      <w:r w:rsidRPr="00CE65DF">
        <w:rPr>
          <w:lang w:val="fr-FR"/>
        </w:rPr>
        <w:t xml:space="preserve"> Commission met</w:t>
      </w:r>
      <w:r>
        <w:rPr>
          <w:lang w:val="fr-FR"/>
        </w:rPr>
        <w:t>tait</w:t>
      </w:r>
      <w:r w:rsidRPr="00CE65DF">
        <w:rPr>
          <w:lang w:val="fr-FR"/>
        </w:rPr>
        <w:t xml:space="preserve"> fin à ses travaux sur le sujet, en</w:t>
      </w:r>
      <w:r>
        <w:rPr>
          <w:lang w:val="fr-FR"/>
        </w:rPr>
        <w:t xml:space="preserve"> </w:t>
      </w:r>
      <w:r w:rsidRPr="00CE65DF">
        <w:rPr>
          <w:lang w:val="fr-FR"/>
        </w:rPr>
        <w:t xml:space="preserve">passant en revue les difficultés rencontrées et les questions que la Commission </w:t>
      </w:r>
      <w:r>
        <w:rPr>
          <w:lang w:val="fr-FR"/>
        </w:rPr>
        <w:t>n</w:t>
      </w:r>
      <w:r w:rsidR="004C5E26">
        <w:rPr>
          <w:lang w:val="fr-FR"/>
        </w:rPr>
        <w:t>’</w:t>
      </w:r>
      <w:r>
        <w:rPr>
          <w:lang w:val="fr-FR"/>
        </w:rPr>
        <w:t>était pas</w:t>
      </w:r>
      <w:r w:rsidRPr="00CE65DF">
        <w:rPr>
          <w:lang w:val="fr-FR"/>
        </w:rPr>
        <w:t xml:space="preserve"> en mesure d</w:t>
      </w:r>
      <w:r w:rsidR="004C5E26">
        <w:rPr>
          <w:lang w:val="fr-FR"/>
        </w:rPr>
        <w:t>’</w:t>
      </w:r>
      <w:r w:rsidRPr="00CE65DF">
        <w:rPr>
          <w:lang w:val="fr-FR"/>
        </w:rPr>
        <w:t xml:space="preserve">étudier. Plusieurs membres se sont prononcés en faveur </w:t>
      </w:r>
      <w:r>
        <w:rPr>
          <w:lang w:val="fr-FR"/>
        </w:rPr>
        <w:t>de cette solution</w:t>
      </w:r>
      <w:r w:rsidRPr="00CE65DF">
        <w:rPr>
          <w:lang w:val="fr-FR"/>
        </w:rPr>
        <w:t>.</w:t>
      </w:r>
    </w:p>
    <w:p w14:paraId="17BED506" w14:textId="7BF2D3DF" w:rsidR="00737BD1" w:rsidRPr="00CE65DF" w:rsidRDefault="00737BD1" w:rsidP="00737BD1">
      <w:pPr>
        <w:pStyle w:val="SingleTxtG"/>
        <w:spacing w:after="100"/>
        <w:rPr>
          <w:lang w:val="fr-FR"/>
        </w:rPr>
      </w:pPr>
      <w:r>
        <w:rPr>
          <w:lang w:val="fr-FR"/>
        </w:rPr>
        <w:t>327</w:t>
      </w:r>
      <w:r w:rsidRPr="00CE65DF">
        <w:rPr>
          <w:lang w:val="fr-FR"/>
        </w:rPr>
        <w:t>.</w:t>
      </w:r>
      <w:r w:rsidRPr="00CE65DF">
        <w:rPr>
          <w:lang w:val="fr-FR"/>
        </w:rPr>
        <w:tab/>
        <w:t xml:space="preserve">Des membres ont aussi </w:t>
      </w:r>
      <w:r>
        <w:rPr>
          <w:lang w:val="fr-FR"/>
        </w:rPr>
        <w:t>examiné</w:t>
      </w:r>
      <w:r w:rsidRPr="00CE65DF">
        <w:rPr>
          <w:lang w:val="fr-FR"/>
        </w:rPr>
        <w:t xml:space="preserve"> la </w:t>
      </w:r>
      <w:r>
        <w:rPr>
          <w:lang w:val="fr-FR"/>
        </w:rPr>
        <w:t>façon</w:t>
      </w:r>
      <w:r w:rsidRPr="00CE65DF">
        <w:rPr>
          <w:lang w:val="fr-FR"/>
        </w:rPr>
        <w:t xml:space="preserve"> d</w:t>
      </w:r>
      <w:r w:rsidR="004C5E26">
        <w:rPr>
          <w:lang w:val="fr-FR"/>
        </w:rPr>
        <w:t>’</w:t>
      </w:r>
      <w:r w:rsidRPr="00CE65DF">
        <w:rPr>
          <w:lang w:val="fr-FR"/>
        </w:rPr>
        <w:t>intégrer les dispositions déjà élaborées par la Commission et le Comité de rédaction dans le rapport d</w:t>
      </w:r>
      <w:r w:rsidR="004C5E26">
        <w:rPr>
          <w:lang w:val="fr-FR"/>
        </w:rPr>
        <w:t>’</w:t>
      </w:r>
      <w:r w:rsidRPr="00CE65DF">
        <w:rPr>
          <w:lang w:val="fr-FR"/>
        </w:rPr>
        <w:t xml:space="preserve">un éventuel groupe de travail. Il a été </w:t>
      </w:r>
      <w:r>
        <w:rPr>
          <w:lang w:val="fr-FR"/>
        </w:rPr>
        <w:t xml:space="preserve">proposé </w:t>
      </w:r>
      <w:r w:rsidRPr="00CE65DF">
        <w:rPr>
          <w:lang w:val="fr-FR"/>
        </w:rPr>
        <w:t>que les projet</w:t>
      </w:r>
      <w:r>
        <w:rPr>
          <w:lang w:val="fr-FR"/>
        </w:rPr>
        <w:t>s</w:t>
      </w:r>
      <w:r w:rsidRPr="00CE65DF">
        <w:rPr>
          <w:lang w:val="fr-FR"/>
        </w:rPr>
        <w:t xml:space="preserve"> de directive</w:t>
      </w:r>
      <w:r>
        <w:rPr>
          <w:lang w:val="fr-FR"/>
        </w:rPr>
        <w:t xml:space="preserve"> soient </w:t>
      </w:r>
      <w:r w:rsidRPr="00CE65DF">
        <w:rPr>
          <w:lang w:val="fr-FR"/>
        </w:rPr>
        <w:t>simplifiés et intégrés dans le rapport d</w:t>
      </w:r>
      <w:r w:rsidR="004C5E26">
        <w:rPr>
          <w:lang w:val="fr-FR"/>
        </w:rPr>
        <w:t>’</w:t>
      </w:r>
      <w:r w:rsidRPr="00CE65DF">
        <w:rPr>
          <w:lang w:val="fr-FR"/>
        </w:rPr>
        <w:t xml:space="preserve">un groupe de travail, ou simplement reproduits en annexe. </w:t>
      </w:r>
      <w:r>
        <w:rPr>
          <w:lang w:val="fr-FR"/>
        </w:rPr>
        <w:t>Toutefois, o</w:t>
      </w:r>
      <w:r w:rsidRPr="00CE65DF">
        <w:rPr>
          <w:lang w:val="fr-FR"/>
        </w:rPr>
        <w:t>n a insisté sur la prudence dont il fallait faire preuve à l</w:t>
      </w:r>
      <w:r w:rsidR="004C5E26">
        <w:rPr>
          <w:lang w:val="fr-FR"/>
        </w:rPr>
        <w:t>’</w:t>
      </w:r>
      <w:r w:rsidRPr="00CE65DF">
        <w:rPr>
          <w:lang w:val="fr-FR"/>
        </w:rPr>
        <w:t xml:space="preserve">égard </w:t>
      </w:r>
      <w:r w:rsidRPr="006E23C1">
        <w:rPr>
          <w:lang w:val="fr-FR"/>
        </w:rPr>
        <w:t>de</w:t>
      </w:r>
      <w:r>
        <w:rPr>
          <w:lang w:val="fr-FR"/>
        </w:rPr>
        <w:t xml:space="preserve"> ce</w:t>
      </w:r>
      <w:r w:rsidRPr="006E23C1">
        <w:rPr>
          <w:lang w:val="fr-FR"/>
        </w:rPr>
        <w:t>s projets de directive</w:t>
      </w:r>
      <w:r>
        <w:rPr>
          <w:lang w:val="fr-FR"/>
        </w:rPr>
        <w:t xml:space="preserve"> pour éviter toute confusion sur le statut que leur conférait la Commission.</w:t>
      </w:r>
    </w:p>
    <w:p w14:paraId="0EFF091F" w14:textId="68CE1FB0" w:rsidR="00737BD1" w:rsidRPr="00CE65DF" w:rsidRDefault="00737BD1" w:rsidP="00737BD1">
      <w:pPr>
        <w:pStyle w:val="SingleTxtG"/>
        <w:spacing w:after="100"/>
        <w:rPr>
          <w:lang w:val="fr-FR"/>
        </w:rPr>
      </w:pPr>
      <w:r>
        <w:rPr>
          <w:lang w:val="fr-FR"/>
        </w:rPr>
        <w:t>3</w:t>
      </w:r>
      <w:r w:rsidRPr="00CE65DF">
        <w:rPr>
          <w:lang w:val="fr-FR"/>
        </w:rPr>
        <w:t>2</w:t>
      </w:r>
      <w:r>
        <w:rPr>
          <w:lang w:val="fr-FR"/>
        </w:rPr>
        <w:t>8</w:t>
      </w:r>
      <w:r w:rsidRPr="00CE65DF">
        <w:rPr>
          <w:lang w:val="fr-FR"/>
        </w:rPr>
        <w:t>.</w:t>
      </w:r>
      <w:r w:rsidRPr="00CE65DF">
        <w:rPr>
          <w:lang w:val="fr-FR"/>
        </w:rPr>
        <w:tab/>
        <w:t xml:space="preserve">Il a été </w:t>
      </w:r>
      <w:r>
        <w:rPr>
          <w:lang w:val="fr-FR"/>
        </w:rPr>
        <w:t>avancé</w:t>
      </w:r>
      <w:r w:rsidRPr="00CE65DF">
        <w:rPr>
          <w:lang w:val="fr-FR"/>
        </w:rPr>
        <w:t xml:space="preserve"> que la Commission pourrait également poursuivre ses travaux sur le sujet en désignant un nouveau </w:t>
      </w:r>
      <w:r>
        <w:rPr>
          <w:lang w:val="fr-FR"/>
        </w:rPr>
        <w:t>r</w:t>
      </w:r>
      <w:r w:rsidRPr="00CE65DF">
        <w:rPr>
          <w:lang w:val="fr-FR"/>
        </w:rPr>
        <w:t>apporteur spécial. Cette option n</w:t>
      </w:r>
      <w:r w:rsidR="004C5E26">
        <w:rPr>
          <w:lang w:val="fr-FR"/>
        </w:rPr>
        <w:t>’</w:t>
      </w:r>
      <w:r w:rsidRPr="00CE65DF">
        <w:rPr>
          <w:lang w:val="fr-FR"/>
        </w:rPr>
        <w:t xml:space="preserve">a pas recueilli </w:t>
      </w:r>
      <w:r>
        <w:rPr>
          <w:lang w:val="fr-FR"/>
        </w:rPr>
        <w:t>un grand</w:t>
      </w:r>
      <w:r w:rsidRPr="00CE65DF">
        <w:rPr>
          <w:lang w:val="fr-FR"/>
        </w:rPr>
        <w:t xml:space="preserve"> soutien, car les membres ont considéré que le temps et les ressources de la Commission seraient utilisés plus efficacement dans le cadre de travaux sur d</w:t>
      </w:r>
      <w:r w:rsidR="004C5E26">
        <w:rPr>
          <w:lang w:val="fr-FR"/>
        </w:rPr>
        <w:t>’</w:t>
      </w:r>
      <w:r w:rsidRPr="00CE65DF">
        <w:rPr>
          <w:lang w:val="fr-FR"/>
        </w:rPr>
        <w:t>autres sujets.</w:t>
      </w:r>
    </w:p>
    <w:p w14:paraId="690D97BE" w14:textId="71D2B659" w:rsidR="00737BD1" w:rsidRPr="00CE65DF" w:rsidRDefault="00737BD1" w:rsidP="00737BD1">
      <w:pPr>
        <w:pStyle w:val="SingleTxtG"/>
        <w:spacing w:after="100"/>
        <w:rPr>
          <w:lang w:val="fr-FR"/>
        </w:rPr>
      </w:pPr>
      <w:r>
        <w:rPr>
          <w:lang w:val="fr-FR"/>
        </w:rPr>
        <w:t>3</w:t>
      </w:r>
      <w:r w:rsidRPr="00CE65DF">
        <w:rPr>
          <w:lang w:val="fr-FR"/>
        </w:rPr>
        <w:t>2</w:t>
      </w:r>
      <w:r>
        <w:rPr>
          <w:lang w:val="fr-FR"/>
        </w:rPr>
        <w:t>9</w:t>
      </w:r>
      <w:r w:rsidRPr="00CE65DF">
        <w:rPr>
          <w:lang w:val="fr-FR"/>
        </w:rPr>
        <w:t>.</w:t>
      </w:r>
      <w:r w:rsidRPr="00CE65DF">
        <w:rPr>
          <w:lang w:val="fr-FR"/>
        </w:rPr>
        <w:tab/>
        <w:t xml:space="preserve">Il a également été </w:t>
      </w:r>
      <w:r>
        <w:rPr>
          <w:lang w:val="fr-FR"/>
        </w:rPr>
        <w:t>avancé</w:t>
      </w:r>
      <w:r w:rsidRPr="00CE65DF">
        <w:rPr>
          <w:lang w:val="fr-FR"/>
        </w:rPr>
        <w:t xml:space="preserve"> que la Commission pou</w:t>
      </w:r>
      <w:r>
        <w:rPr>
          <w:lang w:val="fr-FR"/>
        </w:rPr>
        <w:t>v</w:t>
      </w:r>
      <w:r w:rsidRPr="00CE65DF">
        <w:rPr>
          <w:lang w:val="fr-FR"/>
        </w:rPr>
        <w:t>ait choisir d</w:t>
      </w:r>
      <w:r w:rsidR="004C5E26">
        <w:rPr>
          <w:lang w:val="fr-FR"/>
        </w:rPr>
        <w:t>’</w:t>
      </w:r>
      <w:r w:rsidRPr="00CE65DF">
        <w:rPr>
          <w:lang w:val="fr-FR"/>
        </w:rPr>
        <w:t xml:space="preserve">arrêter ses travaux sur le sujet en décidant simplement de ne pas les poursuivre et </w:t>
      </w:r>
      <w:r w:rsidRPr="00472E3B">
        <w:rPr>
          <w:lang w:val="fr-FR"/>
        </w:rPr>
        <w:t>d</w:t>
      </w:r>
      <w:r>
        <w:rPr>
          <w:lang w:val="fr-FR"/>
        </w:rPr>
        <w:t>e faire état de</w:t>
      </w:r>
      <w:r w:rsidRPr="00CE65DF">
        <w:rPr>
          <w:lang w:val="fr-FR"/>
        </w:rPr>
        <w:t xml:space="preserve"> cette décision dans son rapport. Il a été rappelé que la Commission avait </w:t>
      </w:r>
      <w:r>
        <w:rPr>
          <w:lang w:val="fr-FR"/>
        </w:rPr>
        <w:t>choisi cette voie</w:t>
      </w:r>
      <w:r w:rsidRPr="00CE65DF">
        <w:rPr>
          <w:lang w:val="fr-FR"/>
        </w:rPr>
        <w:t xml:space="preserve"> pour le sujet «</w:t>
      </w:r>
      <w:r>
        <w:rPr>
          <w:lang w:val="fr-FR"/>
        </w:rPr>
        <w:t> </w:t>
      </w:r>
      <w:r w:rsidRPr="00CE65DF">
        <w:rPr>
          <w:lang w:val="fr-FR"/>
        </w:rPr>
        <w:t>Relations entre les États et les organisations internationales (deuxième partie du sujet)</w:t>
      </w:r>
      <w:r>
        <w:rPr>
          <w:lang w:val="fr-FR"/>
        </w:rPr>
        <w:t> </w:t>
      </w:r>
      <w:r w:rsidRPr="00CE65DF">
        <w:rPr>
          <w:lang w:val="fr-FR"/>
        </w:rPr>
        <w:t>» à sa quarante</w:t>
      </w:r>
      <w:r>
        <w:rPr>
          <w:lang w:val="fr-FR"/>
        </w:rPr>
        <w:noBreakHyphen/>
      </w:r>
      <w:r w:rsidRPr="00CE65DF">
        <w:rPr>
          <w:lang w:val="fr-FR"/>
        </w:rPr>
        <w:t>quatrième session</w:t>
      </w:r>
      <w:r>
        <w:rPr>
          <w:lang w:val="fr-FR"/>
        </w:rPr>
        <w:t xml:space="preserve"> (</w:t>
      </w:r>
      <w:r w:rsidRPr="00CE65DF">
        <w:rPr>
          <w:lang w:val="fr-FR"/>
        </w:rPr>
        <w:t>1992</w:t>
      </w:r>
      <w:r>
        <w:rPr>
          <w:lang w:val="fr-FR"/>
        </w:rPr>
        <w:t>)</w:t>
      </w:r>
      <w:r w:rsidRPr="00CE65DF">
        <w:rPr>
          <w:lang w:val="fr-FR"/>
        </w:rPr>
        <w:t xml:space="preserve">. </w:t>
      </w:r>
      <w:r>
        <w:rPr>
          <w:lang w:val="fr-FR"/>
        </w:rPr>
        <w:t>Les membres du Groupe de travail n</w:t>
      </w:r>
      <w:r w:rsidR="004C5E26">
        <w:rPr>
          <w:lang w:val="fr-FR"/>
        </w:rPr>
        <w:t>’</w:t>
      </w:r>
      <w:r>
        <w:rPr>
          <w:lang w:val="fr-FR"/>
        </w:rPr>
        <w:t>ont pas retenu c</w:t>
      </w:r>
      <w:r w:rsidRPr="00CE65DF">
        <w:rPr>
          <w:lang w:val="fr-FR"/>
        </w:rPr>
        <w:t>ette option</w:t>
      </w:r>
      <w:r>
        <w:rPr>
          <w:lang w:val="fr-FR"/>
        </w:rPr>
        <w:t>, nombre</w:t>
      </w:r>
      <w:r w:rsidRPr="00CE65DF">
        <w:rPr>
          <w:lang w:val="fr-FR"/>
        </w:rPr>
        <w:t xml:space="preserve"> </w:t>
      </w:r>
      <w:r>
        <w:rPr>
          <w:lang w:val="fr-FR"/>
        </w:rPr>
        <w:t>d</w:t>
      </w:r>
      <w:r w:rsidR="004C5E26">
        <w:rPr>
          <w:lang w:val="fr-FR"/>
        </w:rPr>
        <w:t>’</w:t>
      </w:r>
      <w:r>
        <w:rPr>
          <w:lang w:val="fr-FR"/>
        </w:rPr>
        <w:t>entre eux étant d</w:t>
      </w:r>
      <w:r w:rsidR="004C5E26">
        <w:rPr>
          <w:lang w:val="fr-FR"/>
        </w:rPr>
        <w:t>’</w:t>
      </w:r>
      <w:r>
        <w:rPr>
          <w:lang w:val="fr-FR"/>
        </w:rPr>
        <w:t>avis</w:t>
      </w:r>
      <w:r w:rsidRPr="00CE65DF">
        <w:rPr>
          <w:lang w:val="fr-FR"/>
        </w:rPr>
        <w:t xml:space="preserve"> qu</w:t>
      </w:r>
      <w:r w:rsidR="004C5E26">
        <w:rPr>
          <w:lang w:val="fr-FR"/>
        </w:rPr>
        <w:t>’</w:t>
      </w:r>
      <w:r w:rsidRPr="00CE65DF">
        <w:rPr>
          <w:lang w:val="fr-FR"/>
        </w:rPr>
        <w:t xml:space="preserve">il fallait </w:t>
      </w:r>
      <w:r>
        <w:rPr>
          <w:lang w:val="fr-FR"/>
        </w:rPr>
        <w:t>reconnaître</w:t>
      </w:r>
      <w:r w:rsidRPr="00CE65DF">
        <w:rPr>
          <w:lang w:val="fr-FR"/>
        </w:rPr>
        <w:t xml:space="preserve"> le travail accompli par la Commission et l</w:t>
      </w:r>
      <w:r w:rsidR="004C5E26">
        <w:rPr>
          <w:lang w:val="fr-FR"/>
        </w:rPr>
        <w:t>’</w:t>
      </w:r>
      <w:r w:rsidRPr="00CE65DF">
        <w:rPr>
          <w:lang w:val="fr-FR"/>
        </w:rPr>
        <w:t>ancien Rapporteur spécial</w:t>
      </w:r>
      <w:r>
        <w:rPr>
          <w:lang w:val="fr-FR"/>
        </w:rPr>
        <w:t xml:space="preserve">, M. Pavel </w:t>
      </w:r>
      <w:proofErr w:type="spellStart"/>
      <w:r w:rsidRPr="00C313D9">
        <w:rPr>
          <w:lang w:val="fr-FR"/>
        </w:rPr>
        <w:t>Šturma</w:t>
      </w:r>
      <w:proofErr w:type="spellEnd"/>
      <w:r>
        <w:rPr>
          <w:lang w:val="fr-FR"/>
        </w:rPr>
        <w:t>, et en tenir compte</w:t>
      </w:r>
      <w:r w:rsidRPr="00CE65DF">
        <w:rPr>
          <w:lang w:val="fr-FR"/>
        </w:rPr>
        <w:t>.</w:t>
      </w:r>
    </w:p>
    <w:p w14:paraId="498337AE" w14:textId="4A55DDA6" w:rsidR="00737BD1" w:rsidRDefault="00737BD1" w:rsidP="00737BD1">
      <w:pPr>
        <w:pStyle w:val="SingleTxtG"/>
        <w:suppressAutoHyphens w:val="0"/>
        <w:rPr>
          <w:lang w:val="fr-FR"/>
        </w:rPr>
      </w:pPr>
      <w:r>
        <w:rPr>
          <w:lang w:val="fr-FR"/>
        </w:rPr>
        <w:t>330</w:t>
      </w:r>
      <w:r w:rsidRPr="00CE65DF">
        <w:rPr>
          <w:lang w:val="fr-FR"/>
        </w:rPr>
        <w:t>.</w:t>
      </w:r>
      <w:r w:rsidRPr="00CE65DF">
        <w:rPr>
          <w:lang w:val="fr-FR"/>
        </w:rPr>
        <w:tab/>
        <w:t xml:space="preserve">En résumant le débat tenu au sein du Groupe de travail, le Président a constaté </w:t>
      </w:r>
      <w:r>
        <w:rPr>
          <w:lang w:val="fr-FR"/>
        </w:rPr>
        <w:t>que</w:t>
      </w:r>
      <w:r w:rsidRPr="00CE65DF">
        <w:rPr>
          <w:lang w:val="fr-FR"/>
        </w:rPr>
        <w:t xml:space="preserve"> ses membres </w:t>
      </w:r>
      <w:r>
        <w:rPr>
          <w:lang w:val="fr-FR"/>
        </w:rPr>
        <w:t>privilégiaient</w:t>
      </w:r>
      <w:r w:rsidRPr="00CE65DF">
        <w:rPr>
          <w:lang w:val="fr-FR"/>
        </w:rPr>
        <w:t xml:space="preserve"> </w:t>
      </w:r>
      <w:r>
        <w:rPr>
          <w:lang w:val="fr-FR"/>
        </w:rPr>
        <w:t>majoritairement l</w:t>
      </w:r>
      <w:r w:rsidR="004C5E26">
        <w:rPr>
          <w:lang w:val="fr-FR"/>
        </w:rPr>
        <w:t>’</w:t>
      </w:r>
      <w:r>
        <w:rPr>
          <w:lang w:val="fr-FR"/>
        </w:rPr>
        <w:t>établissement</w:t>
      </w:r>
      <w:r w:rsidRPr="00CE65DF">
        <w:rPr>
          <w:lang w:val="fr-FR"/>
        </w:rPr>
        <w:t xml:space="preserve"> d</w:t>
      </w:r>
      <w:r w:rsidR="004C5E26">
        <w:rPr>
          <w:lang w:val="fr-FR"/>
        </w:rPr>
        <w:t>’</w:t>
      </w:r>
      <w:r w:rsidRPr="00CE65DF">
        <w:rPr>
          <w:lang w:val="fr-FR"/>
        </w:rPr>
        <w:t>un rapport de synthèse dans lequel seraient décrites</w:t>
      </w:r>
      <w:r>
        <w:rPr>
          <w:lang w:val="fr-FR"/>
        </w:rPr>
        <w:t>,</w:t>
      </w:r>
      <w:r w:rsidRPr="00CE65DF">
        <w:rPr>
          <w:lang w:val="fr-FR"/>
        </w:rPr>
        <w:t xml:space="preserve"> mais non analysées au fond</w:t>
      </w:r>
      <w:r>
        <w:rPr>
          <w:lang w:val="fr-FR"/>
        </w:rPr>
        <w:t>,</w:t>
      </w:r>
      <w:r w:rsidRPr="00CE65DF">
        <w:rPr>
          <w:lang w:val="fr-FR"/>
        </w:rPr>
        <w:t xml:space="preserve"> les difficultés rencontrées dans le cadre des </w:t>
      </w:r>
      <w:r w:rsidRPr="00CE65DF">
        <w:rPr>
          <w:lang w:val="fr-FR"/>
        </w:rPr>
        <w:lastRenderedPageBreak/>
        <w:t xml:space="preserve">travaux sur le sujet et qui serait destiné à conclure </w:t>
      </w:r>
      <w:r>
        <w:rPr>
          <w:lang w:val="fr-FR"/>
        </w:rPr>
        <w:t>c</w:t>
      </w:r>
      <w:r w:rsidRPr="00CE65DF">
        <w:rPr>
          <w:lang w:val="fr-FR"/>
        </w:rPr>
        <w:t>es travaux à la prochaine session de la Commission.</w:t>
      </w:r>
    </w:p>
    <w:p w14:paraId="62B852C5" w14:textId="77777777" w:rsidR="00737BD1" w:rsidRDefault="00737BD1">
      <w:pPr>
        <w:suppressAutoHyphens w:val="0"/>
        <w:kinsoku/>
        <w:overflowPunct/>
        <w:autoSpaceDE/>
        <w:autoSpaceDN/>
        <w:adjustRightInd/>
        <w:snapToGrid/>
        <w:spacing w:line="240" w:lineRule="auto"/>
        <w:rPr>
          <w:lang w:val="fr-FR"/>
        </w:rPr>
      </w:pPr>
      <w:r>
        <w:rPr>
          <w:lang w:val="fr-FR"/>
        </w:rPr>
        <w:br w:type="page"/>
      </w:r>
    </w:p>
    <w:p w14:paraId="2903A63D" w14:textId="366C4ED0" w:rsidR="00737BD1" w:rsidRDefault="00737BD1" w:rsidP="00737BD1">
      <w:pPr>
        <w:pStyle w:val="HChG"/>
        <w:rPr>
          <w:rFonts w:asciiTheme="majorBidi" w:hAnsiTheme="majorBidi"/>
          <w:lang w:val="fr-FR"/>
        </w:rPr>
      </w:pPr>
      <w:r w:rsidRPr="00016AD6">
        <w:rPr>
          <w:rFonts w:asciiTheme="majorBidi" w:hAnsiTheme="majorBidi"/>
          <w:lang w:val="fr-FR"/>
        </w:rPr>
        <w:lastRenderedPageBreak/>
        <w:tab/>
      </w:r>
      <w:r>
        <w:rPr>
          <w:rFonts w:asciiTheme="majorBidi" w:hAnsiTheme="majorBidi"/>
          <w:lang w:val="fr-FR"/>
        </w:rPr>
        <w:tab/>
      </w:r>
      <w:r>
        <w:rPr>
          <w:lang w:val="fr-FR"/>
        </w:rPr>
        <w:t>Chapitre X</w:t>
      </w:r>
      <w:r>
        <w:rPr>
          <w:lang w:val="fr-FR"/>
        </w:rPr>
        <w:br/>
      </w:r>
      <w:bookmarkStart w:id="124" w:name="_Hlk175322995"/>
      <w:r>
        <w:rPr>
          <w:lang w:val="fr-FR"/>
        </w:rPr>
        <w:t>L</w:t>
      </w:r>
      <w:r w:rsidR="004C5E26">
        <w:rPr>
          <w:lang w:val="fr-FR"/>
        </w:rPr>
        <w:t>’</w:t>
      </w:r>
      <w:r w:rsidRPr="00016AD6">
        <w:rPr>
          <w:lang w:val="fr-FR"/>
        </w:rPr>
        <w:t>élévation du niveau de la mer au regard du droit international</w:t>
      </w:r>
      <w:bookmarkEnd w:id="124"/>
    </w:p>
    <w:p w14:paraId="0C0D3945" w14:textId="77777777" w:rsidR="00737BD1" w:rsidRPr="00016AD6" w:rsidRDefault="00737BD1" w:rsidP="00737BD1">
      <w:pPr>
        <w:pStyle w:val="H1G"/>
        <w:rPr>
          <w:rFonts w:eastAsia="Calibri"/>
          <w:lang w:val="fr-FR"/>
        </w:rPr>
      </w:pPr>
      <w:r>
        <w:rPr>
          <w:lang w:val="fr-FR"/>
        </w:rPr>
        <w:tab/>
      </w:r>
      <w:r w:rsidRPr="00016AD6">
        <w:rPr>
          <w:lang w:val="fr-FR"/>
        </w:rPr>
        <w:t>A.</w:t>
      </w:r>
      <w:r w:rsidRPr="00016AD6">
        <w:rPr>
          <w:lang w:val="fr-FR"/>
        </w:rPr>
        <w:tab/>
      </w:r>
      <w:bookmarkStart w:id="125" w:name="_Hlk175323663"/>
      <w:r w:rsidRPr="0012636F">
        <w:t>Introduction</w:t>
      </w:r>
      <w:bookmarkEnd w:id="125"/>
    </w:p>
    <w:p w14:paraId="725ACE00" w14:textId="3323A9B5" w:rsidR="00737BD1" w:rsidRDefault="00737BD1" w:rsidP="00737BD1">
      <w:pPr>
        <w:pStyle w:val="SingleTxtG"/>
        <w:rPr>
          <w:vertAlign w:val="superscript"/>
          <w:lang w:val="fr-FR"/>
        </w:rPr>
      </w:pPr>
      <w:r>
        <w:rPr>
          <w:lang w:val="fr-FR"/>
        </w:rPr>
        <w:t>331.</w:t>
      </w:r>
      <w:r>
        <w:rPr>
          <w:lang w:val="fr-FR"/>
        </w:rPr>
        <w:tab/>
      </w:r>
      <w:r w:rsidRPr="00016AD6">
        <w:rPr>
          <w:lang w:val="fr-FR"/>
        </w:rPr>
        <w:t>À sa soixante et onzième session (2019), la Commission du droit international a décidé d</w:t>
      </w:r>
      <w:r w:rsidR="004C5E26">
        <w:rPr>
          <w:lang w:val="fr-FR"/>
        </w:rPr>
        <w:t>’</w:t>
      </w:r>
      <w:r w:rsidRPr="00016AD6">
        <w:rPr>
          <w:lang w:val="fr-FR"/>
        </w:rPr>
        <w:t>inscrire le sujet « L</w:t>
      </w:r>
      <w:r w:rsidR="004C5E26">
        <w:rPr>
          <w:lang w:val="fr-FR"/>
        </w:rPr>
        <w:t>’</w:t>
      </w:r>
      <w:r w:rsidRPr="00016AD6">
        <w:rPr>
          <w:lang w:val="fr-FR"/>
        </w:rPr>
        <w:t>élévation du niveau de la mer au regard du droit international » à son programme de travail. Elle a également décidé de créer un groupe d</w:t>
      </w:r>
      <w:r w:rsidR="004C5E26">
        <w:rPr>
          <w:lang w:val="fr-FR"/>
        </w:rPr>
        <w:t>’</w:t>
      </w:r>
      <w:r w:rsidRPr="00016AD6">
        <w:rPr>
          <w:lang w:val="fr-FR"/>
        </w:rPr>
        <w:t>étude à composition non limitée sur le sujet, dont la coprésidence serait assurée à tour de rôle par M. Bogdan</w:t>
      </w:r>
      <w:r w:rsidR="009A0AF0">
        <w:rPr>
          <w:lang w:val="fr-FR"/>
        </w:rPr>
        <w:t> </w:t>
      </w:r>
      <w:proofErr w:type="spellStart"/>
      <w:r w:rsidRPr="00016AD6">
        <w:rPr>
          <w:lang w:val="fr-FR"/>
        </w:rPr>
        <w:t>Aurescu</w:t>
      </w:r>
      <w:proofErr w:type="spellEnd"/>
      <w:r w:rsidRPr="00E9227E">
        <w:rPr>
          <w:rStyle w:val="Appelnotedebasdep"/>
        </w:rPr>
        <w:footnoteReference w:id="245"/>
      </w:r>
      <w:r w:rsidRPr="00016AD6">
        <w:rPr>
          <w:lang w:val="fr-FR"/>
        </w:rPr>
        <w:t>, M. Yacouba Cissé, M</w:t>
      </w:r>
      <w:r w:rsidRPr="00016AD6">
        <w:rPr>
          <w:vertAlign w:val="superscript"/>
          <w:lang w:val="fr-FR"/>
        </w:rPr>
        <w:t>me</w:t>
      </w:r>
      <w:r w:rsidRPr="00016AD6">
        <w:rPr>
          <w:lang w:val="fr-FR"/>
        </w:rPr>
        <w:t> </w:t>
      </w:r>
      <w:proofErr w:type="spellStart"/>
      <w:r w:rsidRPr="00016AD6">
        <w:rPr>
          <w:lang w:val="fr-FR"/>
        </w:rPr>
        <w:t>Patrícia</w:t>
      </w:r>
      <w:proofErr w:type="spellEnd"/>
      <w:r w:rsidRPr="00016AD6">
        <w:rPr>
          <w:lang w:val="fr-FR"/>
        </w:rPr>
        <w:t> </w:t>
      </w:r>
      <w:proofErr w:type="spellStart"/>
      <w:r w:rsidRPr="00016AD6">
        <w:rPr>
          <w:lang w:val="fr-FR"/>
        </w:rPr>
        <w:t>Galvão</w:t>
      </w:r>
      <w:proofErr w:type="spellEnd"/>
      <w:r w:rsidRPr="00016AD6">
        <w:rPr>
          <w:lang w:val="fr-FR"/>
        </w:rPr>
        <w:t> </w:t>
      </w:r>
      <w:proofErr w:type="spellStart"/>
      <w:r w:rsidRPr="00016AD6">
        <w:rPr>
          <w:lang w:val="fr-FR"/>
        </w:rPr>
        <w:t>Teles</w:t>
      </w:r>
      <w:proofErr w:type="spellEnd"/>
      <w:r w:rsidRPr="00016AD6">
        <w:rPr>
          <w:lang w:val="fr-FR"/>
        </w:rPr>
        <w:t>, M</w:t>
      </w:r>
      <w:r w:rsidRPr="00016AD6">
        <w:rPr>
          <w:vertAlign w:val="superscript"/>
          <w:lang w:val="fr-FR"/>
        </w:rPr>
        <w:t>me</w:t>
      </w:r>
      <w:r w:rsidRPr="00016AD6">
        <w:rPr>
          <w:lang w:val="fr-FR"/>
        </w:rPr>
        <w:t> </w:t>
      </w:r>
      <w:proofErr w:type="spellStart"/>
      <w:r w:rsidRPr="00016AD6">
        <w:rPr>
          <w:lang w:val="fr-FR"/>
        </w:rPr>
        <w:t>Nilüfer</w:t>
      </w:r>
      <w:proofErr w:type="spellEnd"/>
      <w:r>
        <w:rPr>
          <w:lang w:val="fr-FR"/>
        </w:rPr>
        <w:t> </w:t>
      </w:r>
      <w:r w:rsidRPr="00016AD6">
        <w:rPr>
          <w:lang w:val="fr-FR"/>
        </w:rPr>
        <w:t>Oral et M. Juan</w:t>
      </w:r>
      <w:r>
        <w:rPr>
          <w:lang w:val="fr-FR"/>
        </w:rPr>
        <w:t> </w:t>
      </w:r>
      <w:r w:rsidRPr="00016AD6">
        <w:rPr>
          <w:lang w:val="fr-FR"/>
        </w:rPr>
        <w:t>José</w:t>
      </w:r>
      <w:r>
        <w:rPr>
          <w:lang w:val="fr-FR"/>
        </w:rPr>
        <w:t> </w:t>
      </w:r>
      <w:proofErr w:type="spellStart"/>
      <w:r w:rsidRPr="00016AD6">
        <w:rPr>
          <w:lang w:val="fr-FR"/>
        </w:rPr>
        <w:t>Ruda</w:t>
      </w:r>
      <w:proofErr w:type="spellEnd"/>
      <w:r w:rsidRPr="00016AD6">
        <w:rPr>
          <w:lang w:val="fr-FR"/>
        </w:rPr>
        <w:t xml:space="preserve"> </w:t>
      </w:r>
      <w:proofErr w:type="spellStart"/>
      <w:r w:rsidRPr="00016AD6">
        <w:rPr>
          <w:lang w:val="fr-FR"/>
        </w:rPr>
        <w:t>Santolaria</w:t>
      </w:r>
      <w:proofErr w:type="spellEnd"/>
      <w:r w:rsidRPr="00016AD6">
        <w:rPr>
          <w:lang w:val="fr-FR"/>
        </w:rPr>
        <w:t>. Le Groupe d</w:t>
      </w:r>
      <w:r w:rsidR="004C5E26">
        <w:rPr>
          <w:lang w:val="fr-FR"/>
        </w:rPr>
        <w:t>’</w:t>
      </w:r>
      <w:r w:rsidRPr="00016AD6">
        <w:rPr>
          <w:lang w:val="fr-FR"/>
        </w:rPr>
        <w:t>étude a discuté de sa composition, de son projet de calendrier, de son projet de programme de travail et de ses méthodes de travail. À sa 3480</w:t>
      </w:r>
      <w:r w:rsidRPr="00016AD6">
        <w:rPr>
          <w:vertAlign w:val="superscript"/>
          <w:lang w:val="fr-FR"/>
        </w:rPr>
        <w:t>e</w:t>
      </w:r>
      <w:r w:rsidRPr="00016AD6">
        <w:rPr>
          <w:lang w:val="fr-FR"/>
        </w:rPr>
        <w:t> séance, le 15 juillet</w:t>
      </w:r>
      <w:r>
        <w:rPr>
          <w:lang w:val="fr-FR"/>
        </w:rPr>
        <w:t xml:space="preserve"> </w:t>
      </w:r>
      <w:r w:rsidRPr="00016AD6">
        <w:rPr>
          <w:lang w:val="fr-FR"/>
        </w:rPr>
        <w:t>2019, la Commission a pris note du rapport oral conjoint des Coprésidents du Groupe d</w:t>
      </w:r>
      <w:r w:rsidR="004C5E26">
        <w:rPr>
          <w:lang w:val="fr-FR"/>
        </w:rPr>
        <w:t>’</w:t>
      </w:r>
      <w:r w:rsidRPr="00016AD6">
        <w:rPr>
          <w:lang w:val="fr-FR"/>
        </w:rPr>
        <w:t>étude</w:t>
      </w:r>
      <w:r w:rsidRPr="00E9227E">
        <w:rPr>
          <w:rStyle w:val="Appelnotedebasdep"/>
        </w:rPr>
        <w:footnoteReference w:id="246"/>
      </w:r>
      <w:r w:rsidRPr="00016AD6">
        <w:rPr>
          <w:lang w:val="fr-FR"/>
        </w:rPr>
        <w:t>.</w:t>
      </w:r>
    </w:p>
    <w:p w14:paraId="209DD036" w14:textId="68A13E93" w:rsidR="00737BD1" w:rsidRDefault="00737BD1" w:rsidP="00737BD1">
      <w:pPr>
        <w:pStyle w:val="SingleTxtG"/>
        <w:rPr>
          <w:rFonts w:asciiTheme="majorBidi" w:eastAsia="Calibri" w:hAnsiTheme="majorBidi"/>
          <w:lang w:val="fr-FR"/>
        </w:rPr>
      </w:pPr>
      <w:r>
        <w:rPr>
          <w:rFonts w:asciiTheme="majorBidi" w:eastAsia="Calibri" w:hAnsiTheme="majorBidi"/>
          <w:lang w:val="fr-FR"/>
        </w:rPr>
        <w:t>332.</w:t>
      </w:r>
      <w:r>
        <w:rPr>
          <w:rFonts w:asciiTheme="majorBidi" w:eastAsia="Calibri" w:hAnsiTheme="majorBidi"/>
          <w:lang w:val="fr-FR"/>
        </w:rPr>
        <w:tab/>
      </w:r>
      <w:r w:rsidRPr="00016AD6">
        <w:rPr>
          <w:rFonts w:asciiTheme="majorBidi" w:eastAsia="Calibri" w:hAnsiTheme="majorBidi"/>
          <w:lang w:val="fr-FR"/>
        </w:rPr>
        <w:t>À sa soixante-douzième session (2021), la Commission a reconstitué le Groupe d</w:t>
      </w:r>
      <w:r w:rsidR="004C5E26">
        <w:rPr>
          <w:rFonts w:asciiTheme="majorBidi" w:eastAsia="Calibri" w:hAnsiTheme="majorBidi"/>
          <w:lang w:val="fr-FR"/>
        </w:rPr>
        <w:t>’</w:t>
      </w:r>
      <w:r w:rsidRPr="00016AD6">
        <w:rPr>
          <w:rFonts w:asciiTheme="majorBidi" w:eastAsia="Calibri" w:hAnsiTheme="majorBidi"/>
          <w:lang w:val="fr-FR"/>
        </w:rPr>
        <w:t>étude et examiné la première note thématique sur le sujet</w:t>
      </w:r>
      <w:r w:rsidRPr="00E9227E">
        <w:rPr>
          <w:rStyle w:val="Appelnotedebasdep"/>
        </w:rPr>
        <w:footnoteReference w:id="247"/>
      </w:r>
      <w:r w:rsidRPr="00016AD6">
        <w:rPr>
          <w:rFonts w:asciiTheme="majorBidi" w:eastAsia="Calibri" w:hAnsiTheme="majorBidi"/>
          <w:lang w:val="fr-FR"/>
        </w:rPr>
        <w:t>, qui était accompagnée d</w:t>
      </w:r>
      <w:r w:rsidR="004C5E26">
        <w:rPr>
          <w:rFonts w:asciiTheme="majorBidi" w:eastAsia="Calibri" w:hAnsiTheme="majorBidi"/>
          <w:lang w:val="fr-FR"/>
        </w:rPr>
        <w:t>’</w:t>
      </w:r>
      <w:r w:rsidRPr="00016AD6">
        <w:rPr>
          <w:rFonts w:asciiTheme="majorBidi" w:eastAsia="Calibri" w:hAnsiTheme="majorBidi"/>
          <w:lang w:val="fr-FR"/>
        </w:rPr>
        <w:t>une bibliographie préliminaire</w:t>
      </w:r>
      <w:r w:rsidRPr="00E9227E">
        <w:rPr>
          <w:rStyle w:val="Appelnotedebasdep"/>
        </w:rPr>
        <w:footnoteReference w:id="248"/>
      </w:r>
      <w:r w:rsidRPr="00016AD6">
        <w:rPr>
          <w:rFonts w:asciiTheme="majorBidi" w:eastAsia="Calibri" w:hAnsiTheme="majorBidi"/>
          <w:lang w:val="fr-FR"/>
        </w:rPr>
        <w:t>. À sa 3550</w:t>
      </w:r>
      <w:r w:rsidRPr="00016AD6">
        <w:rPr>
          <w:rFonts w:asciiTheme="majorBidi" w:eastAsia="Calibri" w:hAnsiTheme="majorBidi"/>
          <w:vertAlign w:val="superscript"/>
          <w:lang w:val="fr-FR"/>
        </w:rPr>
        <w:t>e</w:t>
      </w:r>
      <w:r w:rsidRPr="00016AD6">
        <w:rPr>
          <w:rFonts w:asciiTheme="majorBidi" w:eastAsia="Calibri" w:hAnsiTheme="majorBidi"/>
          <w:lang w:val="fr-FR"/>
        </w:rPr>
        <w:t> séance, le 27 juillet</w:t>
      </w:r>
      <w:r>
        <w:rPr>
          <w:rFonts w:asciiTheme="majorBidi" w:eastAsia="Calibri" w:hAnsiTheme="majorBidi"/>
          <w:lang w:val="fr-FR"/>
        </w:rPr>
        <w:t xml:space="preserve"> </w:t>
      </w:r>
      <w:r w:rsidRPr="00016AD6">
        <w:rPr>
          <w:rFonts w:asciiTheme="majorBidi" w:eastAsia="Calibri" w:hAnsiTheme="majorBidi"/>
          <w:lang w:val="fr-FR"/>
        </w:rPr>
        <w:t>2021, la Commission a pris note du rapport oral conjoint des Coprésidents du Groupe d</w:t>
      </w:r>
      <w:r w:rsidR="004C5E26">
        <w:rPr>
          <w:rFonts w:asciiTheme="majorBidi" w:eastAsia="Calibri" w:hAnsiTheme="majorBidi"/>
          <w:lang w:val="fr-FR"/>
        </w:rPr>
        <w:t>’</w:t>
      </w:r>
      <w:r w:rsidRPr="00016AD6">
        <w:rPr>
          <w:rFonts w:asciiTheme="majorBidi" w:eastAsia="Calibri" w:hAnsiTheme="majorBidi"/>
          <w:lang w:val="fr-FR"/>
        </w:rPr>
        <w:t>étude</w:t>
      </w:r>
      <w:r w:rsidRPr="00E9227E">
        <w:rPr>
          <w:rStyle w:val="Appelnotedebasdep"/>
        </w:rPr>
        <w:footnoteReference w:id="249"/>
      </w:r>
      <w:r w:rsidRPr="00016AD6">
        <w:rPr>
          <w:rFonts w:asciiTheme="majorBidi" w:eastAsia="Calibri" w:hAnsiTheme="majorBidi"/>
          <w:lang w:val="fr-FR"/>
        </w:rPr>
        <w:t>.</w:t>
      </w:r>
    </w:p>
    <w:p w14:paraId="614964FB" w14:textId="38713BA9" w:rsidR="00737BD1" w:rsidRDefault="00737BD1" w:rsidP="00737BD1">
      <w:pPr>
        <w:pStyle w:val="SingleTxtG"/>
        <w:rPr>
          <w:rFonts w:asciiTheme="majorBidi" w:eastAsia="Calibri" w:hAnsiTheme="majorBidi"/>
          <w:lang w:val="fr-FR"/>
        </w:rPr>
      </w:pPr>
      <w:r>
        <w:rPr>
          <w:rFonts w:asciiTheme="majorBidi" w:eastAsia="Calibri" w:hAnsiTheme="majorBidi"/>
          <w:lang w:val="fr-FR"/>
        </w:rPr>
        <w:t>333.</w:t>
      </w:r>
      <w:r>
        <w:rPr>
          <w:rFonts w:asciiTheme="majorBidi" w:eastAsia="Calibri" w:hAnsiTheme="majorBidi"/>
          <w:lang w:val="fr-FR"/>
        </w:rPr>
        <w:tab/>
      </w:r>
      <w:r w:rsidRPr="00016AD6">
        <w:rPr>
          <w:rFonts w:asciiTheme="majorBidi" w:eastAsia="Calibri" w:hAnsiTheme="majorBidi"/>
          <w:lang w:val="fr-FR"/>
        </w:rPr>
        <w:t>À sa soixante-treizième session (2022), la Commission a reconstitué le Groupe d</w:t>
      </w:r>
      <w:r w:rsidR="004C5E26">
        <w:rPr>
          <w:rFonts w:asciiTheme="majorBidi" w:eastAsia="Calibri" w:hAnsiTheme="majorBidi"/>
          <w:lang w:val="fr-FR"/>
        </w:rPr>
        <w:t>’</w:t>
      </w:r>
      <w:r w:rsidRPr="00016AD6">
        <w:rPr>
          <w:rFonts w:asciiTheme="majorBidi" w:eastAsia="Calibri" w:hAnsiTheme="majorBidi"/>
          <w:lang w:val="fr-FR"/>
        </w:rPr>
        <w:t>étude et examiné la seconde note thématique sur le sujet</w:t>
      </w:r>
      <w:r w:rsidRPr="00E9227E">
        <w:rPr>
          <w:rStyle w:val="Appelnotedebasdep"/>
        </w:rPr>
        <w:footnoteReference w:id="250"/>
      </w:r>
      <w:r w:rsidRPr="00016AD6">
        <w:rPr>
          <w:rFonts w:asciiTheme="majorBidi" w:eastAsia="Calibri" w:hAnsiTheme="majorBidi"/>
          <w:lang w:val="fr-FR"/>
        </w:rPr>
        <w:t>, qui était accompagnée d</w:t>
      </w:r>
      <w:r w:rsidR="004C5E26">
        <w:rPr>
          <w:rFonts w:asciiTheme="majorBidi" w:eastAsia="Calibri" w:hAnsiTheme="majorBidi"/>
          <w:lang w:val="fr-FR"/>
        </w:rPr>
        <w:t>’</w:t>
      </w:r>
      <w:r w:rsidRPr="00016AD6">
        <w:rPr>
          <w:rFonts w:asciiTheme="majorBidi" w:eastAsia="Calibri" w:hAnsiTheme="majorBidi"/>
          <w:lang w:val="fr-FR"/>
        </w:rPr>
        <w:t>une bibliographie préliminaire</w:t>
      </w:r>
      <w:r w:rsidRPr="00E9227E">
        <w:rPr>
          <w:rStyle w:val="Appelnotedebasdep"/>
        </w:rPr>
        <w:footnoteReference w:id="251"/>
      </w:r>
      <w:r w:rsidRPr="00016AD6">
        <w:rPr>
          <w:rFonts w:asciiTheme="majorBidi" w:eastAsia="Calibri" w:hAnsiTheme="majorBidi"/>
          <w:lang w:val="fr-FR"/>
        </w:rPr>
        <w:t xml:space="preserve">. À sa </w:t>
      </w:r>
      <w:r w:rsidRPr="00016AD6">
        <w:rPr>
          <w:rFonts w:asciiTheme="majorBidi" w:hAnsiTheme="majorBidi"/>
          <w:lang w:val="fr-FR"/>
        </w:rPr>
        <w:t>3612</w:t>
      </w:r>
      <w:r w:rsidRPr="00F04F6F">
        <w:rPr>
          <w:rFonts w:asciiTheme="majorBidi" w:hAnsiTheme="majorBidi"/>
          <w:vertAlign w:val="superscript"/>
          <w:lang w:val="fr-FR"/>
        </w:rPr>
        <w:t>e</w:t>
      </w:r>
      <w:r w:rsidRPr="00016AD6">
        <w:rPr>
          <w:rFonts w:asciiTheme="majorBidi" w:hAnsiTheme="majorBidi"/>
          <w:lang w:val="fr-FR"/>
        </w:rPr>
        <w:t> séance, le 5 août</w:t>
      </w:r>
      <w:r>
        <w:rPr>
          <w:rFonts w:asciiTheme="majorBidi" w:hAnsiTheme="majorBidi"/>
          <w:lang w:val="fr-FR"/>
        </w:rPr>
        <w:t xml:space="preserve"> </w:t>
      </w:r>
      <w:r w:rsidRPr="00016AD6">
        <w:rPr>
          <w:rFonts w:asciiTheme="majorBidi" w:hAnsiTheme="majorBidi"/>
          <w:lang w:val="fr-FR"/>
        </w:rPr>
        <w:t>2022, la Commission a examiné et adopté le rapport du Groupe d</w:t>
      </w:r>
      <w:r w:rsidR="004C5E26">
        <w:rPr>
          <w:rFonts w:asciiTheme="majorBidi" w:hAnsiTheme="majorBidi"/>
          <w:lang w:val="fr-FR"/>
        </w:rPr>
        <w:t>’</w:t>
      </w:r>
      <w:r w:rsidRPr="00016AD6">
        <w:rPr>
          <w:rFonts w:asciiTheme="majorBidi" w:hAnsiTheme="majorBidi"/>
          <w:lang w:val="fr-FR"/>
        </w:rPr>
        <w:t>étude</w:t>
      </w:r>
      <w:r>
        <w:rPr>
          <w:rFonts w:asciiTheme="majorBidi" w:hAnsiTheme="majorBidi"/>
          <w:lang w:val="fr-FR"/>
        </w:rPr>
        <w:t xml:space="preserve"> sur les travaux menés à la </w:t>
      </w:r>
      <w:r w:rsidRPr="00016AD6">
        <w:rPr>
          <w:rFonts w:asciiTheme="majorBidi" w:eastAsia="Calibri" w:hAnsiTheme="majorBidi"/>
          <w:lang w:val="fr-FR"/>
        </w:rPr>
        <w:t>soixante-treizième session</w:t>
      </w:r>
      <w:r w:rsidRPr="00E9227E">
        <w:rPr>
          <w:rStyle w:val="Appelnotedebasdep"/>
        </w:rPr>
        <w:footnoteReference w:id="252"/>
      </w:r>
      <w:r w:rsidRPr="00016AD6">
        <w:rPr>
          <w:rFonts w:asciiTheme="majorBidi" w:hAnsiTheme="majorBidi"/>
          <w:lang w:val="fr-FR"/>
        </w:rPr>
        <w:t>.</w:t>
      </w:r>
    </w:p>
    <w:p w14:paraId="57B3E852" w14:textId="1BE687D0"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334.</w:t>
      </w:r>
      <w:r>
        <w:rPr>
          <w:rFonts w:asciiTheme="majorBidi" w:eastAsia="Calibri" w:hAnsiTheme="majorBidi"/>
          <w:lang w:val="fr-FR"/>
        </w:rPr>
        <w:tab/>
      </w:r>
      <w:r w:rsidRPr="00016AD6">
        <w:rPr>
          <w:rFonts w:asciiTheme="majorBidi" w:eastAsia="Calibri" w:hAnsiTheme="majorBidi"/>
          <w:lang w:val="fr-FR"/>
        </w:rPr>
        <w:t>À sa soixante-quatorzième session (2023), la Commission a reconstitué le Groupe d</w:t>
      </w:r>
      <w:r w:rsidR="004C5E26">
        <w:rPr>
          <w:rFonts w:asciiTheme="majorBidi" w:eastAsia="Calibri" w:hAnsiTheme="majorBidi"/>
          <w:lang w:val="fr-FR"/>
        </w:rPr>
        <w:t>’</w:t>
      </w:r>
      <w:r w:rsidRPr="00016AD6">
        <w:rPr>
          <w:rFonts w:asciiTheme="majorBidi" w:eastAsia="Calibri" w:hAnsiTheme="majorBidi"/>
          <w:lang w:val="fr-FR"/>
        </w:rPr>
        <w:t>étude et a examiné la note complémentaire à la première note thématique sur le sujet</w:t>
      </w:r>
      <w:r w:rsidRPr="00E9227E">
        <w:rPr>
          <w:rStyle w:val="Appelnotedebasdep"/>
        </w:rPr>
        <w:footnoteReference w:id="253"/>
      </w:r>
      <w:r w:rsidRPr="00016AD6">
        <w:rPr>
          <w:rFonts w:asciiTheme="majorBidi" w:eastAsia="Calibri" w:hAnsiTheme="majorBidi"/>
          <w:lang w:val="fr-FR"/>
        </w:rPr>
        <w:t>, qui était accompagnée d</w:t>
      </w:r>
      <w:r w:rsidR="004C5E26">
        <w:rPr>
          <w:rFonts w:asciiTheme="majorBidi" w:eastAsia="Calibri" w:hAnsiTheme="majorBidi"/>
          <w:lang w:val="fr-FR"/>
        </w:rPr>
        <w:t>’</w:t>
      </w:r>
      <w:r w:rsidRPr="00016AD6">
        <w:rPr>
          <w:rFonts w:asciiTheme="majorBidi" w:eastAsia="Calibri" w:hAnsiTheme="majorBidi"/>
          <w:lang w:val="fr-FR"/>
        </w:rPr>
        <w:t>une bibliographie</w:t>
      </w:r>
      <w:r w:rsidRPr="00E9227E">
        <w:rPr>
          <w:rStyle w:val="Appelnotedebasdep"/>
        </w:rPr>
        <w:footnoteReference w:id="254"/>
      </w:r>
      <w:r w:rsidRPr="00016AD6">
        <w:rPr>
          <w:rFonts w:asciiTheme="majorBidi" w:eastAsia="Calibri" w:hAnsiTheme="majorBidi"/>
          <w:lang w:val="fr-FR"/>
        </w:rPr>
        <w:t>.</w:t>
      </w:r>
      <w:r w:rsidRPr="00016AD6">
        <w:rPr>
          <w:rFonts w:asciiTheme="majorBidi" w:hAnsiTheme="majorBidi"/>
          <w:lang w:val="fr-FR"/>
        </w:rPr>
        <w:t xml:space="preserve"> </w:t>
      </w:r>
      <w:r w:rsidRPr="00016AD6">
        <w:rPr>
          <w:rFonts w:asciiTheme="majorBidi" w:eastAsia="Calibri" w:hAnsiTheme="majorBidi"/>
          <w:lang w:val="fr-FR"/>
        </w:rPr>
        <w:t xml:space="preserve">À sa </w:t>
      </w:r>
      <w:r w:rsidRPr="00016AD6">
        <w:rPr>
          <w:rFonts w:asciiTheme="majorBidi" w:hAnsiTheme="majorBidi"/>
          <w:lang w:val="fr-FR"/>
        </w:rPr>
        <w:t>3655</w:t>
      </w:r>
      <w:r w:rsidRPr="00F04F6F">
        <w:rPr>
          <w:rFonts w:asciiTheme="majorBidi" w:hAnsiTheme="majorBidi"/>
          <w:vertAlign w:val="superscript"/>
          <w:lang w:val="fr-FR"/>
        </w:rPr>
        <w:t>e</w:t>
      </w:r>
      <w:r w:rsidRPr="00016AD6">
        <w:rPr>
          <w:rFonts w:asciiTheme="majorBidi" w:hAnsiTheme="majorBidi"/>
          <w:lang w:val="fr-FR"/>
        </w:rPr>
        <w:t> séance, le 3 août</w:t>
      </w:r>
      <w:r>
        <w:rPr>
          <w:rFonts w:asciiTheme="majorBidi" w:hAnsiTheme="majorBidi"/>
          <w:lang w:val="fr-FR"/>
        </w:rPr>
        <w:t xml:space="preserve"> </w:t>
      </w:r>
      <w:r w:rsidRPr="00016AD6">
        <w:rPr>
          <w:rFonts w:asciiTheme="majorBidi" w:hAnsiTheme="majorBidi"/>
          <w:lang w:val="fr-FR"/>
        </w:rPr>
        <w:t>2023, la Commission a examiné et adopté le rapport du Groupe d</w:t>
      </w:r>
      <w:r w:rsidR="004C5E26">
        <w:rPr>
          <w:rFonts w:asciiTheme="majorBidi" w:hAnsiTheme="majorBidi"/>
          <w:lang w:val="fr-FR"/>
        </w:rPr>
        <w:t>’</w:t>
      </w:r>
      <w:r w:rsidRPr="00016AD6">
        <w:rPr>
          <w:rFonts w:asciiTheme="majorBidi" w:hAnsiTheme="majorBidi"/>
          <w:lang w:val="fr-FR"/>
        </w:rPr>
        <w:t>étude</w:t>
      </w:r>
      <w:r>
        <w:rPr>
          <w:rFonts w:asciiTheme="majorBidi" w:hAnsiTheme="majorBidi"/>
          <w:lang w:val="fr-FR"/>
        </w:rPr>
        <w:t xml:space="preserve"> sur les travaux menés à la </w:t>
      </w:r>
      <w:r w:rsidRPr="00016AD6">
        <w:rPr>
          <w:rFonts w:asciiTheme="majorBidi" w:eastAsia="Calibri" w:hAnsiTheme="majorBidi"/>
          <w:lang w:val="fr-FR"/>
        </w:rPr>
        <w:t>soixante</w:t>
      </w:r>
      <w:r w:rsidR="009A0AF0">
        <w:rPr>
          <w:rFonts w:asciiTheme="majorBidi" w:eastAsia="Calibri" w:hAnsiTheme="majorBidi"/>
          <w:lang w:val="fr-FR"/>
        </w:rPr>
        <w:noBreakHyphen/>
      </w:r>
      <w:r w:rsidRPr="00016AD6">
        <w:rPr>
          <w:rFonts w:asciiTheme="majorBidi" w:eastAsia="Calibri" w:hAnsiTheme="majorBidi"/>
          <w:lang w:val="fr-FR"/>
        </w:rPr>
        <w:t>quatorzième session</w:t>
      </w:r>
      <w:r w:rsidRPr="00E9227E">
        <w:rPr>
          <w:rStyle w:val="Appelnotedebasdep"/>
        </w:rPr>
        <w:footnoteReference w:id="255"/>
      </w:r>
      <w:r w:rsidRPr="00016AD6">
        <w:rPr>
          <w:rFonts w:asciiTheme="majorBidi" w:hAnsiTheme="majorBidi"/>
          <w:lang w:val="fr-FR"/>
        </w:rPr>
        <w:t>.</w:t>
      </w:r>
    </w:p>
    <w:p w14:paraId="2BE46449" w14:textId="77777777" w:rsidR="00737BD1" w:rsidRPr="00016AD6" w:rsidRDefault="00737BD1" w:rsidP="00737BD1">
      <w:pPr>
        <w:pStyle w:val="H1G"/>
        <w:rPr>
          <w:lang w:val="fr-FR"/>
        </w:rPr>
      </w:pPr>
      <w:bookmarkStart w:id="129" w:name="_Toc522896394"/>
      <w:bookmarkStart w:id="130" w:name="_Toc523727704"/>
      <w:bookmarkStart w:id="131" w:name="_Toc17455488"/>
      <w:bookmarkStart w:id="132" w:name="_Toc19001838"/>
      <w:r w:rsidRPr="00016AD6">
        <w:rPr>
          <w:lang w:val="fr-FR"/>
        </w:rPr>
        <w:tab/>
        <w:t>B.</w:t>
      </w:r>
      <w:r w:rsidRPr="00016AD6">
        <w:rPr>
          <w:lang w:val="fr-FR"/>
        </w:rPr>
        <w:tab/>
      </w:r>
      <w:bookmarkStart w:id="133" w:name="_Hlk175323668"/>
      <w:r w:rsidRPr="0012636F">
        <w:t>Examen</w:t>
      </w:r>
      <w:r w:rsidRPr="00016AD6">
        <w:rPr>
          <w:lang w:val="fr-FR"/>
        </w:rPr>
        <w:t xml:space="preserve"> du sujet à la présente session</w:t>
      </w:r>
      <w:bookmarkEnd w:id="129"/>
      <w:bookmarkEnd w:id="130"/>
      <w:bookmarkEnd w:id="131"/>
      <w:bookmarkEnd w:id="132"/>
      <w:bookmarkEnd w:id="133"/>
    </w:p>
    <w:p w14:paraId="73E81DD5" w14:textId="59C6807B" w:rsidR="00737BD1" w:rsidRDefault="00737BD1" w:rsidP="00737BD1">
      <w:pPr>
        <w:pStyle w:val="SingleTxtG"/>
        <w:rPr>
          <w:rFonts w:eastAsia="Calibri"/>
          <w:lang w:val="fr-FR"/>
        </w:rPr>
      </w:pPr>
      <w:r>
        <w:rPr>
          <w:lang w:val="fr-FR"/>
        </w:rPr>
        <w:t>335.</w:t>
      </w:r>
      <w:r>
        <w:rPr>
          <w:lang w:val="fr-FR"/>
        </w:rPr>
        <w:tab/>
      </w:r>
      <w:r w:rsidRPr="00016AD6">
        <w:rPr>
          <w:lang w:val="fr-FR"/>
        </w:rPr>
        <w:t>À la présente session, la Commission a reconstitué le Groupe d</w:t>
      </w:r>
      <w:r w:rsidR="004C5E26">
        <w:rPr>
          <w:lang w:val="fr-FR"/>
        </w:rPr>
        <w:t>’</w:t>
      </w:r>
      <w:r w:rsidRPr="00016AD6">
        <w:rPr>
          <w:lang w:val="fr-FR"/>
        </w:rPr>
        <w:t>étude sur l</w:t>
      </w:r>
      <w:r w:rsidR="004C5E26">
        <w:rPr>
          <w:lang w:val="fr-FR"/>
        </w:rPr>
        <w:t>’</w:t>
      </w:r>
      <w:r w:rsidRPr="00016AD6">
        <w:rPr>
          <w:lang w:val="fr-FR"/>
        </w:rPr>
        <w:t xml:space="preserve">élévation du niveau de la mer au regard du droit international, présidé par les deux Coprésidents pour les questions relatives à la condition étatique et à la protection des personnes touchées par </w:t>
      </w:r>
      <w:r w:rsidRPr="00016AD6">
        <w:rPr>
          <w:rFonts w:eastAsia="Calibri"/>
          <w:lang w:val="fr-FR"/>
        </w:rPr>
        <w:t>l</w:t>
      </w:r>
      <w:r w:rsidR="004C5E26">
        <w:rPr>
          <w:rFonts w:eastAsia="Calibri"/>
          <w:lang w:val="fr-FR"/>
        </w:rPr>
        <w:t>’</w:t>
      </w:r>
      <w:r w:rsidRPr="00016AD6">
        <w:rPr>
          <w:rFonts w:eastAsia="Calibri"/>
          <w:lang w:val="fr-FR"/>
        </w:rPr>
        <w:t>élévation du niveau de la mer</w:t>
      </w:r>
      <w:r w:rsidRPr="00016AD6">
        <w:rPr>
          <w:lang w:val="fr-FR"/>
        </w:rPr>
        <w:t xml:space="preserve">, à savoir </w:t>
      </w:r>
      <w:r w:rsidRPr="00016AD6">
        <w:rPr>
          <w:rFonts w:eastAsia="Calibri"/>
          <w:lang w:val="fr-FR"/>
        </w:rPr>
        <w:t>M</w:t>
      </w:r>
      <w:r w:rsidRPr="00016AD6">
        <w:rPr>
          <w:rFonts w:eastAsia="Calibri"/>
          <w:vertAlign w:val="superscript"/>
          <w:lang w:val="fr-FR"/>
        </w:rPr>
        <w:t>me</w:t>
      </w:r>
      <w:r w:rsidRPr="00016AD6">
        <w:rPr>
          <w:rFonts w:eastAsia="Calibri"/>
          <w:lang w:val="fr-FR"/>
        </w:rPr>
        <w:t> </w:t>
      </w:r>
      <w:proofErr w:type="spellStart"/>
      <w:r w:rsidRPr="00016AD6">
        <w:rPr>
          <w:rFonts w:eastAsia="Calibri"/>
          <w:lang w:val="fr-FR"/>
        </w:rPr>
        <w:t>Galvão</w:t>
      </w:r>
      <w:proofErr w:type="spellEnd"/>
      <w:r w:rsidRPr="00016AD6">
        <w:rPr>
          <w:rFonts w:eastAsia="Calibri"/>
          <w:lang w:val="fr-FR"/>
        </w:rPr>
        <w:t xml:space="preserve"> </w:t>
      </w:r>
      <w:proofErr w:type="spellStart"/>
      <w:r w:rsidRPr="00016AD6">
        <w:rPr>
          <w:rFonts w:eastAsia="Calibri"/>
          <w:lang w:val="fr-FR"/>
        </w:rPr>
        <w:t>Teles</w:t>
      </w:r>
      <w:proofErr w:type="spellEnd"/>
      <w:r w:rsidRPr="00016AD6">
        <w:rPr>
          <w:rFonts w:eastAsia="Calibri"/>
          <w:lang w:val="fr-FR"/>
        </w:rPr>
        <w:t xml:space="preserve"> et M. </w:t>
      </w:r>
      <w:proofErr w:type="spellStart"/>
      <w:r w:rsidRPr="00016AD6">
        <w:rPr>
          <w:rFonts w:eastAsia="Calibri"/>
          <w:lang w:val="fr-FR"/>
        </w:rPr>
        <w:t>Ruda</w:t>
      </w:r>
      <w:proofErr w:type="spellEnd"/>
      <w:r w:rsidRPr="00016AD6">
        <w:rPr>
          <w:rFonts w:eastAsia="Calibri"/>
          <w:lang w:val="fr-FR"/>
        </w:rPr>
        <w:t xml:space="preserve"> </w:t>
      </w:r>
      <w:proofErr w:type="spellStart"/>
      <w:r w:rsidRPr="00016AD6">
        <w:rPr>
          <w:rFonts w:eastAsia="Calibri"/>
          <w:lang w:val="fr-FR"/>
        </w:rPr>
        <w:t>Santolaria</w:t>
      </w:r>
      <w:proofErr w:type="spellEnd"/>
      <w:r w:rsidRPr="00016AD6">
        <w:rPr>
          <w:lang w:val="fr-FR"/>
        </w:rPr>
        <w:t>.</w:t>
      </w:r>
    </w:p>
    <w:p w14:paraId="2ACD6200" w14:textId="3305A2E3" w:rsidR="00737BD1" w:rsidRDefault="00737BD1" w:rsidP="00737BD1">
      <w:pPr>
        <w:pStyle w:val="SingleTxtG"/>
        <w:rPr>
          <w:rFonts w:eastAsia="Calibri"/>
          <w:lang w:val="fr-FR"/>
        </w:rPr>
      </w:pPr>
      <w:r>
        <w:rPr>
          <w:rFonts w:eastAsia="Calibri"/>
          <w:lang w:val="fr-FR"/>
        </w:rPr>
        <w:t>336.</w:t>
      </w:r>
      <w:r>
        <w:rPr>
          <w:rFonts w:eastAsia="Calibri"/>
          <w:lang w:val="fr-FR"/>
        </w:rPr>
        <w:tab/>
      </w:r>
      <w:r w:rsidRPr="00016AD6">
        <w:rPr>
          <w:rFonts w:eastAsia="Calibri"/>
          <w:lang w:val="fr-FR"/>
        </w:rPr>
        <w:t>Conformément au</w:t>
      </w:r>
      <w:r>
        <w:rPr>
          <w:rFonts w:eastAsia="Calibri"/>
          <w:lang w:val="fr-FR"/>
        </w:rPr>
        <w:t>x</w:t>
      </w:r>
      <w:r w:rsidRPr="00016AD6">
        <w:rPr>
          <w:rFonts w:eastAsia="Calibri"/>
          <w:lang w:val="fr-FR"/>
        </w:rPr>
        <w:t xml:space="preserve"> programme</w:t>
      </w:r>
      <w:r>
        <w:rPr>
          <w:rFonts w:eastAsia="Calibri"/>
          <w:lang w:val="fr-FR"/>
        </w:rPr>
        <w:t>s</w:t>
      </w:r>
      <w:r w:rsidRPr="00016AD6">
        <w:rPr>
          <w:rFonts w:eastAsia="Calibri"/>
          <w:lang w:val="fr-FR"/>
        </w:rPr>
        <w:t xml:space="preserve"> et méthodes de travail convenus, le </w:t>
      </w:r>
      <w:r w:rsidRPr="00016AD6">
        <w:rPr>
          <w:lang w:val="fr-FR"/>
        </w:rPr>
        <w:t>Groupe d</w:t>
      </w:r>
      <w:r w:rsidR="004C5E26">
        <w:rPr>
          <w:lang w:val="fr-FR"/>
        </w:rPr>
        <w:t>’</w:t>
      </w:r>
      <w:r w:rsidRPr="00016AD6">
        <w:rPr>
          <w:lang w:val="fr-FR"/>
        </w:rPr>
        <w:t xml:space="preserve">étude était saisi de la note complémentaire </w:t>
      </w:r>
      <w:r w:rsidRPr="00016AD6">
        <w:rPr>
          <w:rFonts w:eastAsia="Calibri"/>
          <w:lang w:val="fr-FR"/>
        </w:rPr>
        <w:t>à la seconde note thématique sur le sujet</w:t>
      </w:r>
      <w:r>
        <w:rPr>
          <w:rFonts w:eastAsia="Calibri"/>
          <w:lang w:val="fr-FR"/>
        </w:rPr>
        <w:t xml:space="preserve"> </w:t>
      </w:r>
      <w:r w:rsidRPr="00016AD6">
        <w:rPr>
          <w:rFonts w:eastAsia="Calibri"/>
          <w:lang w:val="fr-FR"/>
        </w:rPr>
        <w:t>(</w:t>
      </w:r>
      <w:hyperlink r:id="rId72" w:history="1">
        <w:r w:rsidRPr="00FF7CB2">
          <w:rPr>
            <w:rStyle w:val="Lienhypertexte"/>
            <w:rFonts w:eastAsia="Calibri"/>
            <w:lang w:val="fr-FR"/>
          </w:rPr>
          <w:t>A/CN.4/774</w:t>
        </w:r>
      </w:hyperlink>
      <w:r w:rsidRPr="00016AD6">
        <w:rPr>
          <w:rFonts w:eastAsia="Calibri"/>
          <w:lang w:val="fr-FR"/>
        </w:rPr>
        <w:t>), établie par M</w:t>
      </w:r>
      <w:r w:rsidRPr="00016AD6">
        <w:rPr>
          <w:rFonts w:eastAsia="Calibri"/>
          <w:vertAlign w:val="superscript"/>
          <w:lang w:val="fr-FR"/>
        </w:rPr>
        <w:t>me</w:t>
      </w:r>
      <w:r w:rsidRPr="00016AD6">
        <w:rPr>
          <w:rFonts w:eastAsia="Calibri"/>
          <w:lang w:val="fr-FR"/>
        </w:rPr>
        <w:t> </w:t>
      </w:r>
      <w:proofErr w:type="spellStart"/>
      <w:r w:rsidRPr="00016AD6">
        <w:rPr>
          <w:rFonts w:eastAsia="Calibri"/>
          <w:lang w:val="fr-FR"/>
        </w:rPr>
        <w:t>Galvão</w:t>
      </w:r>
      <w:proofErr w:type="spellEnd"/>
      <w:r w:rsidRPr="00016AD6">
        <w:rPr>
          <w:rFonts w:eastAsia="Calibri"/>
          <w:lang w:val="fr-FR"/>
        </w:rPr>
        <w:t xml:space="preserve"> </w:t>
      </w:r>
      <w:proofErr w:type="spellStart"/>
      <w:r w:rsidRPr="00016AD6">
        <w:rPr>
          <w:rFonts w:eastAsia="Calibri"/>
          <w:lang w:val="fr-FR"/>
        </w:rPr>
        <w:t>Teles</w:t>
      </w:r>
      <w:proofErr w:type="spellEnd"/>
      <w:r w:rsidRPr="00016AD6">
        <w:rPr>
          <w:rFonts w:eastAsia="Calibri"/>
          <w:lang w:val="fr-FR"/>
        </w:rPr>
        <w:t xml:space="preserve"> et</w:t>
      </w:r>
      <w:r>
        <w:rPr>
          <w:rFonts w:eastAsia="Calibri"/>
          <w:lang w:val="fr-FR"/>
        </w:rPr>
        <w:t xml:space="preserve"> M</w:t>
      </w:r>
      <w:r w:rsidRPr="00016AD6">
        <w:rPr>
          <w:rFonts w:eastAsia="Calibri"/>
          <w:lang w:val="fr-FR"/>
        </w:rPr>
        <w:t>. </w:t>
      </w:r>
      <w:proofErr w:type="spellStart"/>
      <w:r w:rsidRPr="00016AD6">
        <w:rPr>
          <w:rFonts w:eastAsia="Calibri"/>
          <w:lang w:val="fr-FR"/>
        </w:rPr>
        <w:t>Ruda</w:t>
      </w:r>
      <w:proofErr w:type="spellEnd"/>
      <w:r w:rsidRPr="00016AD6">
        <w:rPr>
          <w:rFonts w:eastAsia="Calibri"/>
          <w:lang w:val="fr-FR"/>
        </w:rPr>
        <w:t xml:space="preserve"> </w:t>
      </w:r>
      <w:proofErr w:type="spellStart"/>
      <w:r w:rsidRPr="00016AD6">
        <w:rPr>
          <w:rFonts w:eastAsia="Calibri"/>
          <w:lang w:val="fr-FR"/>
        </w:rPr>
        <w:t>Santolaria</w:t>
      </w:r>
      <w:proofErr w:type="spellEnd"/>
      <w:r w:rsidRPr="00016AD6">
        <w:rPr>
          <w:rFonts w:eastAsia="Calibri"/>
          <w:lang w:val="fr-FR"/>
        </w:rPr>
        <w:t xml:space="preserve">. Une bibliographie sélective, établie en </w:t>
      </w:r>
      <w:r w:rsidRPr="00016AD6">
        <w:rPr>
          <w:rFonts w:eastAsia="Calibri"/>
          <w:lang w:val="fr-FR"/>
        </w:rPr>
        <w:lastRenderedPageBreak/>
        <w:t xml:space="preserve">consultation avec les membres du </w:t>
      </w:r>
      <w:r w:rsidRPr="00016AD6">
        <w:rPr>
          <w:lang w:val="fr-FR"/>
        </w:rPr>
        <w:t>Groupe d</w:t>
      </w:r>
      <w:r w:rsidR="004C5E26">
        <w:rPr>
          <w:lang w:val="fr-FR"/>
        </w:rPr>
        <w:t>’</w:t>
      </w:r>
      <w:r w:rsidRPr="00016AD6">
        <w:rPr>
          <w:lang w:val="fr-FR"/>
        </w:rPr>
        <w:t>étude,</w:t>
      </w:r>
      <w:r w:rsidRPr="00016AD6">
        <w:rPr>
          <w:rFonts w:eastAsia="Calibri"/>
          <w:lang w:val="fr-FR"/>
        </w:rPr>
        <w:t xml:space="preserve"> a été publiée en tant qu</w:t>
      </w:r>
      <w:r w:rsidR="004C5E26">
        <w:rPr>
          <w:rFonts w:eastAsia="Calibri"/>
          <w:lang w:val="fr-FR"/>
        </w:rPr>
        <w:t>’</w:t>
      </w:r>
      <w:r w:rsidRPr="00016AD6">
        <w:rPr>
          <w:rFonts w:eastAsia="Calibri"/>
          <w:lang w:val="fr-FR"/>
        </w:rPr>
        <w:t>additif à la note complémentaire (</w:t>
      </w:r>
      <w:hyperlink r:id="rId73" w:history="1">
        <w:r w:rsidRPr="00FF7CB2">
          <w:rPr>
            <w:rStyle w:val="Lienhypertexte"/>
            <w:rFonts w:eastAsia="Calibri"/>
            <w:lang w:val="fr-FR"/>
          </w:rPr>
          <w:t>A/CN.4/774/Add.1</w:t>
        </w:r>
      </w:hyperlink>
      <w:r w:rsidRPr="00016AD6">
        <w:rPr>
          <w:rFonts w:eastAsia="Calibri"/>
          <w:lang w:val="fr-FR"/>
        </w:rPr>
        <w:t>).</w:t>
      </w:r>
    </w:p>
    <w:p w14:paraId="243569F3" w14:textId="06B49307" w:rsidR="00737BD1" w:rsidRDefault="00737BD1" w:rsidP="00737BD1">
      <w:pPr>
        <w:pStyle w:val="SingleTxtG"/>
        <w:rPr>
          <w:rFonts w:eastAsia="Calibri"/>
          <w:bCs/>
          <w:lang w:val="fr-FR"/>
        </w:rPr>
      </w:pPr>
      <w:r>
        <w:rPr>
          <w:rFonts w:eastAsia="Calibri"/>
          <w:bCs/>
          <w:lang w:val="fr-FR"/>
        </w:rPr>
        <w:t>337.</w:t>
      </w:r>
      <w:r>
        <w:rPr>
          <w:rFonts w:eastAsia="Calibri"/>
          <w:bCs/>
          <w:lang w:val="fr-FR"/>
        </w:rPr>
        <w:tab/>
      </w:r>
      <w:r w:rsidRPr="00016AD6">
        <w:rPr>
          <w:rFonts w:eastAsia="Calibri"/>
          <w:bCs/>
          <w:lang w:val="fr-FR"/>
        </w:rPr>
        <w:t>Le Groupe d</w:t>
      </w:r>
      <w:r w:rsidR="004C5E26">
        <w:rPr>
          <w:rFonts w:eastAsia="Calibri"/>
          <w:bCs/>
          <w:lang w:val="fr-FR"/>
        </w:rPr>
        <w:t>’</w:t>
      </w:r>
      <w:r w:rsidRPr="00016AD6">
        <w:rPr>
          <w:rFonts w:eastAsia="Calibri"/>
          <w:bCs/>
          <w:lang w:val="fr-FR"/>
        </w:rPr>
        <w:t>étude, qui à la présente session comprenait 2</w:t>
      </w:r>
      <w:r>
        <w:rPr>
          <w:rFonts w:eastAsia="Calibri"/>
          <w:bCs/>
          <w:lang w:val="fr-FR"/>
        </w:rPr>
        <w:t>7</w:t>
      </w:r>
      <w:r w:rsidRPr="00016AD6">
        <w:rPr>
          <w:rFonts w:eastAsia="Calibri"/>
          <w:bCs/>
          <w:lang w:val="fr-FR"/>
        </w:rPr>
        <w:t> membres</w:t>
      </w:r>
      <w:r w:rsidRPr="00E9227E">
        <w:rPr>
          <w:rStyle w:val="Appelnotedebasdep"/>
        </w:rPr>
        <w:footnoteReference w:id="256"/>
      </w:r>
      <w:r w:rsidRPr="00016AD6">
        <w:rPr>
          <w:rFonts w:eastAsia="Calibri"/>
          <w:bCs/>
          <w:lang w:val="fr-FR"/>
        </w:rPr>
        <w:t xml:space="preserve">, </w:t>
      </w:r>
      <w:r>
        <w:rPr>
          <w:rFonts w:eastAsia="Calibri"/>
          <w:bCs/>
          <w:lang w:val="fr-FR"/>
        </w:rPr>
        <w:t>a tenu 10 réunions</w:t>
      </w:r>
      <w:r w:rsidRPr="00016AD6">
        <w:rPr>
          <w:rFonts w:eastAsia="Calibri"/>
          <w:bCs/>
          <w:lang w:val="fr-FR"/>
        </w:rPr>
        <w:t xml:space="preserve">, du 30 avril au 9 mai et du 2 au </w:t>
      </w:r>
      <w:r w:rsidRPr="00016AD6">
        <w:rPr>
          <w:rFonts w:eastAsia="Calibri"/>
          <w:lang w:val="fr-FR"/>
        </w:rPr>
        <w:t>8 juillet</w:t>
      </w:r>
      <w:r w:rsidRPr="00016AD6">
        <w:rPr>
          <w:rFonts w:eastAsia="Calibri"/>
          <w:bCs/>
          <w:lang w:val="fr-FR"/>
        </w:rPr>
        <w:t xml:space="preserve"> 2024.</w:t>
      </w:r>
    </w:p>
    <w:p w14:paraId="302E61DA" w14:textId="58C3FA2A" w:rsidR="00737BD1" w:rsidRPr="00016AD6" w:rsidRDefault="00737BD1" w:rsidP="00737BD1">
      <w:pPr>
        <w:pStyle w:val="SingleTxtG"/>
        <w:rPr>
          <w:rFonts w:eastAsia="Calibri"/>
          <w:lang w:val="fr-FR"/>
        </w:rPr>
      </w:pPr>
      <w:r>
        <w:rPr>
          <w:lang w:val="fr-FR"/>
        </w:rPr>
        <w:t>338.</w:t>
      </w:r>
      <w:r>
        <w:rPr>
          <w:lang w:val="fr-FR"/>
        </w:rPr>
        <w:tab/>
      </w:r>
      <w:r w:rsidRPr="00016AD6">
        <w:rPr>
          <w:lang w:val="fr-FR"/>
        </w:rPr>
        <w:t xml:space="preserve">À </w:t>
      </w:r>
      <w:r>
        <w:rPr>
          <w:lang w:val="fr-FR"/>
        </w:rPr>
        <w:t>l</w:t>
      </w:r>
      <w:r w:rsidRPr="00016AD6">
        <w:rPr>
          <w:lang w:val="fr-FR"/>
        </w:rPr>
        <w:t xml:space="preserve">a </w:t>
      </w:r>
      <w:r>
        <w:rPr>
          <w:lang w:val="fr-FR"/>
        </w:rPr>
        <w:t>3694</w:t>
      </w:r>
      <w:r w:rsidRPr="008E6159">
        <w:rPr>
          <w:vertAlign w:val="superscript"/>
          <w:lang w:val="fr-FR"/>
        </w:rPr>
        <w:t>e</w:t>
      </w:r>
      <w:r>
        <w:rPr>
          <w:lang w:val="fr-FR"/>
        </w:rPr>
        <w:t> </w:t>
      </w:r>
      <w:r w:rsidRPr="00016AD6">
        <w:rPr>
          <w:lang w:val="fr-FR"/>
        </w:rPr>
        <w:t>séance</w:t>
      </w:r>
      <w:r>
        <w:rPr>
          <w:lang w:val="fr-FR"/>
        </w:rPr>
        <w:t xml:space="preserve"> de la Commission</w:t>
      </w:r>
      <w:r w:rsidRPr="00016AD6">
        <w:rPr>
          <w:lang w:val="fr-FR"/>
        </w:rPr>
        <w:t xml:space="preserve">, le 26 juillet 2024, </w:t>
      </w:r>
      <w:r>
        <w:rPr>
          <w:lang w:val="fr-FR"/>
        </w:rPr>
        <w:t xml:space="preserve">les Coprésidents, </w:t>
      </w:r>
      <w:r w:rsidRPr="00016AD6">
        <w:rPr>
          <w:rFonts w:eastAsia="Calibri"/>
          <w:lang w:val="fr-FR"/>
        </w:rPr>
        <w:t>M</w:t>
      </w:r>
      <w:r w:rsidRPr="00016AD6">
        <w:rPr>
          <w:rFonts w:eastAsia="Calibri"/>
          <w:vertAlign w:val="superscript"/>
          <w:lang w:val="fr-FR"/>
        </w:rPr>
        <w:t>me</w:t>
      </w:r>
      <w:r w:rsidRPr="00016AD6">
        <w:rPr>
          <w:rFonts w:eastAsia="Calibri"/>
          <w:lang w:val="fr-FR"/>
        </w:rPr>
        <w:t> </w:t>
      </w:r>
      <w:proofErr w:type="spellStart"/>
      <w:r w:rsidRPr="00016AD6">
        <w:rPr>
          <w:rFonts w:eastAsia="Calibri"/>
          <w:lang w:val="fr-FR"/>
        </w:rPr>
        <w:t>Galvão</w:t>
      </w:r>
      <w:proofErr w:type="spellEnd"/>
      <w:r w:rsidR="009A0AF0">
        <w:rPr>
          <w:rFonts w:eastAsia="Calibri"/>
          <w:lang w:val="fr-FR"/>
        </w:rPr>
        <w:t> </w:t>
      </w:r>
      <w:proofErr w:type="spellStart"/>
      <w:r w:rsidRPr="00016AD6">
        <w:rPr>
          <w:rFonts w:eastAsia="Calibri"/>
          <w:lang w:val="fr-FR"/>
        </w:rPr>
        <w:t>Teles</w:t>
      </w:r>
      <w:proofErr w:type="spellEnd"/>
      <w:r w:rsidRPr="00016AD6">
        <w:rPr>
          <w:rFonts w:eastAsia="Calibri"/>
          <w:lang w:val="fr-FR"/>
        </w:rPr>
        <w:t xml:space="preserve"> et</w:t>
      </w:r>
      <w:r>
        <w:rPr>
          <w:rFonts w:eastAsia="Calibri"/>
          <w:lang w:val="fr-FR"/>
        </w:rPr>
        <w:t xml:space="preserve"> M</w:t>
      </w:r>
      <w:r w:rsidRPr="00016AD6">
        <w:rPr>
          <w:rFonts w:eastAsia="Calibri"/>
          <w:lang w:val="fr-FR"/>
        </w:rPr>
        <w:t>. </w:t>
      </w:r>
      <w:proofErr w:type="spellStart"/>
      <w:r w:rsidRPr="00016AD6">
        <w:rPr>
          <w:rFonts w:eastAsia="Calibri"/>
          <w:lang w:val="fr-FR"/>
        </w:rPr>
        <w:t>Ruda</w:t>
      </w:r>
      <w:proofErr w:type="spellEnd"/>
      <w:r w:rsidRPr="00016AD6">
        <w:rPr>
          <w:rFonts w:eastAsia="Calibri"/>
          <w:lang w:val="fr-FR"/>
        </w:rPr>
        <w:t xml:space="preserve"> </w:t>
      </w:r>
      <w:proofErr w:type="spellStart"/>
      <w:r w:rsidRPr="00016AD6">
        <w:rPr>
          <w:rFonts w:eastAsia="Calibri"/>
          <w:lang w:val="fr-FR"/>
        </w:rPr>
        <w:t>Santolaria</w:t>
      </w:r>
      <w:proofErr w:type="spellEnd"/>
      <w:r>
        <w:rPr>
          <w:rFonts w:eastAsia="Calibri"/>
          <w:lang w:val="fr-FR"/>
        </w:rPr>
        <w:t xml:space="preserve">, ont présenté le rapport du Groupe </w:t>
      </w:r>
      <w:r w:rsidRPr="00016AD6">
        <w:rPr>
          <w:lang w:val="fr-FR"/>
        </w:rPr>
        <w:t>d</w:t>
      </w:r>
      <w:r w:rsidR="004C5E26">
        <w:rPr>
          <w:lang w:val="fr-FR"/>
        </w:rPr>
        <w:t>’</w:t>
      </w:r>
      <w:r w:rsidRPr="00016AD6">
        <w:rPr>
          <w:lang w:val="fr-FR"/>
        </w:rPr>
        <w:t>étude</w:t>
      </w:r>
      <w:r>
        <w:rPr>
          <w:lang w:val="fr-FR"/>
        </w:rPr>
        <w:t xml:space="preserve"> (</w:t>
      </w:r>
      <w:hyperlink r:id="rId74" w:history="1">
        <w:r w:rsidRPr="009A0AF0">
          <w:rPr>
            <w:rStyle w:val="Lienhypertexte"/>
            <w:lang w:val="fr-FR"/>
          </w:rPr>
          <w:t>A/CN.4/L.1002</w:t>
        </w:r>
      </w:hyperlink>
      <w:r>
        <w:rPr>
          <w:lang w:val="fr-FR"/>
        </w:rPr>
        <w:t xml:space="preserve">). </w:t>
      </w:r>
      <w:r w:rsidRPr="00016AD6">
        <w:rPr>
          <w:lang w:val="fr-FR"/>
        </w:rPr>
        <w:t xml:space="preserve">À </w:t>
      </w:r>
      <w:r>
        <w:rPr>
          <w:lang w:val="fr-FR"/>
        </w:rPr>
        <w:t>l</w:t>
      </w:r>
      <w:r w:rsidRPr="00016AD6">
        <w:rPr>
          <w:lang w:val="fr-FR"/>
        </w:rPr>
        <w:t>a</w:t>
      </w:r>
      <w:r>
        <w:rPr>
          <w:lang w:val="fr-FR"/>
        </w:rPr>
        <w:t xml:space="preserve"> même séance,</w:t>
      </w:r>
      <w:r>
        <w:rPr>
          <w:rFonts w:eastAsia="Calibri"/>
          <w:lang w:val="fr-FR"/>
        </w:rPr>
        <w:t xml:space="preserve"> </w:t>
      </w:r>
      <w:r w:rsidRPr="00016AD6">
        <w:rPr>
          <w:lang w:val="fr-FR"/>
        </w:rPr>
        <w:t xml:space="preserve">la Commission a </w:t>
      </w:r>
      <w:r>
        <w:rPr>
          <w:lang w:val="fr-FR"/>
        </w:rPr>
        <w:t xml:space="preserve">pris note du rapport. </w:t>
      </w:r>
      <w:r w:rsidRPr="00016AD6">
        <w:rPr>
          <w:lang w:val="fr-FR"/>
        </w:rPr>
        <w:t xml:space="preserve">À </w:t>
      </w:r>
      <w:r>
        <w:rPr>
          <w:lang w:val="fr-FR"/>
        </w:rPr>
        <w:t>s</w:t>
      </w:r>
      <w:r w:rsidRPr="00016AD6">
        <w:rPr>
          <w:lang w:val="fr-FR"/>
        </w:rPr>
        <w:t xml:space="preserve">a </w:t>
      </w:r>
      <w:r>
        <w:rPr>
          <w:lang w:val="fr-FR"/>
        </w:rPr>
        <w:t>3698</w:t>
      </w:r>
      <w:r w:rsidRPr="00657B19">
        <w:rPr>
          <w:vertAlign w:val="superscript"/>
          <w:lang w:val="fr-FR"/>
        </w:rPr>
        <w:t>e</w:t>
      </w:r>
      <w:r>
        <w:rPr>
          <w:lang w:val="fr-FR"/>
        </w:rPr>
        <w:t> </w:t>
      </w:r>
      <w:r w:rsidRPr="00016AD6">
        <w:rPr>
          <w:lang w:val="fr-FR"/>
        </w:rPr>
        <w:t>séance</w:t>
      </w:r>
      <w:r>
        <w:rPr>
          <w:lang w:val="fr-FR"/>
        </w:rPr>
        <w:t xml:space="preserve">, le 30 juillet 2024, la Commission a </w:t>
      </w:r>
      <w:r w:rsidRPr="00016AD6">
        <w:rPr>
          <w:lang w:val="fr-FR"/>
        </w:rPr>
        <w:t>examiné et adopté le rapport du Groupe d</w:t>
      </w:r>
      <w:r w:rsidR="004C5E26">
        <w:rPr>
          <w:lang w:val="fr-FR"/>
        </w:rPr>
        <w:t>’</w:t>
      </w:r>
      <w:r w:rsidRPr="00016AD6">
        <w:rPr>
          <w:lang w:val="fr-FR"/>
        </w:rPr>
        <w:t>étude sur ses travaux à la présente session, qui est reproduit ci-après.</w:t>
      </w:r>
    </w:p>
    <w:p w14:paraId="7E6CA21D" w14:textId="4B31AA50" w:rsidR="00737BD1" w:rsidRPr="00016AD6" w:rsidRDefault="00737BD1" w:rsidP="00737BD1">
      <w:pPr>
        <w:pStyle w:val="H23G"/>
        <w:rPr>
          <w:lang w:val="fr-FR"/>
        </w:rPr>
      </w:pPr>
      <w:r>
        <w:rPr>
          <w:lang w:val="fr-FR"/>
        </w:rPr>
        <w:tab/>
      </w:r>
      <w:r w:rsidRPr="00016AD6">
        <w:rPr>
          <w:lang w:val="fr-FR"/>
        </w:rPr>
        <w:t>1.</w:t>
      </w:r>
      <w:r w:rsidRPr="00016AD6">
        <w:rPr>
          <w:lang w:val="fr-FR"/>
        </w:rPr>
        <w:tab/>
      </w:r>
      <w:bookmarkStart w:id="134" w:name="_Hlk175323680"/>
      <w:r w:rsidRPr="00016AD6">
        <w:rPr>
          <w:lang w:val="fr-FR"/>
        </w:rPr>
        <w:t>Présentation par les Coprésidents de la note complémentaire (</w:t>
      </w:r>
      <w:hyperlink r:id="rId75" w:history="1">
        <w:r w:rsidRPr="00FF7CB2">
          <w:rPr>
            <w:rStyle w:val="Lienhypertexte"/>
            <w:lang w:val="fr-FR"/>
          </w:rPr>
          <w:t>A/CN.4/774</w:t>
        </w:r>
      </w:hyperlink>
      <w:r w:rsidRPr="00016AD6">
        <w:rPr>
          <w:lang w:val="fr-FR"/>
        </w:rPr>
        <w:t xml:space="preserve"> et </w:t>
      </w:r>
      <w:hyperlink r:id="rId76" w:history="1">
        <w:r w:rsidRPr="00FF7CB2">
          <w:rPr>
            <w:rStyle w:val="Lienhypertexte"/>
            <w:lang w:val="fr-FR"/>
          </w:rPr>
          <w:t>Add.1</w:t>
        </w:r>
      </w:hyperlink>
      <w:r w:rsidRPr="00016AD6">
        <w:rPr>
          <w:lang w:val="fr-FR"/>
        </w:rPr>
        <w:t xml:space="preserve">) </w:t>
      </w:r>
      <w:r w:rsidR="009A0AF0">
        <w:rPr>
          <w:lang w:val="fr-FR"/>
        </w:rPr>
        <w:br/>
      </w:r>
      <w:r w:rsidRPr="00016AD6">
        <w:rPr>
          <w:lang w:val="fr-FR"/>
        </w:rPr>
        <w:t>à la seconde note thématique</w:t>
      </w:r>
      <w:bookmarkEnd w:id="134"/>
    </w:p>
    <w:p w14:paraId="28941C09" w14:textId="2EEBD7A7" w:rsidR="00737BD1" w:rsidRPr="00016AD6" w:rsidRDefault="00737BD1" w:rsidP="00737BD1">
      <w:pPr>
        <w:pStyle w:val="H23G"/>
        <w:rPr>
          <w:lang w:val="fr-FR"/>
        </w:rPr>
      </w:pPr>
      <w:r w:rsidRPr="00016AD6">
        <w:rPr>
          <w:lang w:val="fr-FR"/>
        </w:rPr>
        <w:tab/>
        <w:t>a)</w:t>
      </w:r>
      <w:r w:rsidRPr="00016AD6">
        <w:rPr>
          <w:lang w:val="fr-FR"/>
        </w:rPr>
        <w:tab/>
        <w:t>Procédure suivie par le Groupe d</w:t>
      </w:r>
      <w:r w:rsidR="004C5E26">
        <w:rPr>
          <w:lang w:val="fr-FR"/>
        </w:rPr>
        <w:t>’</w:t>
      </w:r>
      <w:r w:rsidRPr="00016AD6">
        <w:rPr>
          <w:lang w:val="fr-FR"/>
        </w:rPr>
        <w:t>étude</w:t>
      </w:r>
    </w:p>
    <w:p w14:paraId="55045584" w14:textId="7229F1A1" w:rsidR="00737BD1" w:rsidRPr="00016AD6" w:rsidRDefault="00737BD1" w:rsidP="00737BD1">
      <w:pPr>
        <w:pStyle w:val="SingleTxtG"/>
        <w:rPr>
          <w:lang w:val="fr-FR"/>
        </w:rPr>
      </w:pPr>
      <w:r>
        <w:rPr>
          <w:rFonts w:eastAsia="Calibri"/>
          <w:bCs/>
          <w:lang w:val="fr-FR"/>
        </w:rPr>
        <w:t>339.</w:t>
      </w:r>
      <w:r>
        <w:rPr>
          <w:rFonts w:eastAsia="Calibri"/>
          <w:bCs/>
          <w:lang w:val="fr-FR"/>
        </w:rPr>
        <w:tab/>
      </w:r>
      <w:r w:rsidRPr="00016AD6">
        <w:rPr>
          <w:rFonts w:eastAsia="Calibri"/>
          <w:bCs/>
          <w:lang w:val="fr-FR"/>
        </w:rPr>
        <w:t>À la première réunion du Groupe d</w:t>
      </w:r>
      <w:r w:rsidR="004C5E26">
        <w:rPr>
          <w:rFonts w:eastAsia="Calibri"/>
          <w:bCs/>
          <w:lang w:val="fr-FR"/>
        </w:rPr>
        <w:t>’</w:t>
      </w:r>
      <w:r w:rsidRPr="00016AD6">
        <w:rPr>
          <w:rFonts w:eastAsia="Calibri"/>
          <w:bCs/>
          <w:lang w:val="fr-FR"/>
        </w:rPr>
        <w:t>étude, tenue le 30 avril</w:t>
      </w:r>
      <w:r>
        <w:rPr>
          <w:rFonts w:eastAsia="Calibri"/>
          <w:bCs/>
          <w:lang w:val="fr-FR"/>
        </w:rPr>
        <w:t xml:space="preserve"> </w:t>
      </w:r>
      <w:r w:rsidRPr="00016AD6">
        <w:rPr>
          <w:rFonts w:eastAsia="Calibri"/>
          <w:bCs/>
          <w:lang w:val="fr-FR"/>
        </w:rPr>
        <w:t>2024</w:t>
      </w:r>
      <w:r w:rsidRPr="00016AD6">
        <w:rPr>
          <w:lang w:val="fr-FR"/>
        </w:rPr>
        <w:t xml:space="preserve">, la </w:t>
      </w:r>
      <w:r w:rsidRPr="00016AD6">
        <w:rPr>
          <w:rFonts w:eastAsia="Calibri"/>
          <w:bCs/>
          <w:lang w:val="fr-FR"/>
        </w:rPr>
        <w:t>Coprésidente</w:t>
      </w:r>
      <w:r w:rsidRPr="00016AD6">
        <w:rPr>
          <w:lang w:val="fr-FR"/>
        </w:rPr>
        <w:t xml:space="preserve"> (M</w:t>
      </w:r>
      <w:r w:rsidRPr="00016AD6">
        <w:rPr>
          <w:vertAlign w:val="superscript"/>
          <w:lang w:val="fr-FR"/>
        </w:rPr>
        <w:t>me</w:t>
      </w:r>
      <w:r w:rsidRPr="00016AD6">
        <w:rPr>
          <w:lang w:val="fr-FR"/>
        </w:rPr>
        <w:t> </w:t>
      </w:r>
      <w:proofErr w:type="spellStart"/>
      <w:r w:rsidRPr="00016AD6">
        <w:rPr>
          <w:lang w:val="fr-FR"/>
        </w:rPr>
        <w:t>Galvão</w:t>
      </w:r>
      <w:proofErr w:type="spellEnd"/>
      <w:r w:rsidR="009A0AF0">
        <w:rPr>
          <w:lang w:val="fr-FR"/>
        </w:rPr>
        <w:t> </w:t>
      </w:r>
      <w:proofErr w:type="spellStart"/>
      <w:r w:rsidRPr="00016AD6">
        <w:rPr>
          <w:lang w:val="fr-FR"/>
        </w:rPr>
        <w:t>Teles</w:t>
      </w:r>
      <w:proofErr w:type="spellEnd"/>
      <w:r w:rsidRPr="00016AD6">
        <w:rPr>
          <w:lang w:val="fr-FR"/>
        </w:rPr>
        <w:t>) a indiqué que les six réunions prévues durant la première partie de la session avaient pour objet de permettre un échange de vues sur la note complémentaire à la seconde note thématique et sur toutes autres questions concernant les deux sous</w:t>
      </w:r>
      <w:r>
        <w:rPr>
          <w:lang w:val="fr-FR"/>
        </w:rPr>
        <w:noBreakHyphen/>
      </w:r>
      <w:r w:rsidRPr="00016AD6">
        <w:rPr>
          <w:lang w:val="fr-FR"/>
        </w:rPr>
        <w:t>sujets à l</w:t>
      </w:r>
      <w:r w:rsidR="004C5E26">
        <w:rPr>
          <w:lang w:val="fr-FR"/>
        </w:rPr>
        <w:t>’</w:t>
      </w:r>
      <w:r w:rsidRPr="00016AD6">
        <w:rPr>
          <w:lang w:val="fr-FR"/>
        </w:rPr>
        <w:t>examen. Les travaux menés durant la première partie de la session feraient l</w:t>
      </w:r>
      <w:r w:rsidR="004C5E26">
        <w:rPr>
          <w:lang w:val="fr-FR"/>
        </w:rPr>
        <w:t>’</w:t>
      </w:r>
      <w:r w:rsidRPr="00016AD6">
        <w:rPr>
          <w:lang w:val="fr-FR"/>
        </w:rPr>
        <w:t>objet d</w:t>
      </w:r>
      <w:r w:rsidR="004C5E26">
        <w:rPr>
          <w:lang w:val="fr-FR"/>
        </w:rPr>
        <w:t>’</w:t>
      </w:r>
      <w:r w:rsidRPr="00016AD6">
        <w:rPr>
          <w:lang w:val="fr-FR"/>
        </w:rPr>
        <w:t xml:space="preserve">un projet de rapport </w:t>
      </w:r>
      <w:r>
        <w:rPr>
          <w:lang w:val="fr-FR"/>
        </w:rPr>
        <w:t xml:space="preserve">intermédiaire </w:t>
      </w:r>
      <w:r w:rsidRPr="00016AD6">
        <w:rPr>
          <w:lang w:val="fr-FR"/>
        </w:rPr>
        <w:t>du Groupe d</w:t>
      </w:r>
      <w:r w:rsidR="004C5E26">
        <w:rPr>
          <w:lang w:val="fr-FR"/>
        </w:rPr>
        <w:t>’</w:t>
      </w:r>
      <w:r w:rsidRPr="00016AD6">
        <w:rPr>
          <w:lang w:val="fr-FR"/>
        </w:rPr>
        <w:t xml:space="preserve">étude qui serait examiné et complété durant la deuxième partie de la session. </w:t>
      </w:r>
      <w:r>
        <w:rPr>
          <w:lang w:val="fr-FR"/>
        </w:rPr>
        <w:t>C</w:t>
      </w:r>
      <w:r w:rsidRPr="00016AD6">
        <w:rPr>
          <w:lang w:val="fr-FR"/>
        </w:rPr>
        <w:t>e projet de rapport serait alors adopté par le Groupe d</w:t>
      </w:r>
      <w:r w:rsidR="004C5E26">
        <w:rPr>
          <w:lang w:val="fr-FR"/>
        </w:rPr>
        <w:t>’</w:t>
      </w:r>
      <w:r w:rsidRPr="00016AD6">
        <w:rPr>
          <w:lang w:val="fr-FR"/>
        </w:rPr>
        <w:t>étude puis présenté à la Commission par les Coprésidents en vue de son inclusion dans le rapport annuel de la Commission.</w:t>
      </w:r>
    </w:p>
    <w:p w14:paraId="22519766" w14:textId="77777777" w:rsidR="00737BD1" w:rsidRPr="00016AD6" w:rsidRDefault="00737BD1" w:rsidP="00737BD1">
      <w:pPr>
        <w:pStyle w:val="H23G"/>
        <w:rPr>
          <w:rFonts w:eastAsia="Calibri"/>
          <w:lang w:val="fr-FR"/>
        </w:rPr>
      </w:pPr>
      <w:r w:rsidRPr="00016AD6">
        <w:rPr>
          <w:rFonts w:eastAsia="Calibri"/>
          <w:lang w:val="fr-FR"/>
        </w:rPr>
        <w:tab/>
        <w:t>b)</w:t>
      </w:r>
      <w:r w:rsidRPr="00016AD6">
        <w:rPr>
          <w:rFonts w:eastAsia="Calibri"/>
          <w:lang w:val="fr-FR"/>
        </w:rPr>
        <w:tab/>
      </w:r>
      <w:r w:rsidRPr="00016AD6">
        <w:rPr>
          <w:lang w:val="fr-FR"/>
        </w:rPr>
        <w:t>Présentation de la note complémentaire à la seconde note thématique</w:t>
      </w:r>
      <w:r w:rsidRPr="00016AD6">
        <w:rPr>
          <w:rFonts w:eastAsia="Calibri"/>
          <w:lang w:val="fr-FR"/>
        </w:rPr>
        <w:t xml:space="preserve"> </w:t>
      </w:r>
    </w:p>
    <w:p w14:paraId="2F29F3DB" w14:textId="733ED0CF" w:rsidR="00737BD1" w:rsidRPr="00016AD6" w:rsidRDefault="00737BD1" w:rsidP="00737BD1">
      <w:pPr>
        <w:pStyle w:val="SingleTxtG"/>
        <w:rPr>
          <w:lang w:val="fr-FR"/>
        </w:rPr>
      </w:pPr>
      <w:r>
        <w:rPr>
          <w:lang w:val="fr-FR"/>
        </w:rPr>
        <w:t>340.</w:t>
      </w:r>
      <w:r>
        <w:rPr>
          <w:lang w:val="fr-FR"/>
        </w:rPr>
        <w:tab/>
      </w:r>
      <w:r w:rsidRPr="00016AD6">
        <w:rPr>
          <w:lang w:val="fr-FR"/>
        </w:rPr>
        <w:t>À la première réunion du Groupe d</w:t>
      </w:r>
      <w:r w:rsidR="004C5E26">
        <w:rPr>
          <w:lang w:val="fr-FR"/>
        </w:rPr>
        <w:t>’</w:t>
      </w:r>
      <w:r w:rsidRPr="00016AD6">
        <w:rPr>
          <w:lang w:val="fr-FR"/>
        </w:rPr>
        <w:t>étude, les Coprésidents (M</w:t>
      </w:r>
      <w:r w:rsidRPr="00016AD6">
        <w:rPr>
          <w:vertAlign w:val="superscript"/>
          <w:lang w:val="fr-FR"/>
        </w:rPr>
        <w:t>me</w:t>
      </w:r>
      <w:r w:rsidRPr="00016AD6">
        <w:rPr>
          <w:lang w:val="fr-FR"/>
        </w:rPr>
        <w:t> </w:t>
      </w:r>
      <w:proofErr w:type="spellStart"/>
      <w:r w:rsidRPr="00016AD6">
        <w:rPr>
          <w:lang w:val="fr-FR"/>
        </w:rPr>
        <w:t>Galvão</w:t>
      </w:r>
      <w:proofErr w:type="spellEnd"/>
      <w:r w:rsidR="009A0AF0">
        <w:rPr>
          <w:lang w:val="fr-FR"/>
        </w:rPr>
        <w:t> </w:t>
      </w:r>
      <w:proofErr w:type="spellStart"/>
      <w:r w:rsidRPr="00016AD6">
        <w:rPr>
          <w:lang w:val="fr-FR"/>
        </w:rPr>
        <w:t>Teles</w:t>
      </w:r>
      <w:proofErr w:type="spellEnd"/>
      <w:r w:rsidRPr="00016AD6">
        <w:rPr>
          <w:lang w:val="fr-FR"/>
        </w:rPr>
        <w:t xml:space="preserve"> et M. </w:t>
      </w:r>
      <w:proofErr w:type="spellStart"/>
      <w:r w:rsidRPr="00016AD6">
        <w:rPr>
          <w:lang w:val="fr-FR"/>
        </w:rPr>
        <w:t>Ruda</w:t>
      </w:r>
      <w:proofErr w:type="spellEnd"/>
      <w:r w:rsidR="009A0AF0">
        <w:rPr>
          <w:lang w:val="fr-FR"/>
        </w:rPr>
        <w:t> </w:t>
      </w:r>
      <w:proofErr w:type="spellStart"/>
      <w:r w:rsidRPr="00016AD6">
        <w:rPr>
          <w:lang w:val="fr-FR"/>
        </w:rPr>
        <w:t>Santolaria</w:t>
      </w:r>
      <w:proofErr w:type="spellEnd"/>
      <w:r w:rsidRPr="00016AD6">
        <w:rPr>
          <w:lang w:val="fr-FR"/>
        </w:rPr>
        <w:t xml:space="preserve">) ont procédé à une présentation générale de la note complémentaire. </w:t>
      </w:r>
      <w:r>
        <w:rPr>
          <w:lang w:val="fr-FR"/>
        </w:rPr>
        <w:t xml:space="preserve">Ils </w:t>
      </w:r>
      <w:r w:rsidRPr="00016AD6">
        <w:rPr>
          <w:lang w:val="fr-FR"/>
        </w:rPr>
        <w:t>ont constaté que le sujet « L</w:t>
      </w:r>
      <w:r w:rsidR="004C5E26">
        <w:rPr>
          <w:lang w:val="fr-FR"/>
        </w:rPr>
        <w:t>’</w:t>
      </w:r>
      <w:r w:rsidRPr="00016AD6">
        <w:rPr>
          <w:lang w:val="fr-FR"/>
        </w:rPr>
        <w:t xml:space="preserve">élévation du niveau de la mer au regard du droit international » avait suscité un intérêt </w:t>
      </w:r>
      <w:r>
        <w:rPr>
          <w:lang w:val="fr-FR"/>
        </w:rPr>
        <w:t xml:space="preserve">croissant au sein </w:t>
      </w:r>
      <w:r w:rsidRPr="00016AD6">
        <w:rPr>
          <w:lang w:val="fr-FR"/>
        </w:rPr>
        <w:t xml:space="preserve">de la Commission et </w:t>
      </w:r>
      <w:r>
        <w:rPr>
          <w:lang w:val="fr-FR"/>
        </w:rPr>
        <w:t>auprès d</w:t>
      </w:r>
      <w:r w:rsidRPr="00016AD6">
        <w:rPr>
          <w:lang w:val="fr-FR"/>
        </w:rPr>
        <w:t>es États Membres. Ils ont évoqué les progrès réalisés jusqu</w:t>
      </w:r>
      <w:r w:rsidR="004C5E26">
        <w:rPr>
          <w:lang w:val="fr-FR"/>
        </w:rPr>
        <w:t>’</w:t>
      </w:r>
      <w:r>
        <w:rPr>
          <w:lang w:val="fr-FR"/>
        </w:rPr>
        <w:t xml:space="preserve">ici </w:t>
      </w:r>
      <w:r w:rsidRPr="00016AD6">
        <w:rPr>
          <w:lang w:val="fr-FR"/>
        </w:rPr>
        <w:t>sur les trois sous-sujets à l</w:t>
      </w:r>
      <w:r w:rsidR="004C5E26">
        <w:rPr>
          <w:lang w:val="fr-FR"/>
        </w:rPr>
        <w:t>’</w:t>
      </w:r>
      <w:r w:rsidRPr="00016AD6">
        <w:rPr>
          <w:lang w:val="fr-FR"/>
        </w:rPr>
        <w:t xml:space="preserve">examen </w:t>
      </w:r>
      <w:r>
        <w:rPr>
          <w:lang w:val="fr-FR"/>
        </w:rPr>
        <w:t>dans le cadre d</w:t>
      </w:r>
      <w:r w:rsidRPr="00016AD6">
        <w:rPr>
          <w:lang w:val="fr-FR"/>
        </w:rPr>
        <w:t xml:space="preserve">es débats </w:t>
      </w:r>
      <w:r>
        <w:rPr>
          <w:lang w:val="fr-FR"/>
        </w:rPr>
        <w:t>approfondis</w:t>
      </w:r>
      <w:r w:rsidRPr="00016AD6">
        <w:rPr>
          <w:lang w:val="fr-FR"/>
        </w:rPr>
        <w:t xml:space="preserve"> </w:t>
      </w:r>
      <w:r>
        <w:rPr>
          <w:lang w:val="fr-FR"/>
        </w:rPr>
        <w:t xml:space="preserve">menés au sein du </w:t>
      </w:r>
      <w:r w:rsidRPr="00016AD6">
        <w:rPr>
          <w:lang w:val="fr-FR"/>
        </w:rPr>
        <w:t>Groupe d</w:t>
      </w:r>
      <w:r w:rsidR="004C5E26">
        <w:rPr>
          <w:lang w:val="fr-FR"/>
        </w:rPr>
        <w:t>’</w:t>
      </w:r>
      <w:r w:rsidRPr="00016AD6">
        <w:rPr>
          <w:lang w:val="fr-FR"/>
        </w:rPr>
        <w:t>étude et de la Commission</w:t>
      </w:r>
      <w:r>
        <w:rPr>
          <w:lang w:val="fr-FR"/>
        </w:rPr>
        <w:t xml:space="preserve">, </w:t>
      </w:r>
      <w:r w:rsidRPr="00016AD6">
        <w:rPr>
          <w:lang w:val="fr-FR"/>
        </w:rPr>
        <w:t>qui avaient été enrichis par les commentaires formulés par les États Membres à la Sixième Commission ou en réponse aux questions posées par la Commission. Il a également été souligné que certains États, notamment les États les plus touchés par le phénomène, s</w:t>
      </w:r>
      <w:r w:rsidR="004C5E26">
        <w:rPr>
          <w:lang w:val="fr-FR"/>
        </w:rPr>
        <w:t>’</w:t>
      </w:r>
      <w:r w:rsidRPr="00016AD6">
        <w:rPr>
          <w:lang w:val="fr-FR"/>
        </w:rPr>
        <w:t xml:space="preserve">étaient particulièrement employés à </w:t>
      </w:r>
      <w:r>
        <w:rPr>
          <w:lang w:val="fr-FR"/>
        </w:rPr>
        <w:t>insister sur le fait</w:t>
      </w:r>
      <w:r w:rsidRPr="00016AD6">
        <w:rPr>
          <w:lang w:val="fr-FR"/>
        </w:rPr>
        <w:t xml:space="preserve"> qu</w:t>
      </w:r>
      <w:r w:rsidR="004C5E26">
        <w:rPr>
          <w:lang w:val="fr-FR"/>
        </w:rPr>
        <w:t>’</w:t>
      </w:r>
      <w:r w:rsidRPr="00016AD6">
        <w:rPr>
          <w:lang w:val="fr-FR"/>
        </w:rPr>
        <w:t>il était urgent de s</w:t>
      </w:r>
      <w:r w:rsidR="004C5E26">
        <w:rPr>
          <w:lang w:val="fr-FR"/>
        </w:rPr>
        <w:t>’</w:t>
      </w:r>
      <w:r w:rsidRPr="00016AD6">
        <w:rPr>
          <w:lang w:val="fr-FR"/>
        </w:rPr>
        <w:t>attaquer aux multiples problèmes qui s</w:t>
      </w:r>
      <w:r w:rsidR="004C5E26">
        <w:rPr>
          <w:lang w:val="fr-FR"/>
        </w:rPr>
        <w:t>’</w:t>
      </w:r>
      <w:r w:rsidRPr="00016AD6">
        <w:rPr>
          <w:lang w:val="fr-FR"/>
        </w:rPr>
        <w:t xml:space="preserve">annonçaient </w:t>
      </w:r>
      <w:r>
        <w:rPr>
          <w:lang w:val="fr-FR"/>
        </w:rPr>
        <w:t xml:space="preserve">et </w:t>
      </w:r>
      <w:r w:rsidRPr="00016AD6">
        <w:rPr>
          <w:lang w:val="fr-FR"/>
        </w:rPr>
        <w:t>de recenser les solutions juridiques possibles. L</w:t>
      </w:r>
      <w:r w:rsidR="004C5E26">
        <w:rPr>
          <w:lang w:val="fr-FR"/>
        </w:rPr>
        <w:t>’</w:t>
      </w:r>
      <w:r w:rsidRPr="00016AD6">
        <w:rPr>
          <w:lang w:val="fr-FR"/>
        </w:rPr>
        <w:t>attention a été appelée en particulier sur la Déclaration sur la continuité étatique et la protection des personnes face à l</w:t>
      </w:r>
      <w:r w:rsidR="004C5E26">
        <w:rPr>
          <w:lang w:val="fr-FR"/>
        </w:rPr>
        <w:t>’</w:t>
      </w:r>
      <w:r w:rsidRPr="00016AD6">
        <w:rPr>
          <w:lang w:val="fr-FR"/>
        </w:rPr>
        <w:t>élévation du niveau de la mer liée aux changements climatiques adoptée le 9 novembre</w:t>
      </w:r>
      <w:r>
        <w:rPr>
          <w:lang w:val="fr-FR"/>
        </w:rPr>
        <w:t xml:space="preserve"> </w:t>
      </w:r>
      <w:r w:rsidRPr="00016AD6">
        <w:rPr>
          <w:lang w:val="fr-FR"/>
        </w:rPr>
        <w:t>2023 par les dirigeants des États, pays et territoires du Forum des îles du Pacifique (ci</w:t>
      </w:r>
      <w:r>
        <w:rPr>
          <w:lang w:val="fr-FR"/>
        </w:rPr>
        <w:noBreakHyphen/>
      </w:r>
      <w:r w:rsidRPr="00016AD6">
        <w:rPr>
          <w:lang w:val="fr-FR"/>
        </w:rPr>
        <w:t>après « </w:t>
      </w:r>
      <w:r>
        <w:rPr>
          <w:lang w:val="fr-FR"/>
        </w:rPr>
        <w:t xml:space="preserve">la </w:t>
      </w:r>
      <w:r w:rsidRPr="00016AD6">
        <w:rPr>
          <w:lang w:val="fr-FR"/>
        </w:rPr>
        <w:t>Déclaration du Forum des îles du Pacifique de</w:t>
      </w:r>
      <w:r>
        <w:rPr>
          <w:lang w:val="fr-FR"/>
        </w:rPr>
        <w:t xml:space="preserve"> </w:t>
      </w:r>
      <w:r w:rsidRPr="00016AD6">
        <w:rPr>
          <w:lang w:val="fr-FR"/>
        </w:rPr>
        <w:t>2023 »)</w:t>
      </w:r>
      <w:r w:rsidRPr="00E9227E">
        <w:rPr>
          <w:rStyle w:val="Appelnotedebasdep"/>
        </w:rPr>
        <w:footnoteReference w:id="257"/>
      </w:r>
      <w:r w:rsidRPr="00016AD6">
        <w:rPr>
          <w:lang w:val="fr-FR"/>
        </w:rPr>
        <w:t xml:space="preserve">. De plus, on a </w:t>
      </w:r>
      <w:r>
        <w:rPr>
          <w:lang w:val="fr-FR"/>
        </w:rPr>
        <w:t>fait observer</w:t>
      </w:r>
      <w:r w:rsidRPr="00016AD6">
        <w:rPr>
          <w:lang w:val="fr-FR"/>
        </w:rPr>
        <w:t xml:space="preserve"> qu</w:t>
      </w:r>
      <w:r w:rsidR="004C5E26">
        <w:rPr>
          <w:lang w:val="fr-FR"/>
        </w:rPr>
        <w:t>’</w:t>
      </w:r>
      <w:r w:rsidRPr="00016AD6">
        <w:rPr>
          <w:lang w:val="fr-FR"/>
        </w:rPr>
        <w:t>outre la Commission, le Conseil de sécurité, l</w:t>
      </w:r>
      <w:r w:rsidR="004C5E26">
        <w:rPr>
          <w:lang w:val="fr-FR"/>
        </w:rPr>
        <w:t>’</w:t>
      </w:r>
      <w:r w:rsidRPr="00016AD6">
        <w:rPr>
          <w:lang w:val="fr-FR"/>
        </w:rPr>
        <w:t>Assemblée générale et divers autres organes de l</w:t>
      </w:r>
      <w:r w:rsidR="004C5E26">
        <w:rPr>
          <w:lang w:val="fr-FR"/>
        </w:rPr>
        <w:t>’</w:t>
      </w:r>
      <w:r w:rsidRPr="00016AD6">
        <w:rPr>
          <w:lang w:val="fr-FR"/>
        </w:rPr>
        <w:t>Organisation des Nations Unies s</w:t>
      </w:r>
      <w:r w:rsidR="004C5E26">
        <w:rPr>
          <w:lang w:val="fr-FR"/>
        </w:rPr>
        <w:t>’</w:t>
      </w:r>
      <w:r w:rsidRPr="00016AD6">
        <w:rPr>
          <w:lang w:val="fr-FR"/>
        </w:rPr>
        <w:t>étaient penchés sur le sujet de l</w:t>
      </w:r>
      <w:r w:rsidR="004C5E26">
        <w:rPr>
          <w:lang w:val="fr-FR"/>
        </w:rPr>
        <w:t>’</w:t>
      </w:r>
      <w:r w:rsidRPr="00016AD6">
        <w:rPr>
          <w:lang w:val="fr-FR"/>
        </w:rPr>
        <w:t>élévation du niveau de la mer, et que celui-ci était également examiné par des juridictions internationales et régionales</w:t>
      </w:r>
      <w:r>
        <w:rPr>
          <w:lang w:val="fr-FR"/>
        </w:rPr>
        <w:t xml:space="preserve"> </w:t>
      </w:r>
      <w:r w:rsidRPr="00016AD6">
        <w:rPr>
          <w:lang w:val="fr-FR"/>
        </w:rPr>
        <w:t>dans le cadre de procédures consultatives concernant les changements climatiques</w:t>
      </w:r>
      <w:r>
        <w:rPr>
          <w:lang w:val="fr-FR"/>
        </w:rPr>
        <w:t xml:space="preserve">, notamment par la Cour </w:t>
      </w:r>
      <w:r w:rsidRPr="002A5DD4">
        <w:t>interaméricaine des droits de l</w:t>
      </w:r>
      <w:r w:rsidR="004C5E26">
        <w:t>’</w:t>
      </w:r>
      <w:r w:rsidRPr="002A5DD4">
        <w:t>homme</w:t>
      </w:r>
      <w:r w:rsidRPr="00016AD6">
        <w:rPr>
          <w:lang w:val="fr-FR"/>
        </w:rPr>
        <w:t xml:space="preserve">, le Tribunal international du droit de la mer </w:t>
      </w:r>
      <w:r>
        <w:rPr>
          <w:lang w:val="fr-FR"/>
        </w:rPr>
        <w:t xml:space="preserve">et </w:t>
      </w:r>
      <w:r w:rsidRPr="00016AD6">
        <w:rPr>
          <w:lang w:val="fr-FR"/>
        </w:rPr>
        <w:t>la Cour internationale de Justice.</w:t>
      </w:r>
    </w:p>
    <w:p w14:paraId="777CDD31" w14:textId="5B27FCD7" w:rsidR="00737BD1" w:rsidRPr="00016AD6" w:rsidRDefault="00737BD1" w:rsidP="00737BD1">
      <w:pPr>
        <w:pStyle w:val="SingleTxtG"/>
        <w:rPr>
          <w:lang w:val="fr-FR"/>
        </w:rPr>
      </w:pPr>
      <w:r>
        <w:rPr>
          <w:lang w:val="fr-FR"/>
        </w:rPr>
        <w:t>241.</w:t>
      </w:r>
      <w:r>
        <w:rPr>
          <w:lang w:val="fr-FR"/>
        </w:rPr>
        <w:tab/>
      </w:r>
      <w:r w:rsidRPr="00016AD6">
        <w:rPr>
          <w:lang w:val="fr-FR"/>
        </w:rPr>
        <w:t>La Coprésidente (M</w:t>
      </w:r>
      <w:r w:rsidRPr="00016AD6">
        <w:rPr>
          <w:vertAlign w:val="superscript"/>
          <w:lang w:val="fr-FR"/>
        </w:rPr>
        <w:t>me</w:t>
      </w:r>
      <w:r w:rsidRPr="00016AD6">
        <w:rPr>
          <w:lang w:val="fr-FR"/>
        </w:rPr>
        <w:t> Oral) a de nouveau souligné l</w:t>
      </w:r>
      <w:r w:rsidR="004C5E26">
        <w:rPr>
          <w:lang w:val="fr-FR"/>
        </w:rPr>
        <w:t>’</w:t>
      </w:r>
      <w:r w:rsidRPr="00016AD6">
        <w:rPr>
          <w:lang w:val="fr-FR"/>
        </w:rPr>
        <w:t>importance du sujet et sa pertinence immédiate pour les États Membres dans le monde entier. Elle a présenté au Groupe d</w:t>
      </w:r>
      <w:r w:rsidR="004C5E26">
        <w:rPr>
          <w:lang w:val="fr-FR"/>
        </w:rPr>
        <w:t>’</w:t>
      </w:r>
      <w:r w:rsidRPr="00016AD6">
        <w:rPr>
          <w:lang w:val="fr-FR"/>
        </w:rPr>
        <w:t>étude un aperçu des événements portant sur la question de l</w:t>
      </w:r>
      <w:r w:rsidR="004C5E26">
        <w:rPr>
          <w:lang w:val="fr-FR"/>
        </w:rPr>
        <w:t>’</w:t>
      </w:r>
      <w:r w:rsidRPr="00016AD6">
        <w:rPr>
          <w:lang w:val="fr-FR"/>
        </w:rPr>
        <w:t>élévation du niveau de la mer survenus en</w:t>
      </w:r>
      <w:r>
        <w:rPr>
          <w:lang w:val="fr-FR"/>
        </w:rPr>
        <w:t xml:space="preserve"> </w:t>
      </w:r>
      <w:r w:rsidRPr="00016AD6">
        <w:rPr>
          <w:lang w:val="fr-FR"/>
        </w:rPr>
        <w:t>2023. Elle a rappelé en particulier que le Conseil de sécurité avait tenu, le 14 février</w:t>
      </w:r>
      <w:r>
        <w:rPr>
          <w:lang w:val="fr-FR"/>
        </w:rPr>
        <w:t xml:space="preserve"> </w:t>
      </w:r>
      <w:r w:rsidRPr="00016AD6">
        <w:rPr>
          <w:lang w:val="fr-FR"/>
        </w:rPr>
        <w:t>2023, un débat sur le thème « L</w:t>
      </w:r>
      <w:r w:rsidR="004C5E26">
        <w:rPr>
          <w:lang w:val="fr-FR"/>
        </w:rPr>
        <w:t>’</w:t>
      </w:r>
      <w:r w:rsidRPr="00016AD6">
        <w:rPr>
          <w:lang w:val="fr-FR"/>
        </w:rPr>
        <w:t xml:space="preserve">élévation du niveau de la mer et ses conséquences sur la paix et la sécurité internationales » au titre de la question « Menaces </w:t>
      </w:r>
      <w:r w:rsidRPr="00016AD6">
        <w:rPr>
          <w:lang w:val="fr-FR"/>
        </w:rPr>
        <w:lastRenderedPageBreak/>
        <w:t>contre la paix et la sécurité internationales », lors duquel M. </w:t>
      </w:r>
      <w:proofErr w:type="spellStart"/>
      <w:r w:rsidRPr="00016AD6">
        <w:rPr>
          <w:lang w:val="fr-FR"/>
        </w:rPr>
        <w:t>Aurescu</w:t>
      </w:r>
      <w:proofErr w:type="spellEnd"/>
      <w:r w:rsidRPr="00016AD6">
        <w:rPr>
          <w:lang w:val="fr-FR"/>
        </w:rPr>
        <w:t xml:space="preserve">, </w:t>
      </w:r>
      <w:r>
        <w:rPr>
          <w:lang w:val="fr-FR"/>
        </w:rPr>
        <w:t>alors</w:t>
      </w:r>
      <w:r w:rsidRPr="00016AD6">
        <w:rPr>
          <w:lang w:val="fr-FR"/>
        </w:rPr>
        <w:t xml:space="preserve"> Coprésident</w:t>
      </w:r>
      <w:r>
        <w:rPr>
          <w:lang w:val="fr-FR"/>
        </w:rPr>
        <w:t xml:space="preserve"> du Groupe d</w:t>
      </w:r>
      <w:r w:rsidR="004C5E26">
        <w:rPr>
          <w:lang w:val="fr-FR"/>
        </w:rPr>
        <w:t>’</w:t>
      </w:r>
      <w:r>
        <w:rPr>
          <w:lang w:val="fr-FR"/>
        </w:rPr>
        <w:t>étude</w:t>
      </w:r>
      <w:r w:rsidRPr="00016AD6">
        <w:rPr>
          <w:lang w:val="fr-FR"/>
        </w:rPr>
        <w:t>, a</w:t>
      </w:r>
      <w:r>
        <w:rPr>
          <w:lang w:val="fr-FR"/>
        </w:rPr>
        <w:t>vait</w:t>
      </w:r>
      <w:r w:rsidRPr="00016AD6">
        <w:rPr>
          <w:lang w:val="fr-FR"/>
        </w:rPr>
        <w:t xml:space="preserve"> fait un exposé sur l</w:t>
      </w:r>
      <w:r w:rsidR="004C5E26">
        <w:rPr>
          <w:lang w:val="fr-FR"/>
        </w:rPr>
        <w:t>’</w:t>
      </w:r>
      <w:r w:rsidRPr="00016AD6">
        <w:rPr>
          <w:lang w:val="fr-FR"/>
        </w:rPr>
        <w:t>avancement des travaux de la Commission. Elle a aussi indiqué que le Président de l</w:t>
      </w:r>
      <w:r w:rsidR="004C5E26">
        <w:rPr>
          <w:lang w:val="fr-FR"/>
        </w:rPr>
        <w:t>’</w:t>
      </w:r>
      <w:r w:rsidRPr="00016AD6">
        <w:rPr>
          <w:lang w:val="fr-FR"/>
        </w:rPr>
        <w:t>Assemblée générale avait convoqué une réunion plénière informelle de l</w:t>
      </w:r>
      <w:r w:rsidR="004C5E26">
        <w:rPr>
          <w:lang w:val="fr-FR"/>
        </w:rPr>
        <w:t>’</w:t>
      </w:r>
      <w:r w:rsidRPr="00016AD6">
        <w:rPr>
          <w:lang w:val="fr-FR"/>
        </w:rPr>
        <w:t>Assemblée générale consacrée aux menaces existentielles liées à l</w:t>
      </w:r>
      <w:r w:rsidR="004C5E26">
        <w:rPr>
          <w:lang w:val="fr-FR"/>
        </w:rPr>
        <w:t>’</w:t>
      </w:r>
      <w:r w:rsidRPr="00016AD6">
        <w:rPr>
          <w:lang w:val="fr-FR"/>
        </w:rPr>
        <w:t xml:space="preserve">élévation du niveau de la mer dans le </w:t>
      </w:r>
      <w:r>
        <w:rPr>
          <w:lang w:val="fr-FR"/>
        </w:rPr>
        <w:t xml:space="preserve">contexte de la crise </w:t>
      </w:r>
      <w:r w:rsidRPr="00016AD6">
        <w:rPr>
          <w:lang w:val="fr-FR"/>
        </w:rPr>
        <w:t>climatique le 3 novembre</w:t>
      </w:r>
      <w:r>
        <w:rPr>
          <w:lang w:val="fr-FR"/>
        </w:rPr>
        <w:t xml:space="preserve"> </w:t>
      </w:r>
      <w:r w:rsidRPr="00016AD6">
        <w:rPr>
          <w:lang w:val="fr-FR"/>
        </w:rPr>
        <w:t>2023. Enfin, elle a rappelé que l</w:t>
      </w:r>
      <w:r w:rsidR="004C5E26">
        <w:rPr>
          <w:lang w:val="fr-FR"/>
        </w:rPr>
        <w:t>’</w:t>
      </w:r>
      <w:r w:rsidRPr="00016AD6">
        <w:rPr>
          <w:lang w:val="fr-FR"/>
        </w:rPr>
        <w:t>Assemblée générale avait décidé d</w:t>
      </w:r>
      <w:r w:rsidR="004C5E26">
        <w:rPr>
          <w:lang w:val="fr-FR"/>
        </w:rPr>
        <w:t>’</w:t>
      </w:r>
      <w:r w:rsidRPr="00016AD6">
        <w:rPr>
          <w:lang w:val="fr-FR"/>
        </w:rPr>
        <w:t>organiser le 25 septembre</w:t>
      </w:r>
      <w:r>
        <w:rPr>
          <w:lang w:val="fr-FR"/>
        </w:rPr>
        <w:t xml:space="preserve"> </w:t>
      </w:r>
      <w:r w:rsidRPr="00016AD6">
        <w:rPr>
          <w:lang w:val="fr-FR"/>
        </w:rPr>
        <w:t>2024</w:t>
      </w:r>
      <w:r>
        <w:rPr>
          <w:lang w:val="fr-FR"/>
        </w:rPr>
        <w:t xml:space="preserve"> </w:t>
      </w:r>
      <w:r w:rsidRPr="00016AD6">
        <w:rPr>
          <w:lang w:val="fr-FR"/>
        </w:rPr>
        <w:t>une réunion plénière de haut niveau sur les menaces existentielles liées à l</w:t>
      </w:r>
      <w:r w:rsidR="004C5E26">
        <w:rPr>
          <w:lang w:val="fr-FR"/>
        </w:rPr>
        <w:t>’</w:t>
      </w:r>
      <w:r w:rsidRPr="00016AD6">
        <w:rPr>
          <w:lang w:val="fr-FR"/>
        </w:rPr>
        <w:t xml:space="preserve">élévation du niveau de la mer. </w:t>
      </w:r>
    </w:p>
    <w:p w14:paraId="0C3E8954" w14:textId="1DAE82BB" w:rsidR="00737BD1" w:rsidRPr="00016AD6" w:rsidRDefault="00737BD1" w:rsidP="00737BD1">
      <w:pPr>
        <w:pStyle w:val="SingleTxtG"/>
        <w:rPr>
          <w:lang w:val="fr-FR"/>
        </w:rPr>
      </w:pPr>
      <w:r>
        <w:rPr>
          <w:lang w:val="fr-FR"/>
        </w:rPr>
        <w:t>342.</w:t>
      </w:r>
      <w:r>
        <w:rPr>
          <w:lang w:val="fr-FR"/>
        </w:rPr>
        <w:tab/>
      </w:r>
      <w:r w:rsidRPr="00016AD6">
        <w:rPr>
          <w:lang w:val="fr-FR"/>
        </w:rPr>
        <w:t>Les Coprésidents (M</w:t>
      </w:r>
      <w:r w:rsidRPr="00016AD6">
        <w:rPr>
          <w:vertAlign w:val="superscript"/>
          <w:lang w:val="fr-FR"/>
        </w:rPr>
        <w:t>me</w:t>
      </w:r>
      <w:r w:rsidRPr="00016AD6">
        <w:rPr>
          <w:lang w:val="fr-FR"/>
        </w:rPr>
        <w:t> </w:t>
      </w:r>
      <w:proofErr w:type="spellStart"/>
      <w:r w:rsidRPr="00016AD6">
        <w:rPr>
          <w:lang w:val="fr-FR"/>
        </w:rPr>
        <w:t>Galvão</w:t>
      </w:r>
      <w:proofErr w:type="spellEnd"/>
      <w:r w:rsidRPr="00016AD6">
        <w:rPr>
          <w:lang w:val="fr-FR"/>
        </w:rPr>
        <w:t xml:space="preserve"> </w:t>
      </w:r>
      <w:proofErr w:type="spellStart"/>
      <w:r w:rsidRPr="00016AD6">
        <w:rPr>
          <w:lang w:val="fr-FR"/>
        </w:rPr>
        <w:t>Teles</w:t>
      </w:r>
      <w:proofErr w:type="spellEnd"/>
      <w:r w:rsidRPr="00016AD6">
        <w:rPr>
          <w:lang w:val="fr-FR"/>
        </w:rPr>
        <w:t xml:space="preserve"> et M. </w:t>
      </w:r>
      <w:proofErr w:type="spellStart"/>
      <w:r w:rsidRPr="00016AD6">
        <w:rPr>
          <w:lang w:val="fr-FR"/>
        </w:rPr>
        <w:t>Ruda</w:t>
      </w:r>
      <w:proofErr w:type="spellEnd"/>
      <w:r w:rsidRPr="00016AD6">
        <w:rPr>
          <w:lang w:val="fr-FR"/>
        </w:rPr>
        <w:t xml:space="preserve"> </w:t>
      </w:r>
      <w:proofErr w:type="spellStart"/>
      <w:r w:rsidRPr="00016AD6">
        <w:rPr>
          <w:lang w:val="fr-FR"/>
        </w:rPr>
        <w:t>Santolaria</w:t>
      </w:r>
      <w:proofErr w:type="spellEnd"/>
      <w:r w:rsidRPr="00016AD6">
        <w:rPr>
          <w:lang w:val="fr-FR"/>
        </w:rPr>
        <w:t>) ont indiqué que l</w:t>
      </w:r>
      <w:r w:rsidR="004C5E26">
        <w:rPr>
          <w:lang w:val="fr-FR"/>
        </w:rPr>
        <w:t>’</w:t>
      </w:r>
      <w:r w:rsidRPr="00016AD6">
        <w:rPr>
          <w:lang w:val="fr-FR"/>
        </w:rPr>
        <w:t>objet de la note complémentaire était de compléter et de développer la seconde note thématique (2022) sur la base d</w:t>
      </w:r>
      <w:r w:rsidR="004C5E26">
        <w:rPr>
          <w:lang w:val="fr-FR"/>
        </w:rPr>
        <w:t>’</w:t>
      </w:r>
      <w:r w:rsidRPr="00016AD6">
        <w:rPr>
          <w:lang w:val="fr-FR"/>
        </w:rPr>
        <w:t>un certain nombre de propositions faites par les Coprésidents et</w:t>
      </w:r>
      <w:r>
        <w:rPr>
          <w:lang w:val="fr-FR"/>
        </w:rPr>
        <w:t xml:space="preserve"> les</w:t>
      </w:r>
      <w:r w:rsidRPr="00016AD6">
        <w:rPr>
          <w:lang w:val="fr-FR"/>
        </w:rPr>
        <w:t xml:space="preserve"> membres du Groupe d</w:t>
      </w:r>
      <w:r w:rsidR="004C5E26">
        <w:rPr>
          <w:lang w:val="fr-FR"/>
        </w:rPr>
        <w:t>’</w:t>
      </w:r>
      <w:r w:rsidRPr="00016AD6">
        <w:rPr>
          <w:lang w:val="fr-FR"/>
        </w:rPr>
        <w:t>étude durant le débat qui avait eu lieu sur cette note à la soixante</w:t>
      </w:r>
      <w:r>
        <w:rPr>
          <w:lang w:val="fr-FR"/>
        </w:rPr>
        <w:noBreakHyphen/>
      </w:r>
      <w:r w:rsidRPr="00016AD6">
        <w:rPr>
          <w:lang w:val="fr-FR"/>
        </w:rPr>
        <w:t>treizième session de la Commission. Les positions des États Membres sur les deux sous</w:t>
      </w:r>
      <w:r>
        <w:rPr>
          <w:lang w:val="fr-FR"/>
        </w:rPr>
        <w:noBreakHyphen/>
      </w:r>
      <w:r w:rsidRPr="00016AD6">
        <w:rPr>
          <w:lang w:val="fr-FR"/>
        </w:rPr>
        <w:t>sujets, notamment celles exprimées durant les débats de la Sixième Commission de l</w:t>
      </w:r>
      <w:r w:rsidR="004C5E26">
        <w:rPr>
          <w:lang w:val="fr-FR"/>
        </w:rPr>
        <w:t>’</w:t>
      </w:r>
      <w:r w:rsidRPr="00016AD6">
        <w:rPr>
          <w:lang w:val="fr-FR"/>
        </w:rPr>
        <w:t xml:space="preserve">Assemblée générale </w:t>
      </w:r>
      <w:r>
        <w:rPr>
          <w:lang w:val="fr-FR"/>
        </w:rPr>
        <w:t>ou</w:t>
      </w:r>
      <w:r w:rsidRPr="00016AD6">
        <w:rPr>
          <w:lang w:val="fr-FR"/>
        </w:rPr>
        <w:t xml:space="preserve"> communiquées à la Commission pour examen, ont été dûment prises en considération et reflétées dans la note complémentaire. </w:t>
      </w:r>
    </w:p>
    <w:p w14:paraId="56271DFA" w14:textId="089FBECC" w:rsidR="00737BD1" w:rsidRPr="00016AD6" w:rsidRDefault="00737BD1" w:rsidP="00737BD1">
      <w:pPr>
        <w:pStyle w:val="SingleTxtG"/>
        <w:rPr>
          <w:rFonts w:asciiTheme="majorBidi" w:hAnsiTheme="majorBidi"/>
          <w:lang w:val="fr-FR"/>
        </w:rPr>
      </w:pPr>
      <w:r>
        <w:rPr>
          <w:rFonts w:asciiTheme="majorBidi" w:hAnsiTheme="majorBidi"/>
          <w:lang w:val="fr-FR"/>
        </w:rPr>
        <w:t>343.</w:t>
      </w:r>
      <w:r>
        <w:rPr>
          <w:rFonts w:asciiTheme="majorBidi" w:hAnsiTheme="majorBidi"/>
          <w:lang w:val="fr-FR"/>
        </w:rPr>
        <w:tab/>
      </w:r>
      <w:r w:rsidRPr="00016AD6">
        <w:rPr>
          <w:rFonts w:asciiTheme="majorBidi" w:hAnsiTheme="majorBidi"/>
          <w:lang w:val="fr-FR"/>
        </w:rPr>
        <w:t>Présentant le sous-sujet de la condition étatique, le Coprésident (M. </w:t>
      </w:r>
      <w:proofErr w:type="spellStart"/>
      <w:r w:rsidRPr="00016AD6">
        <w:rPr>
          <w:rFonts w:asciiTheme="majorBidi" w:hAnsiTheme="majorBidi"/>
          <w:lang w:val="fr-FR"/>
        </w:rPr>
        <w:t>Ruda</w:t>
      </w:r>
      <w:proofErr w:type="spellEnd"/>
      <w:r w:rsidRPr="00016AD6">
        <w:rPr>
          <w:rFonts w:asciiTheme="majorBidi" w:hAnsiTheme="majorBidi"/>
          <w:lang w:val="fr-FR"/>
        </w:rPr>
        <w:t xml:space="preserve"> </w:t>
      </w:r>
      <w:proofErr w:type="spellStart"/>
      <w:r w:rsidRPr="00016AD6">
        <w:rPr>
          <w:rFonts w:asciiTheme="majorBidi" w:hAnsiTheme="majorBidi"/>
          <w:lang w:val="fr-FR"/>
        </w:rPr>
        <w:t>Santolaria</w:t>
      </w:r>
      <w:proofErr w:type="spellEnd"/>
      <w:r w:rsidRPr="00016AD6">
        <w:rPr>
          <w:rFonts w:asciiTheme="majorBidi" w:hAnsiTheme="majorBidi"/>
          <w:lang w:val="fr-FR"/>
        </w:rPr>
        <w:t>) a rappelé que si l</w:t>
      </w:r>
      <w:r w:rsidR="004C5E26">
        <w:rPr>
          <w:rFonts w:asciiTheme="majorBidi" w:hAnsiTheme="majorBidi"/>
          <w:lang w:val="fr-FR"/>
        </w:rPr>
        <w:t>’</w:t>
      </w:r>
      <w:r w:rsidRPr="00016AD6">
        <w:rPr>
          <w:rFonts w:asciiTheme="majorBidi" w:hAnsiTheme="majorBidi"/>
          <w:lang w:val="fr-FR"/>
        </w:rPr>
        <w:t xml:space="preserve">élévation du niveau de la mer était un phénomène </w:t>
      </w:r>
      <w:r>
        <w:rPr>
          <w:rFonts w:asciiTheme="majorBidi" w:hAnsiTheme="majorBidi"/>
          <w:lang w:val="fr-FR"/>
        </w:rPr>
        <w:t>dont les</w:t>
      </w:r>
      <w:r w:rsidRPr="00016AD6">
        <w:rPr>
          <w:rFonts w:asciiTheme="majorBidi" w:hAnsiTheme="majorBidi"/>
          <w:lang w:val="fr-FR"/>
        </w:rPr>
        <w:t xml:space="preserve"> conséquences </w:t>
      </w:r>
      <w:r>
        <w:rPr>
          <w:rFonts w:asciiTheme="majorBidi" w:hAnsiTheme="majorBidi"/>
          <w:lang w:val="fr-FR"/>
        </w:rPr>
        <w:t>variaient de par le</w:t>
      </w:r>
      <w:r w:rsidRPr="00016AD6">
        <w:rPr>
          <w:rFonts w:asciiTheme="majorBidi" w:hAnsiTheme="majorBidi"/>
          <w:lang w:val="fr-FR"/>
        </w:rPr>
        <w:t xml:space="preserve"> mond</w:t>
      </w:r>
      <w:r>
        <w:rPr>
          <w:rFonts w:asciiTheme="majorBidi" w:hAnsiTheme="majorBidi"/>
          <w:lang w:val="fr-FR"/>
        </w:rPr>
        <w:t>e</w:t>
      </w:r>
      <w:r w:rsidRPr="00016AD6">
        <w:rPr>
          <w:rFonts w:asciiTheme="majorBidi" w:hAnsiTheme="majorBidi"/>
          <w:lang w:val="fr-FR"/>
        </w:rPr>
        <w:t xml:space="preserve">, </w:t>
      </w:r>
      <w:r>
        <w:rPr>
          <w:rFonts w:asciiTheme="majorBidi" w:hAnsiTheme="majorBidi"/>
          <w:lang w:val="fr-FR"/>
        </w:rPr>
        <w:t>les problèmes qu</w:t>
      </w:r>
      <w:r w:rsidR="004C5E26">
        <w:rPr>
          <w:rFonts w:asciiTheme="majorBidi" w:hAnsiTheme="majorBidi"/>
          <w:lang w:val="fr-FR"/>
        </w:rPr>
        <w:t>’</w:t>
      </w:r>
      <w:r>
        <w:rPr>
          <w:rFonts w:asciiTheme="majorBidi" w:hAnsiTheme="majorBidi"/>
          <w:lang w:val="fr-FR"/>
        </w:rPr>
        <w:t xml:space="preserve">elle engendrait </w:t>
      </w:r>
      <w:r w:rsidRPr="00016AD6">
        <w:rPr>
          <w:rFonts w:asciiTheme="majorBidi" w:hAnsiTheme="majorBidi"/>
          <w:lang w:val="fr-FR"/>
        </w:rPr>
        <w:t>constituai</w:t>
      </w:r>
      <w:r>
        <w:rPr>
          <w:rFonts w:asciiTheme="majorBidi" w:hAnsiTheme="majorBidi"/>
          <w:lang w:val="fr-FR"/>
        </w:rPr>
        <w:t>en</w:t>
      </w:r>
      <w:r w:rsidRPr="00016AD6">
        <w:rPr>
          <w:rFonts w:asciiTheme="majorBidi" w:hAnsiTheme="majorBidi"/>
          <w:lang w:val="fr-FR"/>
        </w:rPr>
        <w:t xml:space="preserve">t une menace existentielle pour les États côtiers, </w:t>
      </w:r>
      <w:r>
        <w:rPr>
          <w:rFonts w:asciiTheme="majorBidi" w:hAnsiTheme="majorBidi"/>
          <w:lang w:val="fr-FR"/>
        </w:rPr>
        <w:t xml:space="preserve">les États archipélagiques, </w:t>
      </w:r>
      <w:r w:rsidRPr="00016AD6">
        <w:rPr>
          <w:rFonts w:asciiTheme="majorBidi" w:hAnsiTheme="majorBidi"/>
          <w:lang w:val="fr-FR"/>
        </w:rPr>
        <w:t xml:space="preserve">les petits États insulaires et les petits États insulaires en développement de faible altitude, dont </w:t>
      </w:r>
      <w:r>
        <w:rPr>
          <w:rFonts w:asciiTheme="majorBidi" w:hAnsiTheme="majorBidi"/>
          <w:lang w:val="fr-FR"/>
        </w:rPr>
        <w:t>la</w:t>
      </w:r>
      <w:r w:rsidRPr="00016AD6">
        <w:rPr>
          <w:rFonts w:asciiTheme="majorBidi" w:hAnsiTheme="majorBidi"/>
          <w:lang w:val="fr-FR"/>
        </w:rPr>
        <w:t xml:space="preserve"> </w:t>
      </w:r>
      <w:r>
        <w:rPr>
          <w:rFonts w:asciiTheme="majorBidi" w:hAnsiTheme="majorBidi"/>
          <w:lang w:val="fr-FR"/>
        </w:rPr>
        <w:t>surface</w:t>
      </w:r>
      <w:r w:rsidRPr="00016AD6">
        <w:rPr>
          <w:rFonts w:asciiTheme="majorBidi" w:hAnsiTheme="majorBidi"/>
          <w:lang w:val="fr-FR"/>
        </w:rPr>
        <w:t xml:space="preserve"> terrestre risquait d</w:t>
      </w:r>
      <w:r w:rsidR="004C5E26">
        <w:rPr>
          <w:rFonts w:asciiTheme="majorBidi" w:hAnsiTheme="majorBidi"/>
          <w:lang w:val="fr-FR"/>
        </w:rPr>
        <w:t>’</w:t>
      </w:r>
      <w:r w:rsidRPr="00016AD6">
        <w:rPr>
          <w:rFonts w:asciiTheme="majorBidi" w:hAnsiTheme="majorBidi"/>
          <w:lang w:val="fr-FR"/>
        </w:rPr>
        <w:t xml:space="preserve">être totalement ou partiellement submergée </w:t>
      </w:r>
      <w:r>
        <w:rPr>
          <w:rFonts w:asciiTheme="majorBidi" w:hAnsiTheme="majorBidi"/>
          <w:lang w:val="fr-FR"/>
        </w:rPr>
        <w:t>ou</w:t>
      </w:r>
      <w:r w:rsidRPr="00016AD6">
        <w:rPr>
          <w:rFonts w:asciiTheme="majorBidi" w:hAnsiTheme="majorBidi"/>
          <w:lang w:val="fr-FR"/>
        </w:rPr>
        <w:t xml:space="preserve"> rendu</w:t>
      </w:r>
      <w:r>
        <w:rPr>
          <w:rFonts w:asciiTheme="majorBidi" w:hAnsiTheme="majorBidi"/>
          <w:lang w:val="fr-FR"/>
        </w:rPr>
        <w:t>e</w:t>
      </w:r>
      <w:r w:rsidRPr="00016AD6">
        <w:rPr>
          <w:rFonts w:asciiTheme="majorBidi" w:hAnsiTheme="majorBidi"/>
          <w:lang w:val="fr-FR"/>
        </w:rPr>
        <w:t xml:space="preserve"> inhabitable. La note complémentaire analysait les points suivants : éléments constitutifs de l</w:t>
      </w:r>
      <w:r w:rsidR="004C5E26">
        <w:rPr>
          <w:rFonts w:asciiTheme="majorBidi" w:hAnsiTheme="majorBidi"/>
          <w:lang w:val="fr-FR"/>
        </w:rPr>
        <w:t>’</w:t>
      </w:r>
      <w:r w:rsidRPr="00016AD6">
        <w:rPr>
          <w:rFonts w:asciiTheme="majorBidi" w:hAnsiTheme="majorBidi"/>
          <w:lang w:val="fr-FR"/>
        </w:rPr>
        <w:t>État en tant que sujet de droit international et continuité de l</w:t>
      </w:r>
      <w:r w:rsidR="004C5E26">
        <w:rPr>
          <w:rFonts w:asciiTheme="majorBidi" w:hAnsiTheme="majorBidi"/>
          <w:lang w:val="fr-FR"/>
        </w:rPr>
        <w:t>’</w:t>
      </w:r>
      <w:r w:rsidRPr="00016AD6">
        <w:rPr>
          <w:rFonts w:asciiTheme="majorBidi" w:hAnsiTheme="majorBidi"/>
          <w:lang w:val="fr-FR"/>
        </w:rPr>
        <w:t>existence de l</w:t>
      </w:r>
      <w:r w:rsidR="004C5E26">
        <w:rPr>
          <w:rFonts w:asciiTheme="majorBidi" w:hAnsiTheme="majorBidi"/>
          <w:lang w:val="fr-FR"/>
        </w:rPr>
        <w:t>’</w:t>
      </w:r>
      <w:r w:rsidRPr="00016AD6">
        <w:rPr>
          <w:rFonts w:asciiTheme="majorBidi" w:hAnsiTheme="majorBidi"/>
          <w:lang w:val="fr-FR"/>
        </w:rPr>
        <w:t>État ; cas de figure possibles en matière de condition étatique dans le contexte de l</w:t>
      </w:r>
      <w:r w:rsidR="004C5E26">
        <w:rPr>
          <w:rFonts w:asciiTheme="majorBidi" w:hAnsiTheme="majorBidi"/>
          <w:lang w:val="fr-FR"/>
        </w:rPr>
        <w:t>’</w:t>
      </w:r>
      <w:r w:rsidRPr="00016AD6">
        <w:rPr>
          <w:rFonts w:asciiTheme="majorBidi" w:hAnsiTheme="majorBidi"/>
          <w:lang w:val="fr-FR"/>
        </w:rPr>
        <w:t>élévation du niveau de la mer et droit de l</w:t>
      </w:r>
      <w:r w:rsidR="004C5E26">
        <w:rPr>
          <w:rFonts w:asciiTheme="majorBidi" w:hAnsiTheme="majorBidi"/>
          <w:lang w:val="fr-FR"/>
        </w:rPr>
        <w:t>’</w:t>
      </w:r>
      <w:r w:rsidRPr="00016AD6">
        <w:rPr>
          <w:rFonts w:asciiTheme="majorBidi" w:hAnsiTheme="majorBidi"/>
          <w:lang w:val="fr-FR"/>
        </w:rPr>
        <w:t xml:space="preserve">État </w:t>
      </w:r>
      <w:r>
        <w:rPr>
          <w:rFonts w:asciiTheme="majorBidi" w:hAnsiTheme="majorBidi"/>
          <w:lang w:val="fr-FR"/>
        </w:rPr>
        <w:t>de</w:t>
      </w:r>
      <w:r w:rsidRPr="00016AD6">
        <w:rPr>
          <w:rFonts w:asciiTheme="majorBidi" w:hAnsiTheme="majorBidi"/>
          <w:lang w:val="fr-FR"/>
        </w:rPr>
        <w:t xml:space="preserve"> pourvoir à sa </w:t>
      </w:r>
      <w:r>
        <w:rPr>
          <w:rFonts w:asciiTheme="majorBidi" w:hAnsiTheme="majorBidi"/>
          <w:lang w:val="fr-FR"/>
        </w:rPr>
        <w:t>conservation</w:t>
      </w:r>
      <w:r w:rsidRPr="00016AD6">
        <w:rPr>
          <w:rFonts w:asciiTheme="majorBidi" w:hAnsiTheme="majorBidi"/>
          <w:lang w:val="fr-FR"/>
        </w:rPr>
        <w:t xml:space="preserve"> ; et options envisageables pour le traitement du phénomène au regard de la condition étatique. </w:t>
      </w:r>
    </w:p>
    <w:p w14:paraId="35B5DE15" w14:textId="244D882D" w:rsidR="00737BD1" w:rsidRPr="00016AD6" w:rsidRDefault="00737BD1" w:rsidP="00737BD1">
      <w:pPr>
        <w:pStyle w:val="SingleTxtG"/>
        <w:rPr>
          <w:lang w:val="fr-FR"/>
        </w:rPr>
      </w:pPr>
      <w:r>
        <w:rPr>
          <w:lang w:val="fr-FR"/>
        </w:rPr>
        <w:t>344.</w:t>
      </w:r>
      <w:r>
        <w:rPr>
          <w:lang w:val="fr-FR"/>
        </w:rPr>
        <w:tab/>
      </w:r>
      <w:r w:rsidRPr="00016AD6">
        <w:rPr>
          <w:lang w:val="fr-FR"/>
        </w:rPr>
        <w:t>En ce qui concerne le sous-sujet de la protection des personnes touchées par l</w:t>
      </w:r>
      <w:r w:rsidR="004C5E26">
        <w:rPr>
          <w:lang w:val="fr-FR"/>
        </w:rPr>
        <w:t>’</w:t>
      </w:r>
      <w:r w:rsidRPr="00016AD6">
        <w:rPr>
          <w:lang w:val="fr-FR"/>
        </w:rPr>
        <w:t>élévation du niveau de la mer, la Coprésidente (M</w:t>
      </w:r>
      <w:r w:rsidRPr="00016AD6">
        <w:rPr>
          <w:vertAlign w:val="superscript"/>
          <w:lang w:val="fr-FR"/>
        </w:rPr>
        <w:t>me</w:t>
      </w:r>
      <w:r w:rsidRPr="00016AD6">
        <w:rPr>
          <w:lang w:val="fr-FR"/>
        </w:rPr>
        <w:t> </w:t>
      </w:r>
      <w:proofErr w:type="spellStart"/>
      <w:r w:rsidRPr="00016AD6">
        <w:rPr>
          <w:lang w:val="fr-FR"/>
        </w:rPr>
        <w:t>Galvão</w:t>
      </w:r>
      <w:proofErr w:type="spellEnd"/>
      <w:r w:rsidRPr="00016AD6">
        <w:rPr>
          <w:lang w:val="fr-FR"/>
        </w:rPr>
        <w:t xml:space="preserve"> </w:t>
      </w:r>
      <w:proofErr w:type="spellStart"/>
      <w:r w:rsidRPr="00016AD6">
        <w:rPr>
          <w:lang w:val="fr-FR"/>
        </w:rPr>
        <w:t>Teles</w:t>
      </w:r>
      <w:proofErr w:type="spellEnd"/>
      <w:r w:rsidRPr="00016AD6">
        <w:rPr>
          <w:lang w:val="fr-FR"/>
        </w:rPr>
        <w:t>) a d</w:t>
      </w:r>
      <w:r w:rsidR="004C5E26">
        <w:rPr>
          <w:lang w:val="fr-FR"/>
        </w:rPr>
        <w:t>’</w:t>
      </w:r>
      <w:r w:rsidRPr="00016AD6">
        <w:rPr>
          <w:lang w:val="fr-FR"/>
        </w:rPr>
        <w:t>abord rappelé certaines des observations préliminaires figurant dans la seconde note thématique sur le sujet, notant en particulier que les cadres juridiques internationaux actuels potentiellement applicables à la protection des personnes touchées par l</w:t>
      </w:r>
      <w:r w:rsidR="004C5E26">
        <w:rPr>
          <w:lang w:val="fr-FR"/>
        </w:rPr>
        <w:t>’</w:t>
      </w:r>
      <w:r w:rsidRPr="00016AD6">
        <w:rPr>
          <w:lang w:val="fr-FR"/>
        </w:rPr>
        <w:t xml:space="preserve">élévation du niveau de la mer étaient fragmentés, </w:t>
      </w:r>
      <w:r>
        <w:rPr>
          <w:lang w:val="fr-FR"/>
        </w:rPr>
        <w:t xml:space="preserve">et que </w:t>
      </w:r>
      <w:r w:rsidRPr="00016AD6">
        <w:rPr>
          <w:lang w:val="fr-FR"/>
        </w:rPr>
        <w:t>la plupart n</w:t>
      </w:r>
      <w:r w:rsidR="004C5E26">
        <w:rPr>
          <w:lang w:val="fr-FR"/>
        </w:rPr>
        <w:t>’</w:t>
      </w:r>
      <w:r w:rsidRPr="00016AD6">
        <w:rPr>
          <w:lang w:val="fr-FR"/>
        </w:rPr>
        <w:t>éta</w:t>
      </w:r>
      <w:r>
        <w:rPr>
          <w:lang w:val="fr-FR"/>
        </w:rPr>
        <w:t>ie</w:t>
      </w:r>
      <w:r w:rsidRPr="00016AD6">
        <w:rPr>
          <w:lang w:val="fr-FR"/>
        </w:rPr>
        <w:t>nt pas propres à l</w:t>
      </w:r>
      <w:r w:rsidR="004C5E26">
        <w:rPr>
          <w:lang w:val="fr-FR"/>
        </w:rPr>
        <w:t>’</w:t>
      </w:r>
      <w:r w:rsidRPr="00016AD6">
        <w:rPr>
          <w:lang w:val="fr-FR"/>
        </w:rPr>
        <w:t>élévation du niveau de la mer et deva</w:t>
      </w:r>
      <w:r>
        <w:rPr>
          <w:lang w:val="fr-FR"/>
        </w:rPr>
        <w:t>ie</w:t>
      </w:r>
      <w:r w:rsidRPr="00016AD6">
        <w:rPr>
          <w:lang w:val="fr-FR"/>
        </w:rPr>
        <w:t>nt être développés. Elle a en outre rappelé que la pratique étatique en la matière était rare au niveau mondial et n</w:t>
      </w:r>
      <w:r w:rsidR="004C5E26">
        <w:rPr>
          <w:lang w:val="fr-FR"/>
        </w:rPr>
        <w:t>’</w:t>
      </w:r>
      <w:r w:rsidRPr="00016AD6">
        <w:rPr>
          <w:lang w:val="fr-FR"/>
        </w:rPr>
        <w:t>était pas toujours propre à l</w:t>
      </w:r>
      <w:r w:rsidR="004C5E26">
        <w:rPr>
          <w:lang w:val="fr-FR"/>
        </w:rPr>
        <w:t>’</w:t>
      </w:r>
      <w:r w:rsidRPr="00016AD6">
        <w:rPr>
          <w:lang w:val="fr-FR"/>
        </w:rPr>
        <w:t>élévation du niveau de la mer. À l</w:t>
      </w:r>
      <w:r w:rsidR="004C5E26">
        <w:rPr>
          <w:lang w:val="fr-FR"/>
        </w:rPr>
        <w:t>’</w:t>
      </w:r>
      <w:r w:rsidRPr="00016AD6">
        <w:rPr>
          <w:lang w:val="fr-FR"/>
        </w:rPr>
        <w:t>issue des travaux menés par le Groupe d</w:t>
      </w:r>
      <w:r w:rsidR="004C5E26">
        <w:rPr>
          <w:lang w:val="fr-FR"/>
        </w:rPr>
        <w:t>’</w:t>
      </w:r>
      <w:r w:rsidRPr="00016AD6">
        <w:rPr>
          <w:lang w:val="fr-FR"/>
        </w:rPr>
        <w:t xml:space="preserve">étude en 2022, divers éléments touchant la protection juridique à étudier plus avant </w:t>
      </w:r>
      <w:r>
        <w:rPr>
          <w:lang w:val="fr-FR"/>
        </w:rPr>
        <w:t xml:space="preserve">avaient </w:t>
      </w:r>
      <w:r w:rsidRPr="00016AD6">
        <w:rPr>
          <w:lang w:val="fr-FR"/>
        </w:rPr>
        <w:t>été recensés dans la note complémentaire, sans préjudice de la possibilité d</w:t>
      </w:r>
      <w:r w:rsidR="004C5E26">
        <w:rPr>
          <w:lang w:val="fr-FR"/>
        </w:rPr>
        <w:t>’</w:t>
      </w:r>
      <w:r w:rsidRPr="00016AD6">
        <w:rPr>
          <w:lang w:val="fr-FR"/>
        </w:rPr>
        <w:t>examiner d</w:t>
      </w:r>
      <w:r w:rsidR="004C5E26">
        <w:rPr>
          <w:lang w:val="fr-FR"/>
        </w:rPr>
        <w:t>’</w:t>
      </w:r>
      <w:r w:rsidRPr="00016AD6">
        <w:rPr>
          <w:lang w:val="fr-FR"/>
        </w:rPr>
        <w:t>autres questions le cas échéant.</w:t>
      </w:r>
    </w:p>
    <w:p w14:paraId="1D159270" w14:textId="0DA5BEA9" w:rsidR="00737BD1" w:rsidRPr="00016AD6" w:rsidRDefault="00737BD1" w:rsidP="00737BD1">
      <w:pPr>
        <w:pStyle w:val="H23G"/>
        <w:rPr>
          <w:lang w:val="fr-FR"/>
        </w:rPr>
      </w:pPr>
      <w:r w:rsidRPr="00016AD6">
        <w:rPr>
          <w:lang w:val="fr-FR"/>
        </w:rPr>
        <w:tab/>
        <w:t>2.</w:t>
      </w:r>
      <w:r w:rsidRPr="00016AD6">
        <w:rPr>
          <w:lang w:val="fr-FR"/>
        </w:rPr>
        <w:tab/>
      </w:r>
      <w:bookmarkStart w:id="135" w:name="_Hlk175323690"/>
      <w:r w:rsidRPr="00016AD6">
        <w:rPr>
          <w:lang w:val="fr-FR"/>
        </w:rPr>
        <w:t>Résumé de l</w:t>
      </w:r>
      <w:r w:rsidR="004C5E26">
        <w:rPr>
          <w:lang w:val="fr-FR"/>
        </w:rPr>
        <w:t>’</w:t>
      </w:r>
      <w:r w:rsidRPr="00016AD6">
        <w:rPr>
          <w:lang w:val="fr-FR"/>
        </w:rPr>
        <w:t xml:space="preserve">échange de vues </w:t>
      </w:r>
      <w:bookmarkEnd w:id="135"/>
    </w:p>
    <w:p w14:paraId="5F9F9F1D" w14:textId="77777777" w:rsidR="00737BD1" w:rsidRPr="00016AD6" w:rsidRDefault="00737BD1" w:rsidP="00737BD1">
      <w:pPr>
        <w:pStyle w:val="H23G"/>
        <w:rPr>
          <w:lang w:val="fr-FR"/>
        </w:rPr>
      </w:pPr>
      <w:bookmarkStart w:id="136" w:name="_Hlk134760887"/>
      <w:r w:rsidRPr="00016AD6">
        <w:rPr>
          <w:lang w:val="fr-FR"/>
        </w:rPr>
        <w:tab/>
        <w:t>a)</w:t>
      </w:r>
      <w:r w:rsidRPr="00016AD6">
        <w:rPr>
          <w:lang w:val="fr-FR"/>
        </w:rPr>
        <w:tab/>
        <w:t xml:space="preserve">Observations générales sur le sujet et la note complémentaire </w:t>
      </w:r>
    </w:p>
    <w:p w14:paraId="09A7FFDE" w14:textId="5A617996" w:rsidR="00737BD1" w:rsidRPr="00016AD6" w:rsidRDefault="00737BD1" w:rsidP="00737BD1">
      <w:pPr>
        <w:pStyle w:val="SingleTxtG"/>
        <w:rPr>
          <w:rFonts w:eastAsia="Calibri"/>
          <w:lang w:val="fr-FR"/>
        </w:rPr>
      </w:pPr>
      <w:r>
        <w:rPr>
          <w:rFonts w:eastAsia="Calibri"/>
          <w:lang w:val="fr-FR"/>
        </w:rPr>
        <w:t>345.</w:t>
      </w:r>
      <w:r>
        <w:rPr>
          <w:rFonts w:eastAsia="Calibri"/>
          <w:lang w:val="fr-FR"/>
        </w:rPr>
        <w:tab/>
      </w:r>
      <w:r w:rsidRPr="00016AD6">
        <w:rPr>
          <w:rFonts w:eastAsia="Calibri"/>
          <w:lang w:val="fr-FR"/>
        </w:rPr>
        <w:t>Les membres du Groupe d</w:t>
      </w:r>
      <w:r w:rsidR="004C5E26">
        <w:rPr>
          <w:rFonts w:eastAsia="Calibri"/>
          <w:lang w:val="fr-FR"/>
        </w:rPr>
        <w:t>’</w:t>
      </w:r>
      <w:r w:rsidRPr="00016AD6">
        <w:rPr>
          <w:rFonts w:eastAsia="Calibri"/>
          <w:lang w:val="fr-FR"/>
        </w:rPr>
        <w:t xml:space="preserve">étude </w:t>
      </w:r>
      <w:r>
        <w:rPr>
          <w:rFonts w:eastAsia="Calibri"/>
          <w:lang w:val="fr-FR"/>
        </w:rPr>
        <w:t xml:space="preserve">ont </w:t>
      </w:r>
      <w:r w:rsidRPr="00016AD6">
        <w:rPr>
          <w:rFonts w:eastAsia="Calibri"/>
          <w:lang w:val="fr-FR"/>
        </w:rPr>
        <w:t>remerci</w:t>
      </w:r>
      <w:r>
        <w:rPr>
          <w:rFonts w:eastAsia="Calibri"/>
          <w:lang w:val="fr-FR"/>
        </w:rPr>
        <w:t xml:space="preserve">é </w:t>
      </w:r>
      <w:r w:rsidRPr="00016AD6">
        <w:rPr>
          <w:rFonts w:eastAsia="Calibri"/>
          <w:lang w:val="fr-FR"/>
        </w:rPr>
        <w:t>les Coprésidents (M</w:t>
      </w:r>
      <w:r w:rsidRPr="00016AD6">
        <w:rPr>
          <w:rFonts w:eastAsia="Calibri"/>
          <w:vertAlign w:val="superscript"/>
          <w:lang w:val="fr-FR"/>
        </w:rPr>
        <w:t>me</w:t>
      </w:r>
      <w:r w:rsidRPr="00016AD6">
        <w:rPr>
          <w:rFonts w:eastAsia="Calibri"/>
          <w:lang w:val="fr-FR"/>
        </w:rPr>
        <w:t> </w:t>
      </w:r>
      <w:proofErr w:type="spellStart"/>
      <w:r w:rsidRPr="00016AD6">
        <w:rPr>
          <w:rFonts w:eastAsia="Calibri"/>
          <w:lang w:val="fr-FR"/>
        </w:rPr>
        <w:t>Galvão</w:t>
      </w:r>
      <w:proofErr w:type="spellEnd"/>
      <w:r w:rsidR="00CF12B3">
        <w:rPr>
          <w:rFonts w:eastAsia="Calibri"/>
          <w:lang w:val="fr-FR"/>
        </w:rPr>
        <w:t> </w:t>
      </w:r>
      <w:proofErr w:type="spellStart"/>
      <w:r w:rsidRPr="00016AD6">
        <w:rPr>
          <w:rFonts w:eastAsia="Calibri"/>
          <w:lang w:val="fr-FR"/>
        </w:rPr>
        <w:t>Teles</w:t>
      </w:r>
      <w:proofErr w:type="spellEnd"/>
      <w:r w:rsidRPr="00016AD6">
        <w:rPr>
          <w:rFonts w:eastAsia="Calibri"/>
          <w:lang w:val="fr-FR"/>
        </w:rPr>
        <w:t xml:space="preserve"> et M. </w:t>
      </w:r>
      <w:proofErr w:type="spellStart"/>
      <w:r w:rsidRPr="00016AD6">
        <w:rPr>
          <w:rFonts w:eastAsia="Calibri"/>
          <w:lang w:val="fr-FR"/>
        </w:rPr>
        <w:t>Ruda</w:t>
      </w:r>
      <w:proofErr w:type="spellEnd"/>
      <w:r w:rsidR="00CF12B3">
        <w:rPr>
          <w:rFonts w:eastAsia="Calibri"/>
          <w:lang w:val="fr-FR"/>
        </w:rPr>
        <w:t> </w:t>
      </w:r>
      <w:proofErr w:type="spellStart"/>
      <w:r w:rsidRPr="00016AD6">
        <w:rPr>
          <w:rFonts w:eastAsia="Calibri"/>
          <w:lang w:val="fr-FR"/>
        </w:rPr>
        <w:t>Santolaria</w:t>
      </w:r>
      <w:proofErr w:type="spellEnd"/>
      <w:r w:rsidRPr="00016AD6">
        <w:rPr>
          <w:rFonts w:eastAsia="Calibri"/>
          <w:lang w:val="fr-FR"/>
        </w:rPr>
        <w:t>) d</w:t>
      </w:r>
      <w:r w:rsidR="004C5E26">
        <w:rPr>
          <w:rFonts w:eastAsia="Calibri"/>
          <w:lang w:val="fr-FR"/>
        </w:rPr>
        <w:t>’</w:t>
      </w:r>
      <w:r w:rsidRPr="00016AD6">
        <w:rPr>
          <w:rFonts w:eastAsia="Calibri"/>
          <w:lang w:val="fr-FR"/>
        </w:rPr>
        <w:t>avoir établi une note complémentaire très bien documentée et structurée. Ils ont également accueilli avec satisfaction l</w:t>
      </w:r>
      <w:r w:rsidR="004C5E26">
        <w:rPr>
          <w:rFonts w:eastAsia="Calibri"/>
          <w:lang w:val="fr-FR"/>
        </w:rPr>
        <w:t>’</w:t>
      </w:r>
      <w:r w:rsidRPr="00016AD6">
        <w:rPr>
          <w:rFonts w:eastAsia="Calibri"/>
          <w:lang w:val="fr-FR"/>
        </w:rPr>
        <w:t>étude du Secrétariat recensant les éléments figurant dans les travaux antérieurs de la Commission susceptibles de présenter un intérêt particulier aux fins de l</w:t>
      </w:r>
      <w:r w:rsidR="004C5E26">
        <w:rPr>
          <w:rFonts w:eastAsia="Calibri"/>
          <w:lang w:val="fr-FR"/>
        </w:rPr>
        <w:t>’</w:t>
      </w:r>
      <w:r w:rsidRPr="00016AD6">
        <w:rPr>
          <w:rFonts w:eastAsia="Calibri"/>
          <w:lang w:val="fr-FR"/>
        </w:rPr>
        <w:t>examen du sujet</w:t>
      </w:r>
      <w:r w:rsidRPr="00694A77">
        <w:rPr>
          <w:lang w:val="fr-FR"/>
        </w:rPr>
        <w:t xml:space="preserve"> </w:t>
      </w:r>
      <w:r>
        <w:rPr>
          <w:lang w:val="fr-FR"/>
        </w:rPr>
        <w:t>(</w:t>
      </w:r>
      <w:hyperlink r:id="rId77" w:history="1">
        <w:r w:rsidRPr="00FF7CB2">
          <w:rPr>
            <w:rStyle w:val="Lienhypertexte"/>
            <w:lang w:val="fr-FR"/>
          </w:rPr>
          <w:t>A/CN.4/768</w:t>
        </w:r>
      </w:hyperlink>
      <w:r>
        <w:rPr>
          <w:lang w:val="fr-FR"/>
        </w:rPr>
        <w:t>)</w:t>
      </w:r>
      <w:r w:rsidRPr="00016AD6">
        <w:rPr>
          <w:rFonts w:eastAsia="Calibri"/>
          <w:lang w:val="fr-FR"/>
        </w:rPr>
        <w:t>.</w:t>
      </w:r>
    </w:p>
    <w:p w14:paraId="0D0FA372" w14:textId="12EAC82C" w:rsidR="00737BD1" w:rsidRPr="00016AD6" w:rsidRDefault="00737BD1" w:rsidP="00737BD1">
      <w:pPr>
        <w:pStyle w:val="SingleTxtG"/>
        <w:rPr>
          <w:rFonts w:eastAsia="Calibri"/>
          <w:lang w:val="fr-FR"/>
        </w:rPr>
      </w:pPr>
      <w:r>
        <w:rPr>
          <w:rFonts w:eastAsia="Calibri"/>
          <w:lang w:val="fr-FR"/>
        </w:rPr>
        <w:t>346.</w:t>
      </w:r>
      <w:r>
        <w:rPr>
          <w:rFonts w:eastAsia="Calibri"/>
          <w:lang w:val="fr-FR"/>
        </w:rPr>
        <w:tab/>
      </w:r>
      <w:r w:rsidRPr="00016AD6">
        <w:rPr>
          <w:rFonts w:eastAsia="Calibri"/>
          <w:lang w:val="fr-FR"/>
        </w:rPr>
        <w:t>Dans le</w:t>
      </w:r>
      <w:r>
        <w:rPr>
          <w:rFonts w:eastAsia="Calibri"/>
          <w:lang w:val="fr-FR"/>
        </w:rPr>
        <w:t xml:space="preserve">urs </w:t>
      </w:r>
      <w:r w:rsidRPr="00016AD6">
        <w:rPr>
          <w:rFonts w:eastAsia="Calibri"/>
          <w:lang w:val="fr-FR"/>
        </w:rPr>
        <w:t>observations générales sur le sujet, les membres du Groupe d</w:t>
      </w:r>
      <w:r w:rsidR="004C5E26">
        <w:rPr>
          <w:rFonts w:eastAsia="Calibri"/>
          <w:lang w:val="fr-FR"/>
        </w:rPr>
        <w:t>’</w:t>
      </w:r>
      <w:r w:rsidRPr="00016AD6">
        <w:rPr>
          <w:rFonts w:eastAsia="Calibri"/>
          <w:lang w:val="fr-FR"/>
        </w:rPr>
        <w:t>étude ont réaffirmé la pertinence de celui-ci et l</w:t>
      </w:r>
      <w:r w:rsidR="004C5E26">
        <w:rPr>
          <w:rFonts w:eastAsia="Calibri"/>
          <w:lang w:val="fr-FR"/>
        </w:rPr>
        <w:t>’</w:t>
      </w:r>
      <w:r w:rsidRPr="00016AD6">
        <w:rPr>
          <w:rFonts w:eastAsia="Calibri"/>
          <w:lang w:val="fr-FR"/>
        </w:rPr>
        <w:t xml:space="preserve">importance cruciale des travaux de la Commission pour </w:t>
      </w:r>
      <w:r>
        <w:rPr>
          <w:rFonts w:eastAsia="Calibri"/>
          <w:lang w:val="fr-FR"/>
        </w:rPr>
        <w:t xml:space="preserve">la communauté internationale en général et pour </w:t>
      </w:r>
      <w:r w:rsidRPr="00016AD6">
        <w:rPr>
          <w:rFonts w:eastAsia="Calibri"/>
          <w:lang w:val="fr-FR"/>
        </w:rPr>
        <w:t>les États directement touchés par l</w:t>
      </w:r>
      <w:r w:rsidR="004C5E26">
        <w:rPr>
          <w:rFonts w:eastAsia="Calibri"/>
          <w:lang w:val="fr-FR"/>
        </w:rPr>
        <w:t>’</w:t>
      </w:r>
      <w:r w:rsidRPr="00016AD6">
        <w:rPr>
          <w:rFonts w:eastAsia="Calibri"/>
          <w:lang w:val="fr-FR"/>
        </w:rPr>
        <w:t>élévation du niveau de la mer</w:t>
      </w:r>
      <w:r w:rsidRPr="00867C75">
        <w:rPr>
          <w:rFonts w:eastAsia="Calibri"/>
          <w:lang w:val="fr-FR"/>
        </w:rPr>
        <w:t xml:space="preserve"> </w:t>
      </w:r>
      <w:r>
        <w:rPr>
          <w:rFonts w:eastAsia="Calibri"/>
          <w:lang w:val="fr-FR"/>
        </w:rPr>
        <w:t>en particulier</w:t>
      </w:r>
      <w:r w:rsidRPr="00016AD6">
        <w:rPr>
          <w:rFonts w:eastAsia="Calibri"/>
          <w:lang w:val="fr-FR"/>
        </w:rPr>
        <w:t>. Certains membres ont également souligné l</w:t>
      </w:r>
      <w:r w:rsidR="004C5E26">
        <w:rPr>
          <w:rFonts w:eastAsia="Calibri"/>
          <w:lang w:val="fr-FR"/>
        </w:rPr>
        <w:t>’</w:t>
      </w:r>
      <w:r w:rsidRPr="00016AD6">
        <w:rPr>
          <w:rFonts w:eastAsia="Calibri"/>
          <w:lang w:val="fr-FR"/>
        </w:rPr>
        <w:t xml:space="preserve">urgence de ces travaux eu égard aux questions qui se posaient et à la gravité de la situation. </w:t>
      </w:r>
      <w:r w:rsidRPr="00C03150">
        <w:rPr>
          <w:rFonts w:eastAsia="Calibri"/>
          <w:lang w:val="fr-FR"/>
        </w:rPr>
        <w:t xml:space="preserve">On a insisté sur le fait que le phénomène touchait des personnes en situation de vulnérabilité, mais avait aussi pour effet </w:t>
      </w:r>
      <w:r>
        <w:rPr>
          <w:rFonts w:eastAsia="Calibri"/>
          <w:lang w:val="fr-FR"/>
        </w:rPr>
        <w:t>de créer des</w:t>
      </w:r>
      <w:r w:rsidRPr="00C03150">
        <w:rPr>
          <w:rFonts w:eastAsia="Calibri"/>
          <w:lang w:val="fr-FR"/>
        </w:rPr>
        <w:t xml:space="preserve"> situations</w:t>
      </w:r>
      <w:r>
        <w:rPr>
          <w:rFonts w:eastAsia="Calibri"/>
          <w:lang w:val="fr-FR"/>
        </w:rPr>
        <w:t xml:space="preserve"> de vulnérabilité</w:t>
      </w:r>
      <w:r w:rsidRPr="00C03150">
        <w:rPr>
          <w:rFonts w:eastAsia="Calibri"/>
          <w:lang w:val="fr-FR"/>
        </w:rPr>
        <w:t xml:space="preserve">. On a aussi fait observer que </w:t>
      </w:r>
      <w:r w:rsidRPr="00C03150">
        <w:rPr>
          <w:lang w:val="fr-FR"/>
        </w:rPr>
        <w:t>l</w:t>
      </w:r>
      <w:r w:rsidR="004C5E26">
        <w:rPr>
          <w:lang w:val="fr-FR"/>
        </w:rPr>
        <w:t>’</w:t>
      </w:r>
      <w:r w:rsidRPr="00C03150">
        <w:rPr>
          <w:lang w:val="fr-FR"/>
        </w:rPr>
        <w:t>élévation du niveau de la mer était une conséquence directe</w:t>
      </w:r>
      <w:r w:rsidRPr="00016AD6">
        <w:rPr>
          <w:lang w:val="fr-FR"/>
        </w:rPr>
        <w:t xml:space="preserve"> des changements climatiques </w:t>
      </w:r>
      <w:r>
        <w:rPr>
          <w:lang w:val="fr-FR"/>
        </w:rPr>
        <w:t>planétaires</w:t>
      </w:r>
      <w:r w:rsidRPr="00016AD6">
        <w:rPr>
          <w:lang w:val="fr-FR"/>
        </w:rPr>
        <w:t>, certains membres soulignant le caractère anthropique du phénomène.</w:t>
      </w:r>
    </w:p>
    <w:p w14:paraId="2BFDFDF1" w14:textId="37D0D70B" w:rsidR="00737BD1" w:rsidRPr="00016AD6" w:rsidRDefault="00737BD1" w:rsidP="00737BD1">
      <w:pPr>
        <w:pStyle w:val="SingleTxtG"/>
        <w:keepLines/>
        <w:rPr>
          <w:lang w:val="fr-FR"/>
        </w:rPr>
      </w:pPr>
      <w:r>
        <w:rPr>
          <w:lang w:val="fr-FR"/>
        </w:rPr>
        <w:lastRenderedPageBreak/>
        <w:t>347.</w:t>
      </w:r>
      <w:r>
        <w:rPr>
          <w:lang w:val="fr-FR"/>
        </w:rPr>
        <w:tab/>
      </w:r>
      <w:r w:rsidRPr="00016AD6">
        <w:rPr>
          <w:lang w:val="fr-FR"/>
        </w:rPr>
        <w:t xml:space="preserve">Des membres ont rappelé </w:t>
      </w:r>
      <w:r>
        <w:rPr>
          <w:lang w:val="fr-FR"/>
        </w:rPr>
        <w:t>d</w:t>
      </w:r>
      <w:r w:rsidRPr="00016AD6">
        <w:rPr>
          <w:lang w:val="fr-FR"/>
        </w:rPr>
        <w:t xml:space="preserve">es </w:t>
      </w:r>
      <w:r>
        <w:rPr>
          <w:lang w:val="fr-FR"/>
        </w:rPr>
        <w:t xml:space="preserve">développements </w:t>
      </w:r>
      <w:r w:rsidRPr="00016AD6">
        <w:rPr>
          <w:lang w:val="fr-FR"/>
        </w:rPr>
        <w:t xml:space="preserve">récents dans la pratique des États Membres et des organisations internationales, y compris ceux mentionnés par les </w:t>
      </w:r>
      <w:r>
        <w:rPr>
          <w:lang w:val="fr-FR"/>
        </w:rPr>
        <w:t>C</w:t>
      </w:r>
      <w:r w:rsidRPr="00016AD6">
        <w:rPr>
          <w:lang w:val="fr-FR"/>
        </w:rPr>
        <w:t>oprésidents, ainsi que les procédures en cours devant diverses juridictions internationales</w:t>
      </w:r>
      <w:r>
        <w:rPr>
          <w:lang w:val="fr-FR"/>
        </w:rPr>
        <w:t xml:space="preserve"> et régionales</w:t>
      </w:r>
      <w:r w:rsidRPr="00016AD6">
        <w:rPr>
          <w:lang w:val="fr-FR"/>
        </w:rPr>
        <w:t>, et souligné la nécessité pour le Groupe d</w:t>
      </w:r>
      <w:r w:rsidR="004C5E26">
        <w:rPr>
          <w:lang w:val="fr-FR"/>
        </w:rPr>
        <w:t>’</w:t>
      </w:r>
      <w:r w:rsidRPr="00016AD6">
        <w:rPr>
          <w:lang w:val="fr-FR"/>
        </w:rPr>
        <w:t>étude d</w:t>
      </w:r>
      <w:r w:rsidR="004C5E26">
        <w:rPr>
          <w:lang w:val="fr-FR"/>
        </w:rPr>
        <w:t>’</w:t>
      </w:r>
      <w:r w:rsidRPr="00016AD6">
        <w:rPr>
          <w:lang w:val="fr-FR"/>
        </w:rPr>
        <w:t>en tenir dûment compte dans ses travaux.</w:t>
      </w:r>
    </w:p>
    <w:p w14:paraId="4A03E2DD" w14:textId="3747B64B" w:rsidR="00737BD1" w:rsidRPr="00016AD6" w:rsidRDefault="00737BD1" w:rsidP="00737BD1">
      <w:pPr>
        <w:pStyle w:val="SingleTxtG"/>
        <w:rPr>
          <w:lang w:val="fr-FR"/>
        </w:rPr>
      </w:pPr>
      <w:r w:rsidRPr="00CF12B3">
        <w:rPr>
          <w:lang w:val="fr-FR"/>
        </w:rPr>
        <w:t>348.</w:t>
      </w:r>
      <w:r w:rsidRPr="00CF12B3">
        <w:rPr>
          <w:lang w:val="fr-FR"/>
        </w:rPr>
        <w:tab/>
        <w:t>Si certains membres ont</w:t>
      </w:r>
      <w:r w:rsidRPr="00016AD6">
        <w:rPr>
          <w:lang w:val="fr-FR"/>
        </w:rPr>
        <w:t xml:space="preserve"> estimé qu</w:t>
      </w:r>
      <w:r w:rsidR="004C5E26">
        <w:rPr>
          <w:lang w:val="fr-FR"/>
        </w:rPr>
        <w:t>’</w:t>
      </w:r>
      <w:r w:rsidRPr="00016AD6">
        <w:rPr>
          <w:lang w:val="fr-FR"/>
        </w:rPr>
        <w:t>il fallait s</w:t>
      </w:r>
      <w:r w:rsidR="004C5E26">
        <w:rPr>
          <w:lang w:val="fr-FR"/>
        </w:rPr>
        <w:t>’</w:t>
      </w:r>
      <w:r w:rsidRPr="00016AD6">
        <w:rPr>
          <w:lang w:val="fr-FR"/>
        </w:rPr>
        <w:t xml:space="preserve">inspirer des travaux antérieurs de la Commission, on a </w:t>
      </w:r>
      <w:r>
        <w:rPr>
          <w:lang w:val="fr-FR"/>
        </w:rPr>
        <w:t xml:space="preserve">aussi fait valoir </w:t>
      </w:r>
      <w:r w:rsidRPr="00016AD6">
        <w:rPr>
          <w:lang w:val="fr-FR"/>
        </w:rPr>
        <w:t>que le Groupe d</w:t>
      </w:r>
      <w:r w:rsidR="004C5E26">
        <w:rPr>
          <w:lang w:val="fr-FR"/>
        </w:rPr>
        <w:t>’</w:t>
      </w:r>
      <w:r w:rsidRPr="00016AD6">
        <w:rPr>
          <w:lang w:val="fr-FR"/>
        </w:rPr>
        <w:t xml:space="preserve">étude devait </w:t>
      </w:r>
      <w:r>
        <w:rPr>
          <w:lang w:val="fr-FR"/>
        </w:rPr>
        <w:t xml:space="preserve">se garder </w:t>
      </w:r>
      <w:r w:rsidRPr="00016AD6">
        <w:rPr>
          <w:lang w:val="fr-FR"/>
        </w:rPr>
        <w:t>de faire trop de parallèles, en particulier avec le projet d</w:t>
      </w:r>
      <w:r w:rsidR="004C5E26">
        <w:rPr>
          <w:lang w:val="fr-FR"/>
        </w:rPr>
        <w:t>’</w:t>
      </w:r>
      <w:r w:rsidRPr="00016AD6">
        <w:rPr>
          <w:lang w:val="fr-FR"/>
        </w:rPr>
        <w:t>articles de</w:t>
      </w:r>
      <w:r>
        <w:rPr>
          <w:lang w:val="fr-FR"/>
        </w:rPr>
        <w:t xml:space="preserve"> </w:t>
      </w:r>
      <w:r w:rsidRPr="00016AD6">
        <w:rPr>
          <w:lang w:val="fr-FR"/>
        </w:rPr>
        <w:t>2016 sur la protection des personnes en cas de catastrophe</w:t>
      </w:r>
      <w:r w:rsidRPr="00E9227E">
        <w:rPr>
          <w:rStyle w:val="Appelnotedebasdep"/>
        </w:rPr>
        <w:footnoteReference w:id="258"/>
      </w:r>
      <w:r w:rsidRPr="00016AD6">
        <w:rPr>
          <w:lang w:val="fr-FR"/>
        </w:rPr>
        <w:t xml:space="preserve">. Le lien entre les trois sous-sujets et la nécessité de veiller à la cohérence </w:t>
      </w:r>
      <w:r>
        <w:rPr>
          <w:lang w:val="fr-FR"/>
        </w:rPr>
        <w:t xml:space="preserve">entre eux </w:t>
      </w:r>
      <w:r w:rsidRPr="00016AD6">
        <w:rPr>
          <w:lang w:val="fr-FR"/>
        </w:rPr>
        <w:t xml:space="preserve">ont été soulignés. </w:t>
      </w:r>
    </w:p>
    <w:p w14:paraId="122309BC" w14:textId="77777777" w:rsidR="00737BD1" w:rsidRPr="00016AD6" w:rsidRDefault="00737BD1" w:rsidP="00737BD1">
      <w:pPr>
        <w:pStyle w:val="H23G"/>
        <w:rPr>
          <w:lang w:val="fr-FR"/>
        </w:rPr>
      </w:pPr>
      <w:r w:rsidRPr="00016AD6">
        <w:rPr>
          <w:lang w:val="fr-FR"/>
        </w:rPr>
        <w:tab/>
        <w:t>b)</w:t>
      </w:r>
      <w:r w:rsidRPr="00016AD6">
        <w:rPr>
          <w:lang w:val="fr-FR"/>
        </w:rPr>
        <w:tab/>
        <w:t>Réflexions sur la condition étatique</w:t>
      </w:r>
    </w:p>
    <w:p w14:paraId="653935C8" w14:textId="278A8E50" w:rsidR="00737BD1" w:rsidRPr="00016AD6" w:rsidRDefault="00737BD1" w:rsidP="00737BD1">
      <w:pPr>
        <w:pStyle w:val="SingleTxtG"/>
        <w:rPr>
          <w:lang w:val="fr-FR"/>
        </w:rPr>
      </w:pPr>
      <w:r>
        <w:rPr>
          <w:lang w:val="fr-FR"/>
        </w:rPr>
        <w:t>349.</w:t>
      </w:r>
      <w:r>
        <w:rPr>
          <w:lang w:val="fr-FR"/>
        </w:rPr>
        <w:tab/>
      </w:r>
      <w:r w:rsidRPr="00016AD6">
        <w:rPr>
          <w:lang w:val="fr-FR"/>
        </w:rPr>
        <w:t>Le Groupe d</w:t>
      </w:r>
      <w:r w:rsidR="004C5E26">
        <w:rPr>
          <w:lang w:val="fr-FR"/>
        </w:rPr>
        <w:t>’</w:t>
      </w:r>
      <w:r w:rsidRPr="00016AD6">
        <w:rPr>
          <w:lang w:val="fr-FR"/>
        </w:rPr>
        <w:t xml:space="preserve">étude a examiné la première partie de la note </w:t>
      </w:r>
      <w:r>
        <w:rPr>
          <w:lang w:val="fr-FR"/>
        </w:rPr>
        <w:t>complémentaire</w:t>
      </w:r>
      <w:r w:rsidRPr="00016AD6">
        <w:rPr>
          <w:lang w:val="fr-FR"/>
        </w:rPr>
        <w:t>, intitulée « Réflexions sur la condition étatique »</w:t>
      </w:r>
      <w:r>
        <w:rPr>
          <w:lang w:val="fr-FR"/>
        </w:rPr>
        <w:t>,</w:t>
      </w:r>
      <w:r w:rsidRPr="00016AD6">
        <w:rPr>
          <w:lang w:val="fr-FR"/>
        </w:rPr>
        <w:t xml:space="preserve"> </w:t>
      </w:r>
      <w:r>
        <w:rPr>
          <w:lang w:val="fr-FR"/>
        </w:rPr>
        <w:t>à</w:t>
      </w:r>
      <w:r w:rsidRPr="00016AD6">
        <w:rPr>
          <w:lang w:val="fr-FR"/>
        </w:rPr>
        <w:t xml:space="preserve"> ses trois premières réunions</w:t>
      </w:r>
      <w:r>
        <w:rPr>
          <w:lang w:val="fr-FR"/>
        </w:rPr>
        <w:t>, tenues</w:t>
      </w:r>
      <w:r w:rsidRPr="00016AD6">
        <w:rPr>
          <w:lang w:val="fr-FR"/>
        </w:rPr>
        <w:t xml:space="preserve"> les 1</w:t>
      </w:r>
      <w:r w:rsidRPr="00016AD6">
        <w:rPr>
          <w:vertAlign w:val="superscript"/>
          <w:lang w:val="fr-FR"/>
        </w:rPr>
        <w:t>er</w:t>
      </w:r>
      <w:r w:rsidRPr="00016AD6">
        <w:rPr>
          <w:lang w:val="fr-FR"/>
        </w:rPr>
        <w:t>, 2 et 7 mai</w:t>
      </w:r>
      <w:r>
        <w:rPr>
          <w:lang w:val="fr-FR"/>
        </w:rPr>
        <w:t xml:space="preserve"> </w:t>
      </w:r>
      <w:r w:rsidRPr="00016AD6">
        <w:rPr>
          <w:lang w:val="fr-FR"/>
        </w:rPr>
        <w:t>2024</w:t>
      </w:r>
      <w:r>
        <w:rPr>
          <w:lang w:val="fr-FR"/>
        </w:rPr>
        <w:t>.</w:t>
      </w:r>
    </w:p>
    <w:p w14:paraId="5ED1143E" w14:textId="77777777" w:rsidR="00737BD1" w:rsidRPr="00016AD6" w:rsidRDefault="00737BD1" w:rsidP="00737BD1">
      <w:pPr>
        <w:pStyle w:val="H4G"/>
        <w:rPr>
          <w:rFonts w:eastAsia="Calibri"/>
          <w:b/>
          <w:lang w:val="fr-FR"/>
        </w:rPr>
      </w:pPr>
      <w:r w:rsidRPr="00016AD6">
        <w:rPr>
          <w:lang w:val="fr-FR"/>
        </w:rPr>
        <w:tab/>
        <w:t>i)</w:t>
      </w:r>
      <w:r w:rsidRPr="00016AD6">
        <w:rPr>
          <w:lang w:val="fr-FR"/>
        </w:rPr>
        <w:tab/>
        <w:t>Présentation par le Coprésident</w:t>
      </w:r>
      <w:bookmarkStart w:id="137" w:name="_Hlk74377830"/>
      <w:bookmarkEnd w:id="136"/>
    </w:p>
    <w:p w14:paraId="16027F85" w14:textId="0F5F5C87" w:rsidR="00737BD1" w:rsidRPr="00016AD6" w:rsidRDefault="00737BD1" w:rsidP="00737BD1">
      <w:pPr>
        <w:pStyle w:val="SingleTxtG"/>
        <w:rPr>
          <w:lang w:val="fr-FR"/>
        </w:rPr>
      </w:pPr>
      <w:r>
        <w:rPr>
          <w:lang w:val="fr-FR"/>
        </w:rPr>
        <w:t>350.</w:t>
      </w:r>
      <w:r>
        <w:rPr>
          <w:lang w:val="fr-FR"/>
        </w:rPr>
        <w:tab/>
      </w:r>
      <w:r w:rsidRPr="00016AD6">
        <w:rPr>
          <w:lang w:val="fr-FR"/>
        </w:rPr>
        <w:t>Présentant la première partie de la note complémentaire, le Coprésident (M. </w:t>
      </w:r>
      <w:proofErr w:type="spellStart"/>
      <w:r w:rsidRPr="00016AD6">
        <w:rPr>
          <w:lang w:val="fr-FR"/>
        </w:rPr>
        <w:t>Ruda</w:t>
      </w:r>
      <w:proofErr w:type="spellEnd"/>
      <w:r w:rsidRPr="00016AD6">
        <w:rPr>
          <w:lang w:val="fr-FR"/>
        </w:rPr>
        <w:t> </w:t>
      </w:r>
      <w:proofErr w:type="spellStart"/>
      <w:r w:rsidRPr="00016AD6">
        <w:rPr>
          <w:lang w:val="fr-FR"/>
        </w:rPr>
        <w:t>Santolaria</w:t>
      </w:r>
      <w:proofErr w:type="spellEnd"/>
      <w:r w:rsidRPr="00016AD6">
        <w:rPr>
          <w:lang w:val="fr-FR"/>
        </w:rPr>
        <w:t>) a fait observer que l</w:t>
      </w:r>
      <w:r w:rsidR="004C5E26">
        <w:rPr>
          <w:lang w:val="fr-FR"/>
        </w:rPr>
        <w:t>’</w:t>
      </w:r>
      <w:r w:rsidRPr="00016AD6">
        <w:rPr>
          <w:lang w:val="fr-FR"/>
        </w:rPr>
        <w:t xml:space="preserve">élévation du niveau de la mer due aux changements climatiques était un phénomène </w:t>
      </w:r>
      <w:r>
        <w:rPr>
          <w:lang w:val="fr-FR"/>
        </w:rPr>
        <w:t xml:space="preserve">planétaire dont les effets étaient différents dans différentes régions du </w:t>
      </w:r>
      <w:r w:rsidRPr="00016AD6">
        <w:rPr>
          <w:lang w:val="fr-FR"/>
        </w:rPr>
        <w:t>mond</w:t>
      </w:r>
      <w:r>
        <w:rPr>
          <w:lang w:val="fr-FR"/>
        </w:rPr>
        <w:t>e</w:t>
      </w:r>
      <w:r w:rsidRPr="00016AD6">
        <w:rPr>
          <w:lang w:val="fr-FR"/>
        </w:rPr>
        <w:t>, mais qu</w:t>
      </w:r>
      <w:r w:rsidR="004C5E26">
        <w:rPr>
          <w:lang w:val="fr-FR"/>
        </w:rPr>
        <w:t>’</w:t>
      </w:r>
      <w:r>
        <w:rPr>
          <w:lang w:val="fr-FR"/>
        </w:rPr>
        <w:t xml:space="preserve">elle </w:t>
      </w:r>
      <w:r w:rsidRPr="00016AD6">
        <w:rPr>
          <w:lang w:val="fr-FR"/>
        </w:rPr>
        <w:t>constituait une menace particulièrement grave pour les petits États insulaires en développement dont l</w:t>
      </w:r>
      <w:r>
        <w:rPr>
          <w:lang w:val="fr-FR"/>
        </w:rPr>
        <w:t>a</w:t>
      </w:r>
      <w:r w:rsidRPr="00016AD6">
        <w:rPr>
          <w:lang w:val="fr-FR"/>
        </w:rPr>
        <w:t xml:space="preserve"> </w:t>
      </w:r>
      <w:r>
        <w:rPr>
          <w:lang w:val="fr-FR"/>
        </w:rPr>
        <w:t>surface</w:t>
      </w:r>
      <w:r w:rsidRPr="00016AD6">
        <w:rPr>
          <w:lang w:val="fr-FR"/>
        </w:rPr>
        <w:t xml:space="preserve"> terrestre risquait d</w:t>
      </w:r>
      <w:r w:rsidR="004C5E26">
        <w:rPr>
          <w:lang w:val="fr-FR"/>
        </w:rPr>
        <w:t>’</w:t>
      </w:r>
      <w:r w:rsidRPr="00016AD6">
        <w:rPr>
          <w:lang w:val="fr-FR"/>
        </w:rPr>
        <w:t xml:space="preserve">être </w:t>
      </w:r>
      <w:r>
        <w:rPr>
          <w:lang w:val="fr-FR"/>
        </w:rPr>
        <w:t xml:space="preserve">totalement ou </w:t>
      </w:r>
      <w:r w:rsidRPr="00016AD6">
        <w:rPr>
          <w:lang w:val="fr-FR"/>
        </w:rPr>
        <w:t>partiellement submergé</w:t>
      </w:r>
      <w:r>
        <w:rPr>
          <w:lang w:val="fr-FR"/>
        </w:rPr>
        <w:t>e</w:t>
      </w:r>
      <w:r w:rsidRPr="00016AD6">
        <w:rPr>
          <w:lang w:val="fr-FR"/>
        </w:rPr>
        <w:t xml:space="preserve"> </w:t>
      </w:r>
      <w:r>
        <w:rPr>
          <w:lang w:val="fr-FR"/>
        </w:rPr>
        <w:t>ou</w:t>
      </w:r>
      <w:r w:rsidRPr="00016AD6">
        <w:rPr>
          <w:lang w:val="fr-FR"/>
        </w:rPr>
        <w:t xml:space="preserve"> rendu</w:t>
      </w:r>
      <w:r>
        <w:rPr>
          <w:lang w:val="fr-FR"/>
        </w:rPr>
        <w:t>e</w:t>
      </w:r>
      <w:r w:rsidRPr="00016AD6">
        <w:rPr>
          <w:lang w:val="fr-FR"/>
        </w:rPr>
        <w:t xml:space="preserve"> inhabitable</w:t>
      </w:r>
      <w:r>
        <w:rPr>
          <w:lang w:val="fr-FR"/>
        </w:rPr>
        <w:t xml:space="preserve"> par l</w:t>
      </w:r>
      <w:r w:rsidR="004C5E26">
        <w:rPr>
          <w:lang w:val="fr-FR"/>
        </w:rPr>
        <w:t>’</w:t>
      </w:r>
      <w:r>
        <w:rPr>
          <w:lang w:val="fr-FR"/>
        </w:rPr>
        <w:t>élévation du niveau de la mer</w:t>
      </w:r>
      <w:r w:rsidRPr="00016AD6">
        <w:rPr>
          <w:lang w:val="fr-FR"/>
        </w:rPr>
        <w:t xml:space="preserve">. Pour le Coprésident, il existait une forte présomption de continuité dans le cas des États dont </w:t>
      </w:r>
      <w:r>
        <w:rPr>
          <w:lang w:val="fr-FR"/>
        </w:rPr>
        <w:t xml:space="preserve">la surface </w:t>
      </w:r>
      <w:r w:rsidRPr="00016AD6">
        <w:rPr>
          <w:lang w:val="fr-FR"/>
        </w:rPr>
        <w:t>terrestre pouvait être totalement ou partiellement submergé</w:t>
      </w:r>
      <w:r>
        <w:rPr>
          <w:lang w:val="fr-FR"/>
        </w:rPr>
        <w:t>e</w:t>
      </w:r>
      <w:r w:rsidRPr="00016AD6">
        <w:rPr>
          <w:lang w:val="fr-FR"/>
        </w:rPr>
        <w:t xml:space="preserve"> et rendu</w:t>
      </w:r>
      <w:r>
        <w:rPr>
          <w:lang w:val="fr-FR"/>
        </w:rPr>
        <w:t>e</w:t>
      </w:r>
      <w:r w:rsidRPr="00016AD6">
        <w:rPr>
          <w:lang w:val="fr-FR"/>
        </w:rPr>
        <w:t xml:space="preserve"> inhabitable par l</w:t>
      </w:r>
      <w:r w:rsidR="004C5E26">
        <w:rPr>
          <w:lang w:val="fr-FR"/>
        </w:rPr>
        <w:t>’</w:t>
      </w:r>
      <w:r w:rsidRPr="00016AD6">
        <w:rPr>
          <w:lang w:val="fr-FR"/>
        </w:rPr>
        <w:t xml:space="preserve">élévation du niveau de la mer due aux changements climatiques. </w:t>
      </w:r>
      <w:r>
        <w:rPr>
          <w:lang w:val="fr-FR"/>
        </w:rPr>
        <w:t>L</w:t>
      </w:r>
      <w:r w:rsidRPr="00016AD6">
        <w:rPr>
          <w:lang w:val="fr-FR"/>
        </w:rPr>
        <w:t xml:space="preserve">a continuité de la condition étatique était </w:t>
      </w:r>
      <w:r>
        <w:rPr>
          <w:lang w:val="fr-FR"/>
        </w:rPr>
        <w:t xml:space="preserve">ainsi </w:t>
      </w:r>
      <w:r w:rsidRPr="00016AD6">
        <w:rPr>
          <w:lang w:val="fr-FR"/>
        </w:rPr>
        <w:t>liée à la sécurité, la stabilité, la certitude et la prévisibilité, ainsi qu</w:t>
      </w:r>
      <w:r w:rsidR="004C5E26">
        <w:rPr>
          <w:lang w:val="fr-FR"/>
        </w:rPr>
        <w:t>’</w:t>
      </w:r>
      <w:r w:rsidRPr="00016AD6">
        <w:rPr>
          <w:lang w:val="fr-FR"/>
        </w:rPr>
        <w:t>à des considérations d</w:t>
      </w:r>
      <w:r w:rsidR="004C5E26">
        <w:rPr>
          <w:lang w:val="fr-FR"/>
        </w:rPr>
        <w:t>’</w:t>
      </w:r>
      <w:r w:rsidRPr="00016AD6">
        <w:rPr>
          <w:lang w:val="fr-FR"/>
        </w:rPr>
        <w:t>équité et de justice et, en tant que telle, constituait une manifestation de l</w:t>
      </w:r>
      <w:r w:rsidR="004C5E26">
        <w:rPr>
          <w:lang w:val="fr-FR"/>
        </w:rPr>
        <w:t>’</w:t>
      </w:r>
      <w:r w:rsidRPr="00016AD6">
        <w:rPr>
          <w:lang w:val="fr-FR"/>
        </w:rPr>
        <w:t>applicabilité des principes d</w:t>
      </w:r>
      <w:r w:rsidR="004C5E26">
        <w:rPr>
          <w:lang w:val="fr-FR"/>
        </w:rPr>
        <w:t>’</w:t>
      </w:r>
      <w:proofErr w:type="spellStart"/>
      <w:r w:rsidRPr="00016AD6">
        <w:rPr>
          <w:lang w:val="fr-FR"/>
        </w:rPr>
        <w:t>autodétermination</w:t>
      </w:r>
      <w:proofErr w:type="spellEnd"/>
      <w:r w:rsidRPr="00016AD6">
        <w:rPr>
          <w:lang w:val="fr-FR"/>
        </w:rPr>
        <w:t>, de protection de l</w:t>
      </w:r>
      <w:r w:rsidR="004C5E26">
        <w:rPr>
          <w:lang w:val="fr-FR"/>
        </w:rPr>
        <w:t>’</w:t>
      </w:r>
      <w:r w:rsidRPr="00016AD6">
        <w:rPr>
          <w:lang w:val="fr-FR"/>
        </w:rPr>
        <w:t>intégrité territoriale de l</w:t>
      </w:r>
      <w:r w:rsidR="004C5E26">
        <w:rPr>
          <w:lang w:val="fr-FR"/>
        </w:rPr>
        <w:t>’</w:t>
      </w:r>
      <w:r w:rsidRPr="00016AD6">
        <w:rPr>
          <w:lang w:val="fr-FR"/>
        </w:rPr>
        <w:t>État, de l</w:t>
      </w:r>
      <w:r w:rsidR="004C5E26">
        <w:rPr>
          <w:lang w:val="fr-FR"/>
        </w:rPr>
        <w:t>’</w:t>
      </w:r>
      <w:r w:rsidRPr="00016AD6">
        <w:rPr>
          <w:lang w:val="fr-FR"/>
        </w:rPr>
        <w:t xml:space="preserve">égalité souveraine des États, de la souveraineté permanente des États sur leurs ressources naturelles, du maintien de la paix et de la sécurité internationales, de la stabilité des relations internationales et de la coopération internationale. </w:t>
      </w:r>
    </w:p>
    <w:p w14:paraId="78E2C17E" w14:textId="77777777" w:rsidR="00737BD1" w:rsidRPr="00016AD6" w:rsidRDefault="00737BD1" w:rsidP="00737BD1">
      <w:pPr>
        <w:pStyle w:val="H4G"/>
        <w:rPr>
          <w:b/>
          <w:lang w:val="fr-FR"/>
        </w:rPr>
      </w:pPr>
      <w:r w:rsidRPr="00016AD6">
        <w:rPr>
          <w:lang w:val="fr-FR"/>
        </w:rPr>
        <w:tab/>
        <w:t>ii)</w:t>
      </w:r>
      <w:r w:rsidRPr="00016AD6">
        <w:rPr>
          <w:lang w:val="fr-FR"/>
        </w:rPr>
        <w:tab/>
        <w:t>Observations générales</w:t>
      </w:r>
    </w:p>
    <w:p w14:paraId="2E25F71C" w14:textId="261E924C" w:rsidR="00737BD1" w:rsidRPr="00016AD6" w:rsidRDefault="00737BD1" w:rsidP="00737BD1">
      <w:pPr>
        <w:pStyle w:val="SingleTxtG"/>
        <w:keepNext/>
        <w:keepLines/>
        <w:rPr>
          <w:lang w:val="fr-FR"/>
        </w:rPr>
      </w:pPr>
      <w:r>
        <w:rPr>
          <w:lang w:val="fr-FR"/>
        </w:rPr>
        <w:t>351.</w:t>
      </w:r>
      <w:r>
        <w:rPr>
          <w:lang w:val="fr-FR"/>
        </w:rPr>
        <w:tab/>
      </w:r>
      <w:r w:rsidRPr="00016AD6">
        <w:rPr>
          <w:lang w:val="fr-FR"/>
        </w:rPr>
        <w:t>Les membres du Groupe d</w:t>
      </w:r>
      <w:r w:rsidR="004C5E26">
        <w:rPr>
          <w:lang w:val="fr-FR"/>
        </w:rPr>
        <w:t>’</w:t>
      </w:r>
      <w:r w:rsidRPr="00016AD6">
        <w:rPr>
          <w:lang w:val="fr-FR"/>
        </w:rPr>
        <w:t xml:space="preserve">étude ont </w:t>
      </w:r>
      <w:r>
        <w:rPr>
          <w:lang w:val="fr-FR"/>
        </w:rPr>
        <w:t xml:space="preserve">débattu de la question centrale concernant la continuité de la condition étatique dans les cas où la surface terrestre de </w:t>
      </w:r>
      <w:r w:rsidRPr="008745D5">
        <w:rPr>
          <w:lang w:val="fr-FR"/>
        </w:rPr>
        <w:t>l</w:t>
      </w:r>
      <w:r w:rsidR="004C5E26">
        <w:rPr>
          <w:lang w:val="fr-FR"/>
        </w:rPr>
        <w:t>’</w:t>
      </w:r>
      <w:r w:rsidRPr="008745D5">
        <w:rPr>
          <w:lang w:val="fr-FR"/>
        </w:rPr>
        <w:t xml:space="preserve">État </w:t>
      </w:r>
      <w:r>
        <w:rPr>
          <w:lang w:val="fr-FR"/>
        </w:rPr>
        <w:t>devien</w:t>
      </w:r>
      <w:r w:rsidRPr="008745D5">
        <w:rPr>
          <w:lang w:val="fr-FR"/>
        </w:rPr>
        <w:t>t totalement</w:t>
      </w:r>
      <w:r>
        <w:rPr>
          <w:lang w:val="fr-FR"/>
        </w:rPr>
        <w:t xml:space="preserve"> ou partiellement submergée ou inhabitable en raison de l</w:t>
      </w:r>
      <w:r w:rsidR="004C5E26">
        <w:rPr>
          <w:lang w:val="fr-FR"/>
        </w:rPr>
        <w:t>’</w:t>
      </w:r>
      <w:r>
        <w:rPr>
          <w:lang w:val="fr-FR"/>
        </w:rPr>
        <w:t xml:space="preserve">élévation du niveau de la mer. De manière générale, ils ont </w:t>
      </w:r>
      <w:r w:rsidRPr="00016AD6">
        <w:rPr>
          <w:lang w:val="fr-FR"/>
        </w:rPr>
        <w:t xml:space="preserve">approuvé la position prise par le Coprésident </w:t>
      </w:r>
      <w:r>
        <w:rPr>
          <w:lang w:val="fr-FR"/>
        </w:rPr>
        <w:t xml:space="preserve">sur ce point </w:t>
      </w:r>
      <w:r w:rsidRPr="00016AD6">
        <w:rPr>
          <w:lang w:val="fr-FR"/>
        </w:rPr>
        <w:t>dans la note complémentaire. On a fait observer que la conclusion tirée dans celle-ci découlait également du débat tenu à la session précédente de la Commission sur les implications de l</w:t>
      </w:r>
      <w:r w:rsidR="004C5E26">
        <w:rPr>
          <w:lang w:val="fr-FR"/>
        </w:rPr>
        <w:t>’</w:t>
      </w:r>
      <w:r w:rsidRPr="00016AD6">
        <w:rPr>
          <w:lang w:val="fr-FR"/>
        </w:rPr>
        <w:t xml:space="preserve">élévation du niveau de la mer </w:t>
      </w:r>
      <w:r>
        <w:rPr>
          <w:lang w:val="fr-FR"/>
        </w:rPr>
        <w:t xml:space="preserve">pour le </w:t>
      </w:r>
      <w:r w:rsidRPr="00016AD6">
        <w:rPr>
          <w:lang w:val="fr-FR"/>
        </w:rPr>
        <w:t xml:space="preserve">droit de la mer. </w:t>
      </w:r>
      <w:r>
        <w:rPr>
          <w:lang w:val="fr-FR"/>
        </w:rPr>
        <w:t>Certains membres ont</w:t>
      </w:r>
      <w:r w:rsidRPr="00016AD6">
        <w:rPr>
          <w:lang w:val="fr-FR"/>
        </w:rPr>
        <w:t xml:space="preserve"> </w:t>
      </w:r>
      <w:r>
        <w:rPr>
          <w:lang w:val="fr-FR"/>
        </w:rPr>
        <w:t>également</w:t>
      </w:r>
      <w:r w:rsidRPr="00016AD6">
        <w:rPr>
          <w:lang w:val="fr-FR"/>
        </w:rPr>
        <w:t xml:space="preserve"> </w:t>
      </w:r>
      <w:r>
        <w:rPr>
          <w:lang w:val="fr-FR"/>
        </w:rPr>
        <w:t>fait observer</w:t>
      </w:r>
      <w:r w:rsidRPr="00016AD6">
        <w:rPr>
          <w:lang w:val="fr-FR"/>
        </w:rPr>
        <w:t xml:space="preserve"> que la question de la protection des personnes touchées par l</w:t>
      </w:r>
      <w:r w:rsidR="004C5E26">
        <w:rPr>
          <w:lang w:val="fr-FR"/>
        </w:rPr>
        <w:t>’</w:t>
      </w:r>
      <w:r w:rsidRPr="00016AD6">
        <w:rPr>
          <w:lang w:val="fr-FR"/>
        </w:rPr>
        <w:t xml:space="preserve">élévation du niveau de la mer </w:t>
      </w:r>
      <w:r>
        <w:rPr>
          <w:lang w:val="fr-FR"/>
        </w:rPr>
        <w:t xml:space="preserve">était liée à celle de la </w:t>
      </w:r>
      <w:r w:rsidRPr="00016AD6">
        <w:rPr>
          <w:lang w:val="fr-FR"/>
        </w:rPr>
        <w:t>continuité de la condition étatique en ce que la perte potentielle de la condition étatique faisait naître l</w:t>
      </w:r>
      <w:r>
        <w:rPr>
          <w:lang w:val="fr-FR"/>
        </w:rPr>
        <w:t xml:space="preserve">e spectre de </w:t>
      </w:r>
      <w:r w:rsidRPr="001E07C9">
        <w:rPr>
          <w:lang w:val="fr-FR"/>
        </w:rPr>
        <w:t>l</w:t>
      </w:r>
      <w:r w:rsidR="004C5E26">
        <w:rPr>
          <w:lang w:val="fr-FR"/>
        </w:rPr>
        <w:t>’</w:t>
      </w:r>
      <w:r w:rsidRPr="001E07C9">
        <w:rPr>
          <w:lang w:val="fr-FR"/>
        </w:rPr>
        <w:t>apatridie</w:t>
      </w:r>
      <w:r>
        <w:rPr>
          <w:lang w:val="fr-FR"/>
        </w:rPr>
        <w:t>.</w:t>
      </w:r>
      <w:r w:rsidRPr="001E07C9">
        <w:rPr>
          <w:lang w:val="fr-FR"/>
        </w:rPr>
        <w:t xml:space="preserve"> On a</w:t>
      </w:r>
      <w:r w:rsidRPr="00016AD6">
        <w:rPr>
          <w:lang w:val="fr-FR"/>
        </w:rPr>
        <w:t xml:space="preserve"> évoqué la sentence arbitrale de</w:t>
      </w:r>
      <w:r>
        <w:rPr>
          <w:lang w:val="fr-FR"/>
        </w:rPr>
        <w:t xml:space="preserve"> </w:t>
      </w:r>
      <w:r w:rsidRPr="00016AD6">
        <w:rPr>
          <w:lang w:val="fr-FR"/>
        </w:rPr>
        <w:t>1928 relative à l</w:t>
      </w:r>
      <w:r w:rsidR="004C5E26">
        <w:rPr>
          <w:lang w:val="fr-FR"/>
        </w:rPr>
        <w:t>’</w:t>
      </w:r>
      <w:r w:rsidRPr="00016AD6">
        <w:rPr>
          <w:lang w:val="fr-FR"/>
        </w:rPr>
        <w:t>Île de Palmas</w:t>
      </w:r>
      <w:bookmarkStart w:id="138" w:name="_Ref169187747"/>
      <w:r w:rsidRPr="00E9227E">
        <w:rPr>
          <w:rStyle w:val="Appelnotedebasdep"/>
        </w:rPr>
        <w:footnoteReference w:id="259"/>
      </w:r>
      <w:bookmarkEnd w:id="138"/>
      <w:r>
        <w:rPr>
          <w:lang w:val="fr-FR"/>
        </w:rPr>
        <w:t>,</w:t>
      </w:r>
      <w:r w:rsidRPr="00CC1B88">
        <w:rPr>
          <w:lang w:val="fr-FR"/>
        </w:rPr>
        <w:t xml:space="preserve"> </w:t>
      </w:r>
      <w:r w:rsidRPr="00016AD6">
        <w:rPr>
          <w:lang w:val="fr-FR"/>
        </w:rPr>
        <w:t>qui avait mis l</w:t>
      </w:r>
      <w:r w:rsidR="004C5E26">
        <w:rPr>
          <w:lang w:val="fr-FR"/>
        </w:rPr>
        <w:t>’</w:t>
      </w:r>
      <w:r w:rsidRPr="00016AD6">
        <w:rPr>
          <w:lang w:val="fr-FR"/>
        </w:rPr>
        <w:t>accent non seulement sur le droit des États et la création de droits et titres mais aussi sur certains coro</w:t>
      </w:r>
      <w:r>
        <w:rPr>
          <w:lang w:val="fr-FR"/>
        </w:rPr>
        <w:t>l</w:t>
      </w:r>
      <w:r w:rsidRPr="00016AD6">
        <w:rPr>
          <w:lang w:val="fr-FR"/>
        </w:rPr>
        <w:t>laires</w:t>
      </w:r>
      <w:r>
        <w:rPr>
          <w:lang w:val="fr-FR"/>
        </w:rPr>
        <w:t>,</w:t>
      </w:r>
      <w:r w:rsidRPr="00016AD6">
        <w:rPr>
          <w:lang w:val="fr-FR"/>
        </w:rPr>
        <w:t xml:space="preserve"> </w:t>
      </w:r>
      <w:r>
        <w:rPr>
          <w:lang w:val="fr-FR"/>
        </w:rPr>
        <w:t>par exemple l</w:t>
      </w:r>
      <w:r w:rsidRPr="00016AD6">
        <w:rPr>
          <w:lang w:val="fr-FR"/>
        </w:rPr>
        <w:t xml:space="preserve">es obligations </w:t>
      </w:r>
      <w:r>
        <w:rPr>
          <w:lang w:val="fr-FR"/>
        </w:rPr>
        <w:t xml:space="preserve">concernant </w:t>
      </w:r>
      <w:r w:rsidRPr="00016AD6">
        <w:rPr>
          <w:lang w:val="fr-FR"/>
        </w:rPr>
        <w:t>la protection de certains intérêts majeurs.</w:t>
      </w:r>
    </w:p>
    <w:p w14:paraId="0185BC3A" w14:textId="4F392045" w:rsidR="00737BD1" w:rsidRPr="00016AD6" w:rsidRDefault="00737BD1" w:rsidP="00737BD1">
      <w:pPr>
        <w:pStyle w:val="SingleTxtG"/>
        <w:rPr>
          <w:lang w:val="fr-FR"/>
        </w:rPr>
      </w:pPr>
      <w:r>
        <w:rPr>
          <w:lang w:val="fr-FR"/>
        </w:rPr>
        <w:t>352.</w:t>
      </w:r>
      <w:r>
        <w:rPr>
          <w:lang w:val="fr-FR"/>
        </w:rPr>
        <w:tab/>
        <w:t>D</w:t>
      </w:r>
      <w:r w:rsidRPr="00016AD6">
        <w:rPr>
          <w:lang w:val="fr-FR"/>
        </w:rPr>
        <w:t>iverses observations faites par les États durant les débats de la Sixième Commission et reproduites dans la note complémentaire</w:t>
      </w:r>
      <w:r>
        <w:rPr>
          <w:lang w:val="fr-FR"/>
        </w:rPr>
        <w:t xml:space="preserve"> ont été évoquées</w:t>
      </w:r>
      <w:r w:rsidRPr="00016AD6">
        <w:rPr>
          <w:lang w:val="fr-FR"/>
        </w:rPr>
        <w:t xml:space="preserve">. </w:t>
      </w:r>
      <w:r>
        <w:rPr>
          <w:lang w:val="fr-FR"/>
        </w:rPr>
        <w:t>Certains membres du Groupe d</w:t>
      </w:r>
      <w:r w:rsidR="004C5E26">
        <w:rPr>
          <w:lang w:val="fr-FR"/>
        </w:rPr>
        <w:t>’</w:t>
      </w:r>
      <w:r>
        <w:rPr>
          <w:lang w:val="fr-FR"/>
        </w:rPr>
        <w:t>étude ont dit qu</w:t>
      </w:r>
      <w:r w:rsidR="004C5E26">
        <w:rPr>
          <w:lang w:val="fr-FR"/>
        </w:rPr>
        <w:t>’</w:t>
      </w:r>
      <w:r>
        <w:rPr>
          <w:lang w:val="fr-FR"/>
        </w:rPr>
        <w:t>il fallait soigneusement déterminer les raisons précises sous-tendant ces observations, sans chercher à y voir des points de vue que les États avaient peut-être consciencieusement choisi de taire,</w:t>
      </w:r>
      <w:r w:rsidRPr="00016AD6">
        <w:rPr>
          <w:lang w:val="fr-FR"/>
        </w:rPr>
        <w:t xml:space="preserve"> puisque le sujet de la condition </w:t>
      </w:r>
      <w:r w:rsidRPr="00ED686D">
        <w:rPr>
          <w:lang w:val="fr-FR"/>
        </w:rPr>
        <w:t>étatique concernait de</w:t>
      </w:r>
      <w:r>
        <w:rPr>
          <w:lang w:val="fr-FR"/>
        </w:rPr>
        <w:t xml:space="preserve"> </w:t>
      </w:r>
      <w:r>
        <w:rPr>
          <w:lang w:val="fr-FR"/>
        </w:rPr>
        <w:lastRenderedPageBreak/>
        <w:t>nombreux domaines</w:t>
      </w:r>
      <w:r w:rsidRPr="00016AD6">
        <w:rPr>
          <w:lang w:val="fr-FR"/>
        </w:rPr>
        <w:t xml:space="preserve"> du droit international. On a </w:t>
      </w:r>
      <w:r>
        <w:rPr>
          <w:lang w:val="fr-FR"/>
        </w:rPr>
        <w:t>aussi</w:t>
      </w:r>
      <w:r w:rsidRPr="00016AD6">
        <w:rPr>
          <w:lang w:val="fr-FR"/>
        </w:rPr>
        <w:t xml:space="preserve"> fait observer que les États qui appuyaient la continuité de la condition étatique </w:t>
      </w:r>
      <w:r>
        <w:rPr>
          <w:lang w:val="fr-FR"/>
        </w:rPr>
        <w:t xml:space="preserve">pouvaient avoir invoqué </w:t>
      </w:r>
      <w:r w:rsidRPr="00016AD6">
        <w:rPr>
          <w:lang w:val="fr-FR"/>
        </w:rPr>
        <w:t>d</w:t>
      </w:r>
      <w:r>
        <w:rPr>
          <w:lang w:val="fr-FR"/>
        </w:rPr>
        <w:t>iv</w:t>
      </w:r>
      <w:r w:rsidRPr="00016AD6">
        <w:rPr>
          <w:lang w:val="fr-FR"/>
        </w:rPr>
        <w:t>e</w:t>
      </w:r>
      <w:r>
        <w:rPr>
          <w:lang w:val="fr-FR"/>
        </w:rPr>
        <w:t>r</w:t>
      </w:r>
      <w:r w:rsidRPr="00016AD6">
        <w:rPr>
          <w:lang w:val="fr-FR"/>
        </w:rPr>
        <w:t xml:space="preserve">s </w:t>
      </w:r>
      <w:r w:rsidRPr="003A6D72">
        <w:rPr>
          <w:lang w:val="fr-FR"/>
        </w:rPr>
        <w:t>arguments</w:t>
      </w:r>
      <w:r>
        <w:rPr>
          <w:lang w:val="fr-FR"/>
        </w:rPr>
        <w:t>, notamment les suivants</w:t>
      </w:r>
      <w:r w:rsidRPr="00016AD6">
        <w:rPr>
          <w:lang w:val="fr-FR"/>
        </w:rPr>
        <w:t> : 1) il existait une règle établie du droit international positif sur ce point ; 2) il pouvait exister une certaine souplesse dans l</w:t>
      </w:r>
      <w:r w:rsidR="004C5E26">
        <w:rPr>
          <w:lang w:val="fr-FR"/>
        </w:rPr>
        <w:t>’</w:t>
      </w:r>
      <w:r w:rsidRPr="00016AD6">
        <w:rPr>
          <w:lang w:val="fr-FR"/>
        </w:rPr>
        <w:t>application d</w:t>
      </w:r>
      <w:r w:rsidR="004C5E26">
        <w:rPr>
          <w:lang w:val="fr-FR"/>
        </w:rPr>
        <w:t>’</w:t>
      </w:r>
      <w:r w:rsidRPr="00016AD6">
        <w:rPr>
          <w:lang w:val="fr-FR"/>
        </w:rPr>
        <w:t xml:space="preserve">une règle vague mais néanmoins positive sur ce point ; 3) il existait des raisons pour lesquelles développer le droit international dans une certaine direction </w:t>
      </w:r>
      <w:r>
        <w:rPr>
          <w:lang w:val="fr-FR"/>
        </w:rPr>
        <w:t xml:space="preserve">irait dans le sens </w:t>
      </w:r>
      <w:r w:rsidRPr="00016AD6">
        <w:rPr>
          <w:lang w:val="fr-FR"/>
        </w:rPr>
        <w:t>de l</w:t>
      </w:r>
      <w:r w:rsidR="004C5E26">
        <w:rPr>
          <w:lang w:val="fr-FR"/>
        </w:rPr>
        <w:t>’</w:t>
      </w:r>
      <w:r w:rsidRPr="00016AD6">
        <w:rPr>
          <w:lang w:val="fr-FR"/>
        </w:rPr>
        <w:t>évolution du système juridique, en particulier lorsque l</w:t>
      </w:r>
      <w:r w:rsidR="004C5E26">
        <w:rPr>
          <w:lang w:val="fr-FR"/>
        </w:rPr>
        <w:t>’</w:t>
      </w:r>
      <w:r w:rsidRPr="00016AD6">
        <w:rPr>
          <w:lang w:val="fr-FR"/>
        </w:rPr>
        <w:t>on invoquait des situations par analogie ; ou 4) les États en question ne prenaient aucune position sur l</w:t>
      </w:r>
      <w:r w:rsidR="004C5E26">
        <w:rPr>
          <w:lang w:val="fr-FR"/>
        </w:rPr>
        <w:t>’</w:t>
      </w:r>
      <w:r>
        <w:rPr>
          <w:lang w:val="fr-FR"/>
        </w:rPr>
        <w:t>existence</w:t>
      </w:r>
      <w:r w:rsidRPr="00016AD6">
        <w:rPr>
          <w:lang w:val="fr-FR"/>
        </w:rPr>
        <w:t xml:space="preserve"> ou l</w:t>
      </w:r>
      <w:r w:rsidR="004C5E26">
        <w:rPr>
          <w:lang w:val="fr-FR"/>
        </w:rPr>
        <w:t>’</w:t>
      </w:r>
      <w:r w:rsidRPr="00016AD6">
        <w:rPr>
          <w:lang w:val="fr-FR"/>
        </w:rPr>
        <w:t xml:space="preserve">opportunité de règles </w:t>
      </w:r>
      <w:r>
        <w:rPr>
          <w:lang w:val="fr-FR"/>
        </w:rPr>
        <w:t xml:space="preserve">positives </w:t>
      </w:r>
      <w:r w:rsidRPr="00016AD6">
        <w:rPr>
          <w:lang w:val="fr-FR"/>
        </w:rPr>
        <w:t>en la matière et indiquaient simplement une préférence de principe.</w:t>
      </w:r>
    </w:p>
    <w:p w14:paraId="0292A264" w14:textId="09B40ACA" w:rsidR="00737BD1" w:rsidRPr="00016AD6" w:rsidRDefault="00737BD1" w:rsidP="00737BD1">
      <w:pPr>
        <w:pStyle w:val="H4G"/>
        <w:rPr>
          <w:b/>
          <w:lang w:val="fr-FR"/>
        </w:rPr>
      </w:pPr>
      <w:r w:rsidRPr="00016AD6">
        <w:rPr>
          <w:lang w:val="fr-FR"/>
        </w:rPr>
        <w:tab/>
        <w:t>iii)</w:t>
      </w:r>
      <w:r w:rsidRPr="00016AD6">
        <w:rPr>
          <w:lang w:val="fr-FR"/>
        </w:rPr>
        <w:tab/>
      </w:r>
      <w:r w:rsidRPr="00ED686D">
        <w:t>Éléments constitutifs de l</w:t>
      </w:r>
      <w:r w:rsidR="004C5E26">
        <w:t>’</w:t>
      </w:r>
      <w:r w:rsidRPr="00ED686D">
        <w:t>État</w:t>
      </w:r>
      <w:r w:rsidRPr="000C18DA">
        <w:t xml:space="preserve"> en tant que sujet de droit international et continuité </w:t>
      </w:r>
      <w:r w:rsidR="004E1476">
        <w:br/>
      </w:r>
      <w:r w:rsidRPr="000C18DA">
        <w:t>de l</w:t>
      </w:r>
      <w:r w:rsidR="004C5E26">
        <w:t>’</w:t>
      </w:r>
      <w:r w:rsidRPr="000C18DA">
        <w:t>existence de l</w:t>
      </w:r>
      <w:r w:rsidR="004C5E26">
        <w:t>’</w:t>
      </w:r>
      <w:r w:rsidRPr="000C18DA">
        <w:t>État</w:t>
      </w:r>
    </w:p>
    <w:p w14:paraId="4E6C74F9" w14:textId="59637D94" w:rsidR="00737BD1" w:rsidRDefault="00737BD1" w:rsidP="00737BD1">
      <w:pPr>
        <w:pStyle w:val="H56G"/>
        <w:rPr>
          <w:lang w:val="fr-FR"/>
        </w:rPr>
      </w:pPr>
      <w:r>
        <w:rPr>
          <w:lang w:val="fr-FR"/>
        </w:rPr>
        <w:tab/>
        <w:t>a</w:t>
      </w:r>
      <w:r w:rsidR="00414AA0">
        <w:rPr>
          <w:lang w:val="fr-FR"/>
        </w:rPr>
        <w:t>.</w:t>
      </w:r>
      <w:r>
        <w:rPr>
          <w:lang w:val="fr-FR"/>
        </w:rPr>
        <w:tab/>
      </w:r>
      <w:r w:rsidRPr="00016AD6">
        <w:rPr>
          <w:lang w:val="fr-FR"/>
        </w:rPr>
        <w:t xml:space="preserve">Distinction entre les </w:t>
      </w:r>
      <w:r>
        <w:rPr>
          <w:lang w:val="fr-FR"/>
        </w:rPr>
        <w:t>éléments constitutifs de l</w:t>
      </w:r>
      <w:r w:rsidR="004C5E26">
        <w:rPr>
          <w:lang w:val="fr-FR"/>
        </w:rPr>
        <w:t>’</w:t>
      </w:r>
      <w:r>
        <w:rPr>
          <w:lang w:val="fr-FR"/>
        </w:rPr>
        <w:t xml:space="preserve">État </w:t>
      </w:r>
      <w:r w:rsidRPr="00016AD6">
        <w:rPr>
          <w:lang w:val="fr-FR"/>
        </w:rPr>
        <w:t xml:space="preserve">et </w:t>
      </w:r>
      <w:r>
        <w:rPr>
          <w:lang w:val="fr-FR"/>
        </w:rPr>
        <w:t xml:space="preserve">les critères relatifs à la </w:t>
      </w:r>
      <w:r w:rsidRPr="00016AD6">
        <w:rPr>
          <w:lang w:val="fr-FR"/>
        </w:rPr>
        <w:t>continuité</w:t>
      </w:r>
      <w:r>
        <w:rPr>
          <w:lang w:val="fr-FR"/>
        </w:rPr>
        <w:t xml:space="preserve"> </w:t>
      </w:r>
      <w:r w:rsidR="004E1476">
        <w:rPr>
          <w:lang w:val="fr-FR"/>
        </w:rPr>
        <w:br/>
      </w:r>
      <w:r>
        <w:rPr>
          <w:lang w:val="fr-FR"/>
        </w:rPr>
        <w:t>de celui</w:t>
      </w:r>
      <w:r>
        <w:rPr>
          <w:lang w:val="fr-FR"/>
        </w:rPr>
        <w:noBreakHyphen/>
        <w:t>ci</w:t>
      </w:r>
    </w:p>
    <w:p w14:paraId="31D064F6" w14:textId="77777777" w:rsidR="00737BD1" w:rsidRPr="00DF622F" w:rsidRDefault="00737BD1" w:rsidP="00737BD1">
      <w:pPr>
        <w:pStyle w:val="H56G"/>
        <w:rPr>
          <w:lang w:val="fr-FR"/>
        </w:rPr>
      </w:pPr>
      <w:r>
        <w:rPr>
          <w:lang w:val="fr-FR"/>
        </w:rPr>
        <w:tab/>
        <w:t>i.</w:t>
      </w:r>
      <w:r>
        <w:rPr>
          <w:lang w:val="fr-FR"/>
        </w:rPr>
        <w:tab/>
      </w:r>
      <w:r w:rsidRPr="00016AD6">
        <w:rPr>
          <w:lang w:val="fr-FR"/>
        </w:rPr>
        <w:t>Présentation par le Coprésident</w:t>
      </w:r>
    </w:p>
    <w:p w14:paraId="22BDFD32" w14:textId="044A6627" w:rsidR="00737BD1" w:rsidRDefault="00737BD1" w:rsidP="00737BD1">
      <w:pPr>
        <w:pStyle w:val="SingleTxtG"/>
        <w:rPr>
          <w:lang w:val="fr-FR"/>
        </w:rPr>
      </w:pPr>
      <w:r>
        <w:rPr>
          <w:lang w:val="fr-FR"/>
        </w:rPr>
        <w:t>353.</w:t>
      </w:r>
      <w:r>
        <w:rPr>
          <w:lang w:val="fr-FR"/>
        </w:rPr>
        <w:tab/>
      </w:r>
      <w:r w:rsidRPr="00016AD6">
        <w:rPr>
          <w:lang w:val="fr-FR"/>
        </w:rPr>
        <w:t xml:space="preserve">Le Coprésident </w:t>
      </w:r>
      <w:r>
        <w:rPr>
          <w:lang w:val="fr-FR"/>
        </w:rPr>
        <w:t xml:space="preserve">(M. </w:t>
      </w:r>
      <w:proofErr w:type="spellStart"/>
      <w:r>
        <w:rPr>
          <w:lang w:val="fr-FR"/>
        </w:rPr>
        <w:t>Ruda</w:t>
      </w:r>
      <w:proofErr w:type="spellEnd"/>
      <w:r>
        <w:rPr>
          <w:lang w:val="fr-FR"/>
        </w:rPr>
        <w:t xml:space="preserve"> </w:t>
      </w:r>
      <w:proofErr w:type="spellStart"/>
      <w:r>
        <w:rPr>
          <w:lang w:val="fr-FR"/>
        </w:rPr>
        <w:t>Santolaria</w:t>
      </w:r>
      <w:proofErr w:type="spellEnd"/>
      <w:r>
        <w:rPr>
          <w:lang w:val="fr-FR"/>
        </w:rPr>
        <w:t xml:space="preserve">) </w:t>
      </w:r>
      <w:r w:rsidRPr="00016AD6">
        <w:rPr>
          <w:lang w:val="fr-FR"/>
        </w:rPr>
        <w:t>a rappelé qu</w:t>
      </w:r>
      <w:r w:rsidR="004C5E26">
        <w:rPr>
          <w:lang w:val="fr-FR"/>
        </w:rPr>
        <w:t>’</w:t>
      </w:r>
      <w:r w:rsidRPr="00016AD6">
        <w:rPr>
          <w:lang w:val="fr-FR"/>
        </w:rPr>
        <w:t>en ce qui concerne le fondement juridique de la continuité de la condition étatique, la principale référence était l</w:t>
      </w:r>
      <w:r w:rsidR="004C5E26">
        <w:rPr>
          <w:lang w:val="fr-FR"/>
        </w:rPr>
        <w:t>’</w:t>
      </w:r>
      <w:r>
        <w:rPr>
          <w:lang w:val="fr-FR"/>
        </w:rPr>
        <w:t>a</w:t>
      </w:r>
      <w:r w:rsidRPr="00016AD6">
        <w:rPr>
          <w:lang w:val="fr-FR"/>
        </w:rPr>
        <w:t>rticle premier de la Convention de Montevideo sur les droits et devoirs des États</w:t>
      </w:r>
      <w:bookmarkStart w:id="139" w:name="_Ref169187791"/>
      <w:r w:rsidRPr="00E9227E">
        <w:rPr>
          <w:rStyle w:val="Appelnotedebasdep"/>
        </w:rPr>
        <w:footnoteReference w:id="260"/>
      </w:r>
      <w:bookmarkEnd w:id="139"/>
      <w:r w:rsidRPr="00016AD6">
        <w:rPr>
          <w:lang w:val="fr-FR"/>
        </w:rPr>
        <w:t>, de</w:t>
      </w:r>
      <w:r>
        <w:rPr>
          <w:lang w:val="fr-FR"/>
        </w:rPr>
        <w:t xml:space="preserve"> </w:t>
      </w:r>
      <w:r w:rsidRPr="00016AD6">
        <w:rPr>
          <w:lang w:val="fr-FR"/>
        </w:rPr>
        <w:t xml:space="preserve">1933, qui </w:t>
      </w:r>
      <w:r>
        <w:rPr>
          <w:lang w:val="fr-FR"/>
        </w:rPr>
        <w:t xml:space="preserve">avait énoncé </w:t>
      </w:r>
      <w:r w:rsidRPr="00016AD6">
        <w:rPr>
          <w:lang w:val="fr-FR"/>
        </w:rPr>
        <w:t>une série d</w:t>
      </w:r>
      <w:r w:rsidR="004C5E26">
        <w:rPr>
          <w:lang w:val="fr-FR"/>
        </w:rPr>
        <w:t>’</w:t>
      </w:r>
      <w:r>
        <w:rPr>
          <w:lang w:val="fr-FR"/>
        </w:rPr>
        <w:t>éléments indispensables pour qu</w:t>
      </w:r>
      <w:r w:rsidR="004C5E26">
        <w:rPr>
          <w:lang w:val="fr-FR"/>
        </w:rPr>
        <w:t>’</w:t>
      </w:r>
      <w:r>
        <w:rPr>
          <w:lang w:val="fr-FR"/>
        </w:rPr>
        <w:t>une entité puisse être qualifiée d</w:t>
      </w:r>
      <w:r w:rsidR="004C5E26">
        <w:rPr>
          <w:lang w:val="fr-FR"/>
        </w:rPr>
        <w:t>’</w:t>
      </w:r>
      <w:r>
        <w:rPr>
          <w:lang w:val="fr-FR"/>
        </w:rPr>
        <w:t xml:space="preserve">État, </w:t>
      </w:r>
      <w:r w:rsidRPr="00016AD6">
        <w:rPr>
          <w:lang w:val="fr-FR"/>
        </w:rPr>
        <w:t xml:space="preserve">qui en </w:t>
      </w:r>
      <w:r>
        <w:rPr>
          <w:lang w:val="fr-FR"/>
        </w:rPr>
        <w:t xml:space="preserve">étaient </w:t>
      </w:r>
      <w:r w:rsidRPr="00016AD6">
        <w:rPr>
          <w:lang w:val="fr-FR"/>
        </w:rPr>
        <w:t>venus depuis lors à être généralement acceptés pour établir l</w:t>
      </w:r>
      <w:r w:rsidR="004C5E26">
        <w:rPr>
          <w:lang w:val="fr-FR"/>
        </w:rPr>
        <w:t>’</w:t>
      </w:r>
      <w:r w:rsidRPr="00016AD6">
        <w:rPr>
          <w:lang w:val="fr-FR"/>
        </w:rPr>
        <w:t>existence d</w:t>
      </w:r>
      <w:r w:rsidR="004C5E26">
        <w:rPr>
          <w:lang w:val="fr-FR"/>
        </w:rPr>
        <w:t>’</w:t>
      </w:r>
      <w:r w:rsidRPr="00016AD6">
        <w:rPr>
          <w:lang w:val="fr-FR"/>
        </w:rPr>
        <w:t xml:space="preserve">un État en tant que sujet </w:t>
      </w:r>
      <w:r>
        <w:rPr>
          <w:lang w:val="fr-FR"/>
        </w:rPr>
        <w:t xml:space="preserve">ou personne </w:t>
      </w:r>
      <w:r w:rsidRPr="00016AD6">
        <w:rPr>
          <w:lang w:val="fr-FR"/>
        </w:rPr>
        <w:t>de droit international. De l</w:t>
      </w:r>
      <w:r w:rsidR="004C5E26">
        <w:rPr>
          <w:lang w:val="fr-FR"/>
        </w:rPr>
        <w:t>’</w:t>
      </w:r>
      <w:r w:rsidRPr="00016AD6">
        <w:rPr>
          <w:lang w:val="fr-FR"/>
        </w:rPr>
        <w:t>avis du Coprésident, on pouvait distinguer les situations dans lesquelles les dispositions de l</w:t>
      </w:r>
      <w:r w:rsidR="004C5E26">
        <w:rPr>
          <w:lang w:val="fr-FR"/>
        </w:rPr>
        <w:t>’</w:t>
      </w:r>
      <w:r>
        <w:rPr>
          <w:lang w:val="fr-FR"/>
        </w:rPr>
        <w:t>a</w:t>
      </w:r>
      <w:r w:rsidRPr="00016AD6">
        <w:rPr>
          <w:lang w:val="fr-FR"/>
        </w:rPr>
        <w:t>rticle premier de la Convention de Montevideo étaient applicables pour qu</w:t>
      </w:r>
      <w:r w:rsidR="004C5E26">
        <w:rPr>
          <w:lang w:val="fr-FR"/>
        </w:rPr>
        <w:t>’</w:t>
      </w:r>
      <w:r w:rsidRPr="00016AD6">
        <w:rPr>
          <w:lang w:val="fr-FR"/>
        </w:rPr>
        <w:t>un État soit considéré comme un sujet de droit international et d</w:t>
      </w:r>
      <w:r w:rsidR="004C5E26">
        <w:rPr>
          <w:lang w:val="fr-FR"/>
        </w:rPr>
        <w:t>’</w:t>
      </w:r>
      <w:r w:rsidRPr="00016AD6">
        <w:rPr>
          <w:lang w:val="fr-FR"/>
        </w:rPr>
        <w:t>autres situations, dans lesquelles</w:t>
      </w:r>
      <w:r>
        <w:rPr>
          <w:lang w:val="fr-FR"/>
        </w:rPr>
        <w:t>,</w:t>
      </w:r>
      <w:r w:rsidRPr="00016AD6">
        <w:rPr>
          <w:lang w:val="fr-FR"/>
        </w:rPr>
        <w:t xml:space="preserve"> en raison de certaines circonstances touchant des États existants</w:t>
      </w:r>
      <w:r>
        <w:rPr>
          <w:lang w:val="fr-FR"/>
        </w:rPr>
        <w:t>,</w:t>
      </w:r>
      <w:r w:rsidRPr="00016AD6">
        <w:rPr>
          <w:lang w:val="fr-FR"/>
        </w:rPr>
        <w:t xml:space="preserve"> </w:t>
      </w:r>
      <w:r>
        <w:rPr>
          <w:lang w:val="fr-FR"/>
        </w:rPr>
        <w:t>un ou plusieurs éléments constitutifs de l</w:t>
      </w:r>
      <w:r w:rsidR="004C5E26">
        <w:rPr>
          <w:lang w:val="fr-FR"/>
        </w:rPr>
        <w:t>’</w:t>
      </w:r>
      <w:r>
        <w:rPr>
          <w:lang w:val="fr-FR"/>
        </w:rPr>
        <w:t xml:space="preserve">État définis à </w:t>
      </w:r>
      <w:r w:rsidRPr="00016AD6">
        <w:rPr>
          <w:lang w:val="fr-FR"/>
        </w:rPr>
        <w:t>l</w:t>
      </w:r>
      <w:r w:rsidR="004C5E26">
        <w:rPr>
          <w:lang w:val="fr-FR"/>
        </w:rPr>
        <w:t>’</w:t>
      </w:r>
      <w:r>
        <w:rPr>
          <w:lang w:val="fr-FR"/>
        </w:rPr>
        <w:t>a</w:t>
      </w:r>
      <w:r w:rsidRPr="00016AD6">
        <w:rPr>
          <w:lang w:val="fr-FR"/>
        </w:rPr>
        <w:t>rticle</w:t>
      </w:r>
      <w:r>
        <w:rPr>
          <w:lang w:val="fr-FR"/>
        </w:rPr>
        <w:t xml:space="preserve"> </w:t>
      </w:r>
      <w:r w:rsidRPr="00016AD6">
        <w:rPr>
          <w:lang w:val="fr-FR"/>
        </w:rPr>
        <w:t xml:space="preserve">premier de la Convention de Montevideo </w:t>
      </w:r>
      <w:r>
        <w:rPr>
          <w:lang w:val="fr-FR"/>
        </w:rPr>
        <w:t>n</w:t>
      </w:r>
      <w:r w:rsidR="004C5E26">
        <w:rPr>
          <w:lang w:val="fr-FR"/>
        </w:rPr>
        <w:t>’</w:t>
      </w:r>
      <w:r>
        <w:rPr>
          <w:lang w:val="fr-FR"/>
        </w:rPr>
        <w:t>étaient plus présents</w:t>
      </w:r>
      <w:r w:rsidRPr="00016AD6">
        <w:rPr>
          <w:lang w:val="fr-FR"/>
        </w:rPr>
        <w:t>. Il a fait observer que la Convention n</w:t>
      </w:r>
      <w:r w:rsidR="004C5E26">
        <w:rPr>
          <w:lang w:val="fr-FR"/>
        </w:rPr>
        <w:t>’</w:t>
      </w:r>
      <w:r w:rsidRPr="00016AD6">
        <w:rPr>
          <w:lang w:val="fr-FR"/>
        </w:rPr>
        <w:t xml:space="preserve">envisageait pas la question de </w:t>
      </w:r>
      <w:r>
        <w:rPr>
          <w:lang w:val="fr-FR"/>
        </w:rPr>
        <w:t>la perte de la condition étatique</w:t>
      </w:r>
      <w:r w:rsidRPr="00016AD6">
        <w:rPr>
          <w:lang w:val="fr-FR"/>
        </w:rPr>
        <w:t xml:space="preserve"> mais mentionnait le droit de chaque État de </w:t>
      </w:r>
      <w:r>
        <w:rPr>
          <w:lang w:val="fr-FR"/>
        </w:rPr>
        <w:t>préserver</w:t>
      </w:r>
      <w:r w:rsidRPr="00016AD6">
        <w:rPr>
          <w:lang w:val="fr-FR"/>
        </w:rPr>
        <w:t xml:space="preserve"> son </w:t>
      </w:r>
      <w:r>
        <w:rPr>
          <w:lang w:val="fr-FR"/>
        </w:rPr>
        <w:t xml:space="preserve">existence </w:t>
      </w:r>
      <w:r w:rsidRPr="00016AD6">
        <w:rPr>
          <w:lang w:val="fr-FR"/>
        </w:rPr>
        <w:t>et son indépendance</w:t>
      </w:r>
      <w:r>
        <w:rPr>
          <w:lang w:val="fr-FR"/>
        </w:rPr>
        <w:t>.</w:t>
      </w:r>
      <w:r w:rsidRPr="00016AD6">
        <w:rPr>
          <w:lang w:val="fr-FR"/>
        </w:rPr>
        <w:t xml:space="preserve"> Cette position a</w:t>
      </w:r>
      <w:r>
        <w:rPr>
          <w:lang w:val="fr-FR"/>
        </w:rPr>
        <w:t>vait</w:t>
      </w:r>
      <w:r w:rsidRPr="00016AD6">
        <w:rPr>
          <w:lang w:val="fr-FR"/>
        </w:rPr>
        <w:t xml:space="preserve"> encore été confirmée en</w:t>
      </w:r>
      <w:r>
        <w:rPr>
          <w:lang w:val="fr-FR"/>
        </w:rPr>
        <w:t xml:space="preserve"> </w:t>
      </w:r>
      <w:r w:rsidRPr="00016AD6">
        <w:rPr>
          <w:lang w:val="fr-FR"/>
        </w:rPr>
        <w:t>2023 dans la Déclaration du Forum des îles du Pacifique. La Déclaration présum</w:t>
      </w:r>
      <w:r>
        <w:rPr>
          <w:lang w:val="fr-FR"/>
        </w:rPr>
        <w:t>ait</w:t>
      </w:r>
      <w:r w:rsidRPr="00016AD6">
        <w:rPr>
          <w:lang w:val="fr-FR"/>
        </w:rPr>
        <w:t xml:space="preserve"> la continuité de la condition étatique quels que soient les </w:t>
      </w:r>
      <w:r>
        <w:rPr>
          <w:lang w:val="fr-FR"/>
        </w:rPr>
        <w:t xml:space="preserve">effets </w:t>
      </w:r>
      <w:r w:rsidRPr="00016AD6">
        <w:rPr>
          <w:lang w:val="fr-FR"/>
        </w:rPr>
        <w:t>de l</w:t>
      </w:r>
      <w:r w:rsidR="004C5E26">
        <w:rPr>
          <w:lang w:val="fr-FR"/>
        </w:rPr>
        <w:t>’</w:t>
      </w:r>
      <w:r w:rsidRPr="00016AD6">
        <w:rPr>
          <w:lang w:val="fr-FR"/>
        </w:rPr>
        <w:t>élévation du niveau de la mer.</w:t>
      </w:r>
    </w:p>
    <w:p w14:paraId="6DA73A1B" w14:textId="77777777" w:rsidR="00737BD1" w:rsidRPr="00016AD6" w:rsidRDefault="00737BD1" w:rsidP="00737BD1">
      <w:pPr>
        <w:pStyle w:val="H56G"/>
        <w:rPr>
          <w:lang w:val="fr-FR"/>
        </w:rPr>
      </w:pPr>
      <w:r>
        <w:rPr>
          <w:lang w:val="fr-FR"/>
        </w:rPr>
        <w:tab/>
        <w:t>ii.</w:t>
      </w:r>
      <w:r>
        <w:rPr>
          <w:lang w:val="fr-FR"/>
        </w:rPr>
        <w:tab/>
        <w:t>Résumé du débat</w:t>
      </w:r>
    </w:p>
    <w:p w14:paraId="436D20EF" w14:textId="5A725C47"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354.</w:t>
      </w:r>
      <w:r>
        <w:rPr>
          <w:rFonts w:asciiTheme="majorBidi" w:eastAsia="Calibri" w:hAnsiTheme="majorBidi"/>
          <w:lang w:val="fr-FR"/>
        </w:rPr>
        <w:tab/>
      </w:r>
      <w:r w:rsidRPr="00016AD6">
        <w:rPr>
          <w:rFonts w:asciiTheme="majorBidi" w:eastAsia="Calibri" w:hAnsiTheme="majorBidi"/>
          <w:lang w:val="fr-FR"/>
        </w:rPr>
        <w:t>Durant la discussion qui a suivi au sein du Groupe d</w:t>
      </w:r>
      <w:r w:rsidR="004C5E26">
        <w:rPr>
          <w:rFonts w:asciiTheme="majorBidi" w:eastAsia="Calibri" w:hAnsiTheme="majorBidi"/>
          <w:lang w:val="fr-FR"/>
        </w:rPr>
        <w:t>’</w:t>
      </w:r>
      <w:r w:rsidRPr="00016AD6">
        <w:rPr>
          <w:rFonts w:asciiTheme="majorBidi" w:eastAsia="Calibri" w:hAnsiTheme="majorBidi"/>
          <w:lang w:val="fr-FR"/>
        </w:rPr>
        <w:t xml:space="preserve">étude, la position prise dans la note complémentaire, à savoir que les critères énoncés dans la Convention de Montevideo ne </w:t>
      </w:r>
      <w:r>
        <w:rPr>
          <w:rFonts w:asciiTheme="majorBidi" w:eastAsia="Calibri" w:hAnsiTheme="majorBidi"/>
          <w:lang w:val="fr-FR"/>
        </w:rPr>
        <w:t>répondaient</w:t>
      </w:r>
      <w:r w:rsidRPr="00016AD6">
        <w:rPr>
          <w:rFonts w:asciiTheme="majorBidi" w:eastAsia="Calibri" w:hAnsiTheme="majorBidi"/>
          <w:lang w:val="fr-FR"/>
        </w:rPr>
        <w:t xml:space="preserve"> pas </w:t>
      </w:r>
      <w:r>
        <w:rPr>
          <w:rFonts w:asciiTheme="majorBidi" w:eastAsia="Calibri" w:hAnsiTheme="majorBidi"/>
          <w:lang w:val="fr-FR"/>
        </w:rPr>
        <w:t xml:space="preserve">vraiment à </w:t>
      </w:r>
      <w:r w:rsidRPr="00016AD6">
        <w:rPr>
          <w:rFonts w:asciiTheme="majorBidi" w:eastAsia="Calibri" w:hAnsiTheme="majorBidi"/>
          <w:lang w:val="fr-FR"/>
        </w:rPr>
        <w:t>la question</w:t>
      </w:r>
      <w:r>
        <w:rPr>
          <w:rFonts w:asciiTheme="majorBidi" w:eastAsia="Calibri" w:hAnsiTheme="majorBidi"/>
          <w:lang w:val="fr-FR"/>
        </w:rPr>
        <w:t xml:space="preserve"> de la continuité de la condition étatique, a reçu un certain soutien</w:t>
      </w:r>
      <w:r w:rsidRPr="00016AD6">
        <w:rPr>
          <w:rFonts w:asciiTheme="majorBidi" w:eastAsia="Calibri" w:hAnsiTheme="majorBidi"/>
          <w:lang w:val="fr-FR"/>
        </w:rPr>
        <w:t>. On a dit qu</w:t>
      </w:r>
      <w:r w:rsidR="004C5E26">
        <w:rPr>
          <w:rFonts w:asciiTheme="majorBidi" w:eastAsia="Calibri" w:hAnsiTheme="majorBidi"/>
          <w:lang w:val="fr-FR"/>
        </w:rPr>
        <w:t>’</w:t>
      </w:r>
      <w:r w:rsidRPr="00016AD6">
        <w:rPr>
          <w:rFonts w:asciiTheme="majorBidi" w:eastAsia="Calibri" w:hAnsiTheme="majorBidi"/>
          <w:lang w:val="fr-FR"/>
        </w:rPr>
        <w:t>une distinction pouvait être opérée entre la création d</w:t>
      </w:r>
      <w:r w:rsidR="004C5E26">
        <w:rPr>
          <w:rFonts w:asciiTheme="majorBidi" w:eastAsia="Calibri" w:hAnsiTheme="majorBidi"/>
          <w:lang w:val="fr-FR"/>
        </w:rPr>
        <w:t>’</w:t>
      </w:r>
      <w:r w:rsidRPr="00016AD6">
        <w:rPr>
          <w:rFonts w:asciiTheme="majorBidi" w:eastAsia="Calibri" w:hAnsiTheme="majorBidi"/>
          <w:lang w:val="fr-FR"/>
        </w:rPr>
        <w:t>un droit et sa continuation. La sentence rendue dans l</w:t>
      </w:r>
      <w:r w:rsidR="004C5E26">
        <w:rPr>
          <w:rFonts w:asciiTheme="majorBidi" w:eastAsia="Calibri" w:hAnsiTheme="majorBidi"/>
          <w:lang w:val="fr-FR"/>
        </w:rPr>
        <w:t>’</w:t>
      </w:r>
      <w:r w:rsidRPr="00016AD6">
        <w:rPr>
          <w:rFonts w:asciiTheme="majorBidi" w:eastAsia="Calibri" w:hAnsiTheme="majorBidi"/>
          <w:lang w:val="fr-FR"/>
        </w:rPr>
        <w:t xml:space="preserve">affaire de </w:t>
      </w:r>
      <w:r w:rsidRPr="009853C1">
        <w:rPr>
          <w:rFonts w:asciiTheme="majorBidi" w:eastAsia="Calibri" w:hAnsiTheme="majorBidi"/>
          <w:lang w:val="fr-FR"/>
        </w:rPr>
        <w:t>l</w:t>
      </w:r>
      <w:r w:rsidR="004C5E26">
        <w:rPr>
          <w:rFonts w:asciiTheme="majorBidi" w:eastAsia="Calibri" w:hAnsiTheme="majorBidi"/>
          <w:lang w:val="fr-FR"/>
        </w:rPr>
        <w:t>’</w:t>
      </w:r>
      <w:r w:rsidR="004E1476" w:rsidRPr="004E1476">
        <w:rPr>
          <w:rFonts w:asciiTheme="majorBidi" w:eastAsia="Calibri" w:hAnsiTheme="majorBidi"/>
          <w:i/>
          <w:iCs/>
          <w:lang w:val="fr-FR"/>
        </w:rPr>
        <w:t>Î</w:t>
      </w:r>
      <w:r w:rsidRPr="004E1476">
        <w:rPr>
          <w:rFonts w:asciiTheme="majorBidi" w:eastAsia="Calibri" w:hAnsiTheme="majorBidi"/>
          <w:i/>
          <w:iCs/>
          <w:lang w:val="fr-FR"/>
        </w:rPr>
        <w:t>le de Palmas</w:t>
      </w:r>
      <w:r>
        <w:rPr>
          <w:rFonts w:asciiTheme="majorBidi" w:eastAsia="Calibri" w:hAnsiTheme="majorBidi"/>
          <w:lang w:val="fr-FR"/>
        </w:rPr>
        <w:t xml:space="preserve">, </w:t>
      </w:r>
      <w:r w:rsidRPr="00016AD6">
        <w:rPr>
          <w:rFonts w:asciiTheme="majorBidi" w:eastAsia="Calibri" w:hAnsiTheme="majorBidi"/>
          <w:lang w:val="fr-FR"/>
        </w:rPr>
        <w:t xml:space="preserve">aux termes de laquelle « une distinction </w:t>
      </w:r>
      <w:r>
        <w:rPr>
          <w:rFonts w:asciiTheme="majorBidi" w:eastAsia="Calibri" w:hAnsiTheme="majorBidi"/>
          <w:lang w:val="fr-FR"/>
        </w:rPr>
        <w:t xml:space="preserve">[devait] </w:t>
      </w:r>
      <w:r w:rsidRPr="00016AD6">
        <w:rPr>
          <w:rFonts w:asciiTheme="majorBidi" w:eastAsia="Calibri" w:hAnsiTheme="majorBidi"/>
          <w:lang w:val="fr-FR"/>
        </w:rPr>
        <w:t>être opérée entre la création de droits et l</w:t>
      </w:r>
      <w:r w:rsidR="004C5E26">
        <w:rPr>
          <w:rFonts w:asciiTheme="majorBidi" w:eastAsia="Calibri" w:hAnsiTheme="majorBidi"/>
          <w:lang w:val="fr-FR"/>
        </w:rPr>
        <w:t>’</w:t>
      </w:r>
      <w:r w:rsidRPr="00016AD6">
        <w:rPr>
          <w:rFonts w:asciiTheme="majorBidi" w:eastAsia="Calibri" w:hAnsiTheme="majorBidi"/>
          <w:lang w:val="fr-FR"/>
        </w:rPr>
        <w:t>existence de droits », a de nouveau été évoquée</w:t>
      </w:r>
      <w:r w:rsidRPr="00E9227E">
        <w:rPr>
          <w:rStyle w:val="Appelnotedebasdep"/>
        </w:rPr>
        <w:footnoteReference w:id="261"/>
      </w:r>
      <w:r w:rsidRPr="00016AD6">
        <w:rPr>
          <w:rFonts w:asciiTheme="majorBidi" w:eastAsia="Calibri" w:hAnsiTheme="majorBidi"/>
          <w:lang w:val="fr-FR"/>
        </w:rPr>
        <w:t xml:space="preserve">. </w:t>
      </w:r>
      <w:r>
        <w:rPr>
          <w:rFonts w:asciiTheme="majorBidi" w:hAnsiTheme="majorBidi"/>
          <w:lang w:val="fr-FR"/>
        </w:rPr>
        <w:t>Il a été fait observer que</w:t>
      </w:r>
      <w:r w:rsidRPr="00016AD6">
        <w:rPr>
          <w:rFonts w:asciiTheme="majorBidi" w:eastAsia="Calibri" w:hAnsiTheme="majorBidi"/>
          <w:lang w:val="fr-FR"/>
        </w:rPr>
        <w:t xml:space="preserve"> la Convention de Montevideo n</w:t>
      </w:r>
      <w:r w:rsidR="004C5E26">
        <w:rPr>
          <w:rFonts w:asciiTheme="majorBidi" w:eastAsia="Calibri" w:hAnsiTheme="majorBidi"/>
          <w:lang w:val="fr-FR"/>
        </w:rPr>
        <w:t>’</w:t>
      </w:r>
      <w:r>
        <w:rPr>
          <w:rFonts w:asciiTheme="majorBidi" w:eastAsia="Calibri" w:hAnsiTheme="majorBidi"/>
          <w:lang w:val="fr-FR"/>
        </w:rPr>
        <w:t xml:space="preserve">était </w:t>
      </w:r>
      <w:r w:rsidRPr="00016AD6">
        <w:rPr>
          <w:rFonts w:asciiTheme="majorBidi" w:eastAsia="Calibri" w:hAnsiTheme="majorBidi"/>
          <w:lang w:val="fr-FR"/>
        </w:rPr>
        <w:t>en aucune manière décisive quant à la continuité de l</w:t>
      </w:r>
      <w:r w:rsidR="004C5E26">
        <w:rPr>
          <w:rFonts w:asciiTheme="majorBidi" w:eastAsia="Calibri" w:hAnsiTheme="majorBidi"/>
          <w:lang w:val="fr-FR"/>
        </w:rPr>
        <w:t>’</w:t>
      </w:r>
      <w:r w:rsidRPr="00016AD6">
        <w:rPr>
          <w:rFonts w:asciiTheme="majorBidi" w:eastAsia="Calibri" w:hAnsiTheme="majorBidi"/>
          <w:lang w:val="fr-FR"/>
        </w:rPr>
        <w:t xml:space="preserve">existence de droits. </w:t>
      </w:r>
      <w:r>
        <w:rPr>
          <w:rFonts w:asciiTheme="majorBidi" w:eastAsia="Calibri" w:hAnsiTheme="majorBidi"/>
          <w:lang w:val="fr-FR"/>
        </w:rPr>
        <w:t>Il</w:t>
      </w:r>
      <w:r w:rsidRPr="00016AD6">
        <w:rPr>
          <w:rFonts w:asciiTheme="majorBidi" w:eastAsia="Calibri" w:hAnsiTheme="majorBidi"/>
          <w:lang w:val="fr-FR"/>
        </w:rPr>
        <w:t xml:space="preserve"> a </w:t>
      </w:r>
      <w:r>
        <w:rPr>
          <w:rFonts w:asciiTheme="majorBidi" w:eastAsia="Calibri" w:hAnsiTheme="majorBidi"/>
          <w:lang w:val="fr-FR"/>
        </w:rPr>
        <w:t xml:space="preserve">été </w:t>
      </w:r>
      <w:r w:rsidRPr="00016AD6">
        <w:rPr>
          <w:rFonts w:asciiTheme="majorBidi" w:eastAsia="Calibri" w:hAnsiTheme="majorBidi"/>
          <w:lang w:val="fr-FR"/>
        </w:rPr>
        <w:t>fait observer que la Convention de Montevideo portait sur les droits et devoirs des États, et non sur la question de la condition étatique ou la reconnaissance de celle-ci. C</w:t>
      </w:r>
      <w:r w:rsidR="004C5E26">
        <w:rPr>
          <w:rFonts w:asciiTheme="majorBidi" w:eastAsia="Calibri" w:hAnsiTheme="majorBidi"/>
          <w:lang w:val="fr-FR"/>
        </w:rPr>
        <w:t>’</w:t>
      </w:r>
      <w:r w:rsidRPr="00016AD6">
        <w:rPr>
          <w:rFonts w:asciiTheme="majorBidi" w:eastAsia="Calibri" w:hAnsiTheme="majorBidi"/>
          <w:lang w:val="fr-FR"/>
        </w:rPr>
        <w:t xml:space="preserve">est pourquoi la question </w:t>
      </w:r>
      <w:r>
        <w:rPr>
          <w:rFonts w:asciiTheme="majorBidi" w:eastAsia="Calibri" w:hAnsiTheme="majorBidi"/>
          <w:lang w:val="fr-FR"/>
        </w:rPr>
        <w:t xml:space="preserve">était </w:t>
      </w:r>
      <w:r w:rsidRPr="00016AD6">
        <w:rPr>
          <w:rFonts w:asciiTheme="majorBidi" w:eastAsia="Calibri" w:hAnsiTheme="majorBidi"/>
          <w:lang w:val="fr-FR"/>
        </w:rPr>
        <w:t>de savoir non si la Convention s</w:t>
      </w:r>
      <w:r w:rsidR="004C5E26">
        <w:rPr>
          <w:rFonts w:asciiTheme="majorBidi" w:eastAsia="Calibri" w:hAnsiTheme="majorBidi"/>
          <w:lang w:val="fr-FR"/>
        </w:rPr>
        <w:t>’</w:t>
      </w:r>
      <w:r w:rsidRPr="00016AD6">
        <w:rPr>
          <w:rFonts w:asciiTheme="majorBidi" w:eastAsia="Calibri" w:hAnsiTheme="majorBidi"/>
          <w:lang w:val="fr-FR"/>
        </w:rPr>
        <w:t>appliqu</w:t>
      </w:r>
      <w:r>
        <w:rPr>
          <w:rFonts w:asciiTheme="majorBidi" w:eastAsia="Calibri" w:hAnsiTheme="majorBidi"/>
          <w:lang w:val="fr-FR"/>
        </w:rPr>
        <w:t>ait</w:t>
      </w:r>
      <w:r w:rsidRPr="00016AD6">
        <w:rPr>
          <w:rFonts w:asciiTheme="majorBidi" w:eastAsia="Calibri" w:hAnsiTheme="majorBidi"/>
          <w:lang w:val="fr-FR"/>
        </w:rPr>
        <w:t xml:space="preserve"> à la continuité mais si elle refl</w:t>
      </w:r>
      <w:r>
        <w:rPr>
          <w:rFonts w:asciiTheme="majorBidi" w:eastAsia="Calibri" w:hAnsiTheme="majorBidi"/>
          <w:lang w:val="fr-FR"/>
        </w:rPr>
        <w:t xml:space="preserve">était </w:t>
      </w:r>
      <w:r w:rsidRPr="00016AD6">
        <w:rPr>
          <w:rFonts w:asciiTheme="majorBidi" w:eastAsia="Calibri" w:hAnsiTheme="majorBidi"/>
          <w:lang w:val="fr-FR"/>
        </w:rPr>
        <w:t xml:space="preserve">le droit international coutumier relatif à la continuité de la </w:t>
      </w:r>
      <w:r w:rsidRPr="0049790B">
        <w:rPr>
          <w:rFonts w:asciiTheme="majorBidi" w:eastAsia="Calibri" w:hAnsiTheme="majorBidi"/>
          <w:lang w:val="fr-FR"/>
        </w:rPr>
        <w:t>condition étatique. La pratique des États semblait donner à penser que tel n</w:t>
      </w:r>
      <w:r w:rsidR="004C5E26">
        <w:rPr>
          <w:rFonts w:asciiTheme="majorBidi" w:eastAsia="Calibri" w:hAnsiTheme="majorBidi"/>
          <w:lang w:val="fr-FR"/>
        </w:rPr>
        <w:t>’</w:t>
      </w:r>
      <w:r w:rsidRPr="0049790B">
        <w:rPr>
          <w:rFonts w:asciiTheme="majorBidi" w:eastAsia="Calibri" w:hAnsiTheme="majorBidi"/>
          <w:lang w:val="fr-FR"/>
        </w:rPr>
        <w:t>était pas le cas. On a rappelé qu</w:t>
      </w:r>
      <w:r w:rsidR="004C5E26">
        <w:rPr>
          <w:rFonts w:asciiTheme="majorBidi" w:eastAsia="Calibri" w:hAnsiTheme="majorBidi"/>
          <w:lang w:val="fr-FR"/>
        </w:rPr>
        <w:t>’</w:t>
      </w:r>
      <w:r w:rsidRPr="0049790B">
        <w:rPr>
          <w:rFonts w:asciiTheme="majorBidi" w:eastAsia="Calibri" w:hAnsiTheme="majorBidi"/>
          <w:lang w:val="fr-FR"/>
        </w:rPr>
        <w:t>au XX</w:t>
      </w:r>
      <w:r w:rsidRPr="0049790B">
        <w:rPr>
          <w:rFonts w:asciiTheme="majorBidi" w:eastAsia="Calibri" w:hAnsiTheme="majorBidi"/>
          <w:vertAlign w:val="superscript"/>
          <w:lang w:val="fr-FR"/>
        </w:rPr>
        <w:t>e</w:t>
      </w:r>
      <w:r w:rsidRPr="0049790B">
        <w:rPr>
          <w:rFonts w:asciiTheme="majorBidi" w:eastAsia="Calibri" w:hAnsiTheme="majorBidi"/>
          <w:lang w:val="fr-FR"/>
        </w:rPr>
        <w:t xml:space="preserve"> siècle </w:t>
      </w:r>
      <w:r>
        <w:rPr>
          <w:rFonts w:asciiTheme="majorBidi" w:eastAsia="Calibri" w:hAnsiTheme="majorBidi"/>
          <w:lang w:val="fr-FR"/>
        </w:rPr>
        <w:t>un certain nombre d</w:t>
      </w:r>
      <w:r w:rsidR="004C5E26">
        <w:rPr>
          <w:rFonts w:asciiTheme="majorBidi" w:eastAsia="Calibri" w:hAnsiTheme="majorBidi"/>
          <w:lang w:val="fr-FR"/>
        </w:rPr>
        <w:t>’</w:t>
      </w:r>
      <w:r w:rsidRPr="0049790B">
        <w:rPr>
          <w:rFonts w:asciiTheme="majorBidi" w:eastAsia="Calibri" w:hAnsiTheme="majorBidi"/>
          <w:lang w:val="fr-FR"/>
        </w:rPr>
        <w:t>États</w:t>
      </w:r>
      <w:r>
        <w:rPr>
          <w:rFonts w:asciiTheme="majorBidi" w:eastAsia="Calibri" w:hAnsiTheme="majorBidi"/>
          <w:lang w:val="fr-FR"/>
        </w:rPr>
        <w:t>, à certains moments,</w:t>
      </w:r>
      <w:r w:rsidRPr="0049790B">
        <w:rPr>
          <w:rFonts w:asciiTheme="majorBidi" w:eastAsia="Calibri" w:hAnsiTheme="majorBidi"/>
          <w:lang w:val="fr-FR"/>
        </w:rPr>
        <w:t xml:space="preserve"> soit ne satisfaisaient pas à certains des critères énoncés dans la Convention de Montevideo soit n</w:t>
      </w:r>
      <w:r w:rsidR="004C5E26">
        <w:rPr>
          <w:rFonts w:asciiTheme="majorBidi" w:eastAsia="Calibri" w:hAnsiTheme="majorBidi"/>
          <w:lang w:val="fr-FR"/>
        </w:rPr>
        <w:t>’</w:t>
      </w:r>
      <w:r w:rsidRPr="0049790B">
        <w:rPr>
          <w:rFonts w:asciiTheme="majorBidi" w:eastAsia="Calibri" w:hAnsiTheme="majorBidi"/>
          <w:lang w:val="fr-FR"/>
        </w:rPr>
        <w:t>y satisfaisaient que marginalement mais avaient néanmoins continué d</w:t>
      </w:r>
      <w:r w:rsidR="004C5E26">
        <w:rPr>
          <w:rFonts w:asciiTheme="majorBidi" w:eastAsia="Calibri" w:hAnsiTheme="majorBidi"/>
          <w:lang w:val="fr-FR"/>
        </w:rPr>
        <w:t>’</w:t>
      </w:r>
      <w:r w:rsidRPr="0049790B">
        <w:rPr>
          <w:rFonts w:asciiTheme="majorBidi" w:eastAsia="Calibri" w:hAnsiTheme="majorBidi"/>
          <w:lang w:val="fr-FR"/>
        </w:rPr>
        <w:t>être reconnus comme des États. Cette évaluation générale était</w:t>
      </w:r>
      <w:r>
        <w:rPr>
          <w:rFonts w:asciiTheme="majorBidi" w:eastAsia="Calibri" w:hAnsiTheme="majorBidi"/>
          <w:lang w:val="fr-FR"/>
        </w:rPr>
        <w:t xml:space="preserve"> </w:t>
      </w:r>
      <w:r w:rsidRPr="00016AD6">
        <w:rPr>
          <w:rFonts w:asciiTheme="majorBidi" w:eastAsia="Calibri" w:hAnsiTheme="majorBidi"/>
          <w:lang w:val="fr-FR"/>
        </w:rPr>
        <w:t>encore étayée par le fait qu</w:t>
      </w:r>
      <w:r w:rsidR="004C5E26">
        <w:rPr>
          <w:rFonts w:asciiTheme="majorBidi" w:eastAsia="Calibri" w:hAnsiTheme="majorBidi"/>
          <w:lang w:val="fr-FR"/>
        </w:rPr>
        <w:t>’</w:t>
      </w:r>
      <w:r w:rsidRPr="00016AD6">
        <w:rPr>
          <w:rFonts w:asciiTheme="majorBidi" w:eastAsia="Calibri" w:hAnsiTheme="majorBidi"/>
          <w:lang w:val="fr-FR"/>
        </w:rPr>
        <w:t xml:space="preserve">à la Sixième Commission plusieurs États </w:t>
      </w:r>
      <w:r>
        <w:rPr>
          <w:rFonts w:asciiTheme="majorBidi" w:eastAsia="Calibri" w:hAnsiTheme="majorBidi"/>
          <w:lang w:val="fr-FR"/>
        </w:rPr>
        <w:t xml:space="preserve">avaient </w:t>
      </w:r>
      <w:r w:rsidRPr="00016AD6">
        <w:rPr>
          <w:rFonts w:asciiTheme="majorBidi" w:eastAsia="Calibri" w:hAnsiTheme="majorBidi"/>
          <w:lang w:val="fr-FR"/>
        </w:rPr>
        <w:t xml:space="preserve">appelé la communauté internationale à confirmer la continuité de la condition étatique </w:t>
      </w:r>
      <w:r>
        <w:rPr>
          <w:rFonts w:asciiTheme="majorBidi" w:eastAsia="Calibri" w:hAnsiTheme="majorBidi"/>
          <w:lang w:val="fr-FR"/>
        </w:rPr>
        <w:t>lorsque la</w:t>
      </w:r>
      <w:r w:rsidRPr="00016AD6">
        <w:rPr>
          <w:rFonts w:asciiTheme="majorBidi" w:eastAsia="Calibri" w:hAnsiTheme="majorBidi"/>
          <w:lang w:val="fr-FR"/>
        </w:rPr>
        <w:t xml:space="preserve"> </w:t>
      </w:r>
      <w:r>
        <w:rPr>
          <w:rFonts w:asciiTheme="majorBidi" w:eastAsia="Calibri" w:hAnsiTheme="majorBidi"/>
          <w:lang w:val="fr-FR"/>
        </w:rPr>
        <w:t>surface</w:t>
      </w:r>
      <w:r w:rsidRPr="00016AD6">
        <w:rPr>
          <w:rFonts w:asciiTheme="majorBidi" w:eastAsia="Calibri" w:hAnsiTheme="majorBidi"/>
          <w:lang w:val="fr-FR"/>
        </w:rPr>
        <w:t xml:space="preserve"> terrestre </w:t>
      </w:r>
      <w:r>
        <w:rPr>
          <w:rFonts w:asciiTheme="majorBidi" w:eastAsia="Calibri" w:hAnsiTheme="majorBidi"/>
          <w:lang w:val="fr-FR"/>
        </w:rPr>
        <w:lastRenderedPageBreak/>
        <w:t>d</w:t>
      </w:r>
      <w:r w:rsidR="004C5E26">
        <w:rPr>
          <w:rFonts w:asciiTheme="majorBidi" w:eastAsia="Calibri" w:hAnsiTheme="majorBidi"/>
          <w:lang w:val="fr-FR"/>
        </w:rPr>
        <w:t>’</w:t>
      </w:r>
      <w:r>
        <w:rPr>
          <w:rFonts w:asciiTheme="majorBidi" w:eastAsia="Calibri" w:hAnsiTheme="majorBidi"/>
          <w:lang w:val="fr-FR"/>
        </w:rPr>
        <w:t>un État était totalement submergée ou rendue inhabitable en raison de</w:t>
      </w:r>
      <w:r w:rsidRPr="00016AD6">
        <w:rPr>
          <w:rFonts w:asciiTheme="majorBidi" w:eastAsia="Calibri" w:hAnsiTheme="majorBidi"/>
          <w:lang w:val="fr-FR"/>
        </w:rPr>
        <w:t xml:space="preserve"> l</w:t>
      </w:r>
      <w:r w:rsidR="004C5E26">
        <w:rPr>
          <w:rFonts w:asciiTheme="majorBidi" w:eastAsia="Calibri" w:hAnsiTheme="majorBidi"/>
          <w:lang w:val="fr-FR"/>
        </w:rPr>
        <w:t>’</w:t>
      </w:r>
      <w:r w:rsidRPr="00016AD6">
        <w:rPr>
          <w:rFonts w:asciiTheme="majorBidi" w:eastAsia="Calibri" w:hAnsiTheme="majorBidi"/>
          <w:lang w:val="fr-FR"/>
        </w:rPr>
        <w:t>élévation du niveau de la mer.</w:t>
      </w:r>
    </w:p>
    <w:p w14:paraId="4C9545DE" w14:textId="6AE6C5FF"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355.</w:t>
      </w:r>
      <w:r>
        <w:rPr>
          <w:rFonts w:asciiTheme="majorBidi" w:eastAsia="Calibri" w:hAnsiTheme="majorBidi"/>
          <w:lang w:val="fr-FR"/>
        </w:rPr>
        <w:tab/>
        <w:t>Selon une opinion,</w:t>
      </w:r>
      <w:r w:rsidRPr="00016AD6">
        <w:rPr>
          <w:rFonts w:asciiTheme="majorBidi" w:eastAsia="Calibri" w:hAnsiTheme="majorBidi"/>
          <w:lang w:val="fr-FR"/>
        </w:rPr>
        <w:t xml:space="preserve"> les progrès de la science et de la technologie avaient en fait permis </w:t>
      </w:r>
      <w:r>
        <w:rPr>
          <w:rFonts w:asciiTheme="majorBidi" w:eastAsia="Calibri" w:hAnsiTheme="majorBidi"/>
          <w:lang w:val="fr-FR"/>
        </w:rPr>
        <w:t>qu</w:t>
      </w:r>
      <w:r w:rsidR="004C5E26">
        <w:rPr>
          <w:rFonts w:asciiTheme="majorBidi" w:eastAsia="Calibri" w:hAnsiTheme="majorBidi"/>
          <w:lang w:val="fr-FR"/>
        </w:rPr>
        <w:t>’</w:t>
      </w:r>
      <w:r w:rsidRPr="00016AD6">
        <w:rPr>
          <w:rFonts w:asciiTheme="majorBidi" w:eastAsia="Calibri" w:hAnsiTheme="majorBidi"/>
          <w:lang w:val="fr-FR"/>
        </w:rPr>
        <w:t xml:space="preserve">un territoire inhabitable </w:t>
      </w:r>
      <w:r w:rsidRPr="00E328FD">
        <w:rPr>
          <w:rFonts w:asciiTheme="majorBidi" w:eastAsia="Calibri" w:hAnsiTheme="majorBidi"/>
          <w:lang w:val="fr-FR"/>
        </w:rPr>
        <w:t>soit utilisé et continue ainsi à contribuer à la</w:t>
      </w:r>
      <w:r>
        <w:rPr>
          <w:rFonts w:asciiTheme="majorBidi" w:eastAsia="Calibri" w:hAnsiTheme="majorBidi"/>
          <w:lang w:val="fr-FR"/>
        </w:rPr>
        <w:t xml:space="preserve"> satisfaction des </w:t>
      </w:r>
      <w:r w:rsidRPr="00016AD6">
        <w:rPr>
          <w:rFonts w:asciiTheme="majorBidi" w:eastAsia="Calibri" w:hAnsiTheme="majorBidi"/>
          <w:lang w:val="fr-FR"/>
        </w:rPr>
        <w:t>critères de la condition étatique. De même, on a rappelé qu</w:t>
      </w:r>
      <w:r w:rsidR="004C5E26">
        <w:rPr>
          <w:rFonts w:asciiTheme="majorBidi" w:eastAsia="Calibri" w:hAnsiTheme="majorBidi"/>
          <w:lang w:val="fr-FR"/>
        </w:rPr>
        <w:t>’</w:t>
      </w:r>
      <w:r w:rsidRPr="00016AD6">
        <w:rPr>
          <w:rFonts w:asciiTheme="majorBidi" w:eastAsia="Calibri" w:hAnsiTheme="majorBidi"/>
          <w:lang w:val="fr-FR"/>
        </w:rPr>
        <w:t>en droit de la mer, l</w:t>
      </w:r>
      <w:r w:rsidR="004C5E26">
        <w:rPr>
          <w:rFonts w:asciiTheme="majorBidi" w:eastAsia="Calibri" w:hAnsiTheme="majorBidi"/>
          <w:lang w:val="fr-FR"/>
        </w:rPr>
        <w:t>’</w:t>
      </w:r>
      <w:proofErr w:type="spellStart"/>
      <w:r w:rsidRPr="00016AD6">
        <w:rPr>
          <w:rFonts w:asciiTheme="majorBidi" w:eastAsia="Calibri" w:hAnsiTheme="majorBidi"/>
          <w:lang w:val="fr-FR"/>
        </w:rPr>
        <w:t>inhabitabilité</w:t>
      </w:r>
      <w:proofErr w:type="spellEnd"/>
      <w:r w:rsidRPr="00016AD6">
        <w:rPr>
          <w:rFonts w:asciiTheme="majorBidi" w:eastAsia="Calibri" w:hAnsiTheme="majorBidi"/>
          <w:lang w:val="fr-FR"/>
        </w:rPr>
        <w:t xml:space="preserve"> </w:t>
      </w:r>
      <w:r>
        <w:rPr>
          <w:rFonts w:asciiTheme="majorBidi" w:eastAsia="Calibri" w:hAnsiTheme="majorBidi"/>
          <w:lang w:val="fr-FR"/>
        </w:rPr>
        <w:t>n</w:t>
      </w:r>
      <w:r w:rsidR="004C5E26">
        <w:rPr>
          <w:rFonts w:asciiTheme="majorBidi" w:eastAsia="Calibri" w:hAnsiTheme="majorBidi"/>
          <w:lang w:val="fr-FR"/>
        </w:rPr>
        <w:t>’</w:t>
      </w:r>
      <w:r w:rsidRPr="00016AD6">
        <w:rPr>
          <w:rFonts w:asciiTheme="majorBidi" w:eastAsia="Calibri" w:hAnsiTheme="majorBidi"/>
          <w:lang w:val="fr-FR"/>
        </w:rPr>
        <w:t>affectait pa</w:t>
      </w:r>
      <w:r>
        <w:rPr>
          <w:rFonts w:asciiTheme="majorBidi" w:eastAsia="Calibri" w:hAnsiTheme="majorBidi"/>
          <w:lang w:val="fr-FR"/>
        </w:rPr>
        <w:t>s</w:t>
      </w:r>
      <w:r w:rsidRPr="00016AD6">
        <w:rPr>
          <w:rFonts w:asciiTheme="majorBidi" w:eastAsia="Calibri" w:hAnsiTheme="majorBidi"/>
          <w:lang w:val="fr-FR"/>
        </w:rPr>
        <w:t xml:space="preserve"> a priori</w:t>
      </w:r>
      <w:r w:rsidRPr="00016AD6">
        <w:rPr>
          <w:rFonts w:asciiTheme="majorBidi" w:eastAsia="Calibri" w:hAnsiTheme="majorBidi"/>
          <w:i/>
          <w:iCs/>
          <w:lang w:val="fr-FR"/>
        </w:rPr>
        <w:t xml:space="preserve"> </w:t>
      </w:r>
      <w:r w:rsidRPr="00016AD6">
        <w:rPr>
          <w:rFonts w:asciiTheme="majorBidi" w:eastAsia="Calibri" w:hAnsiTheme="majorBidi"/>
          <w:lang w:val="fr-FR"/>
        </w:rPr>
        <w:t>le statut d</w:t>
      </w:r>
      <w:r w:rsidR="004C5E26">
        <w:rPr>
          <w:rFonts w:asciiTheme="majorBidi" w:eastAsia="Calibri" w:hAnsiTheme="majorBidi"/>
          <w:lang w:val="fr-FR"/>
        </w:rPr>
        <w:t>’</w:t>
      </w:r>
      <w:r w:rsidRPr="00016AD6">
        <w:rPr>
          <w:rFonts w:asciiTheme="majorBidi" w:eastAsia="Calibri" w:hAnsiTheme="majorBidi"/>
          <w:lang w:val="fr-FR"/>
        </w:rPr>
        <w:t>un territoire</w:t>
      </w:r>
      <w:r>
        <w:rPr>
          <w:rFonts w:asciiTheme="majorBidi" w:eastAsia="Calibri" w:hAnsiTheme="majorBidi"/>
          <w:lang w:val="fr-FR"/>
        </w:rPr>
        <w:t>, en tant que territoire d</w:t>
      </w:r>
      <w:r w:rsidR="004C5E26">
        <w:rPr>
          <w:rFonts w:asciiTheme="majorBidi" w:eastAsia="Calibri" w:hAnsiTheme="majorBidi"/>
          <w:lang w:val="fr-FR"/>
        </w:rPr>
        <w:t>’</w:t>
      </w:r>
      <w:r>
        <w:rPr>
          <w:rFonts w:asciiTheme="majorBidi" w:eastAsia="Calibri" w:hAnsiTheme="majorBidi"/>
          <w:lang w:val="fr-FR"/>
        </w:rPr>
        <w:t>un État</w:t>
      </w:r>
      <w:r w:rsidRPr="00016AD6">
        <w:rPr>
          <w:rFonts w:asciiTheme="majorBidi" w:eastAsia="Calibri" w:hAnsiTheme="majorBidi"/>
          <w:lang w:val="fr-FR"/>
        </w:rPr>
        <w:t>. On a cité, pour étayer cette opinion, l</w:t>
      </w:r>
      <w:r w:rsidR="004C5E26">
        <w:rPr>
          <w:rFonts w:asciiTheme="majorBidi" w:eastAsia="Calibri" w:hAnsiTheme="majorBidi"/>
          <w:lang w:val="fr-FR"/>
        </w:rPr>
        <w:t>’</w:t>
      </w:r>
      <w:r>
        <w:rPr>
          <w:rFonts w:asciiTheme="majorBidi" w:eastAsia="Calibri" w:hAnsiTheme="majorBidi"/>
          <w:lang w:val="fr-FR"/>
        </w:rPr>
        <w:t>a</w:t>
      </w:r>
      <w:r w:rsidRPr="00016AD6">
        <w:rPr>
          <w:rFonts w:asciiTheme="majorBidi" w:eastAsia="Calibri" w:hAnsiTheme="majorBidi"/>
          <w:lang w:val="fr-FR"/>
        </w:rPr>
        <w:t>rticle 121 de la Convention des Nations Unies sur le droit de la mer</w:t>
      </w:r>
      <w:r w:rsidRPr="00E9227E">
        <w:rPr>
          <w:rStyle w:val="Appelnotedebasdep"/>
        </w:rPr>
        <w:footnoteReference w:id="262"/>
      </w:r>
      <w:r w:rsidRPr="00016AD6">
        <w:rPr>
          <w:rFonts w:asciiTheme="majorBidi" w:eastAsia="Calibri" w:hAnsiTheme="majorBidi"/>
          <w:lang w:val="fr-FR"/>
        </w:rPr>
        <w:t>,</w:t>
      </w:r>
      <w:r w:rsidRPr="00CC1B88">
        <w:rPr>
          <w:rFonts w:asciiTheme="majorBidi" w:eastAsia="Calibri" w:hAnsiTheme="majorBidi"/>
          <w:lang w:val="fr-FR"/>
        </w:rPr>
        <w:t xml:space="preserve"> </w:t>
      </w:r>
      <w:r>
        <w:rPr>
          <w:rFonts w:asciiTheme="majorBidi" w:eastAsia="Calibri" w:hAnsiTheme="majorBidi"/>
          <w:lang w:val="fr-FR"/>
        </w:rPr>
        <w:t xml:space="preserve">de 1982, </w:t>
      </w:r>
      <w:r w:rsidRPr="00016AD6">
        <w:rPr>
          <w:rFonts w:asciiTheme="majorBidi" w:eastAsia="Calibri" w:hAnsiTheme="majorBidi"/>
          <w:lang w:val="fr-FR"/>
        </w:rPr>
        <w:t>aux termes duquel les rochers qui ne se prêtent pas à l</w:t>
      </w:r>
      <w:r w:rsidR="004C5E26">
        <w:rPr>
          <w:rFonts w:asciiTheme="majorBidi" w:eastAsia="Calibri" w:hAnsiTheme="majorBidi"/>
          <w:lang w:val="fr-FR"/>
        </w:rPr>
        <w:t>’</w:t>
      </w:r>
      <w:r w:rsidRPr="00016AD6">
        <w:rPr>
          <w:rFonts w:asciiTheme="majorBidi" w:eastAsia="Calibri" w:hAnsiTheme="majorBidi"/>
          <w:lang w:val="fr-FR"/>
        </w:rPr>
        <w:t>habitation humaine ou à une vie économique propre p</w:t>
      </w:r>
      <w:r>
        <w:rPr>
          <w:rFonts w:asciiTheme="majorBidi" w:eastAsia="Calibri" w:hAnsiTheme="majorBidi"/>
          <w:lang w:val="fr-FR"/>
        </w:rPr>
        <w:t xml:space="preserve">euvent </w:t>
      </w:r>
      <w:r w:rsidRPr="00016AD6">
        <w:rPr>
          <w:rFonts w:asciiTheme="majorBidi" w:eastAsia="Calibri" w:hAnsiTheme="majorBidi"/>
          <w:lang w:val="fr-FR"/>
        </w:rPr>
        <w:t>néanmoins générer une mer territoriale.</w:t>
      </w:r>
    </w:p>
    <w:p w14:paraId="15A635B6" w14:textId="13175B4D" w:rsidR="00737BD1" w:rsidRPr="00016AD6" w:rsidRDefault="00737BD1" w:rsidP="00737BD1">
      <w:pPr>
        <w:pStyle w:val="SingleTxtG"/>
        <w:rPr>
          <w:rFonts w:asciiTheme="majorBidi" w:eastAsia="Calibri" w:hAnsiTheme="majorBidi"/>
          <w:lang w:val="fr-FR"/>
        </w:rPr>
      </w:pPr>
      <w:r>
        <w:rPr>
          <w:rFonts w:asciiTheme="majorBidi" w:hAnsiTheme="majorBidi"/>
          <w:lang w:val="fr-FR"/>
        </w:rPr>
        <w:t>356.</w:t>
      </w:r>
      <w:r>
        <w:rPr>
          <w:rFonts w:asciiTheme="majorBidi" w:hAnsiTheme="majorBidi"/>
          <w:lang w:val="fr-FR"/>
        </w:rPr>
        <w:tab/>
      </w:r>
      <w:r w:rsidRPr="00016AD6">
        <w:rPr>
          <w:rFonts w:asciiTheme="majorBidi" w:hAnsiTheme="majorBidi"/>
          <w:lang w:val="fr-FR"/>
        </w:rPr>
        <w:t>On a aussi fait valoir que la considération la plus importante était que les États avaient le droit de préserver leur existence</w:t>
      </w:r>
      <w:r w:rsidRPr="00E9227E">
        <w:rPr>
          <w:rStyle w:val="Appelnotedebasdep"/>
        </w:rPr>
        <w:footnoteReference w:id="263"/>
      </w:r>
      <w:r w:rsidRPr="00016AD6">
        <w:rPr>
          <w:rFonts w:asciiTheme="majorBidi" w:hAnsiTheme="majorBidi"/>
          <w:lang w:val="fr-FR"/>
        </w:rPr>
        <w:t>. C</w:t>
      </w:r>
      <w:r w:rsidR="004C5E26">
        <w:rPr>
          <w:rFonts w:asciiTheme="majorBidi" w:hAnsiTheme="majorBidi"/>
          <w:lang w:val="fr-FR"/>
        </w:rPr>
        <w:t>’</w:t>
      </w:r>
      <w:r w:rsidRPr="00016AD6">
        <w:rPr>
          <w:rFonts w:asciiTheme="majorBidi" w:hAnsiTheme="majorBidi"/>
          <w:lang w:val="fr-FR"/>
        </w:rPr>
        <w:t xml:space="preserve">était la raison pour laquelle les </w:t>
      </w:r>
      <w:r>
        <w:rPr>
          <w:rFonts w:asciiTheme="majorBidi" w:hAnsiTheme="majorBidi"/>
          <w:lang w:val="fr-FR"/>
        </w:rPr>
        <w:t>éléments constitutifs de l</w:t>
      </w:r>
      <w:r w:rsidR="004C5E26">
        <w:rPr>
          <w:rFonts w:asciiTheme="majorBidi" w:hAnsiTheme="majorBidi"/>
          <w:lang w:val="fr-FR"/>
        </w:rPr>
        <w:t>’</w:t>
      </w:r>
      <w:r>
        <w:rPr>
          <w:rFonts w:asciiTheme="majorBidi" w:hAnsiTheme="majorBidi"/>
          <w:lang w:val="fr-FR"/>
        </w:rPr>
        <w:t xml:space="preserve">État définis </w:t>
      </w:r>
      <w:r w:rsidRPr="00016AD6">
        <w:rPr>
          <w:rFonts w:asciiTheme="majorBidi" w:hAnsiTheme="majorBidi"/>
          <w:lang w:val="fr-FR"/>
        </w:rPr>
        <w:t xml:space="preserve">dans la Convention de Montevideo </w:t>
      </w:r>
      <w:r>
        <w:rPr>
          <w:rFonts w:asciiTheme="majorBidi" w:hAnsiTheme="majorBidi"/>
          <w:lang w:val="fr-FR"/>
        </w:rPr>
        <w:t>concernaient uni</w:t>
      </w:r>
      <w:r w:rsidRPr="00016AD6">
        <w:rPr>
          <w:rFonts w:asciiTheme="majorBidi" w:hAnsiTheme="majorBidi"/>
          <w:lang w:val="fr-FR"/>
        </w:rPr>
        <w:t>qu</w:t>
      </w:r>
      <w:r>
        <w:rPr>
          <w:rFonts w:asciiTheme="majorBidi" w:hAnsiTheme="majorBidi"/>
          <w:lang w:val="fr-FR"/>
        </w:rPr>
        <w:t xml:space="preserve">ement </w:t>
      </w:r>
      <w:r w:rsidRPr="00016AD6">
        <w:rPr>
          <w:rFonts w:asciiTheme="majorBidi" w:hAnsiTheme="majorBidi"/>
          <w:lang w:val="fr-FR"/>
        </w:rPr>
        <w:t xml:space="preserve">la création des États et ne pouvaient être </w:t>
      </w:r>
      <w:r>
        <w:rPr>
          <w:rFonts w:asciiTheme="majorBidi" w:hAnsiTheme="majorBidi"/>
          <w:lang w:val="fr-FR"/>
        </w:rPr>
        <w:t xml:space="preserve">invoqués </w:t>
      </w:r>
      <w:r w:rsidRPr="00016AD6">
        <w:rPr>
          <w:rFonts w:asciiTheme="majorBidi" w:hAnsiTheme="majorBidi"/>
          <w:i/>
          <w:iCs/>
          <w:lang w:val="fr-FR"/>
        </w:rPr>
        <w:t>a contrario</w:t>
      </w:r>
      <w:r w:rsidRPr="00016AD6">
        <w:rPr>
          <w:rFonts w:asciiTheme="majorBidi" w:hAnsiTheme="majorBidi"/>
          <w:lang w:val="fr-FR"/>
        </w:rPr>
        <w:t xml:space="preserve"> pour nier la continuation de </w:t>
      </w:r>
      <w:r>
        <w:rPr>
          <w:rFonts w:asciiTheme="majorBidi" w:hAnsiTheme="majorBidi"/>
          <w:lang w:val="fr-FR"/>
        </w:rPr>
        <w:t>l</w:t>
      </w:r>
      <w:r w:rsidR="004C5E26">
        <w:rPr>
          <w:rFonts w:asciiTheme="majorBidi" w:hAnsiTheme="majorBidi"/>
          <w:lang w:val="fr-FR"/>
        </w:rPr>
        <w:t>’</w:t>
      </w:r>
      <w:r>
        <w:rPr>
          <w:rFonts w:asciiTheme="majorBidi" w:hAnsiTheme="majorBidi"/>
          <w:lang w:val="fr-FR"/>
        </w:rPr>
        <w:t>existence d</w:t>
      </w:r>
      <w:r w:rsidR="004C5E26">
        <w:rPr>
          <w:rFonts w:asciiTheme="majorBidi" w:hAnsiTheme="majorBidi"/>
          <w:lang w:val="fr-FR"/>
        </w:rPr>
        <w:t>’</w:t>
      </w:r>
      <w:r>
        <w:rPr>
          <w:rFonts w:asciiTheme="majorBidi" w:hAnsiTheme="majorBidi"/>
          <w:lang w:val="fr-FR"/>
        </w:rPr>
        <w:t>un État</w:t>
      </w:r>
      <w:r w:rsidRPr="00016AD6">
        <w:rPr>
          <w:rFonts w:asciiTheme="majorBidi" w:hAnsiTheme="majorBidi"/>
          <w:lang w:val="fr-FR"/>
        </w:rPr>
        <w:t xml:space="preserve">. Dans le même temps, </w:t>
      </w:r>
      <w:r>
        <w:rPr>
          <w:rFonts w:asciiTheme="majorBidi" w:hAnsiTheme="majorBidi"/>
          <w:lang w:val="fr-FR"/>
        </w:rPr>
        <w:t>une opinion a été exprimée, selon la</w:t>
      </w:r>
      <w:r w:rsidRPr="00016AD6">
        <w:rPr>
          <w:rFonts w:asciiTheme="majorBidi" w:hAnsiTheme="majorBidi"/>
          <w:lang w:val="fr-FR"/>
        </w:rPr>
        <w:t>que</w:t>
      </w:r>
      <w:r>
        <w:rPr>
          <w:rFonts w:asciiTheme="majorBidi" w:hAnsiTheme="majorBidi"/>
          <w:lang w:val="fr-FR"/>
        </w:rPr>
        <w:t>lle</w:t>
      </w:r>
      <w:r w:rsidRPr="00016AD6">
        <w:rPr>
          <w:rFonts w:asciiTheme="majorBidi" w:hAnsiTheme="majorBidi"/>
          <w:lang w:val="fr-FR"/>
        </w:rPr>
        <w:t xml:space="preserve"> la permanence de la situation des États faisant face à un risque en raison de l</w:t>
      </w:r>
      <w:r w:rsidR="004C5E26">
        <w:rPr>
          <w:rFonts w:asciiTheme="majorBidi" w:hAnsiTheme="majorBidi"/>
          <w:lang w:val="fr-FR"/>
        </w:rPr>
        <w:t>’</w:t>
      </w:r>
      <w:r w:rsidRPr="00016AD6">
        <w:rPr>
          <w:rFonts w:asciiTheme="majorBidi" w:hAnsiTheme="majorBidi"/>
          <w:lang w:val="fr-FR"/>
        </w:rPr>
        <w:t xml:space="preserve">élévation du niveau de la mer pouvait être distinguée de </w:t>
      </w:r>
      <w:r>
        <w:rPr>
          <w:rFonts w:asciiTheme="majorBidi" w:hAnsiTheme="majorBidi"/>
          <w:lang w:val="fr-FR"/>
        </w:rPr>
        <w:t xml:space="preserve">celle </w:t>
      </w:r>
      <w:r w:rsidRPr="00016AD6">
        <w:rPr>
          <w:rFonts w:asciiTheme="majorBidi" w:hAnsiTheme="majorBidi"/>
          <w:lang w:val="fr-FR"/>
        </w:rPr>
        <w:t xml:space="preserve">de perte temporaire </w:t>
      </w:r>
      <w:r>
        <w:rPr>
          <w:rFonts w:asciiTheme="majorBidi" w:hAnsiTheme="majorBidi"/>
          <w:lang w:val="fr-FR"/>
        </w:rPr>
        <w:t>d</w:t>
      </w:r>
      <w:r w:rsidR="004C5E26">
        <w:rPr>
          <w:rFonts w:asciiTheme="majorBidi" w:hAnsiTheme="majorBidi"/>
          <w:lang w:val="fr-FR"/>
        </w:rPr>
        <w:t>’</w:t>
      </w:r>
      <w:r>
        <w:rPr>
          <w:rFonts w:asciiTheme="majorBidi" w:hAnsiTheme="majorBidi"/>
          <w:lang w:val="fr-FR"/>
        </w:rPr>
        <w:t>un des éléments constitutifs de l</w:t>
      </w:r>
      <w:r w:rsidR="004C5E26">
        <w:rPr>
          <w:rFonts w:asciiTheme="majorBidi" w:hAnsiTheme="majorBidi"/>
          <w:lang w:val="fr-FR"/>
        </w:rPr>
        <w:t>’</w:t>
      </w:r>
      <w:r>
        <w:rPr>
          <w:rFonts w:asciiTheme="majorBidi" w:hAnsiTheme="majorBidi"/>
          <w:lang w:val="fr-FR"/>
        </w:rPr>
        <w:t>État</w:t>
      </w:r>
      <w:r w:rsidRPr="00016AD6">
        <w:rPr>
          <w:rFonts w:asciiTheme="majorBidi" w:hAnsiTheme="majorBidi"/>
          <w:lang w:val="fr-FR"/>
        </w:rPr>
        <w:t xml:space="preserve">, par exemple </w:t>
      </w:r>
      <w:r>
        <w:rPr>
          <w:rFonts w:asciiTheme="majorBidi" w:hAnsiTheme="majorBidi"/>
          <w:lang w:val="fr-FR"/>
        </w:rPr>
        <w:t xml:space="preserve">le </w:t>
      </w:r>
      <w:r w:rsidRPr="00016AD6">
        <w:rPr>
          <w:rFonts w:asciiTheme="majorBidi" w:hAnsiTheme="majorBidi"/>
          <w:lang w:val="fr-FR"/>
        </w:rPr>
        <w:t>gouvernement, de telle manière que les considérations auxquelles cette dernière situation donnait naissance pouvaient n</w:t>
      </w:r>
      <w:r w:rsidR="004C5E26">
        <w:rPr>
          <w:rFonts w:asciiTheme="majorBidi" w:hAnsiTheme="majorBidi"/>
          <w:lang w:val="fr-FR"/>
        </w:rPr>
        <w:t>’</w:t>
      </w:r>
      <w:r w:rsidRPr="00016AD6">
        <w:rPr>
          <w:rFonts w:asciiTheme="majorBidi" w:hAnsiTheme="majorBidi"/>
          <w:lang w:val="fr-FR"/>
        </w:rPr>
        <w:t>être pas totalement applicables à la perte permanente de l</w:t>
      </w:r>
      <w:r w:rsidR="004C5E26">
        <w:rPr>
          <w:rFonts w:asciiTheme="majorBidi" w:hAnsiTheme="majorBidi"/>
          <w:lang w:val="fr-FR"/>
        </w:rPr>
        <w:t>’</w:t>
      </w:r>
      <w:r w:rsidRPr="00016AD6">
        <w:rPr>
          <w:rFonts w:asciiTheme="majorBidi" w:hAnsiTheme="majorBidi"/>
          <w:lang w:val="fr-FR"/>
        </w:rPr>
        <w:t xml:space="preserve">un des </w:t>
      </w:r>
      <w:r>
        <w:rPr>
          <w:rFonts w:asciiTheme="majorBidi" w:hAnsiTheme="majorBidi"/>
          <w:lang w:val="fr-FR"/>
        </w:rPr>
        <w:t xml:space="preserve">éléments définis dans la Convention </w:t>
      </w:r>
      <w:r w:rsidRPr="00016AD6">
        <w:rPr>
          <w:rFonts w:asciiTheme="majorBidi" w:hAnsiTheme="majorBidi"/>
          <w:lang w:val="fr-FR"/>
        </w:rPr>
        <w:t>de Montevideo, même si en pratique les deux situations n</w:t>
      </w:r>
      <w:r w:rsidR="004C5E26">
        <w:rPr>
          <w:rFonts w:asciiTheme="majorBidi" w:hAnsiTheme="majorBidi"/>
          <w:lang w:val="fr-FR"/>
        </w:rPr>
        <w:t>’</w:t>
      </w:r>
      <w:r w:rsidRPr="00016AD6">
        <w:rPr>
          <w:rFonts w:asciiTheme="majorBidi" w:hAnsiTheme="majorBidi"/>
          <w:lang w:val="fr-FR"/>
        </w:rPr>
        <w:t>étaient peut</w:t>
      </w:r>
      <w:r>
        <w:rPr>
          <w:rFonts w:asciiTheme="majorBidi" w:hAnsiTheme="majorBidi"/>
          <w:lang w:val="fr-FR"/>
        </w:rPr>
        <w:noBreakHyphen/>
      </w:r>
      <w:r w:rsidRPr="00016AD6">
        <w:rPr>
          <w:rFonts w:asciiTheme="majorBidi" w:hAnsiTheme="majorBidi"/>
          <w:lang w:val="fr-FR"/>
        </w:rPr>
        <w:t xml:space="preserve">être pas très différentes. Si la pertinence de la pratique concernant les gouvernements en exil, </w:t>
      </w:r>
      <w:r>
        <w:rPr>
          <w:rFonts w:asciiTheme="majorBidi" w:hAnsiTheme="majorBidi"/>
          <w:lang w:val="fr-FR"/>
        </w:rPr>
        <w:t>é</w:t>
      </w:r>
      <w:r w:rsidRPr="00016AD6">
        <w:rPr>
          <w:rFonts w:asciiTheme="majorBidi" w:hAnsiTheme="majorBidi"/>
          <w:lang w:val="fr-FR"/>
        </w:rPr>
        <w:t>voquée au paragraphe</w:t>
      </w:r>
      <w:r>
        <w:rPr>
          <w:rFonts w:asciiTheme="majorBidi" w:hAnsiTheme="majorBidi"/>
          <w:lang w:val="fr-FR"/>
        </w:rPr>
        <w:t> </w:t>
      </w:r>
      <w:r w:rsidRPr="00016AD6">
        <w:rPr>
          <w:rFonts w:asciiTheme="majorBidi" w:hAnsiTheme="majorBidi"/>
          <w:lang w:val="fr-FR"/>
        </w:rPr>
        <w:t xml:space="preserve">112 de la note complémentaire, </w:t>
      </w:r>
      <w:r>
        <w:rPr>
          <w:rFonts w:asciiTheme="majorBidi" w:hAnsiTheme="majorBidi"/>
          <w:lang w:val="fr-FR"/>
        </w:rPr>
        <w:t xml:space="preserve">pouvait être </w:t>
      </w:r>
      <w:r w:rsidRPr="00016AD6">
        <w:rPr>
          <w:rFonts w:asciiTheme="majorBidi" w:hAnsiTheme="majorBidi"/>
          <w:lang w:val="fr-FR"/>
        </w:rPr>
        <w:t xml:space="preserve">contestée </w:t>
      </w:r>
      <w:r>
        <w:rPr>
          <w:rFonts w:asciiTheme="majorBidi" w:hAnsiTheme="majorBidi"/>
          <w:lang w:val="fr-FR"/>
        </w:rPr>
        <w:t xml:space="preserve">parce </w:t>
      </w:r>
      <w:r w:rsidRPr="00016AD6">
        <w:rPr>
          <w:rFonts w:asciiTheme="majorBidi" w:hAnsiTheme="majorBidi"/>
          <w:lang w:val="fr-FR"/>
        </w:rPr>
        <w:t>qu</w:t>
      </w:r>
      <w:r w:rsidR="004C5E26">
        <w:rPr>
          <w:rFonts w:asciiTheme="majorBidi" w:hAnsiTheme="majorBidi"/>
          <w:lang w:val="fr-FR"/>
        </w:rPr>
        <w:t>’</w:t>
      </w:r>
      <w:r w:rsidRPr="00016AD6">
        <w:rPr>
          <w:rFonts w:asciiTheme="majorBidi" w:hAnsiTheme="majorBidi"/>
          <w:lang w:val="fr-FR"/>
        </w:rPr>
        <w:t>elle concern</w:t>
      </w:r>
      <w:r>
        <w:rPr>
          <w:rFonts w:asciiTheme="majorBidi" w:hAnsiTheme="majorBidi"/>
          <w:lang w:val="fr-FR"/>
        </w:rPr>
        <w:t>ait</w:t>
      </w:r>
      <w:r w:rsidRPr="00016AD6">
        <w:rPr>
          <w:rFonts w:asciiTheme="majorBidi" w:hAnsiTheme="majorBidi"/>
          <w:lang w:val="fr-FR"/>
        </w:rPr>
        <w:t xml:space="preserve"> des situations généralement temporaires, on a également fait valoir que cette pratique (par exemple dans le contexte de la continuité des États baltes entre 1940 et 1990) démontrait </w:t>
      </w:r>
      <w:r>
        <w:rPr>
          <w:rFonts w:asciiTheme="majorBidi" w:hAnsiTheme="majorBidi"/>
          <w:lang w:val="fr-FR"/>
        </w:rPr>
        <w:t xml:space="preserve">le caractère ouvert </w:t>
      </w:r>
      <w:r w:rsidRPr="00016AD6">
        <w:rPr>
          <w:rFonts w:asciiTheme="majorBidi" w:hAnsiTheme="majorBidi"/>
          <w:lang w:val="fr-FR"/>
        </w:rPr>
        <w:t xml:space="preserve">du droit international </w:t>
      </w:r>
      <w:r>
        <w:rPr>
          <w:rFonts w:asciiTheme="majorBidi" w:hAnsiTheme="majorBidi"/>
          <w:lang w:val="fr-FR"/>
        </w:rPr>
        <w:t xml:space="preserve">quant </w:t>
      </w:r>
      <w:r w:rsidRPr="00016AD6">
        <w:rPr>
          <w:rFonts w:asciiTheme="majorBidi" w:hAnsiTheme="majorBidi"/>
          <w:lang w:val="fr-FR"/>
        </w:rPr>
        <w:t>à la continuité juridique de longue durée lorsque le contrôle du territoire était limité ou factuellement inexistant, en particulier lorsque les États concernés demeuraient membres d</w:t>
      </w:r>
      <w:r w:rsidR="004C5E26">
        <w:rPr>
          <w:rFonts w:asciiTheme="majorBidi" w:hAnsiTheme="majorBidi"/>
          <w:lang w:val="fr-FR"/>
        </w:rPr>
        <w:t>’</w:t>
      </w:r>
      <w:r w:rsidRPr="00016AD6">
        <w:rPr>
          <w:rFonts w:asciiTheme="majorBidi" w:hAnsiTheme="majorBidi"/>
          <w:lang w:val="fr-FR"/>
        </w:rPr>
        <w:t>institutions internationales de caractère universel.</w:t>
      </w:r>
    </w:p>
    <w:p w14:paraId="2467355A" w14:textId="21559B3A" w:rsidR="00737BD1" w:rsidRPr="00016AD6" w:rsidRDefault="00737BD1" w:rsidP="00737BD1">
      <w:pPr>
        <w:pStyle w:val="SingleTxtG"/>
        <w:rPr>
          <w:rFonts w:asciiTheme="majorBidi" w:eastAsia="Calibri" w:hAnsiTheme="majorBidi"/>
          <w:lang w:val="fr-FR"/>
        </w:rPr>
      </w:pPr>
      <w:r>
        <w:rPr>
          <w:rFonts w:asciiTheme="majorBidi" w:hAnsiTheme="majorBidi"/>
          <w:lang w:val="fr-FR"/>
        </w:rPr>
        <w:t>357.</w:t>
      </w:r>
      <w:r>
        <w:rPr>
          <w:rFonts w:asciiTheme="majorBidi" w:hAnsiTheme="majorBidi"/>
          <w:lang w:val="fr-FR"/>
        </w:rPr>
        <w:tab/>
      </w:r>
      <w:r w:rsidRPr="00016AD6">
        <w:rPr>
          <w:rFonts w:asciiTheme="majorBidi" w:hAnsiTheme="majorBidi"/>
          <w:lang w:val="fr-FR"/>
        </w:rPr>
        <w:t>Selon une opinion similaire, une analyse du rôle de la reconnaissance par d</w:t>
      </w:r>
      <w:r w:rsidR="004C5E26">
        <w:rPr>
          <w:rFonts w:asciiTheme="majorBidi" w:hAnsiTheme="majorBidi"/>
          <w:lang w:val="fr-FR"/>
        </w:rPr>
        <w:t>’</w:t>
      </w:r>
      <w:r w:rsidRPr="00016AD6">
        <w:rPr>
          <w:rFonts w:asciiTheme="majorBidi" w:hAnsiTheme="majorBidi"/>
          <w:lang w:val="fr-FR"/>
        </w:rPr>
        <w:t xml:space="preserve">autres États de la continuité de la </w:t>
      </w:r>
      <w:r>
        <w:rPr>
          <w:rFonts w:asciiTheme="majorBidi" w:hAnsiTheme="majorBidi"/>
          <w:lang w:val="fr-FR"/>
        </w:rPr>
        <w:t xml:space="preserve">condition étatique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 xml:space="preserve">un État dont </w:t>
      </w:r>
      <w:r>
        <w:rPr>
          <w:rFonts w:asciiTheme="majorBidi" w:hAnsiTheme="majorBidi"/>
          <w:lang w:val="fr-FR"/>
        </w:rPr>
        <w:t>la surface</w:t>
      </w:r>
      <w:r w:rsidRPr="00016AD6">
        <w:rPr>
          <w:rFonts w:asciiTheme="majorBidi" w:hAnsiTheme="majorBidi"/>
          <w:lang w:val="fr-FR"/>
        </w:rPr>
        <w:t xml:space="preserve"> terrestre était partiellement ou totalement submergé</w:t>
      </w:r>
      <w:r>
        <w:rPr>
          <w:rFonts w:asciiTheme="majorBidi" w:hAnsiTheme="majorBidi"/>
          <w:lang w:val="fr-FR"/>
        </w:rPr>
        <w:t>e</w:t>
      </w:r>
      <w:r w:rsidRPr="00016AD6">
        <w:rPr>
          <w:rFonts w:asciiTheme="majorBidi" w:hAnsiTheme="majorBidi"/>
          <w:lang w:val="fr-FR"/>
        </w:rPr>
        <w:t xml:space="preserve"> s</w:t>
      </w:r>
      <w:r w:rsidR="004C5E26">
        <w:rPr>
          <w:rFonts w:asciiTheme="majorBidi" w:hAnsiTheme="majorBidi"/>
          <w:lang w:val="fr-FR"/>
        </w:rPr>
        <w:t>’</w:t>
      </w:r>
      <w:r w:rsidRPr="00016AD6">
        <w:rPr>
          <w:rFonts w:asciiTheme="majorBidi" w:hAnsiTheme="majorBidi"/>
          <w:lang w:val="fr-FR"/>
        </w:rPr>
        <w:t>imposait. On a évoqué l</w:t>
      </w:r>
      <w:r w:rsidR="004C5E26">
        <w:rPr>
          <w:rFonts w:asciiTheme="majorBidi" w:hAnsiTheme="majorBidi"/>
          <w:lang w:val="fr-FR"/>
        </w:rPr>
        <w:t>’</w:t>
      </w:r>
      <w:r w:rsidRPr="00016AD6">
        <w:rPr>
          <w:rFonts w:asciiTheme="majorBidi" w:hAnsiTheme="majorBidi"/>
          <w:lang w:val="fr-FR"/>
        </w:rPr>
        <w:t>opinion d</w:t>
      </w:r>
      <w:r>
        <w:rPr>
          <w:rFonts w:asciiTheme="majorBidi" w:hAnsiTheme="majorBidi"/>
          <w:lang w:val="fr-FR"/>
        </w:rPr>
        <w:t>e James</w:t>
      </w:r>
      <w:r w:rsidR="000126E9">
        <w:rPr>
          <w:rFonts w:asciiTheme="majorBidi" w:hAnsiTheme="majorBidi"/>
          <w:lang w:val="fr-FR"/>
        </w:rPr>
        <w:t> </w:t>
      </w:r>
      <w:r w:rsidRPr="00016AD6">
        <w:rPr>
          <w:rFonts w:asciiTheme="majorBidi" w:hAnsiTheme="majorBidi"/>
          <w:lang w:val="fr-FR"/>
        </w:rPr>
        <w:t>Crawford</w:t>
      </w:r>
      <w:r>
        <w:rPr>
          <w:rFonts w:asciiTheme="majorBidi" w:hAnsiTheme="majorBidi"/>
          <w:lang w:val="fr-FR"/>
        </w:rPr>
        <w:t>,</w:t>
      </w:r>
      <w:r w:rsidRPr="00016AD6">
        <w:rPr>
          <w:rFonts w:asciiTheme="majorBidi" w:hAnsiTheme="majorBidi"/>
          <w:lang w:val="fr-FR"/>
        </w:rPr>
        <w:t xml:space="preserve"> pour qui la condition étatique n</w:t>
      </w:r>
      <w:r w:rsidR="004C5E26">
        <w:rPr>
          <w:rFonts w:asciiTheme="majorBidi" w:hAnsiTheme="majorBidi"/>
          <w:lang w:val="fr-FR"/>
        </w:rPr>
        <w:t>’</w:t>
      </w:r>
      <w:r w:rsidRPr="00016AD6">
        <w:rPr>
          <w:rFonts w:asciiTheme="majorBidi" w:hAnsiTheme="majorBidi"/>
          <w:lang w:val="fr-FR"/>
        </w:rPr>
        <w:t>était pas simplement une situation factuelle mais la revendication d</w:t>
      </w:r>
      <w:r w:rsidR="004C5E26">
        <w:rPr>
          <w:rFonts w:asciiTheme="majorBidi" w:hAnsiTheme="majorBidi"/>
          <w:lang w:val="fr-FR"/>
        </w:rPr>
        <w:t>’</w:t>
      </w:r>
      <w:r w:rsidRPr="00016AD6">
        <w:rPr>
          <w:rFonts w:asciiTheme="majorBidi" w:hAnsiTheme="majorBidi"/>
          <w:lang w:val="fr-FR"/>
        </w:rPr>
        <w:t xml:space="preserve">un droit juridiquement défini, en particulier </w:t>
      </w:r>
      <w:r>
        <w:rPr>
          <w:rFonts w:asciiTheme="majorBidi" w:hAnsiTheme="majorBidi"/>
          <w:lang w:val="fr-FR"/>
        </w:rPr>
        <w:t xml:space="preserve">quant au </w:t>
      </w:r>
      <w:r w:rsidRPr="00016AD6">
        <w:rPr>
          <w:rFonts w:asciiTheme="majorBidi" w:hAnsiTheme="majorBidi"/>
          <w:lang w:val="fr-FR"/>
        </w:rPr>
        <w:t>pouvoir de gouverner un territoire. Savoir si ce droit était justifié dépendait tant des faits que de la question de savoir s</w:t>
      </w:r>
      <w:r w:rsidR="004C5E26">
        <w:rPr>
          <w:rFonts w:asciiTheme="majorBidi" w:hAnsiTheme="majorBidi"/>
          <w:lang w:val="fr-FR"/>
        </w:rPr>
        <w:t>’</w:t>
      </w:r>
      <w:r w:rsidRPr="00016AD6">
        <w:rPr>
          <w:rFonts w:asciiTheme="majorBidi" w:hAnsiTheme="majorBidi"/>
          <w:lang w:val="fr-FR"/>
        </w:rPr>
        <w:t>il était contesté. Cela donnait à penser que la reconnaissance jouait un rôle s</w:t>
      </w:r>
      <w:r w:rsidR="004C5E26">
        <w:rPr>
          <w:rFonts w:asciiTheme="majorBidi" w:hAnsiTheme="majorBidi"/>
          <w:lang w:val="fr-FR"/>
        </w:rPr>
        <w:t>’</w:t>
      </w:r>
      <w:r w:rsidRPr="00016AD6">
        <w:rPr>
          <w:rFonts w:asciiTheme="majorBidi" w:hAnsiTheme="majorBidi"/>
          <w:lang w:val="fr-FR"/>
        </w:rPr>
        <w:t>agissant de conclure si une entité, même si l</w:t>
      </w:r>
      <w:r w:rsidR="004C5E26">
        <w:rPr>
          <w:rFonts w:asciiTheme="majorBidi" w:hAnsiTheme="majorBidi"/>
          <w:lang w:val="fr-FR"/>
        </w:rPr>
        <w:t>’</w:t>
      </w:r>
      <w:r w:rsidRPr="00016AD6">
        <w:rPr>
          <w:rFonts w:asciiTheme="majorBidi" w:hAnsiTheme="majorBidi"/>
          <w:lang w:val="fr-FR"/>
        </w:rPr>
        <w:t xml:space="preserve">un des </w:t>
      </w:r>
      <w:r>
        <w:rPr>
          <w:rFonts w:asciiTheme="majorBidi" w:hAnsiTheme="majorBidi"/>
          <w:lang w:val="fr-FR"/>
        </w:rPr>
        <w:t>éléments</w:t>
      </w:r>
      <w:r w:rsidRPr="00016AD6">
        <w:rPr>
          <w:rFonts w:asciiTheme="majorBidi" w:hAnsiTheme="majorBidi"/>
          <w:lang w:val="fr-FR"/>
        </w:rPr>
        <w:t xml:space="preserve"> pertinents n</w:t>
      </w:r>
      <w:r w:rsidR="004C5E26">
        <w:rPr>
          <w:rFonts w:asciiTheme="majorBidi" w:hAnsiTheme="majorBidi"/>
          <w:lang w:val="fr-FR"/>
        </w:rPr>
        <w:t>’</w:t>
      </w:r>
      <w:r w:rsidRPr="00016AD6">
        <w:rPr>
          <w:rFonts w:asciiTheme="majorBidi" w:hAnsiTheme="majorBidi"/>
          <w:lang w:val="fr-FR"/>
        </w:rPr>
        <w:t xml:space="preserve">était plus </w:t>
      </w:r>
      <w:r>
        <w:rPr>
          <w:rFonts w:asciiTheme="majorBidi" w:hAnsiTheme="majorBidi"/>
          <w:lang w:val="fr-FR"/>
        </w:rPr>
        <w:t>présent</w:t>
      </w:r>
      <w:r w:rsidRPr="00016AD6">
        <w:rPr>
          <w:rFonts w:asciiTheme="majorBidi" w:hAnsiTheme="majorBidi"/>
          <w:lang w:val="fr-FR"/>
        </w:rPr>
        <w:t>, demeurait une entité que les États continuaient de considérer comme un membre de la communauté internationale avec laquelle ils traitaient d</w:t>
      </w:r>
      <w:r w:rsidR="004C5E26">
        <w:rPr>
          <w:rFonts w:asciiTheme="majorBidi" w:hAnsiTheme="majorBidi"/>
          <w:lang w:val="fr-FR"/>
        </w:rPr>
        <w:t>’</w:t>
      </w:r>
      <w:r w:rsidRPr="00016AD6">
        <w:rPr>
          <w:rFonts w:asciiTheme="majorBidi" w:hAnsiTheme="majorBidi"/>
          <w:lang w:val="fr-FR"/>
        </w:rPr>
        <w:t>égal à égal et qui jouissait de la personnalité juridique internationale.</w:t>
      </w:r>
    </w:p>
    <w:p w14:paraId="267673F2" w14:textId="47BD991E" w:rsidR="00737BD1" w:rsidRPr="00016AD6" w:rsidRDefault="00737BD1" w:rsidP="00737BD1">
      <w:pPr>
        <w:pStyle w:val="SingleTxtG"/>
        <w:rPr>
          <w:rFonts w:asciiTheme="majorBidi" w:eastAsia="Calibri" w:hAnsiTheme="majorBidi"/>
          <w:lang w:val="fr-FR"/>
        </w:rPr>
      </w:pPr>
      <w:r>
        <w:rPr>
          <w:rFonts w:asciiTheme="majorBidi" w:hAnsiTheme="majorBidi"/>
          <w:lang w:val="fr-FR"/>
        </w:rPr>
        <w:t>358.</w:t>
      </w:r>
      <w:r>
        <w:rPr>
          <w:rFonts w:asciiTheme="majorBidi" w:hAnsiTheme="majorBidi"/>
          <w:lang w:val="fr-FR"/>
        </w:rPr>
        <w:tab/>
      </w:r>
      <w:r w:rsidRPr="00016AD6">
        <w:rPr>
          <w:rFonts w:asciiTheme="majorBidi" w:hAnsiTheme="majorBidi"/>
          <w:lang w:val="fr-FR"/>
        </w:rPr>
        <w:t>On a aussi suggéré que les critères de la Convention de Montevideo pouvaient s</w:t>
      </w:r>
      <w:r w:rsidR="004C5E26">
        <w:rPr>
          <w:rFonts w:asciiTheme="majorBidi" w:hAnsiTheme="majorBidi"/>
          <w:lang w:val="fr-FR"/>
        </w:rPr>
        <w:t>’</w:t>
      </w:r>
      <w:r w:rsidRPr="00016AD6">
        <w:rPr>
          <w:rFonts w:asciiTheme="majorBidi" w:hAnsiTheme="majorBidi"/>
          <w:lang w:val="fr-FR"/>
        </w:rPr>
        <w:t xml:space="preserve">entendre comme reflétant une </w:t>
      </w:r>
      <w:r>
        <w:rPr>
          <w:rFonts w:asciiTheme="majorBidi" w:hAnsiTheme="majorBidi"/>
          <w:lang w:val="fr-FR"/>
        </w:rPr>
        <w:t xml:space="preserve">condition </w:t>
      </w:r>
      <w:r w:rsidRPr="00016AD6">
        <w:rPr>
          <w:rFonts w:asciiTheme="majorBidi" w:hAnsiTheme="majorBidi"/>
          <w:lang w:val="fr-FR"/>
        </w:rPr>
        <w:t>générale d</w:t>
      </w:r>
      <w:r w:rsidR="004C5E26">
        <w:rPr>
          <w:rFonts w:asciiTheme="majorBidi" w:hAnsiTheme="majorBidi"/>
          <w:lang w:val="fr-FR"/>
        </w:rPr>
        <w:t>’</w:t>
      </w:r>
      <w:r w:rsidRPr="00016AD6">
        <w:rPr>
          <w:rFonts w:asciiTheme="majorBidi" w:hAnsiTheme="majorBidi"/>
          <w:lang w:val="fr-FR"/>
        </w:rPr>
        <w:t xml:space="preserve">effectivité. Ainsi, la question </w:t>
      </w:r>
      <w:r>
        <w:rPr>
          <w:rFonts w:asciiTheme="majorBidi" w:hAnsiTheme="majorBidi"/>
          <w:lang w:val="fr-FR"/>
        </w:rPr>
        <w:t>qui se posait à</w:t>
      </w:r>
      <w:r w:rsidRPr="00016AD6">
        <w:rPr>
          <w:rFonts w:asciiTheme="majorBidi" w:hAnsiTheme="majorBidi"/>
          <w:lang w:val="fr-FR"/>
        </w:rPr>
        <w:t xml:space="preserve"> la Commission était de savoir si la conception traditionnelle de la condition étatique en tant qu</w:t>
      </w:r>
      <w:r w:rsidR="004C5E26">
        <w:rPr>
          <w:rFonts w:asciiTheme="majorBidi" w:hAnsiTheme="majorBidi"/>
          <w:lang w:val="fr-FR"/>
        </w:rPr>
        <w:t>’</w:t>
      </w:r>
      <w:r w:rsidRPr="00016AD6">
        <w:rPr>
          <w:rFonts w:asciiTheme="majorBidi" w:hAnsiTheme="majorBidi"/>
          <w:lang w:val="fr-FR"/>
        </w:rPr>
        <w:t>effectivité s</w:t>
      </w:r>
      <w:r w:rsidR="004C5E26">
        <w:rPr>
          <w:rFonts w:asciiTheme="majorBidi" w:hAnsiTheme="majorBidi"/>
          <w:lang w:val="fr-FR"/>
        </w:rPr>
        <w:t>’</w:t>
      </w:r>
      <w:r w:rsidRPr="00016AD6">
        <w:rPr>
          <w:rFonts w:asciiTheme="majorBidi" w:hAnsiTheme="majorBidi"/>
          <w:lang w:val="fr-FR"/>
        </w:rPr>
        <w:t>appliquait dans la situation à l</w:t>
      </w:r>
      <w:r w:rsidR="004C5E26">
        <w:rPr>
          <w:rFonts w:asciiTheme="majorBidi" w:hAnsiTheme="majorBidi"/>
          <w:lang w:val="fr-FR"/>
        </w:rPr>
        <w:t>’</w:t>
      </w:r>
      <w:r w:rsidRPr="00016AD6">
        <w:rPr>
          <w:rFonts w:asciiTheme="majorBidi" w:hAnsiTheme="majorBidi"/>
          <w:lang w:val="fr-FR"/>
        </w:rPr>
        <w:t xml:space="preserve">examen, ou </w:t>
      </w:r>
      <w:r>
        <w:rPr>
          <w:rFonts w:asciiTheme="majorBidi" w:hAnsiTheme="majorBidi"/>
          <w:lang w:val="fr-FR"/>
        </w:rPr>
        <w:t>s</w:t>
      </w:r>
      <w:r w:rsidR="004C5E26">
        <w:rPr>
          <w:rFonts w:asciiTheme="majorBidi" w:hAnsiTheme="majorBidi"/>
          <w:lang w:val="fr-FR"/>
        </w:rPr>
        <w:t>’</w:t>
      </w:r>
      <w:r>
        <w:rPr>
          <w:rFonts w:asciiTheme="majorBidi" w:hAnsiTheme="majorBidi"/>
          <w:lang w:val="fr-FR"/>
        </w:rPr>
        <w:t xml:space="preserve">il existait </w:t>
      </w:r>
      <w:r w:rsidRPr="00016AD6">
        <w:rPr>
          <w:rFonts w:asciiTheme="majorBidi" w:hAnsiTheme="majorBidi"/>
          <w:lang w:val="fr-FR"/>
        </w:rPr>
        <w:t>une conception moderne de l</w:t>
      </w:r>
      <w:r w:rsidR="004C5E26">
        <w:rPr>
          <w:rFonts w:asciiTheme="majorBidi" w:hAnsiTheme="majorBidi"/>
          <w:lang w:val="fr-FR"/>
        </w:rPr>
        <w:t>’</w:t>
      </w:r>
      <w:r w:rsidRPr="00016AD6">
        <w:rPr>
          <w:rFonts w:asciiTheme="majorBidi" w:hAnsiTheme="majorBidi"/>
          <w:lang w:val="fr-FR"/>
        </w:rPr>
        <w:t xml:space="preserve">effectivité </w:t>
      </w:r>
      <w:r>
        <w:rPr>
          <w:rFonts w:asciiTheme="majorBidi" w:hAnsiTheme="majorBidi"/>
          <w:lang w:val="fr-FR"/>
        </w:rPr>
        <w:t xml:space="preserve">qui </w:t>
      </w:r>
      <w:r w:rsidRPr="00016AD6">
        <w:rPr>
          <w:rFonts w:asciiTheme="majorBidi" w:hAnsiTheme="majorBidi"/>
          <w:lang w:val="fr-FR"/>
        </w:rPr>
        <w:t>n</w:t>
      </w:r>
      <w:r w:rsidR="004C5E26">
        <w:rPr>
          <w:rFonts w:asciiTheme="majorBidi" w:hAnsiTheme="majorBidi"/>
          <w:lang w:val="fr-FR"/>
        </w:rPr>
        <w:t>’</w:t>
      </w:r>
      <w:r w:rsidRPr="00016AD6">
        <w:rPr>
          <w:rFonts w:asciiTheme="majorBidi" w:hAnsiTheme="majorBidi"/>
          <w:lang w:val="fr-FR"/>
        </w:rPr>
        <w:t xml:space="preserve">exigeait pas </w:t>
      </w:r>
      <w:r>
        <w:rPr>
          <w:rFonts w:asciiTheme="majorBidi" w:hAnsiTheme="majorBidi"/>
          <w:lang w:val="fr-FR"/>
        </w:rPr>
        <w:t xml:space="preserve">nécessairement la coexistence, du </w:t>
      </w:r>
      <w:r w:rsidRPr="00016AD6">
        <w:rPr>
          <w:rFonts w:asciiTheme="majorBidi" w:hAnsiTheme="majorBidi"/>
          <w:lang w:val="fr-FR"/>
        </w:rPr>
        <w:t xml:space="preserve">point de vue spatial et géographique, de tous les éléments </w:t>
      </w:r>
      <w:r>
        <w:rPr>
          <w:rFonts w:asciiTheme="majorBidi" w:hAnsiTheme="majorBidi"/>
          <w:lang w:val="fr-FR"/>
        </w:rPr>
        <w:t>constitutifs de l</w:t>
      </w:r>
      <w:r w:rsidR="004C5E26">
        <w:rPr>
          <w:rFonts w:asciiTheme="majorBidi" w:hAnsiTheme="majorBidi"/>
          <w:lang w:val="fr-FR"/>
        </w:rPr>
        <w:t>’</w:t>
      </w:r>
      <w:r>
        <w:rPr>
          <w:rFonts w:asciiTheme="majorBidi" w:hAnsiTheme="majorBidi"/>
          <w:lang w:val="fr-FR"/>
        </w:rPr>
        <w:t>État.</w:t>
      </w:r>
      <w:r w:rsidRPr="00016AD6">
        <w:rPr>
          <w:rFonts w:asciiTheme="majorBidi" w:hAnsiTheme="majorBidi"/>
          <w:lang w:val="fr-FR"/>
        </w:rPr>
        <w:t xml:space="preserve"> Selon une autre opinion, il importait, s</w:t>
      </w:r>
      <w:r w:rsidR="004C5E26">
        <w:rPr>
          <w:rFonts w:asciiTheme="majorBidi" w:hAnsiTheme="majorBidi"/>
          <w:lang w:val="fr-FR"/>
        </w:rPr>
        <w:t>’</w:t>
      </w:r>
      <w:r w:rsidRPr="00016AD6">
        <w:rPr>
          <w:rFonts w:asciiTheme="majorBidi" w:hAnsiTheme="majorBidi"/>
          <w:lang w:val="fr-FR"/>
        </w:rPr>
        <w:t>agissant de la continuité de la condition étatique, de se demander si l</w:t>
      </w:r>
      <w:r w:rsidR="004C5E26">
        <w:rPr>
          <w:rFonts w:asciiTheme="majorBidi" w:hAnsiTheme="majorBidi"/>
          <w:lang w:val="fr-FR"/>
        </w:rPr>
        <w:t>’</w:t>
      </w:r>
      <w:r w:rsidRPr="00016AD6">
        <w:rPr>
          <w:rFonts w:asciiTheme="majorBidi" w:hAnsiTheme="majorBidi"/>
          <w:lang w:val="fr-FR"/>
        </w:rPr>
        <w:t>État touché était viable lorsqu</w:t>
      </w:r>
      <w:r w:rsidR="004C5E26">
        <w:rPr>
          <w:rFonts w:asciiTheme="majorBidi" w:hAnsiTheme="majorBidi"/>
          <w:lang w:val="fr-FR"/>
        </w:rPr>
        <w:t>’</w:t>
      </w:r>
      <w:r w:rsidRPr="00016AD6">
        <w:rPr>
          <w:rFonts w:asciiTheme="majorBidi" w:hAnsiTheme="majorBidi"/>
          <w:lang w:val="fr-FR"/>
        </w:rPr>
        <w:t>une grande partie de s</w:t>
      </w:r>
      <w:r>
        <w:rPr>
          <w:rFonts w:asciiTheme="majorBidi" w:hAnsiTheme="majorBidi"/>
          <w:lang w:val="fr-FR"/>
        </w:rPr>
        <w:t>a surface</w:t>
      </w:r>
      <w:r w:rsidRPr="00016AD6">
        <w:rPr>
          <w:rFonts w:asciiTheme="majorBidi" w:hAnsiTheme="majorBidi"/>
          <w:lang w:val="fr-FR"/>
        </w:rPr>
        <w:t xml:space="preserve"> terrestre était submergée</w:t>
      </w:r>
      <w:r>
        <w:rPr>
          <w:rFonts w:asciiTheme="majorBidi" w:hAnsiTheme="majorBidi"/>
          <w:lang w:val="fr-FR"/>
        </w:rPr>
        <w:t xml:space="preserve"> par la mer</w:t>
      </w:r>
      <w:r w:rsidRPr="00016AD6">
        <w:rPr>
          <w:rFonts w:asciiTheme="majorBidi" w:hAnsiTheme="majorBidi"/>
          <w:lang w:val="fr-FR"/>
        </w:rPr>
        <w:t>. Selon une opinion, il importait d</w:t>
      </w:r>
      <w:r w:rsidR="004C5E26">
        <w:rPr>
          <w:rFonts w:asciiTheme="majorBidi" w:hAnsiTheme="majorBidi"/>
          <w:lang w:val="fr-FR"/>
        </w:rPr>
        <w:t>’</w:t>
      </w:r>
      <w:r w:rsidRPr="00016AD6">
        <w:rPr>
          <w:rFonts w:asciiTheme="majorBidi" w:hAnsiTheme="majorBidi"/>
          <w:lang w:val="fr-FR"/>
        </w:rPr>
        <w:t xml:space="preserve">établir des critères pour la continuité de la condition étatique </w:t>
      </w:r>
      <w:r>
        <w:rPr>
          <w:rFonts w:asciiTheme="majorBidi" w:hAnsiTheme="majorBidi"/>
          <w:lang w:val="fr-FR"/>
        </w:rPr>
        <w:t xml:space="preserve">afin </w:t>
      </w:r>
      <w:r w:rsidRPr="00016AD6">
        <w:rPr>
          <w:rFonts w:asciiTheme="majorBidi" w:hAnsiTheme="majorBidi"/>
          <w:lang w:val="fr-FR"/>
        </w:rPr>
        <w:t>qu</w:t>
      </w:r>
      <w:r w:rsidR="004C5E26">
        <w:rPr>
          <w:rFonts w:asciiTheme="majorBidi" w:hAnsiTheme="majorBidi"/>
          <w:lang w:val="fr-FR"/>
        </w:rPr>
        <w:t>’</w:t>
      </w:r>
      <w:r w:rsidRPr="00016AD6">
        <w:rPr>
          <w:rFonts w:asciiTheme="majorBidi" w:hAnsiTheme="majorBidi"/>
          <w:lang w:val="fr-FR"/>
        </w:rPr>
        <w:t>elle soit maintenue face aux éventuelles contestations juridiques susceptibles d</w:t>
      </w:r>
      <w:r w:rsidR="004C5E26">
        <w:rPr>
          <w:rFonts w:asciiTheme="majorBidi" w:hAnsiTheme="majorBidi"/>
          <w:lang w:val="fr-FR"/>
        </w:rPr>
        <w:t>’</w:t>
      </w:r>
      <w:r w:rsidRPr="00016AD6">
        <w:rPr>
          <w:rFonts w:asciiTheme="majorBidi" w:hAnsiTheme="majorBidi"/>
          <w:lang w:val="fr-FR"/>
        </w:rPr>
        <w:t>être formulées à l</w:t>
      </w:r>
      <w:r w:rsidR="004C5E26">
        <w:rPr>
          <w:rFonts w:asciiTheme="majorBidi" w:hAnsiTheme="majorBidi"/>
          <w:lang w:val="fr-FR"/>
        </w:rPr>
        <w:t>’</w:t>
      </w:r>
      <w:r w:rsidRPr="00016AD6">
        <w:rPr>
          <w:rFonts w:asciiTheme="majorBidi" w:hAnsiTheme="majorBidi"/>
          <w:lang w:val="fr-FR"/>
        </w:rPr>
        <w:t>avenir lorsque des éléments cl</w:t>
      </w:r>
      <w:r>
        <w:rPr>
          <w:rFonts w:asciiTheme="majorBidi" w:hAnsiTheme="majorBidi"/>
          <w:lang w:val="fr-FR"/>
        </w:rPr>
        <w:t>ef</w:t>
      </w:r>
      <w:r w:rsidRPr="00016AD6">
        <w:rPr>
          <w:rFonts w:asciiTheme="majorBidi" w:hAnsiTheme="majorBidi"/>
          <w:lang w:val="fr-FR"/>
        </w:rPr>
        <w:t>s de la condition étatique cessaient d</w:t>
      </w:r>
      <w:r w:rsidR="004C5E26">
        <w:rPr>
          <w:rFonts w:asciiTheme="majorBidi" w:hAnsiTheme="majorBidi"/>
          <w:lang w:val="fr-FR"/>
        </w:rPr>
        <w:t>’</w:t>
      </w:r>
      <w:r w:rsidRPr="00016AD6">
        <w:rPr>
          <w:rFonts w:asciiTheme="majorBidi" w:hAnsiTheme="majorBidi"/>
          <w:lang w:val="fr-FR"/>
        </w:rPr>
        <w:t>exister de manière permanente.</w:t>
      </w:r>
    </w:p>
    <w:p w14:paraId="294AD1DF" w14:textId="2D0FECDF" w:rsidR="00737BD1" w:rsidRPr="00016AD6" w:rsidRDefault="00737BD1" w:rsidP="00737BD1">
      <w:pPr>
        <w:pStyle w:val="SingleTxtG"/>
        <w:keepLines/>
        <w:rPr>
          <w:rFonts w:asciiTheme="majorBidi" w:eastAsia="Calibri" w:hAnsiTheme="majorBidi"/>
          <w:lang w:val="fr-FR"/>
        </w:rPr>
      </w:pPr>
      <w:r>
        <w:rPr>
          <w:rFonts w:asciiTheme="majorBidi" w:hAnsiTheme="majorBidi"/>
          <w:lang w:val="fr-FR"/>
        </w:rPr>
        <w:lastRenderedPageBreak/>
        <w:t>359.</w:t>
      </w:r>
      <w:r>
        <w:rPr>
          <w:rFonts w:asciiTheme="majorBidi" w:hAnsiTheme="majorBidi"/>
          <w:lang w:val="fr-FR"/>
        </w:rPr>
        <w:tab/>
      </w:r>
      <w:r w:rsidRPr="00016AD6">
        <w:rPr>
          <w:rFonts w:asciiTheme="majorBidi" w:hAnsiTheme="majorBidi"/>
          <w:lang w:val="fr-FR"/>
        </w:rPr>
        <w:t xml:space="preserve">De plus, </w:t>
      </w:r>
      <w:r>
        <w:rPr>
          <w:rFonts w:asciiTheme="majorBidi" w:hAnsiTheme="majorBidi"/>
          <w:lang w:val="fr-FR"/>
        </w:rPr>
        <w:t>on a fait observer que</w:t>
      </w:r>
      <w:r w:rsidRPr="00016AD6">
        <w:rPr>
          <w:rFonts w:asciiTheme="majorBidi" w:hAnsiTheme="majorBidi"/>
          <w:lang w:val="fr-FR"/>
        </w:rPr>
        <w:t xml:space="preserve"> l</w:t>
      </w:r>
      <w:r w:rsidR="004C5E26">
        <w:rPr>
          <w:rFonts w:asciiTheme="majorBidi" w:hAnsiTheme="majorBidi"/>
          <w:lang w:val="fr-FR"/>
        </w:rPr>
        <w:t>’</w:t>
      </w:r>
      <w:r w:rsidRPr="00016AD6">
        <w:rPr>
          <w:rFonts w:asciiTheme="majorBidi" w:hAnsiTheme="majorBidi"/>
          <w:lang w:val="fr-FR"/>
        </w:rPr>
        <w:t xml:space="preserve">application du droit des peuples </w:t>
      </w:r>
      <w:r>
        <w:rPr>
          <w:rFonts w:asciiTheme="majorBidi" w:hAnsiTheme="majorBidi"/>
          <w:lang w:val="fr-FR"/>
        </w:rPr>
        <w:t>à l</w:t>
      </w:r>
      <w:r w:rsidR="004C5E26">
        <w:rPr>
          <w:rFonts w:asciiTheme="majorBidi" w:hAnsiTheme="majorBidi"/>
          <w:lang w:val="fr-FR"/>
        </w:rPr>
        <w:t>’</w:t>
      </w:r>
      <w:proofErr w:type="spellStart"/>
      <w:r>
        <w:rPr>
          <w:rFonts w:asciiTheme="majorBidi" w:hAnsiTheme="majorBidi"/>
          <w:lang w:val="fr-FR"/>
        </w:rPr>
        <w:t>autodétermination</w:t>
      </w:r>
      <w:proofErr w:type="spellEnd"/>
      <w:r>
        <w:rPr>
          <w:rFonts w:asciiTheme="majorBidi" w:hAnsiTheme="majorBidi"/>
          <w:lang w:val="fr-FR"/>
        </w:rPr>
        <w:t xml:space="preserve"> </w:t>
      </w:r>
      <w:r w:rsidRPr="00016AD6">
        <w:rPr>
          <w:rFonts w:asciiTheme="majorBidi" w:hAnsiTheme="majorBidi"/>
          <w:lang w:val="fr-FR"/>
        </w:rPr>
        <w:t xml:space="preserve">et </w:t>
      </w:r>
      <w:r>
        <w:rPr>
          <w:rFonts w:asciiTheme="majorBidi" w:hAnsiTheme="majorBidi"/>
          <w:lang w:val="fr-FR"/>
        </w:rPr>
        <w:t>du</w:t>
      </w:r>
      <w:r w:rsidRPr="00016AD6">
        <w:rPr>
          <w:rFonts w:asciiTheme="majorBidi" w:hAnsiTheme="majorBidi"/>
          <w:lang w:val="fr-FR"/>
        </w:rPr>
        <w:t xml:space="preserve"> droit de chaque État </w:t>
      </w:r>
      <w:r>
        <w:rPr>
          <w:rFonts w:asciiTheme="majorBidi" w:hAnsiTheme="majorBidi"/>
          <w:lang w:val="fr-FR"/>
        </w:rPr>
        <w:t>de</w:t>
      </w:r>
      <w:r w:rsidRPr="00016AD6">
        <w:rPr>
          <w:rFonts w:asciiTheme="majorBidi" w:hAnsiTheme="majorBidi"/>
          <w:lang w:val="fr-FR"/>
        </w:rPr>
        <w:t xml:space="preserve"> défendre son intégrité </w:t>
      </w:r>
      <w:r>
        <w:rPr>
          <w:rFonts w:asciiTheme="majorBidi" w:hAnsiTheme="majorBidi"/>
          <w:lang w:val="fr-FR"/>
        </w:rPr>
        <w:t xml:space="preserve">territoriale </w:t>
      </w:r>
      <w:r w:rsidRPr="00016AD6">
        <w:rPr>
          <w:rFonts w:asciiTheme="majorBidi" w:hAnsiTheme="majorBidi"/>
          <w:lang w:val="fr-FR"/>
        </w:rPr>
        <w:t xml:space="preserve">et son indépendance contribuerait à </w:t>
      </w:r>
      <w:r>
        <w:rPr>
          <w:rFonts w:asciiTheme="majorBidi" w:hAnsiTheme="majorBidi"/>
          <w:lang w:val="fr-FR"/>
        </w:rPr>
        <w:t>amener les États</w:t>
      </w:r>
      <w:r w:rsidRPr="00016AD6">
        <w:rPr>
          <w:rFonts w:asciiTheme="majorBidi" w:hAnsiTheme="majorBidi"/>
          <w:lang w:val="fr-FR"/>
        </w:rPr>
        <w:t xml:space="preserve"> à ne pas retirer prématurément la reconnaissance accordée </w:t>
      </w:r>
      <w:r>
        <w:rPr>
          <w:rFonts w:asciiTheme="majorBidi" w:hAnsiTheme="majorBidi"/>
          <w:lang w:val="fr-FR"/>
        </w:rPr>
        <w:t>à un État</w:t>
      </w:r>
      <w:r w:rsidRPr="00016AD6">
        <w:rPr>
          <w:rFonts w:asciiTheme="majorBidi" w:hAnsiTheme="majorBidi"/>
          <w:lang w:val="fr-FR"/>
        </w:rPr>
        <w:t xml:space="preserve"> dont </w:t>
      </w:r>
      <w:r>
        <w:rPr>
          <w:rFonts w:asciiTheme="majorBidi" w:hAnsiTheme="majorBidi"/>
          <w:lang w:val="fr-FR"/>
        </w:rPr>
        <w:t>la surface</w:t>
      </w:r>
      <w:r w:rsidRPr="00016AD6">
        <w:rPr>
          <w:rFonts w:asciiTheme="majorBidi" w:hAnsiTheme="majorBidi"/>
          <w:lang w:val="fr-FR"/>
        </w:rPr>
        <w:t xml:space="preserve"> terrestre pourrait être totalement </w:t>
      </w:r>
      <w:r>
        <w:rPr>
          <w:rFonts w:asciiTheme="majorBidi" w:hAnsiTheme="majorBidi"/>
          <w:lang w:val="fr-FR"/>
        </w:rPr>
        <w:t>submergée</w:t>
      </w:r>
      <w:r w:rsidRPr="00016AD6">
        <w:rPr>
          <w:rFonts w:asciiTheme="majorBidi" w:hAnsiTheme="majorBidi"/>
          <w:lang w:val="fr-FR"/>
        </w:rPr>
        <w:t xml:space="preserve"> par </w:t>
      </w:r>
      <w:r>
        <w:rPr>
          <w:rFonts w:asciiTheme="majorBidi" w:hAnsiTheme="majorBidi"/>
          <w:lang w:val="fr-FR"/>
        </w:rPr>
        <w:t>l</w:t>
      </w:r>
      <w:r w:rsidR="004C5E26">
        <w:rPr>
          <w:rFonts w:asciiTheme="majorBidi" w:hAnsiTheme="majorBidi"/>
          <w:lang w:val="fr-FR"/>
        </w:rPr>
        <w:t>’</w:t>
      </w:r>
      <w:r>
        <w:rPr>
          <w:rFonts w:asciiTheme="majorBidi" w:hAnsiTheme="majorBidi"/>
          <w:lang w:val="fr-FR"/>
        </w:rPr>
        <w:t xml:space="preserve">élévation du niveau de </w:t>
      </w:r>
      <w:r w:rsidRPr="00016AD6">
        <w:rPr>
          <w:rFonts w:asciiTheme="majorBidi" w:hAnsiTheme="majorBidi"/>
          <w:lang w:val="fr-FR"/>
        </w:rPr>
        <w:t>la mer. On a rappelé que la note complémentaire indiquait que la souveraineté ou l</w:t>
      </w:r>
      <w:r w:rsidR="004C5E26">
        <w:rPr>
          <w:rFonts w:asciiTheme="majorBidi" w:hAnsiTheme="majorBidi"/>
          <w:lang w:val="fr-FR"/>
        </w:rPr>
        <w:t>’</w:t>
      </w:r>
      <w:r w:rsidRPr="00016AD6">
        <w:rPr>
          <w:rFonts w:asciiTheme="majorBidi" w:hAnsiTheme="majorBidi"/>
          <w:lang w:val="fr-FR"/>
        </w:rPr>
        <w:t>indépendance étaient des critères essentiels s</w:t>
      </w:r>
      <w:r w:rsidR="004C5E26">
        <w:rPr>
          <w:rFonts w:asciiTheme="majorBidi" w:hAnsiTheme="majorBidi"/>
          <w:lang w:val="fr-FR"/>
        </w:rPr>
        <w:t>’</w:t>
      </w:r>
      <w:r w:rsidRPr="00016AD6">
        <w:rPr>
          <w:rFonts w:asciiTheme="majorBidi" w:hAnsiTheme="majorBidi"/>
          <w:lang w:val="fr-FR"/>
        </w:rPr>
        <w:t>agissant de la continuité de la condition étatique, même s</w:t>
      </w:r>
      <w:r>
        <w:rPr>
          <w:rFonts w:asciiTheme="majorBidi" w:hAnsiTheme="majorBidi"/>
          <w:lang w:val="fr-FR"/>
        </w:rPr>
        <w:t xml:space="preserve">i ces </w:t>
      </w:r>
      <w:r w:rsidRPr="00016AD6">
        <w:rPr>
          <w:rFonts w:asciiTheme="majorBidi" w:hAnsiTheme="majorBidi"/>
          <w:lang w:val="fr-FR"/>
        </w:rPr>
        <w:t xml:space="preserve">concepts </w:t>
      </w:r>
      <w:r>
        <w:rPr>
          <w:rFonts w:asciiTheme="majorBidi" w:hAnsiTheme="majorBidi"/>
          <w:lang w:val="fr-FR"/>
        </w:rPr>
        <w:t xml:space="preserve">étaient </w:t>
      </w:r>
      <w:r w:rsidRPr="00016AD6">
        <w:rPr>
          <w:rFonts w:asciiTheme="majorBidi" w:hAnsiTheme="majorBidi"/>
          <w:lang w:val="fr-FR"/>
        </w:rPr>
        <w:t>généralement appliqués en référence à un territoire.</w:t>
      </w:r>
    </w:p>
    <w:p w14:paraId="36623260" w14:textId="4B1C5303" w:rsidR="00737BD1" w:rsidRPr="00E328FD" w:rsidRDefault="00737BD1" w:rsidP="00737BD1">
      <w:pPr>
        <w:pStyle w:val="SingleTxtG"/>
      </w:pPr>
      <w:r w:rsidRPr="000126E9">
        <w:rPr>
          <w:rFonts w:asciiTheme="majorBidi" w:hAnsiTheme="majorBidi"/>
          <w:lang w:val="fr-FR"/>
        </w:rPr>
        <w:t>360.</w:t>
      </w:r>
      <w:r w:rsidRPr="000126E9">
        <w:rPr>
          <w:rFonts w:asciiTheme="majorBidi" w:hAnsiTheme="majorBidi"/>
          <w:lang w:val="fr-FR"/>
        </w:rPr>
        <w:tab/>
        <w:t>Le consentement, une notion bien connue en droit international, a été mentionné comme autre fondement juridique</w:t>
      </w:r>
      <w:r w:rsidRPr="00016AD6">
        <w:rPr>
          <w:rFonts w:asciiTheme="majorBidi" w:hAnsiTheme="majorBidi"/>
          <w:lang w:val="fr-FR"/>
        </w:rPr>
        <w:t xml:space="preserve"> possible de la continuité de la condition étatique. On a fait observer que depuis </w:t>
      </w:r>
      <w:r>
        <w:rPr>
          <w:rFonts w:asciiTheme="majorBidi" w:hAnsiTheme="majorBidi"/>
          <w:lang w:val="fr-FR"/>
        </w:rPr>
        <w:t>l</w:t>
      </w:r>
      <w:r w:rsidR="004C5E26">
        <w:rPr>
          <w:rFonts w:asciiTheme="majorBidi" w:hAnsiTheme="majorBidi"/>
          <w:lang w:val="fr-FR"/>
        </w:rPr>
        <w:t>’</w:t>
      </w:r>
      <w:r>
        <w:rPr>
          <w:rFonts w:asciiTheme="majorBidi" w:hAnsiTheme="majorBidi"/>
          <w:lang w:val="fr-FR"/>
        </w:rPr>
        <w:t xml:space="preserve">adoption de </w:t>
      </w:r>
      <w:r w:rsidRPr="00016AD6">
        <w:rPr>
          <w:rFonts w:asciiTheme="majorBidi" w:hAnsiTheme="majorBidi"/>
          <w:lang w:val="fr-FR"/>
        </w:rPr>
        <w:t>la Charte des Nations Unies</w:t>
      </w:r>
      <w:r>
        <w:rPr>
          <w:rFonts w:asciiTheme="majorBidi" w:hAnsiTheme="majorBidi"/>
          <w:lang w:val="fr-FR"/>
        </w:rPr>
        <w:t>,</w:t>
      </w:r>
      <w:r w:rsidRPr="00016AD6">
        <w:rPr>
          <w:rFonts w:asciiTheme="majorBidi" w:hAnsiTheme="majorBidi"/>
          <w:lang w:val="fr-FR"/>
        </w:rPr>
        <w:t xml:space="preserve"> il y avait eu très peu </w:t>
      </w:r>
      <w:r>
        <w:rPr>
          <w:rFonts w:asciiTheme="majorBidi" w:hAnsiTheme="majorBidi"/>
          <w:lang w:val="fr-FR"/>
        </w:rPr>
        <w:t xml:space="preserve">de cas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extinction d</w:t>
      </w:r>
      <w:r w:rsidR="004C5E26">
        <w:rPr>
          <w:rFonts w:asciiTheme="majorBidi" w:hAnsiTheme="majorBidi"/>
          <w:lang w:val="fr-FR"/>
        </w:rPr>
        <w:t>’</w:t>
      </w:r>
      <w:r>
        <w:rPr>
          <w:rFonts w:asciiTheme="majorBidi" w:hAnsiTheme="majorBidi"/>
          <w:lang w:val="fr-FR"/>
        </w:rPr>
        <w:t xml:space="preserve">un </w:t>
      </w:r>
      <w:r w:rsidRPr="00016AD6">
        <w:rPr>
          <w:rFonts w:asciiTheme="majorBidi" w:hAnsiTheme="majorBidi"/>
          <w:lang w:val="fr-FR"/>
        </w:rPr>
        <w:t>État, et presqu</w:t>
      </w:r>
      <w:r w:rsidR="004C5E26">
        <w:rPr>
          <w:rFonts w:asciiTheme="majorBidi" w:hAnsiTheme="majorBidi"/>
          <w:lang w:val="fr-FR"/>
        </w:rPr>
        <w:t>’</w:t>
      </w:r>
      <w:r w:rsidRPr="00016AD6">
        <w:rPr>
          <w:rFonts w:asciiTheme="majorBidi" w:hAnsiTheme="majorBidi"/>
          <w:lang w:val="fr-FR"/>
        </w:rPr>
        <w:t xml:space="preserve">aucun </w:t>
      </w:r>
      <w:r>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extinction involontaire</w:t>
      </w:r>
      <w:r w:rsidRPr="00E328FD">
        <w:rPr>
          <w:rFonts w:asciiTheme="majorBidi" w:hAnsiTheme="majorBidi"/>
          <w:lang w:val="fr-FR"/>
        </w:rPr>
        <w:t>.</w:t>
      </w:r>
      <w:r w:rsidRPr="00E328FD">
        <w:t xml:space="preserve"> Les divers cas de figures et options qui se présentaient aux États faisant face à une perte de territoire </w:t>
      </w:r>
      <w:r>
        <w:t xml:space="preserve">terrestre </w:t>
      </w:r>
      <w:r w:rsidRPr="00E328FD">
        <w:t>habitable, envisagés dans la note complémentaire, postulaient tous le consentement de l</w:t>
      </w:r>
      <w:r w:rsidR="004C5E26">
        <w:t>’</w:t>
      </w:r>
      <w:r w:rsidRPr="00E328FD">
        <w:t>État touché</w:t>
      </w:r>
      <w:r>
        <w:t>.</w:t>
      </w:r>
    </w:p>
    <w:p w14:paraId="703368F6" w14:textId="696AAF98" w:rsidR="00737BD1" w:rsidRPr="00092301" w:rsidRDefault="00737BD1" w:rsidP="00737BD1">
      <w:pPr>
        <w:pStyle w:val="H56G"/>
        <w:rPr>
          <w:lang w:val="fr-FR"/>
        </w:rPr>
      </w:pPr>
      <w:r>
        <w:rPr>
          <w:lang w:val="fr-FR"/>
        </w:rPr>
        <w:tab/>
      </w:r>
      <w:r w:rsidRPr="00016AD6">
        <w:rPr>
          <w:lang w:val="fr-FR"/>
        </w:rPr>
        <w:t>b</w:t>
      </w:r>
      <w:r w:rsidR="00414AA0">
        <w:rPr>
          <w:lang w:val="fr-FR"/>
        </w:rPr>
        <w:t>.</w:t>
      </w:r>
      <w:r w:rsidRPr="00016AD6">
        <w:rPr>
          <w:lang w:val="fr-FR"/>
        </w:rPr>
        <w:tab/>
        <w:t>Présomption de continuité de la condition étatique</w:t>
      </w:r>
    </w:p>
    <w:p w14:paraId="7F4E8845" w14:textId="77777777" w:rsidR="00737BD1" w:rsidRDefault="00737BD1" w:rsidP="00737BD1">
      <w:pPr>
        <w:pStyle w:val="H56G"/>
        <w:rPr>
          <w:rFonts w:asciiTheme="majorBidi" w:hAnsiTheme="majorBidi"/>
          <w:lang w:val="fr-FR"/>
        </w:rPr>
      </w:pPr>
      <w:r>
        <w:rPr>
          <w:rFonts w:asciiTheme="majorBidi" w:hAnsiTheme="majorBidi"/>
          <w:lang w:val="fr-FR"/>
        </w:rPr>
        <w:tab/>
        <w:t>i.</w:t>
      </w:r>
      <w:r>
        <w:rPr>
          <w:rFonts w:asciiTheme="majorBidi" w:hAnsiTheme="majorBidi"/>
          <w:lang w:val="fr-FR"/>
        </w:rPr>
        <w:tab/>
      </w:r>
      <w:r>
        <w:rPr>
          <w:lang w:val="fr-FR"/>
        </w:rPr>
        <w:t>Présentation par le Coprésident</w:t>
      </w:r>
    </w:p>
    <w:p w14:paraId="02CEB648" w14:textId="48985AE7" w:rsidR="00737BD1" w:rsidRDefault="00737BD1" w:rsidP="00737BD1">
      <w:pPr>
        <w:pStyle w:val="SingleTxtG"/>
        <w:rPr>
          <w:rFonts w:asciiTheme="majorBidi" w:hAnsiTheme="majorBidi"/>
          <w:lang w:val="fr-FR"/>
        </w:rPr>
      </w:pPr>
      <w:r>
        <w:rPr>
          <w:rFonts w:asciiTheme="majorBidi" w:hAnsiTheme="majorBidi"/>
          <w:lang w:val="fr-FR"/>
        </w:rPr>
        <w:t>361.</w:t>
      </w:r>
      <w:r>
        <w:rPr>
          <w:rFonts w:asciiTheme="majorBidi" w:hAnsiTheme="majorBidi"/>
          <w:lang w:val="fr-FR"/>
        </w:rPr>
        <w:tab/>
      </w:r>
      <w:r w:rsidRPr="001D4D4F">
        <w:rPr>
          <w:rFonts w:asciiTheme="majorBidi" w:hAnsiTheme="majorBidi"/>
          <w:lang w:val="fr-FR"/>
        </w:rPr>
        <w:t xml:space="preserve">Le Coprésident </w:t>
      </w:r>
      <w:r>
        <w:rPr>
          <w:lang w:val="fr-FR"/>
        </w:rPr>
        <w:t xml:space="preserve">(M. </w:t>
      </w:r>
      <w:proofErr w:type="spellStart"/>
      <w:r>
        <w:rPr>
          <w:lang w:val="fr-FR"/>
        </w:rPr>
        <w:t>Ruda</w:t>
      </w:r>
      <w:proofErr w:type="spellEnd"/>
      <w:r>
        <w:rPr>
          <w:lang w:val="fr-FR"/>
        </w:rPr>
        <w:t xml:space="preserve"> </w:t>
      </w:r>
      <w:proofErr w:type="spellStart"/>
      <w:r>
        <w:rPr>
          <w:lang w:val="fr-FR"/>
        </w:rPr>
        <w:t>Santolaria</w:t>
      </w:r>
      <w:proofErr w:type="spellEnd"/>
      <w:r>
        <w:rPr>
          <w:lang w:val="fr-FR"/>
        </w:rPr>
        <w:t xml:space="preserve">) </w:t>
      </w:r>
      <w:r w:rsidRPr="001D4D4F">
        <w:rPr>
          <w:rFonts w:asciiTheme="majorBidi" w:hAnsiTheme="majorBidi"/>
          <w:lang w:val="fr-FR"/>
        </w:rPr>
        <w:t>et d</w:t>
      </w:r>
      <w:r w:rsidR="004C5E26">
        <w:rPr>
          <w:rFonts w:asciiTheme="majorBidi" w:hAnsiTheme="majorBidi"/>
          <w:lang w:val="fr-FR"/>
        </w:rPr>
        <w:t>’</w:t>
      </w:r>
      <w:r w:rsidRPr="001D4D4F">
        <w:rPr>
          <w:rFonts w:asciiTheme="majorBidi" w:hAnsiTheme="majorBidi"/>
          <w:lang w:val="fr-FR"/>
        </w:rPr>
        <w:t xml:space="preserve">autres </w:t>
      </w:r>
      <w:r>
        <w:rPr>
          <w:rFonts w:asciiTheme="majorBidi" w:hAnsiTheme="majorBidi"/>
          <w:lang w:val="fr-FR"/>
        </w:rPr>
        <w:t xml:space="preserve">membres </w:t>
      </w:r>
      <w:r w:rsidRPr="001D4D4F">
        <w:rPr>
          <w:rFonts w:asciiTheme="majorBidi" w:hAnsiTheme="majorBidi"/>
          <w:lang w:val="fr-FR"/>
        </w:rPr>
        <w:t>ont rappelé qu</w:t>
      </w:r>
      <w:r w:rsidR="004C5E26">
        <w:rPr>
          <w:rFonts w:asciiTheme="majorBidi" w:hAnsiTheme="majorBidi"/>
          <w:lang w:val="fr-FR"/>
        </w:rPr>
        <w:t>’</w:t>
      </w:r>
      <w:r w:rsidRPr="001D4D4F">
        <w:rPr>
          <w:rFonts w:asciiTheme="majorBidi" w:hAnsiTheme="majorBidi"/>
          <w:lang w:val="fr-FR"/>
        </w:rPr>
        <w:t>ainsi qu</w:t>
      </w:r>
      <w:r w:rsidR="004C5E26">
        <w:rPr>
          <w:rFonts w:asciiTheme="majorBidi" w:hAnsiTheme="majorBidi"/>
          <w:lang w:val="fr-FR"/>
        </w:rPr>
        <w:t>’</w:t>
      </w:r>
      <w:r w:rsidRPr="001D4D4F">
        <w:rPr>
          <w:rFonts w:asciiTheme="majorBidi" w:hAnsiTheme="majorBidi"/>
          <w:lang w:val="fr-FR"/>
        </w:rPr>
        <w:t xml:space="preserve">il était indiqué dans la seconde note thématique, examinée en 2022, il existait une forte présomption de continuité de la condition étatique </w:t>
      </w:r>
      <w:r w:rsidRPr="00016AD6">
        <w:rPr>
          <w:rFonts w:asciiTheme="majorBidi" w:hAnsiTheme="majorBidi"/>
          <w:lang w:val="fr-FR"/>
        </w:rPr>
        <w:t xml:space="preserve">des États dont </w:t>
      </w:r>
      <w:r>
        <w:rPr>
          <w:rFonts w:asciiTheme="majorBidi" w:hAnsiTheme="majorBidi"/>
          <w:lang w:val="fr-FR"/>
        </w:rPr>
        <w:t>la surface</w:t>
      </w:r>
      <w:r w:rsidRPr="00016AD6">
        <w:rPr>
          <w:rFonts w:asciiTheme="majorBidi" w:hAnsiTheme="majorBidi"/>
          <w:lang w:val="fr-FR"/>
        </w:rPr>
        <w:t xml:space="preserve"> terrestre pouvait être partiellement ou totalement submergé</w:t>
      </w:r>
      <w:r>
        <w:rPr>
          <w:rFonts w:asciiTheme="majorBidi" w:hAnsiTheme="majorBidi"/>
          <w:lang w:val="fr-FR"/>
        </w:rPr>
        <w:t>e</w:t>
      </w:r>
      <w:r w:rsidRPr="00016AD6">
        <w:rPr>
          <w:rFonts w:asciiTheme="majorBidi" w:hAnsiTheme="majorBidi"/>
          <w:lang w:val="fr-FR"/>
        </w:rPr>
        <w:t xml:space="preserve"> par la mer </w:t>
      </w:r>
      <w:r>
        <w:rPr>
          <w:rFonts w:asciiTheme="majorBidi" w:hAnsiTheme="majorBidi"/>
          <w:lang w:val="fr-FR"/>
        </w:rPr>
        <w:t>ou</w:t>
      </w:r>
      <w:r w:rsidRPr="00016AD6">
        <w:rPr>
          <w:rFonts w:asciiTheme="majorBidi" w:hAnsiTheme="majorBidi"/>
          <w:lang w:val="fr-FR"/>
        </w:rPr>
        <w:t xml:space="preserve"> devenir inhabitable en raison de l</w:t>
      </w:r>
      <w:r w:rsidR="004C5E26">
        <w:rPr>
          <w:rFonts w:asciiTheme="majorBidi" w:hAnsiTheme="majorBidi"/>
          <w:lang w:val="fr-FR"/>
        </w:rPr>
        <w:t>’</w:t>
      </w:r>
      <w:r w:rsidRPr="00016AD6">
        <w:rPr>
          <w:rFonts w:asciiTheme="majorBidi" w:hAnsiTheme="majorBidi"/>
          <w:lang w:val="fr-FR"/>
        </w:rPr>
        <w:t>élévation du niveau de la mer due aux changements climatiques. Cette présomption tenait au fait que, comme indiqué ci-dessus, des changements fondamentaux dans l</w:t>
      </w:r>
      <w:r w:rsidR="004C5E26">
        <w:rPr>
          <w:rFonts w:asciiTheme="majorBidi" w:hAnsiTheme="majorBidi"/>
          <w:lang w:val="fr-FR"/>
        </w:rPr>
        <w:t>’</w:t>
      </w:r>
      <w:r w:rsidRPr="00016AD6">
        <w:rPr>
          <w:rFonts w:asciiTheme="majorBidi" w:hAnsiTheme="majorBidi"/>
          <w:lang w:val="fr-FR"/>
        </w:rPr>
        <w:t xml:space="preserve">un ou plusieurs des </w:t>
      </w:r>
      <w:r>
        <w:rPr>
          <w:rFonts w:asciiTheme="majorBidi" w:hAnsiTheme="majorBidi"/>
          <w:lang w:val="fr-FR"/>
        </w:rPr>
        <w:t xml:space="preserve">éléments définis </w:t>
      </w:r>
      <w:r w:rsidRPr="00016AD6">
        <w:rPr>
          <w:rFonts w:asciiTheme="majorBidi" w:hAnsiTheme="majorBidi"/>
          <w:lang w:val="fr-FR"/>
        </w:rPr>
        <w:t>dans la Convention de Montevideo pour la création d</w:t>
      </w:r>
      <w:r w:rsidR="004C5E26">
        <w:rPr>
          <w:rFonts w:asciiTheme="majorBidi" w:hAnsiTheme="majorBidi"/>
          <w:lang w:val="fr-FR"/>
        </w:rPr>
        <w:t>’</w:t>
      </w:r>
      <w:r w:rsidRPr="00016AD6">
        <w:rPr>
          <w:rFonts w:asciiTheme="majorBidi" w:hAnsiTheme="majorBidi"/>
          <w:lang w:val="fr-FR"/>
        </w:rPr>
        <w:t>un État n</w:t>
      </w:r>
      <w:r w:rsidR="004C5E26">
        <w:rPr>
          <w:rFonts w:asciiTheme="majorBidi" w:hAnsiTheme="majorBidi"/>
          <w:lang w:val="fr-FR"/>
        </w:rPr>
        <w:t>’</w:t>
      </w:r>
      <w:r w:rsidRPr="00016AD6">
        <w:rPr>
          <w:rFonts w:asciiTheme="majorBidi" w:hAnsiTheme="majorBidi"/>
          <w:lang w:val="fr-FR"/>
        </w:rPr>
        <w:t>aboutissai</w:t>
      </w:r>
      <w:r>
        <w:rPr>
          <w:rFonts w:asciiTheme="majorBidi" w:hAnsiTheme="majorBidi"/>
          <w:lang w:val="fr-FR"/>
        </w:rPr>
        <w:t>en</w:t>
      </w:r>
      <w:r w:rsidRPr="00016AD6">
        <w:rPr>
          <w:rFonts w:asciiTheme="majorBidi" w:hAnsiTheme="majorBidi"/>
          <w:lang w:val="fr-FR"/>
        </w:rPr>
        <w:t xml:space="preserve">t </w:t>
      </w:r>
      <w:r>
        <w:rPr>
          <w:rFonts w:asciiTheme="majorBidi" w:hAnsiTheme="majorBidi"/>
          <w:lang w:val="fr-FR"/>
        </w:rPr>
        <w:t xml:space="preserve">généralement </w:t>
      </w:r>
      <w:r w:rsidRPr="00016AD6">
        <w:rPr>
          <w:rFonts w:asciiTheme="majorBidi" w:hAnsiTheme="majorBidi"/>
          <w:lang w:val="fr-FR"/>
        </w:rPr>
        <w:t>pas à l</w:t>
      </w:r>
      <w:r w:rsidR="004C5E26">
        <w:rPr>
          <w:rFonts w:asciiTheme="majorBidi" w:hAnsiTheme="majorBidi"/>
          <w:lang w:val="fr-FR"/>
        </w:rPr>
        <w:t>’</w:t>
      </w:r>
      <w:r w:rsidRPr="00016AD6">
        <w:rPr>
          <w:rFonts w:asciiTheme="majorBidi" w:hAnsiTheme="majorBidi"/>
          <w:lang w:val="fr-FR"/>
        </w:rPr>
        <w:t>extinction de l</w:t>
      </w:r>
      <w:r w:rsidR="004C5E26">
        <w:rPr>
          <w:rFonts w:asciiTheme="majorBidi" w:hAnsiTheme="majorBidi"/>
          <w:lang w:val="fr-FR"/>
        </w:rPr>
        <w:t>’</w:t>
      </w:r>
      <w:r w:rsidRPr="00016AD6">
        <w:rPr>
          <w:rFonts w:asciiTheme="majorBidi" w:hAnsiTheme="majorBidi"/>
          <w:lang w:val="fr-FR"/>
        </w:rPr>
        <w:t>État</w:t>
      </w:r>
      <w:r>
        <w:rPr>
          <w:rFonts w:asciiTheme="majorBidi" w:hAnsiTheme="majorBidi"/>
          <w:lang w:val="fr-FR"/>
        </w:rPr>
        <w:t>,</w:t>
      </w:r>
      <w:r w:rsidRPr="00016AD6">
        <w:rPr>
          <w:rFonts w:asciiTheme="majorBidi" w:hAnsiTheme="majorBidi"/>
          <w:lang w:val="fr-FR"/>
        </w:rPr>
        <w:t xml:space="preserve"> au sens où </w:t>
      </w:r>
      <w:r>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on supposait que l</w:t>
      </w:r>
      <w:r w:rsidR="004C5E26">
        <w:rPr>
          <w:rFonts w:asciiTheme="majorBidi" w:hAnsiTheme="majorBidi"/>
          <w:lang w:val="fr-FR"/>
        </w:rPr>
        <w:t>’</w:t>
      </w:r>
      <w:r w:rsidRPr="00016AD6">
        <w:rPr>
          <w:rFonts w:asciiTheme="majorBidi" w:hAnsiTheme="majorBidi"/>
          <w:lang w:val="fr-FR"/>
        </w:rPr>
        <w:t xml:space="preserve">État concerné ne pouvait plus maintenir de relations de types divers avec </w:t>
      </w:r>
      <w:r>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 xml:space="preserve">autres membres </w:t>
      </w:r>
      <w:r>
        <w:rPr>
          <w:rFonts w:asciiTheme="majorBidi" w:hAnsiTheme="majorBidi"/>
          <w:lang w:val="fr-FR"/>
        </w:rPr>
        <w:t>de la</w:t>
      </w:r>
      <w:r w:rsidRPr="00016AD6">
        <w:rPr>
          <w:rFonts w:asciiTheme="majorBidi" w:hAnsiTheme="majorBidi"/>
          <w:lang w:val="fr-FR"/>
        </w:rPr>
        <w:t xml:space="preserve"> communauté internationale</w:t>
      </w:r>
      <w:r>
        <w:rPr>
          <w:rFonts w:asciiTheme="majorBidi" w:hAnsiTheme="majorBidi"/>
          <w:lang w:val="fr-FR"/>
        </w:rPr>
        <w:t>,</w:t>
      </w:r>
      <w:r w:rsidRPr="00016AD6">
        <w:rPr>
          <w:rFonts w:asciiTheme="majorBidi" w:hAnsiTheme="majorBidi"/>
          <w:lang w:val="fr-FR"/>
        </w:rPr>
        <w:t xml:space="preserve"> notamment des relations diplomatiques, </w:t>
      </w:r>
      <w:r>
        <w:rPr>
          <w:rFonts w:asciiTheme="majorBidi" w:hAnsiTheme="majorBidi"/>
          <w:lang w:val="fr-FR"/>
        </w:rPr>
        <w:t xml:space="preserve">ou </w:t>
      </w:r>
      <w:r w:rsidRPr="00016AD6">
        <w:rPr>
          <w:rFonts w:asciiTheme="majorBidi" w:hAnsiTheme="majorBidi"/>
          <w:lang w:val="fr-FR"/>
        </w:rPr>
        <w:t>n</w:t>
      </w:r>
      <w:r w:rsidR="004C5E26">
        <w:rPr>
          <w:rFonts w:asciiTheme="majorBidi" w:hAnsiTheme="majorBidi"/>
          <w:lang w:val="fr-FR"/>
        </w:rPr>
        <w:t>’</w:t>
      </w:r>
      <w:r w:rsidRPr="00016AD6">
        <w:rPr>
          <w:rFonts w:asciiTheme="majorBidi" w:hAnsiTheme="majorBidi"/>
          <w:lang w:val="fr-FR"/>
        </w:rPr>
        <w:t>avait plus le pouvoir de conclure des traités ou de devenir membre d</w:t>
      </w:r>
      <w:r w:rsidR="004C5E26">
        <w:rPr>
          <w:rFonts w:asciiTheme="majorBidi" w:hAnsiTheme="majorBidi"/>
          <w:lang w:val="fr-FR"/>
        </w:rPr>
        <w:t>’</w:t>
      </w:r>
      <w:r w:rsidRPr="00016AD6">
        <w:rPr>
          <w:rFonts w:asciiTheme="majorBidi" w:hAnsiTheme="majorBidi"/>
          <w:lang w:val="fr-FR"/>
        </w:rPr>
        <w:t>organisations internationales universelles et régionales.</w:t>
      </w:r>
    </w:p>
    <w:p w14:paraId="4F339B55" w14:textId="77777777" w:rsidR="00737BD1" w:rsidRPr="00016AD6" w:rsidRDefault="00737BD1" w:rsidP="00737BD1">
      <w:pPr>
        <w:pStyle w:val="H56G"/>
        <w:rPr>
          <w:lang w:val="fr-FR"/>
        </w:rPr>
      </w:pPr>
      <w:r>
        <w:rPr>
          <w:lang w:val="fr-FR"/>
        </w:rPr>
        <w:tab/>
        <w:t>ii.</w:t>
      </w:r>
      <w:r>
        <w:rPr>
          <w:lang w:val="fr-FR"/>
        </w:rPr>
        <w:tab/>
        <w:t>Résumé du débat</w:t>
      </w:r>
    </w:p>
    <w:p w14:paraId="09DAE80C" w14:textId="55880047" w:rsidR="00737BD1" w:rsidRPr="00016AD6" w:rsidRDefault="00737BD1" w:rsidP="00737BD1">
      <w:pPr>
        <w:pStyle w:val="SingleTxtG"/>
        <w:rPr>
          <w:rFonts w:asciiTheme="majorBidi" w:eastAsia="Calibri" w:hAnsiTheme="majorBidi"/>
          <w:lang w:val="fr-FR"/>
        </w:rPr>
      </w:pPr>
      <w:r w:rsidRPr="00EE695C">
        <w:rPr>
          <w:rFonts w:asciiTheme="majorBidi" w:hAnsiTheme="majorBidi"/>
          <w:lang w:val="fr-FR"/>
        </w:rPr>
        <w:t>362.</w:t>
      </w:r>
      <w:r w:rsidRPr="00EE695C">
        <w:rPr>
          <w:rFonts w:asciiTheme="majorBidi" w:hAnsiTheme="majorBidi"/>
          <w:lang w:val="fr-FR"/>
        </w:rPr>
        <w:tab/>
        <w:t>Les membres du Groupe d</w:t>
      </w:r>
      <w:r w:rsidR="004C5E26">
        <w:rPr>
          <w:rFonts w:asciiTheme="majorBidi" w:hAnsiTheme="majorBidi"/>
          <w:lang w:val="fr-FR"/>
        </w:rPr>
        <w:t>’</w:t>
      </w:r>
      <w:r w:rsidRPr="00EE695C">
        <w:rPr>
          <w:rFonts w:asciiTheme="majorBidi" w:hAnsiTheme="majorBidi"/>
          <w:lang w:val="fr-FR"/>
        </w:rPr>
        <w:t>étude se sont généralement exprimés en faveur de la continuité de la condition étatique. On a fait observer que la non-continuité aurait d</w:t>
      </w:r>
      <w:r w:rsidR="004C5E26">
        <w:rPr>
          <w:rFonts w:asciiTheme="majorBidi" w:hAnsiTheme="majorBidi"/>
          <w:lang w:val="fr-FR"/>
        </w:rPr>
        <w:t>’</w:t>
      </w:r>
      <w:r w:rsidRPr="00EE695C">
        <w:rPr>
          <w:rFonts w:asciiTheme="majorBidi" w:hAnsiTheme="majorBidi"/>
          <w:lang w:val="fr-FR"/>
        </w:rPr>
        <w:t>importantes implications, notamment : la création soudaine d</w:t>
      </w:r>
      <w:r w:rsidR="004C5E26">
        <w:rPr>
          <w:rFonts w:asciiTheme="majorBidi" w:hAnsiTheme="majorBidi"/>
          <w:lang w:val="fr-FR"/>
        </w:rPr>
        <w:t>’</w:t>
      </w:r>
      <w:r w:rsidRPr="00EE695C">
        <w:rPr>
          <w:rFonts w:asciiTheme="majorBidi" w:hAnsiTheme="majorBidi"/>
          <w:lang w:val="fr-FR"/>
        </w:rPr>
        <w:t>un vide juridique, avec la disparition d</w:t>
      </w:r>
      <w:r w:rsidR="004C5E26">
        <w:rPr>
          <w:rFonts w:asciiTheme="majorBidi" w:hAnsiTheme="majorBidi"/>
          <w:lang w:val="fr-FR"/>
        </w:rPr>
        <w:t>’</w:t>
      </w:r>
      <w:r w:rsidRPr="00EE695C">
        <w:rPr>
          <w:rFonts w:asciiTheme="majorBidi" w:hAnsiTheme="majorBidi"/>
          <w:lang w:val="fr-FR"/>
        </w:rPr>
        <w:t>une nation</w:t>
      </w:r>
      <w:r w:rsidRPr="00016AD6">
        <w:rPr>
          <w:rFonts w:asciiTheme="majorBidi" w:hAnsiTheme="majorBidi"/>
          <w:lang w:val="fr-FR"/>
        </w:rPr>
        <w:t>alité, dont les détenteurs deviendraient apatrides ; l</w:t>
      </w:r>
      <w:r w:rsidR="004C5E26">
        <w:rPr>
          <w:rFonts w:asciiTheme="majorBidi" w:hAnsiTheme="majorBidi"/>
          <w:lang w:val="fr-FR"/>
        </w:rPr>
        <w:t>’</w:t>
      </w:r>
      <w:r w:rsidRPr="00016AD6">
        <w:rPr>
          <w:rFonts w:asciiTheme="majorBidi" w:hAnsiTheme="majorBidi"/>
          <w:lang w:val="fr-FR"/>
        </w:rPr>
        <w:t>implosion des accords de gestion des ressources marines concernant la gestion environnementale ou durable des ressources biologiques et la création d</w:t>
      </w:r>
      <w:r w:rsidR="004C5E26">
        <w:rPr>
          <w:rFonts w:asciiTheme="majorBidi" w:hAnsiTheme="majorBidi"/>
          <w:lang w:val="fr-FR"/>
        </w:rPr>
        <w:t>’</w:t>
      </w:r>
      <w:r w:rsidRPr="00016AD6">
        <w:rPr>
          <w:rFonts w:asciiTheme="majorBidi" w:hAnsiTheme="majorBidi"/>
          <w:lang w:val="fr-FR"/>
        </w:rPr>
        <w:t>une insécurité et d</w:t>
      </w:r>
      <w:r w:rsidR="004C5E26">
        <w:rPr>
          <w:rFonts w:asciiTheme="majorBidi" w:hAnsiTheme="majorBidi"/>
          <w:lang w:val="fr-FR"/>
        </w:rPr>
        <w:t>’</w:t>
      </w:r>
      <w:r w:rsidRPr="00016AD6">
        <w:rPr>
          <w:rFonts w:asciiTheme="majorBidi" w:hAnsiTheme="majorBidi"/>
          <w:lang w:val="fr-FR"/>
        </w:rPr>
        <w:t xml:space="preserve">une instabilité </w:t>
      </w:r>
      <w:r>
        <w:rPr>
          <w:rFonts w:asciiTheme="majorBidi" w:hAnsiTheme="majorBidi"/>
          <w:lang w:val="fr-FR"/>
        </w:rPr>
        <w:t xml:space="preserve">susceptibles de </w:t>
      </w:r>
      <w:r w:rsidRPr="00016AD6">
        <w:rPr>
          <w:rFonts w:asciiTheme="majorBidi" w:hAnsiTheme="majorBidi"/>
          <w:lang w:val="fr-FR"/>
        </w:rPr>
        <w:t xml:space="preserve">menacer la paix et la sécurité internationales, par exemple en remettant en question la validité de frontières maritimes existantes. </w:t>
      </w:r>
      <w:r>
        <w:rPr>
          <w:rFonts w:asciiTheme="majorBidi" w:hAnsiTheme="majorBidi"/>
          <w:lang w:val="fr-FR"/>
        </w:rPr>
        <w:t>Le</w:t>
      </w:r>
      <w:r w:rsidRPr="00016AD6">
        <w:rPr>
          <w:rFonts w:asciiTheme="majorBidi" w:hAnsiTheme="majorBidi"/>
          <w:lang w:val="fr-FR"/>
        </w:rPr>
        <w:t xml:space="preserve"> droit international </w:t>
      </w:r>
      <w:r>
        <w:rPr>
          <w:rFonts w:asciiTheme="majorBidi" w:hAnsiTheme="majorBidi"/>
          <w:lang w:val="fr-FR"/>
        </w:rPr>
        <w:t>ne prévoit pas la possibilité d</w:t>
      </w:r>
      <w:r w:rsidR="004C5E26">
        <w:rPr>
          <w:rFonts w:asciiTheme="majorBidi" w:hAnsiTheme="majorBidi"/>
          <w:lang w:val="fr-FR"/>
        </w:rPr>
        <w:t>’</w:t>
      </w:r>
      <w:r>
        <w:rPr>
          <w:rFonts w:asciiTheme="majorBidi" w:hAnsiTheme="majorBidi"/>
          <w:lang w:val="fr-FR"/>
        </w:rPr>
        <w:t>une disparition totale d</w:t>
      </w:r>
      <w:r w:rsidR="004C5E26">
        <w:rPr>
          <w:rFonts w:asciiTheme="majorBidi" w:hAnsiTheme="majorBidi"/>
          <w:lang w:val="fr-FR"/>
        </w:rPr>
        <w:t>’</w:t>
      </w:r>
      <w:r w:rsidRPr="00016AD6">
        <w:rPr>
          <w:rFonts w:asciiTheme="majorBidi" w:hAnsiTheme="majorBidi"/>
          <w:lang w:val="fr-FR"/>
        </w:rPr>
        <w:t xml:space="preserve">obligations juridiques </w:t>
      </w:r>
      <w:r>
        <w:rPr>
          <w:rFonts w:asciiTheme="majorBidi" w:hAnsiTheme="majorBidi"/>
          <w:lang w:val="fr-FR"/>
        </w:rPr>
        <w:t xml:space="preserve">internationales </w:t>
      </w:r>
      <w:r w:rsidRPr="00016AD6">
        <w:rPr>
          <w:rFonts w:asciiTheme="majorBidi" w:hAnsiTheme="majorBidi"/>
          <w:lang w:val="fr-FR"/>
        </w:rPr>
        <w:t>du fait de développements anthropiques dont les petits États insulaires en développement, en particulier, n</w:t>
      </w:r>
      <w:r w:rsidR="004C5E26">
        <w:rPr>
          <w:rFonts w:asciiTheme="majorBidi" w:hAnsiTheme="majorBidi"/>
          <w:lang w:val="fr-FR"/>
        </w:rPr>
        <w:t>’</w:t>
      </w:r>
      <w:r w:rsidRPr="00016AD6">
        <w:rPr>
          <w:rFonts w:asciiTheme="majorBidi" w:hAnsiTheme="majorBidi"/>
          <w:lang w:val="fr-FR"/>
        </w:rPr>
        <w:t xml:space="preserve">étaient pas responsables. </w:t>
      </w:r>
      <w:r>
        <w:rPr>
          <w:rFonts w:asciiTheme="majorBidi" w:hAnsiTheme="majorBidi"/>
          <w:lang w:val="fr-FR"/>
        </w:rPr>
        <w:t>L</w:t>
      </w:r>
      <w:r w:rsidR="004C5E26">
        <w:rPr>
          <w:rFonts w:asciiTheme="majorBidi" w:hAnsiTheme="majorBidi"/>
          <w:lang w:val="fr-FR"/>
        </w:rPr>
        <w:t>’</w:t>
      </w:r>
      <w:r>
        <w:rPr>
          <w:rFonts w:asciiTheme="majorBidi" w:hAnsiTheme="majorBidi"/>
          <w:lang w:val="fr-FR"/>
        </w:rPr>
        <w:t xml:space="preserve">extinction de </w:t>
      </w:r>
      <w:r w:rsidRPr="00016AD6">
        <w:rPr>
          <w:rFonts w:asciiTheme="majorBidi" w:hAnsiTheme="majorBidi"/>
          <w:lang w:val="fr-FR"/>
        </w:rPr>
        <w:t xml:space="preserve">la condition étatique en raison des </w:t>
      </w:r>
      <w:r>
        <w:rPr>
          <w:rFonts w:asciiTheme="majorBidi" w:hAnsiTheme="majorBidi"/>
          <w:lang w:val="fr-FR"/>
        </w:rPr>
        <w:t xml:space="preserve">seules </w:t>
      </w:r>
      <w:r w:rsidRPr="00016AD6">
        <w:rPr>
          <w:rFonts w:asciiTheme="majorBidi" w:hAnsiTheme="majorBidi"/>
          <w:lang w:val="fr-FR"/>
        </w:rPr>
        <w:t>conséquences de l</w:t>
      </w:r>
      <w:r w:rsidR="004C5E26">
        <w:rPr>
          <w:rFonts w:asciiTheme="majorBidi" w:hAnsiTheme="majorBidi"/>
          <w:lang w:val="fr-FR"/>
        </w:rPr>
        <w:t>’</w:t>
      </w:r>
      <w:r w:rsidRPr="00016AD6">
        <w:rPr>
          <w:rFonts w:asciiTheme="majorBidi" w:hAnsiTheme="majorBidi"/>
          <w:lang w:val="fr-FR"/>
        </w:rPr>
        <w:t>élévation du niveau de la mer due aux changements climatiques constituerait une profonde injustice. La communauté internationale était collectivement tenue d</w:t>
      </w:r>
      <w:r w:rsidR="004C5E26">
        <w:rPr>
          <w:rFonts w:asciiTheme="majorBidi" w:hAnsiTheme="majorBidi"/>
          <w:lang w:val="fr-FR"/>
        </w:rPr>
        <w:t>’</w:t>
      </w:r>
      <w:r w:rsidRPr="00016AD6">
        <w:rPr>
          <w:rFonts w:asciiTheme="majorBidi" w:hAnsiTheme="majorBidi"/>
          <w:lang w:val="fr-FR"/>
        </w:rPr>
        <w:t>aider les États touchés à préserver leur territoire et leur intégrité territoriale et à protéger leur peuple. On a fait valoir que même évoquer « </w:t>
      </w:r>
      <w:r>
        <w:rPr>
          <w:rFonts w:asciiTheme="majorBidi" w:hAnsiTheme="majorBidi"/>
          <w:lang w:val="fr-FR"/>
        </w:rPr>
        <w:t xml:space="preserve">la </w:t>
      </w:r>
      <w:r w:rsidRPr="00016AD6">
        <w:rPr>
          <w:rFonts w:asciiTheme="majorBidi" w:hAnsiTheme="majorBidi"/>
          <w:lang w:val="fr-FR"/>
        </w:rPr>
        <w:t>discontinuité » ou « l</w:t>
      </w:r>
      <w:r w:rsidR="004C5E26">
        <w:rPr>
          <w:rFonts w:asciiTheme="majorBidi" w:hAnsiTheme="majorBidi"/>
          <w:lang w:val="fr-FR"/>
        </w:rPr>
        <w:t>’</w:t>
      </w:r>
      <w:r w:rsidRPr="00016AD6">
        <w:rPr>
          <w:rFonts w:asciiTheme="majorBidi" w:hAnsiTheme="majorBidi"/>
          <w:lang w:val="fr-FR"/>
        </w:rPr>
        <w:t xml:space="preserve">extinction » de la condition étatique induirait en erreur, puisque ces </w:t>
      </w:r>
      <w:r>
        <w:rPr>
          <w:rFonts w:asciiTheme="majorBidi" w:hAnsiTheme="majorBidi"/>
          <w:lang w:val="fr-FR"/>
        </w:rPr>
        <w:t xml:space="preserve">résultats </w:t>
      </w:r>
      <w:r w:rsidRPr="00016AD6">
        <w:rPr>
          <w:rFonts w:asciiTheme="majorBidi" w:hAnsiTheme="majorBidi"/>
          <w:lang w:val="fr-FR"/>
        </w:rPr>
        <w:t>étaient inexacts au regard du droit positif.</w:t>
      </w:r>
    </w:p>
    <w:p w14:paraId="2E04C883" w14:textId="7342AE7C" w:rsidR="00737BD1" w:rsidRPr="00016AD6" w:rsidRDefault="00737BD1" w:rsidP="00737BD1">
      <w:pPr>
        <w:pStyle w:val="SingleTxtG"/>
        <w:rPr>
          <w:rFonts w:asciiTheme="majorBidi" w:eastAsia="Calibri" w:hAnsiTheme="majorBidi"/>
          <w:lang w:val="fr-FR"/>
        </w:rPr>
      </w:pPr>
      <w:r w:rsidRPr="008E0D4F">
        <w:rPr>
          <w:rFonts w:asciiTheme="majorBidi" w:hAnsiTheme="majorBidi"/>
          <w:lang w:val="fr-FR"/>
        </w:rPr>
        <w:t>363.</w:t>
      </w:r>
      <w:r w:rsidRPr="008E0D4F">
        <w:rPr>
          <w:rFonts w:asciiTheme="majorBidi" w:hAnsiTheme="majorBidi"/>
          <w:lang w:val="fr-FR"/>
        </w:rPr>
        <w:tab/>
        <w:t>Des vues divergentes ont toutefois été exprimées sur le point de savoir s</w:t>
      </w:r>
      <w:r w:rsidR="004C5E26">
        <w:rPr>
          <w:rFonts w:asciiTheme="majorBidi" w:hAnsiTheme="majorBidi"/>
          <w:lang w:val="fr-FR"/>
        </w:rPr>
        <w:t>’</w:t>
      </w:r>
      <w:r w:rsidRPr="008E0D4F">
        <w:rPr>
          <w:rFonts w:asciiTheme="majorBidi" w:hAnsiTheme="majorBidi"/>
          <w:lang w:val="fr-FR"/>
        </w:rPr>
        <w:t>il était préférable de décrire la situation juridique en vigueur comme donnant naissance à une « présomption » de continuité ou de poser l</w:t>
      </w:r>
      <w:r w:rsidR="004C5E26">
        <w:rPr>
          <w:rFonts w:asciiTheme="majorBidi" w:hAnsiTheme="majorBidi"/>
          <w:lang w:val="fr-FR"/>
        </w:rPr>
        <w:t>’</w:t>
      </w:r>
      <w:r w:rsidRPr="008E0D4F">
        <w:rPr>
          <w:rFonts w:asciiTheme="majorBidi" w:hAnsiTheme="majorBidi"/>
          <w:lang w:val="fr-FR"/>
        </w:rPr>
        <w:t>existence d</w:t>
      </w:r>
      <w:r w:rsidR="004C5E26">
        <w:rPr>
          <w:rFonts w:asciiTheme="majorBidi" w:hAnsiTheme="majorBidi"/>
          <w:lang w:val="fr-FR"/>
        </w:rPr>
        <w:t>’</w:t>
      </w:r>
      <w:r w:rsidRPr="008E0D4F">
        <w:rPr>
          <w:rFonts w:asciiTheme="majorBidi" w:hAnsiTheme="majorBidi"/>
          <w:lang w:val="fr-FR"/>
        </w:rPr>
        <w:t>un « principe » de continuité. Certains membres préféreraient admettre l</w:t>
      </w:r>
      <w:r w:rsidR="004C5E26">
        <w:rPr>
          <w:rFonts w:asciiTheme="majorBidi" w:hAnsiTheme="majorBidi"/>
          <w:lang w:val="fr-FR"/>
        </w:rPr>
        <w:t>’</w:t>
      </w:r>
      <w:r w:rsidRPr="008E0D4F">
        <w:rPr>
          <w:rFonts w:asciiTheme="majorBidi" w:hAnsiTheme="majorBidi"/>
          <w:lang w:val="fr-FR"/>
        </w:rPr>
        <w:t>existence d</w:t>
      </w:r>
      <w:r w:rsidR="004C5E26">
        <w:rPr>
          <w:rFonts w:asciiTheme="majorBidi" w:hAnsiTheme="majorBidi"/>
          <w:lang w:val="fr-FR"/>
        </w:rPr>
        <w:t>’</w:t>
      </w:r>
      <w:r w:rsidRPr="008E0D4F">
        <w:rPr>
          <w:rFonts w:asciiTheme="majorBidi" w:hAnsiTheme="majorBidi"/>
          <w:lang w:val="fr-FR"/>
        </w:rPr>
        <w:t>un « principe » parce qu</w:t>
      </w:r>
      <w:r w:rsidR="004C5E26">
        <w:rPr>
          <w:rFonts w:asciiTheme="majorBidi" w:hAnsiTheme="majorBidi"/>
          <w:lang w:val="fr-FR"/>
        </w:rPr>
        <w:t>’</w:t>
      </w:r>
      <w:r w:rsidRPr="008E0D4F">
        <w:rPr>
          <w:rFonts w:asciiTheme="majorBidi" w:hAnsiTheme="majorBidi"/>
          <w:lang w:val="fr-FR"/>
        </w:rPr>
        <w:t>ils craignaient qu</w:t>
      </w:r>
      <w:r w:rsidR="004C5E26">
        <w:rPr>
          <w:rFonts w:asciiTheme="majorBidi" w:hAnsiTheme="majorBidi"/>
          <w:lang w:val="fr-FR"/>
        </w:rPr>
        <w:t>’</w:t>
      </w:r>
      <w:r w:rsidRPr="008E0D4F">
        <w:rPr>
          <w:rFonts w:asciiTheme="majorBidi" w:hAnsiTheme="majorBidi"/>
          <w:lang w:val="fr-FR"/>
        </w:rPr>
        <w:t>une présomption puisse être réfutée. La question se poserait alors de savoir dans quelles circonstances elle pourrait l</w:t>
      </w:r>
      <w:r w:rsidR="004C5E26">
        <w:rPr>
          <w:rFonts w:asciiTheme="majorBidi" w:hAnsiTheme="majorBidi"/>
          <w:lang w:val="fr-FR"/>
        </w:rPr>
        <w:t>’</w:t>
      </w:r>
      <w:r w:rsidRPr="008E0D4F">
        <w:rPr>
          <w:rFonts w:asciiTheme="majorBidi" w:hAnsiTheme="majorBidi"/>
          <w:lang w:val="fr-FR"/>
        </w:rPr>
        <w:t>être. Cette possibilité était concevable dans des situations où la submersion était à ce point avancée que la continuité de la condition étatique en venait à être contestée. Selon une opinion, dans une telle situation, la prés</w:t>
      </w:r>
      <w:r w:rsidRPr="00016AD6">
        <w:rPr>
          <w:rFonts w:asciiTheme="majorBidi" w:hAnsiTheme="majorBidi"/>
          <w:lang w:val="fr-FR"/>
        </w:rPr>
        <w:t>omption de continuité pouvait notamment être écartée pour plusieurs raisons : la position adoptée par les États directement touchés eux-mêmes</w:t>
      </w:r>
      <w:r>
        <w:rPr>
          <w:rFonts w:asciiTheme="majorBidi" w:hAnsiTheme="majorBidi"/>
          <w:lang w:val="fr-FR"/>
        </w:rPr>
        <w:t>,</w:t>
      </w:r>
      <w:r w:rsidRPr="00016AD6">
        <w:rPr>
          <w:rFonts w:asciiTheme="majorBidi" w:hAnsiTheme="majorBidi"/>
          <w:lang w:val="fr-FR"/>
        </w:rPr>
        <w:t xml:space="preserve"> par exemple lorsque l</w:t>
      </w:r>
      <w:r w:rsidR="004C5E26">
        <w:rPr>
          <w:rFonts w:asciiTheme="majorBidi" w:hAnsiTheme="majorBidi"/>
          <w:lang w:val="fr-FR"/>
        </w:rPr>
        <w:t>’</w:t>
      </w:r>
      <w:r w:rsidRPr="00016AD6">
        <w:rPr>
          <w:rFonts w:asciiTheme="majorBidi" w:hAnsiTheme="majorBidi"/>
          <w:lang w:val="fr-FR"/>
        </w:rPr>
        <w:t xml:space="preserve">État touché choisissait de ne </w:t>
      </w:r>
      <w:r w:rsidRPr="00016AD6">
        <w:rPr>
          <w:rFonts w:asciiTheme="majorBidi" w:hAnsiTheme="majorBidi"/>
          <w:lang w:val="fr-FR"/>
        </w:rPr>
        <w:lastRenderedPageBreak/>
        <w:t>pas continuer d</w:t>
      </w:r>
      <w:r w:rsidR="004C5E26">
        <w:rPr>
          <w:rFonts w:asciiTheme="majorBidi" w:hAnsiTheme="majorBidi"/>
          <w:lang w:val="fr-FR"/>
        </w:rPr>
        <w:t>’</w:t>
      </w:r>
      <w:r w:rsidRPr="00016AD6">
        <w:rPr>
          <w:rFonts w:asciiTheme="majorBidi" w:hAnsiTheme="majorBidi"/>
          <w:lang w:val="fr-FR"/>
        </w:rPr>
        <w:t>exister d</w:t>
      </w:r>
      <w:r w:rsidR="004C5E26">
        <w:rPr>
          <w:rFonts w:asciiTheme="majorBidi" w:hAnsiTheme="majorBidi"/>
          <w:lang w:val="fr-FR"/>
        </w:rPr>
        <w:t>’</w:t>
      </w:r>
      <w:r w:rsidRPr="00016AD6">
        <w:rPr>
          <w:rFonts w:asciiTheme="majorBidi" w:hAnsiTheme="majorBidi"/>
          <w:lang w:val="fr-FR"/>
        </w:rPr>
        <w:t>une manière ou d</w:t>
      </w:r>
      <w:r w:rsidR="004C5E26">
        <w:rPr>
          <w:rFonts w:asciiTheme="majorBidi" w:hAnsiTheme="majorBidi"/>
          <w:lang w:val="fr-FR"/>
        </w:rPr>
        <w:t>’</w:t>
      </w:r>
      <w:r w:rsidRPr="00016AD6">
        <w:rPr>
          <w:rFonts w:asciiTheme="majorBidi" w:hAnsiTheme="majorBidi"/>
          <w:lang w:val="fr-FR"/>
        </w:rPr>
        <w:t>une autre parce qu</w:t>
      </w:r>
      <w:r w:rsidR="004C5E26">
        <w:rPr>
          <w:rFonts w:asciiTheme="majorBidi" w:hAnsiTheme="majorBidi"/>
          <w:lang w:val="fr-FR"/>
        </w:rPr>
        <w:t>’</w:t>
      </w:r>
      <w:r w:rsidRPr="00016AD6">
        <w:rPr>
          <w:rFonts w:asciiTheme="majorBidi" w:hAnsiTheme="majorBidi"/>
          <w:lang w:val="fr-FR"/>
        </w:rPr>
        <w:t>il avait décidé de s</w:t>
      </w:r>
      <w:r w:rsidR="004C5E26">
        <w:rPr>
          <w:rFonts w:asciiTheme="majorBidi" w:hAnsiTheme="majorBidi"/>
          <w:lang w:val="fr-FR"/>
        </w:rPr>
        <w:t>’</w:t>
      </w:r>
      <w:r w:rsidRPr="00016AD6">
        <w:rPr>
          <w:rFonts w:asciiTheme="majorBidi" w:hAnsiTheme="majorBidi"/>
          <w:lang w:val="fr-FR"/>
        </w:rPr>
        <w:t xml:space="preserve">associer à un autre État, </w:t>
      </w:r>
      <w:r>
        <w:rPr>
          <w:rFonts w:asciiTheme="majorBidi" w:hAnsiTheme="majorBidi"/>
          <w:lang w:val="fr-FR"/>
        </w:rPr>
        <w:t xml:space="preserve">ou </w:t>
      </w:r>
      <w:r w:rsidRPr="00016AD6">
        <w:rPr>
          <w:rFonts w:asciiTheme="majorBidi" w:hAnsiTheme="majorBidi"/>
          <w:lang w:val="fr-FR"/>
        </w:rPr>
        <w:t xml:space="preserve">la cessation de la reconnaissance par </w:t>
      </w:r>
      <w:r>
        <w:rPr>
          <w:rFonts w:asciiTheme="majorBidi" w:hAnsiTheme="majorBidi"/>
          <w:lang w:val="fr-FR"/>
        </w:rPr>
        <w:t>les États</w:t>
      </w:r>
      <w:r w:rsidRPr="00016AD6">
        <w:rPr>
          <w:rFonts w:asciiTheme="majorBidi" w:hAnsiTheme="majorBidi"/>
          <w:lang w:val="fr-FR"/>
        </w:rPr>
        <w:t xml:space="preserve">. Selon une </w:t>
      </w:r>
      <w:r>
        <w:rPr>
          <w:rFonts w:asciiTheme="majorBidi" w:hAnsiTheme="majorBidi"/>
          <w:lang w:val="fr-FR"/>
        </w:rPr>
        <w:t xml:space="preserve">autre </w:t>
      </w:r>
      <w:r w:rsidRPr="00016AD6">
        <w:rPr>
          <w:rFonts w:asciiTheme="majorBidi" w:hAnsiTheme="majorBidi"/>
          <w:lang w:val="fr-FR"/>
        </w:rPr>
        <w:t>opinion, il serait difficile en pratique de déterminer de manière définitive si et quand une présomption était réfutée.</w:t>
      </w:r>
    </w:p>
    <w:p w14:paraId="088D0D41" w14:textId="5311BFF3" w:rsidR="00737BD1" w:rsidRPr="00016AD6" w:rsidRDefault="00737BD1" w:rsidP="00737BD1">
      <w:pPr>
        <w:pStyle w:val="SingleTxtG"/>
        <w:rPr>
          <w:rFonts w:asciiTheme="majorBidi" w:eastAsia="Calibri" w:hAnsiTheme="majorBidi"/>
          <w:lang w:val="fr-FR"/>
        </w:rPr>
      </w:pPr>
      <w:r>
        <w:rPr>
          <w:rFonts w:asciiTheme="majorBidi" w:hAnsiTheme="majorBidi"/>
          <w:lang w:val="fr-FR"/>
        </w:rPr>
        <w:t>364.</w:t>
      </w:r>
      <w:r>
        <w:rPr>
          <w:rFonts w:asciiTheme="majorBidi" w:hAnsiTheme="majorBidi"/>
          <w:lang w:val="fr-FR"/>
        </w:rPr>
        <w:tab/>
      </w:r>
      <w:r w:rsidRPr="00016AD6">
        <w:rPr>
          <w:rFonts w:asciiTheme="majorBidi" w:hAnsiTheme="majorBidi"/>
          <w:lang w:val="fr-FR"/>
        </w:rPr>
        <w:t xml:space="preserve">Selon une opinion différente, </w:t>
      </w:r>
      <w:r>
        <w:rPr>
          <w:rFonts w:asciiTheme="majorBidi" w:hAnsiTheme="majorBidi"/>
          <w:lang w:val="fr-FR"/>
        </w:rPr>
        <w:t>affirmer l</w:t>
      </w:r>
      <w:r w:rsidR="004C5E26">
        <w:rPr>
          <w:rFonts w:asciiTheme="majorBidi" w:hAnsiTheme="majorBidi"/>
          <w:lang w:val="fr-FR"/>
        </w:rPr>
        <w:t>’</w:t>
      </w:r>
      <w:r>
        <w:rPr>
          <w:rFonts w:asciiTheme="majorBidi" w:hAnsiTheme="majorBidi"/>
          <w:lang w:val="fr-FR"/>
        </w:rPr>
        <w:t xml:space="preserve">existence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un principe de continuité de la condition étatique en termes généraux semblait donner à penser que les États avaient une continuité illimitée dans le temps. Cela allait à l</w:t>
      </w:r>
      <w:r w:rsidR="004C5E26">
        <w:rPr>
          <w:rFonts w:asciiTheme="majorBidi" w:hAnsiTheme="majorBidi"/>
          <w:lang w:val="fr-FR"/>
        </w:rPr>
        <w:t>’</w:t>
      </w:r>
      <w:r w:rsidRPr="00016AD6">
        <w:rPr>
          <w:rFonts w:asciiTheme="majorBidi" w:hAnsiTheme="majorBidi"/>
          <w:lang w:val="fr-FR"/>
        </w:rPr>
        <w:t>encontre d</w:t>
      </w:r>
      <w:r w:rsidR="004C5E26">
        <w:rPr>
          <w:rFonts w:asciiTheme="majorBidi" w:hAnsiTheme="majorBidi"/>
          <w:lang w:val="fr-FR"/>
        </w:rPr>
        <w:t>’</w:t>
      </w:r>
      <w:r w:rsidRPr="00016AD6">
        <w:rPr>
          <w:rFonts w:asciiTheme="majorBidi" w:hAnsiTheme="majorBidi"/>
          <w:lang w:val="fr-FR"/>
        </w:rPr>
        <w:t xml:space="preserve">un fait historique, à savoir que </w:t>
      </w:r>
      <w:r>
        <w:rPr>
          <w:rFonts w:asciiTheme="majorBidi" w:hAnsiTheme="majorBidi"/>
          <w:lang w:val="fr-FR"/>
        </w:rPr>
        <w:t>d</w:t>
      </w:r>
      <w:r w:rsidRPr="00016AD6">
        <w:rPr>
          <w:rFonts w:asciiTheme="majorBidi" w:hAnsiTheme="majorBidi"/>
          <w:lang w:val="fr-FR"/>
        </w:rPr>
        <w:t>es États avaient cessé d</w:t>
      </w:r>
      <w:r w:rsidR="004C5E26">
        <w:rPr>
          <w:rFonts w:asciiTheme="majorBidi" w:hAnsiTheme="majorBidi"/>
          <w:lang w:val="fr-FR"/>
        </w:rPr>
        <w:t>’</w:t>
      </w:r>
      <w:r w:rsidRPr="00016AD6">
        <w:rPr>
          <w:rFonts w:asciiTheme="majorBidi" w:hAnsiTheme="majorBidi"/>
          <w:lang w:val="fr-FR"/>
        </w:rPr>
        <w:t>exister. De plus, si la perte de territoire terrestre due à l</w:t>
      </w:r>
      <w:r w:rsidR="004C5E26">
        <w:rPr>
          <w:rFonts w:asciiTheme="majorBidi" w:hAnsiTheme="majorBidi"/>
          <w:lang w:val="fr-FR"/>
        </w:rPr>
        <w:t>’</w:t>
      </w:r>
      <w:r w:rsidRPr="00016AD6">
        <w:rPr>
          <w:rFonts w:asciiTheme="majorBidi" w:hAnsiTheme="majorBidi"/>
          <w:lang w:val="fr-FR"/>
        </w:rPr>
        <w:t>élévation du niveau de la mer n</w:t>
      </w:r>
      <w:r w:rsidR="004C5E26">
        <w:rPr>
          <w:rFonts w:asciiTheme="majorBidi" w:hAnsiTheme="majorBidi"/>
          <w:lang w:val="fr-FR"/>
        </w:rPr>
        <w:t>’</w:t>
      </w:r>
      <w:r>
        <w:rPr>
          <w:rFonts w:asciiTheme="majorBidi" w:hAnsiTheme="majorBidi"/>
          <w:lang w:val="fr-FR"/>
        </w:rPr>
        <w:t xml:space="preserve">était </w:t>
      </w:r>
      <w:r w:rsidRPr="00016AD6">
        <w:rPr>
          <w:rFonts w:asciiTheme="majorBidi" w:hAnsiTheme="majorBidi"/>
          <w:lang w:val="fr-FR"/>
        </w:rPr>
        <w:t xml:space="preserve">pas en soi suffisante pour anéantir ou réfuter une présomption de continuité, </w:t>
      </w:r>
      <w:r>
        <w:rPr>
          <w:rFonts w:asciiTheme="majorBidi" w:hAnsiTheme="majorBidi"/>
          <w:lang w:val="fr-FR"/>
        </w:rPr>
        <w:t>certains membres estimaient néanmoins qu</w:t>
      </w:r>
      <w:r w:rsidR="004C5E26">
        <w:rPr>
          <w:rFonts w:asciiTheme="majorBidi" w:hAnsiTheme="majorBidi"/>
          <w:lang w:val="fr-FR"/>
        </w:rPr>
        <w:t>’</w:t>
      </w:r>
      <w:r w:rsidRPr="00016AD6">
        <w:rPr>
          <w:rFonts w:asciiTheme="majorBidi" w:hAnsiTheme="majorBidi"/>
          <w:lang w:val="fr-FR"/>
        </w:rPr>
        <w:t>une référence à l</w:t>
      </w:r>
      <w:r w:rsidR="004C5E26">
        <w:rPr>
          <w:rFonts w:asciiTheme="majorBidi" w:hAnsiTheme="majorBidi"/>
          <w:lang w:val="fr-FR"/>
        </w:rPr>
        <w:t>’</w:t>
      </w:r>
      <w:r w:rsidRPr="00016AD6">
        <w:rPr>
          <w:rFonts w:asciiTheme="majorBidi" w:hAnsiTheme="majorBidi"/>
          <w:lang w:val="fr-FR"/>
        </w:rPr>
        <w:t>existence d</w:t>
      </w:r>
      <w:r w:rsidR="004C5E26">
        <w:rPr>
          <w:rFonts w:asciiTheme="majorBidi" w:hAnsiTheme="majorBidi"/>
          <w:lang w:val="fr-FR"/>
        </w:rPr>
        <w:t>’</w:t>
      </w:r>
      <w:r w:rsidRPr="00016AD6">
        <w:rPr>
          <w:rFonts w:asciiTheme="majorBidi" w:hAnsiTheme="majorBidi"/>
          <w:lang w:val="fr-FR"/>
        </w:rPr>
        <w:t xml:space="preserve">une telle « présomption », par opposition à un « principe », </w:t>
      </w:r>
      <w:r>
        <w:rPr>
          <w:rFonts w:asciiTheme="majorBidi" w:hAnsiTheme="majorBidi"/>
          <w:lang w:val="fr-FR"/>
        </w:rPr>
        <w:t xml:space="preserve">était </w:t>
      </w:r>
      <w:r w:rsidRPr="00016AD6">
        <w:rPr>
          <w:rFonts w:asciiTheme="majorBidi" w:hAnsiTheme="majorBidi"/>
          <w:lang w:val="fr-FR"/>
        </w:rPr>
        <w:t>juridiquement plus appropriée</w:t>
      </w:r>
      <w:r>
        <w:rPr>
          <w:rFonts w:asciiTheme="majorBidi" w:hAnsiTheme="majorBidi"/>
          <w:lang w:val="fr-FR"/>
        </w:rPr>
        <w:t>,</w:t>
      </w:r>
      <w:r w:rsidRPr="00016AD6">
        <w:rPr>
          <w:rFonts w:asciiTheme="majorBidi" w:hAnsiTheme="majorBidi"/>
          <w:lang w:val="fr-FR"/>
        </w:rPr>
        <w:t xml:space="preserve"> précisément parce que la perte de la condition étatique était concevable dans des situations extrêmes de perte quasi totale tant du territoire que de la population. De plus, on a dit craindre que dans diverses instances </w:t>
      </w:r>
      <w:r>
        <w:rPr>
          <w:rFonts w:asciiTheme="majorBidi" w:hAnsiTheme="majorBidi"/>
          <w:lang w:val="fr-FR"/>
        </w:rPr>
        <w:t xml:space="preserve">des États en </w:t>
      </w:r>
      <w:r w:rsidRPr="00016AD6">
        <w:rPr>
          <w:rFonts w:asciiTheme="majorBidi" w:hAnsiTheme="majorBidi"/>
          <w:lang w:val="fr-FR"/>
        </w:rPr>
        <w:t xml:space="preserve">viennent </w:t>
      </w:r>
      <w:r>
        <w:rPr>
          <w:rFonts w:asciiTheme="majorBidi" w:hAnsiTheme="majorBidi"/>
          <w:lang w:val="fr-FR"/>
        </w:rPr>
        <w:t xml:space="preserve">à se défier </w:t>
      </w:r>
      <w:r w:rsidRPr="00016AD6">
        <w:rPr>
          <w:rFonts w:asciiTheme="majorBidi" w:hAnsiTheme="majorBidi"/>
          <w:lang w:val="fr-FR"/>
        </w:rPr>
        <w:t>des conséquences collatérales fortuites de l</w:t>
      </w:r>
      <w:r w:rsidR="004C5E26">
        <w:rPr>
          <w:rFonts w:asciiTheme="majorBidi" w:hAnsiTheme="majorBidi"/>
          <w:lang w:val="fr-FR"/>
        </w:rPr>
        <w:t>’</w:t>
      </w:r>
      <w:r w:rsidRPr="00016AD6">
        <w:rPr>
          <w:rFonts w:asciiTheme="majorBidi" w:hAnsiTheme="majorBidi"/>
          <w:lang w:val="fr-FR"/>
        </w:rPr>
        <w:t>existence d</w:t>
      </w:r>
      <w:r w:rsidR="004C5E26">
        <w:rPr>
          <w:rFonts w:asciiTheme="majorBidi" w:hAnsiTheme="majorBidi"/>
          <w:lang w:val="fr-FR"/>
        </w:rPr>
        <w:t>’</w:t>
      </w:r>
      <w:r w:rsidRPr="00016AD6">
        <w:rPr>
          <w:rFonts w:asciiTheme="majorBidi" w:hAnsiTheme="majorBidi"/>
          <w:lang w:val="fr-FR"/>
        </w:rPr>
        <w:t>un tel « principe », dans des contextes qui n</w:t>
      </w:r>
      <w:r w:rsidR="004C5E26">
        <w:rPr>
          <w:rFonts w:asciiTheme="majorBidi" w:hAnsiTheme="majorBidi"/>
          <w:lang w:val="fr-FR"/>
        </w:rPr>
        <w:t>’</w:t>
      </w:r>
      <w:r w:rsidRPr="00016AD6">
        <w:rPr>
          <w:rFonts w:asciiTheme="majorBidi" w:hAnsiTheme="majorBidi"/>
          <w:lang w:val="fr-FR"/>
        </w:rPr>
        <w:t xml:space="preserve">avaient rien à voir avec les États effectivement </w:t>
      </w:r>
      <w:r>
        <w:rPr>
          <w:rFonts w:asciiTheme="majorBidi" w:hAnsiTheme="majorBidi"/>
          <w:lang w:val="fr-FR"/>
        </w:rPr>
        <w:t>exposés à la perte de leur qualité d</w:t>
      </w:r>
      <w:r w:rsidR="004C5E26">
        <w:rPr>
          <w:rFonts w:asciiTheme="majorBidi" w:hAnsiTheme="majorBidi"/>
          <w:lang w:val="fr-FR"/>
        </w:rPr>
        <w:t>’</w:t>
      </w:r>
      <w:r>
        <w:rPr>
          <w:rFonts w:asciiTheme="majorBidi" w:hAnsiTheme="majorBidi"/>
          <w:lang w:val="fr-FR"/>
        </w:rPr>
        <w:t>État</w:t>
      </w:r>
      <w:r w:rsidRPr="00016AD6">
        <w:rPr>
          <w:rFonts w:asciiTheme="majorBidi" w:hAnsiTheme="majorBidi"/>
          <w:lang w:val="fr-FR"/>
        </w:rPr>
        <w:t xml:space="preserve">. </w:t>
      </w:r>
    </w:p>
    <w:p w14:paraId="26422AEA" w14:textId="178C3F2B" w:rsidR="00737BD1" w:rsidRPr="00016AD6" w:rsidRDefault="00737BD1" w:rsidP="00737BD1">
      <w:pPr>
        <w:pStyle w:val="SingleTxtG"/>
        <w:rPr>
          <w:rFonts w:eastAsia="Calibri"/>
          <w:lang w:val="fr-FR"/>
        </w:rPr>
      </w:pPr>
      <w:r>
        <w:rPr>
          <w:lang w:val="fr-FR"/>
        </w:rPr>
        <w:t>365.</w:t>
      </w:r>
      <w:r>
        <w:rPr>
          <w:lang w:val="fr-FR"/>
        </w:rPr>
        <w:tab/>
      </w:r>
      <w:r w:rsidRPr="00016AD6">
        <w:rPr>
          <w:lang w:val="fr-FR"/>
        </w:rPr>
        <w:t>Le Groupe d</w:t>
      </w:r>
      <w:r w:rsidR="004C5E26">
        <w:rPr>
          <w:lang w:val="fr-FR"/>
        </w:rPr>
        <w:t>’</w:t>
      </w:r>
      <w:r w:rsidRPr="00016AD6">
        <w:rPr>
          <w:lang w:val="fr-FR"/>
        </w:rPr>
        <w:t xml:space="preserve">étude a été encouragé à </w:t>
      </w:r>
      <w:r>
        <w:rPr>
          <w:lang w:val="fr-FR"/>
        </w:rPr>
        <w:t>s</w:t>
      </w:r>
      <w:r w:rsidR="004C5E26">
        <w:rPr>
          <w:lang w:val="fr-FR"/>
        </w:rPr>
        <w:t>’</w:t>
      </w:r>
      <w:r>
        <w:rPr>
          <w:lang w:val="fr-FR"/>
        </w:rPr>
        <w:t xml:space="preserve">intéresser uniquement, comme le faisait </w:t>
      </w:r>
      <w:r w:rsidRPr="00016AD6">
        <w:rPr>
          <w:lang w:val="fr-FR"/>
        </w:rPr>
        <w:t>la note complémentaire,</w:t>
      </w:r>
      <w:r>
        <w:rPr>
          <w:lang w:val="fr-FR"/>
        </w:rPr>
        <w:t xml:space="preserve"> aux </w:t>
      </w:r>
      <w:r w:rsidRPr="00016AD6">
        <w:rPr>
          <w:lang w:val="fr-FR"/>
        </w:rPr>
        <w:t>deux catégories d</w:t>
      </w:r>
      <w:r w:rsidR="004C5E26">
        <w:rPr>
          <w:lang w:val="fr-FR"/>
        </w:rPr>
        <w:t>’</w:t>
      </w:r>
      <w:r w:rsidRPr="00016AD6">
        <w:rPr>
          <w:lang w:val="fr-FR"/>
        </w:rPr>
        <w:t>États qui étaient vulnérables ou susceptibles de perdre leur qualité d</w:t>
      </w:r>
      <w:r w:rsidR="004C5E26">
        <w:rPr>
          <w:lang w:val="fr-FR"/>
        </w:rPr>
        <w:t>’</w:t>
      </w:r>
      <w:r w:rsidRPr="00016AD6">
        <w:rPr>
          <w:lang w:val="fr-FR"/>
        </w:rPr>
        <w:t>État en raison de l</w:t>
      </w:r>
      <w:r w:rsidR="004C5E26">
        <w:rPr>
          <w:lang w:val="fr-FR"/>
        </w:rPr>
        <w:t>’</w:t>
      </w:r>
      <w:r w:rsidRPr="00016AD6">
        <w:rPr>
          <w:lang w:val="fr-FR"/>
        </w:rPr>
        <w:t>élévation du niveau de la mer</w:t>
      </w:r>
      <w:r>
        <w:rPr>
          <w:lang w:val="fr-FR"/>
        </w:rPr>
        <w:t>, à savoir l</w:t>
      </w:r>
      <w:r w:rsidRPr="00016AD6">
        <w:rPr>
          <w:lang w:val="fr-FR"/>
        </w:rPr>
        <w:t>es États dont l</w:t>
      </w:r>
      <w:r>
        <w:rPr>
          <w:lang w:val="fr-FR"/>
        </w:rPr>
        <w:t>a</w:t>
      </w:r>
      <w:r w:rsidRPr="00016AD6">
        <w:rPr>
          <w:lang w:val="fr-FR"/>
        </w:rPr>
        <w:t xml:space="preserve"> </w:t>
      </w:r>
      <w:r>
        <w:rPr>
          <w:lang w:val="fr-FR"/>
        </w:rPr>
        <w:t>surface</w:t>
      </w:r>
      <w:r w:rsidRPr="00016AD6">
        <w:rPr>
          <w:lang w:val="fr-FR"/>
        </w:rPr>
        <w:t xml:space="preserve"> </w:t>
      </w:r>
      <w:r w:rsidRPr="00DD0654">
        <w:rPr>
          <w:lang w:val="fr-FR"/>
        </w:rPr>
        <w:t>terrestre pourrait être totalement submergée, et les États dont la surface terrestre pourrait être parti</w:t>
      </w:r>
      <w:r>
        <w:rPr>
          <w:lang w:val="fr-FR"/>
        </w:rPr>
        <w:t>ellement submergée ou rendue</w:t>
      </w:r>
      <w:r w:rsidRPr="00016AD6">
        <w:rPr>
          <w:lang w:val="fr-FR"/>
        </w:rPr>
        <w:t xml:space="preserve"> inhabitable en raison de l</w:t>
      </w:r>
      <w:r w:rsidR="004C5E26">
        <w:rPr>
          <w:lang w:val="fr-FR"/>
        </w:rPr>
        <w:t>’</w:t>
      </w:r>
      <w:r w:rsidRPr="00016AD6">
        <w:rPr>
          <w:lang w:val="fr-FR"/>
        </w:rPr>
        <w:t xml:space="preserve">élévation du niveau de la mer. Selon une autre opinion, </w:t>
      </w:r>
      <w:r>
        <w:rPr>
          <w:lang w:val="fr-FR"/>
        </w:rPr>
        <w:t xml:space="preserve">en ne </w:t>
      </w:r>
      <w:r w:rsidRPr="00016AD6">
        <w:rPr>
          <w:lang w:val="fr-FR"/>
        </w:rPr>
        <w:t>s</w:t>
      </w:r>
      <w:r w:rsidR="004C5E26">
        <w:rPr>
          <w:lang w:val="fr-FR"/>
        </w:rPr>
        <w:t>’</w:t>
      </w:r>
      <w:r w:rsidRPr="00016AD6">
        <w:rPr>
          <w:lang w:val="fr-FR"/>
        </w:rPr>
        <w:t>intéress</w:t>
      </w:r>
      <w:r>
        <w:rPr>
          <w:lang w:val="fr-FR"/>
        </w:rPr>
        <w:t>ant qu</w:t>
      </w:r>
      <w:r w:rsidR="004C5E26">
        <w:rPr>
          <w:lang w:val="fr-FR"/>
        </w:rPr>
        <w:t>’</w:t>
      </w:r>
      <w:r>
        <w:rPr>
          <w:lang w:val="fr-FR"/>
        </w:rPr>
        <w:t xml:space="preserve">aux </w:t>
      </w:r>
      <w:r w:rsidRPr="00016AD6">
        <w:rPr>
          <w:lang w:val="fr-FR"/>
        </w:rPr>
        <w:t xml:space="preserve">États </w:t>
      </w:r>
      <w:r>
        <w:rPr>
          <w:lang w:val="fr-FR"/>
        </w:rPr>
        <w:t xml:space="preserve">relativement peu nombreux </w:t>
      </w:r>
      <w:r w:rsidRPr="00016AD6">
        <w:rPr>
          <w:lang w:val="fr-FR"/>
        </w:rPr>
        <w:t>qui pou</w:t>
      </w:r>
      <w:r>
        <w:rPr>
          <w:lang w:val="fr-FR"/>
        </w:rPr>
        <w:t>rr</w:t>
      </w:r>
      <w:r w:rsidRPr="00016AD6">
        <w:rPr>
          <w:lang w:val="fr-FR"/>
        </w:rPr>
        <w:t>aient être le</w:t>
      </w:r>
      <w:r>
        <w:rPr>
          <w:lang w:val="fr-FR"/>
        </w:rPr>
        <w:t>s</w:t>
      </w:r>
      <w:r w:rsidRPr="00016AD6">
        <w:rPr>
          <w:lang w:val="fr-FR"/>
        </w:rPr>
        <w:t xml:space="preserve"> plus directement touchés</w:t>
      </w:r>
      <w:r>
        <w:rPr>
          <w:lang w:val="fr-FR"/>
        </w:rPr>
        <w:t>,</w:t>
      </w:r>
      <w:r w:rsidRPr="00016AD6">
        <w:rPr>
          <w:lang w:val="fr-FR"/>
        </w:rPr>
        <w:t xml:space="preserve"> </w:t>
      </w:r>
      <w:r>
        <w:rPr>
          <w:lang w:val="fr-FR"/>
        </w:rPr>
        <w:t xml:space="preserve">on </w:t>
      </w:r>
      <w:r w:rsidRPr="00016AD6">
        <w:rPr>
          <w:lang w:val="fr-FR"/>
        </w:rPr>
        <w:t>risquait de minimiser l</w:t>
      </w:r>
      <w:r w:rsidR="004C5E26">
        <w:rPr>
          <w:lang w:val="fr-FR"/>
        </w:rPr>
        <w:t>’</w:t>
      </w:r>
      <w:r w:rsidRPr="00016AD6">
        <w:rPr>
          <w:lang w:val="fr-FR"/>
        </w:rPr>
        <w:t>étendue de la menace à laquelle ils étaient confrontés</w:t>
      </w:r>
      <w:r>
        <w:rPr>
          <w:lang w:val="fr-FR"/>
        </w:rPr>
        <w:t xml:space="preserve"> et d</w:t>
      </w:r>
      <w:r w:rsidR="004C5E26">
        <w:rPr>
          <w:lang w:val="fr-FR"/>
        </w:rPr>
        <w:t>’</w:t>
      </w:r>
      <w:r w:rsidRPr="00016AD6">
        <w:rPr>
          <w:lang w:val="fr-FR"/>
        </w:rPr>
        <w:t>aboutir</w:t>
      </w:r>
      <w:r>
        <w:rPr>
          <w:lang w:val="fr-FR"/>
        </w:rPr>
        <w:t xml:space="preserve">, ce faisant, </w:t>
      </w:r>
      <w:r w:rsidRPr="00016AD6">
        <w:rPr>
          <w:lang w:val="fr-FR"/>
        </w:rPr>
        <w:t>à des solutions pouvant ne pas répondre aux besoins des États particulièrement touchés.</w:t>
      </w:r>
    </w:p>
    <w:p w14:paraId="5375249B" w14:textId="75878D0C" w:rsidR="00737BD1" w:rsidRPr="00016AD6" w:rsidRDefault="00737BD1" w:rsidP="00737BD1">
      <w:pPr>
        <w:pStyle w:val="SingleTxtG"/>
        <w:rPr>
          <w:rFonts w:asciiTheme="majorBidi" w:hAnsiTheme="majorBidi"/>
          <w:lang w:val="fr-FR"/>
        </w:rPr>
      </w:pPr>
      <w:r w:rsidRPr="008D692F">
        <w:rPr>
          <w:rFonts w:asciiTheme="majorBidi" w:hAnsiTheme="majorBidi"/>
          <w:lang w:val="fr-FR"/>
        </w:rPr>
        <w:t>36</w:t>
      </w:r>
      <w:r>
        <w:rPr>
          <w:rFonts w:asciiTheme="majorBidi" w:hAnsiTheme="majorBidi"/>
          <w:lang w:val="fr-FR"/>
        </w:rPr>
        <w:t>6</w:t>
      </w:r>
      <w:r w:rsidRPr="008D692F">
        <w:rPr>
          <w:rFonts w:asciiTheme="majorBidi" w:hAnsiTheme="majorBidi"/>
          <w:lang w:val="fr-FR"/>
        </w:rPr>
        <w:t>.</w:t>
      </w:r>
      <w:r w:rsidRPr="008D692F">
        <w:rPr>
          <w:rFonts w:asciiTheme="majorBidi" w:hAnsiTheme="majorBidi"/>
          <w:lang w:val="fr-FR"/>
        </w:rPr>
        <w:tab/>
        <w:t>Selon</w:t>
      </w:r>
      <w:r w:rsidRPr="00016AD6">
        <w:rPr>
          <w:rFonts w:asciiTheme="majorBidi" w:hAnsiTheme="majorBidi"/>
          <w:lang w:val="fr-FR"/>
        </w:rPr>
        <w:t xml:space="preserve"> une autre opinion, on voyait mal l</w:t>
      </w:r>
      <w:r w:rsidR="004C5E26">
        <w:rPr>
          <w:rFonts w:asciiTheme="majorBidi" w:hAnsiTheme="majorBidi"/>
          <w:lang w:val="fr-FR"/>
        </w:rPr>
        <w:t>’</w:t>
      </w:r>
      <w:r w:rsidRPr="00016AD6">
        <w:rPr>
          <w:rFonts w:asciiTheme="majorBidi" w:hAnsiTheme="majorBidi"/>
          <w:lang w:val="fr-FR"/>
        </w:rPr>
        <w:t>intérêt de présenter le problème sous l</w:t>
      </w:r>
      <w:r w:rsidR="004C5E26">
        <w:rPr>
          <w:rFonts w:asciiTheme="majorBidi" w:hAnsiTheme="majorBidi"/>
          <w:lang w:val="fr-FR"/>
        </w:rPr>
        <w:t>’</w:t>
      </w:r>
      <w:r w:rsidRPr="00016AD6">
        <w:rPr>
          <w:rFonts w:asciiTheme="majorBidi" w:hAnsiTheme="majorBidi"/>
          <w:lang w:val="fr-FR"/>
        </w:rPr>
        <w:t>angle d</w:t>
      </w:r>
      <w:r>
        <w:rPr>
          <w:rFonts w:asciiTheme="majorBidi" w:hAnsiTheme="majorBidi"/>
          <w:lang w:val="fr-FR"/>
        </w:rPr>
        <w:t>e l</w:t>
      </w:r>
      <w:r w:rsidR="004C5E26">
        <w:rPr>
          <w:rFonts w:asciiTheme="majorBidi" w:hAnsiTheme="majorBidi"/>
          <w:lang w:val="fr-FR"/>
        </w:rPr>
        <w:t>’</w:t>
      </w:r>
      <w:r>
        <w:rPr>
          <w:rFonts w:asciiTheme="majorBidi" w:hAnsiTheme="majorBidi"/>
          <w:lang w:val="fr-FR"/>
        </w:rPr>
        <w:t>affirmation d</w:t>
      </w:r>
      <w:r w:rsidR="004C5E26">
        <w:rPr>
          <w:rFonts w:asciiTheme="majorBidi" w:hAnsiTheme="majorBidi"/>
          <w:lang w:val="fr-FR"/>
        </w:rPr>
        <w:t>’</w:t>
      </w:r>
      <w:r>
        <w:rPr>
          <w:rFonts w:asciiTheme="majorBidi" w:hAnsiTheme="majorBidi"/>
          <w:lang w:val="fr-FR"/>
        </w:rPr>
        <w:t xml:space="preserve">une </w:t>
      </w:r>
      <w:r w:rsidRPr="00016AD6">
        <w:rPr>
          <w:rFonts w:asciiTheme="majorBidi" w:hAnsiTheme="majorBidi"/>
          <w:lang w:val="fr-FR"/>
        </w:rPr>
        <w:t>présomption de continuité</w:t>
      </w:r>
      <w:r>
        <w:rPr>
          <w:rFonts w:asciiTheme="majorBidi" w:hAnsiTheme="majorBidi"/>
          <w:lang w:val="fr-FR"/>
        </w:rPr>
        <w:t xml:space="preserve"> et non d</w:t>
      </w:r>
      <w:r w:rsidR="004C5E26">
        <w:rPr>
          <w:rFonts w:asciiTheme="majorBidi" w:hAnsiTheme="majorBidi"/>
          <w:lang w:val="fr-FR"/>
        </w:rPr>
        <w:t>’</w:t>
      </w:r>
      <w:r w:rsidRPr="00016AD6">
        <w:rPr>
          <w:rFonts w:asciiTheme="majorBidi" w:hAnsiTheme="majorBidi"/>
          <w:lang w:val="fr-FR"/>
        </w:rPr>
        <w:t xml:space="preserve">une </w:t>
      </w:r>
      <w:r>
        <w:rPr>
          <w:rFonts w:asciiTheme="majorBidi" w:hAnsiTheme="majorBidi"/>
          <w:lang w:val="fr-FR"/>
        </w:rPr>
        <w:t xml:space="preserve">affirmation de la </w:t>
      </w:r>
      <w:r w:rsidRPr="00016AD6">
        <w:rPr>
          <w:rFonts w:asciiTheme="majorBidi" w:hAnsiTheme="majorBidi"/>
          <w:lang w:val="fr-FR"/>
        </w:rPr>
        <w:t xml:space="preserve">continuité ou de </w:t>
      </w:r>
      <w:r>
        <w:rPr>
          <w:rFonts w:asciiTheme="majorBidi" w:hAnsiTheme="majorBidi"/>
          <w:lang w:val="fr-FR"/>
        </w:rPr>
        <w:t>la condition étatique</w:t>
      </w:r>
      <w:r w:rsidRPr="00016AD6">
        <w:rPr>
          <w:rFonts w:asciiTheme="majorBidi" w:hAnsiTheme="majorBidi"/>
          <w:lang w:val="fr-FR"/>
        </w:rPr>
        <w:t>. D</w:t>
      </w:r>
      <w:r w:rsidR="004C5E26">
        <w:rPr>
          <w:rFonts w:asciiTheme="majorBidi" w:hAnsiTheme="majorBidi"/>
          <w:lang w:val="fr-FR"/>
        </w:rPr>
        <w:t>’</w:t>
      </w:r>
      <w:r w:rsidRPr="00016AD6">
        <w:rPr>
          <w:rFonts w:asciiTheme="majorBidi" w:hAnsiTheme="majorBidi"/>
          <w:lang w:val="fr-FR"/>
        </w:rPr>
        <w:t>autres perspectives, y compris celle consistant simplement à reconnaître la continuité de la condition étatique, étaient possibles. On a également proposé de mettre l</w:t>
      </w:r>
      <w:r w:rsidR="004C5E26">
        <w:rPr>
          <w:rFonts w:asciiTheme="majorBidi" w:hAnsiTheme="majorBidi"/>
          <w:lang w:val="fr-FR"/>
        </w:rPr>
        <w:t>’</w:t>
      </w:r>
      <w:r w:rsidRPr="00016AD6">
        <w:rPr>
          <w:rFonts w:asciiTheme="majorBidi" w:hAnsiTheme="majorBidi"/>
          <w:lang w:val="fr-FR"/>
        </w:rPr>
        <w:t>accent sur l</w:t>
      </w:r>
      <w:r w:rsidR="004C5E26">
        <w:rPr>
          <w:rFonts w:asciiTheme="majorBidi" w:hAnsiTheme="majorBidi"/>
          <w:lang w:val="fr-FR"/>
        </w:rPr>
        <w:t>’</w:t>
      </w:r>
      <w:r w:rsidRPr="00016AD6">
        <w:rPr>
          <w:rFonts w:asciiTheme="majorBidi" w:hAnsiTheme="majorBidi"/>
          <w:lang w:val="fr-FR"/>
        </w:rPr>
        <w:t>absence d</w:t>
      </w:r>
      <w:r w:rsidR="004C5E26">
        <w:rPr>
          <w:rFonts w:asciiTheme="majorBidi" w:hAnsiTheme="majorBidi"/>
          <w:lang w:val="fr-FR"/>
        </w:rPr>
        <w:t>’</w:t>
      </w:r>
      <w:r w:rsidRPr="00016AD6">
        <w:rPr>
          <w:rFonts w:asciiTheme="majorBidi" w:hAnsiTheme="majorBidi"/>
          <w:lang w:val="fr-FR"/>
        </w:rPr>
        <w:t xml:space="preserve">obstacle juridique à la continuité, ce qui </w:t>
      </w:r>
      <w:r>
        <w:rPr>
          <w:rFonts w:asciiTheme="majorBidi" w:hAnsiTheme="majorBidi"/>
          <w:lang w:val="fr-FR"/>
        </w:rPr>
        <w:t xml:space="preserve">éviterait de se demander </w:t>
      </w:r>
      <w:r w:rsidRPr="00016AD6">
        <w:rPr>
          <w:rFonts w:asciiTheme="majorBidi" w:hAnsiTheme="majorBidi"/>
          <w:lang w:val="fr-FR"/>
        </w:rPr>
        <w:t>s</w:t>
      </w:r>
      <w:r w:rsidR="004C5E26">
        <w:rPr>
          <w:rFonts w:asciiTheme="majorBidi" w:hAnsiTheme="majorBidi"/>
          <w:lang w:val="fr-FR"/>
        </w:rPr>
        <w:t>’</w:t>
      </w:r>
      <w:r w:rsidRPr="00016AD6">
        <w:rPr>
          <w:rFonts w:asciiTheme="majorBidi" w:hAnsiTheme="majorBidi"/>
          <w:lang w:val="fr-FR"/>
        </w:rPr>
        <w:t>il existait une présomption ou un principe juridique et mettr</w:t>
      </w:r>
      <w:r>
        <w:rPr>
          <w:rFonts w:asciiTheme="majorBidi" w:hAnsiTheme="majorBidi"/>
          <w:lang w:val="fr-FR"/>
        </w:rPr>
        <w:t>ait</w:t>
      </w:r>
      <w:r w:rsidRPr="00016AD6">
        <w:rPr>
          <w:rFonts w:asciiTheme="majorBidi" w:hAnsiTheme="majorBidi"/>
          <w:lang w:val="fr-FR"/>
        </w:rPr>
        <w:t xml:space="preserve"> l</w:t>
      </w:r>
      <w:r w:rsidR="004C5E26">
        <w:rPr>
          <w:rFonts w:asciiTheme="majorBidi" w:hAnsiTheme="majorBidi"/>
          <w:lang w:val="fr-FR"/>
        </w:rPr>
        <w:t>’</w:t>
      </w:r>
      <w:r w:rsidRPr="00016AD6">
        <w:rPr>
          <w:rFonts w:asciiTheme="majorBidi" w:hAnsiTheme="majorBidi"/>
          <w:lang w:val="fr-FR"/>
        </w:rPr>
        <w:t xml:space="preserve">accent sur les principes de stabilité, de certitude et de prévisibilité, ainsi que sur </w:t>
      </w:r>
      <w:r>
        <w:rPr>
          <w:rFonts w:asciiTheme="majorBidi" w:hAnsiTheme="majorBidi"/>
          <w:lang w:val="fr-FR"/>
        </w:rPr>
        <w:t xml:space="preserve">ceux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 xml:space="preserve">équité et de justice, </w:t>
      </w:r>
      <w:r>
        <w:rPr>
          <w:rFonts w:asciiTheme="majorBidi" w:hAnsiTheme="majorBidi"/>
          <w:lang w:val="fr-FR"/>
        </w:rPr>
        <w:t xml:space="preserve">en particulier parce que les causes de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élévation du niveau de la mer n</w:t>
      </w:r>
      <w:r w:rsidR="004C5E26">
        <w:rPr>
          <w:rFonts w:asciiTheme="majorBidi" w:hAnsiTheme="majorBidi"/>
          <w:lang w:val="fr-FR"/>
        </w:rPr>
        <w:t>’</w:t>
      </w:r>
      <w:r w:rsidRPr="00016AD6">
        <w:rPr>
          <w:rFonts w:asciiTheme="majorBidi" w:hAnsiTheme="majorBidi"/>
          <w:lang w:val="fr-FR"/>
        </w:rPr>
        <w:t>étai</w:t>
      </w:r>
      <w:r>
        <w:rPr>
          <w:rFonts w:asciiTheme="majorBidi" w:hAnsiTheme="majorBidi"/>
          <w:lang w:val="fr-FR"/>
        </w:rPr>
        <w:t>en</w:t>
      </w:r>
      <w:r w:rsidRPr="00016AD6">
        <w:rPr>
          <w:rFonts w:asciiTheme="majorBidi" w:hAnsiTheme="majorBidi"/>
          <w:lang w:val="fr-FR"/>
        </w:rPr>
        <w:t>t pas principalement imputable</w:t>
      </w:r>
      <w:r>
        <w:rPr>
          <w:rFonts w:asciiTheme="majorBidi" w:hAnsiTheme="majorBidi"/>
          <w:lang w:val="fr-FR"/>
        </w:rPr>
        <w:t>s</w:t>
      </w:r>
      <w:r w:rsidRPr="00016AD6">
        <w:rPr>
          <w:rFonts w:asciiTheme="majorBidi" w:hAnsiTheme="majorBidi"/>
          <w:lang w:val="fr-FR"/>
        </w:rPr>
        <w:t xml:space="preserve"> </w:t>
      </w:r>
      <w:r>
        <w:rPr>
          <w:rFonts w:asciiTheme="majorBidi" w:hAnsiTheme="majorBidi"/>
          <w:lang w:val="fr-FR"/>
        </w:rPr>
        <w:t xml:space="preserve">aux </w:t>
      </w:r>
      <w:r w:rsidRPr="00016AD6">
        <w:rPr>
          <w:rFonts w:asciiTheme="majorBidi" w:hAnsiTheme="majorBidi"/>
          <w:lang w:val="fr-FR"/>
        </w:rPr>
        <w:t>État</w:t>
      </w:r>
      <w:r>
        <w:rPr>
          <w:rFonts w:asciiTheme="majorBidi" w:hAnsiTheme="majorBidi"/>
          <w:lang w:val="fr-FR"/>
        </w:rPr>
        <w:t>s touchés</w:t>
      </w:r>
      <w:r w:rsidRPr="00363B32">
        <w:rPr>
          <w:rFonts w:asciiTheme="majorBidi" w:hAnsiTheme="majorBidi"/>
          <w:lang w:val="fr-FR"/>
        </w:rPr>
        <w:t xml:space="preserve">. On a rappelé que dans la Déclaration du </w:t>
      </w:r>
      <w:r w:rsidRPr="00363B32">
        <w:rPr>
          <w:lang w:val="fr-FR"/>
        </w:rPr>
        <w:t xml:space="preserve">Forum des îles du Pacifique de </w:t>
      </w:r>
      <w:r w:rsidRPr="00363B32">
        <w:rPr>
          <w:rFonts w:asciiTheme="majorBidi" w:hAnsiTheme="majorBidi"/>
          <w:lang w:val="fr-FR"/>
        </w:rPr>
        <w:t xml:space="preserve">2023, </w:t>
      </w:r>
      <w:r>
        <w:rPr>
          <w:rFonts w:asciiTheme="majorBidi" w:hAnsiTheme="majorBidi"/>
          <w:lang w:val="fr-FR"/>
        </w:rPr>
        <w:t xml:space="preserve">outre </w:t>
      </w:r>
      <w:r w:rsidRPr="00363B32">
        <w:rPr>
          <w:rFonts w:asciiTheme="majorBidi" w:hAnsiTheme="majorBidi"/>
          <w:lang w:val="fr-FR"/>
        </w:rPr>
        <w:t>qu</w:t>
      </w:r>
      <w:r w:rsidR="004C5E26">
        <w:rPr>
          <w:rFonts w:asciiTheme="majorBidi" w:hAnsiTheme="majorBidi"/>
          <w:lang w:val="fr-FR"/>
        </w:rPr>
        <w:t>’</w:t>
      </w:r>
      <w:r w:rsidRPr="00363B32">
        <w:rPr>
          <w:rFonts w:asciiTheme="majorBidi" w:hAnsiTheme="majorBidi"/>
          <w:lang w:val="fr-FR"/>
        </w:rPr>
        <w:t>i</w:t>
      </w:r>
      <w:r>
        <w:rPr>
          <w:rFonts w:asciiTheme="majorBidi" w:hAnsiTheme="majorBidi"/>
          <w:lang w:val="fr-FR"/>
        </w:rPr>
        <w:t>l était</w:t>
      </w:r>
      <w:r w:rsidRPr="00363B32">
        <w:rPr>
          <w:rFonts w:asciiTheme="majorBidi" w:hAnsiTheme="majorBidi"/>
          <w:lang w:val="fr-FR"/>
        </w:rPr>
        <w:t xml:space="preserve"> </w:t>
      </w:r>
      <w:r>
        <w:rPr>
          <w:rFonts w:asciiTheme="majorBidi" w:hAnsiTheme="majorBidi"/>
          <w:lang w:val="fr-FR"/>
        </w:rPr>
        <w:t>d</w:t>
      </w:r>
      <w:r w:rsidRPr="00363B32">
        <w:rPr>
          <w:rFonts w:asciiTheme="majorBidi" w:hAnsiTheme="majorBidi"/>
          <w:lang w:val="fr-FR"/>
        </w:rPr>
        <w:t>it que le droit international étayait l</w:t>
      </w:r>
      <w:r w:rsidR="004C5E26">
        <w:rPr>
          <w:rFonts w:asciiTheme="majorBidi" w:hAnsiTheme="majorBidi"/>
          <w:lang w:val="fr-FR"/>
        </w:rPr>
        <w:t>’</w:t>
      </w:r>
      <w:r w:rsidRPr="00363B32">
        <w:rPr>
          <w:rFonts w:asciiTheme="majorBidi" w:hAnsiTheme="majorBidi"/>
          <w:lang w:val="fr-FR"/>
        </w:rPr>
        <w:t>existence d</w:t>
      </w:r>
      <w:r w:rsidR="004C5E26">
        <w:rPr>
          <w:rFonts w:asciiTheme="majorBidi" w:hAnsiTheme="majorBidi"/>
          <w:lang w:val="fr-FR"/>
        </w:rPr>
        <w:t>’</w:t>
      </w:r>
      <w:r w:rsidRPr="00363B32">
        <w:rPr>
          <w:rFonts w:asciiTheme="majorBidi" w:hAnsiTheme="majorBidi"/>
          <w:lang w:val="fr-FR"/>
        </w:rPr>
        <w:t>une présomption de continuité de la condition étatique</w:t>
      </w:r>
      <w:r>
        <w:rPr>
          <w:rFonts w:asciiTheme="majorBidi" w:hAnsiTheme="majorBidi"/>
          <w:lang w:val="fr-FR"/>
        </w:rPr>
        <w:t>, il était aussi rappelé qu</w:t>
      </w:r>
      <w:r w:rsidR="004C5E26">
        <w:rPr>
          <w:rFonts w:asciiTheme="majorBidi" w:hAnsiTheme="majorBidi"/>
          <w:lang w:val="fr-FR"/>
        </w:rPr>
        <w:t>’</w:t>
      </w:r>
      <w:r>
        <w:rPr>
          <w:rFonts w:asciiTheme="majorBidi" w:hAnsiTheme="majorBidi"/>
          <w:lang w:val="fr-FR"/>
        </w:rPr>
        <w:t>il</w:t>
      </w:r>
      <w:r w:rsidRPr="00363B32">
        <w:rPr>
          <w:rFonts w:asciiTheme="majorBidi" w:hAnsiTheme="majorBidi"/>
          <w:lang w:val="fr-FR"/>
        </w:rPr>
        <w:t xml:space="preserve"> n</w:t>
      </w:r>
      <w:r w:rsidR="004C5E26">
        <w:rPr>
          <w:rFonts w:asciiTheme="majorBidi" w:hAnsiTheme="majorBidi"/>
          <w:lang w:val="fr-FR"/>
        </w:rPr>
        <w:t>’</w:t>
      </w:r>
      <w:r w:rsidRPr="00363B32">
        <w:rPr>
          <w:rFonts w:asciiTheme="majorBidi" w:hAnsiTheme="majorBidi"/>
          <w:lang w:val="fr-FR"/>
        </w:rPr>
        <w:t xml:space="preserve">envisageait pas </w:t>
      </w:r>
      <w:r>
        <w:rPr>
          <w:rFonts w:asciiTheme="majorBidi" w:hAnsiTheme="majorBidi"/>
          <w:lang w:val="fr-FR"/>
        </w:rPr>
        <w:t>l</w:t>
      </w:r>
      <w:r w:rsidR="004C5E26">
        <w:rPr>
          <w:rFonts w:asciiTheme="majorBidi" w:hAnsiTheme="majorBidi"/>
          <w:lang w:val="fr-FR"/>
        </w:rPr>
        <w:t>’</w:t>
      </w:r>
      <w:r w:rsidRPr="00363B32">
        <w:rPr>
          <w:rFonts w:asciiTheme="majorBidi" w:hAnsiTheme="majorBidi"/>
          <w:lang w:val="fr-FR"/>
        </w:rPr>
        <w:t xml:space="preserve">extinction </w:t>
      </w:r>
      <w:r>
        <w:rPr>
          <w:rFonts w:asciiTheme="majorBidi" w:hAnsiTheme="majorBidi"/>
          <w:lang w:val="fr-FR"/>
        </w:rPr>
        <w:t xml:space="preserve">de cette condition </w:t>
      </w:r>
      <w:r w:rsidRPr="00363B32">
        <w:rPr>
          <w:rFonts w:asciiTheme="majorBidi" w:hAnsiTheme="majorBidi"/>
          <w:lang w:val="fr-FR"/>
        </w:rPr>
        <w:t>dans le contexte de l</w:t>
      </w:r>
      <w:r w:rsidR="004C5E26">
        <w:rPr>
          <w:rFonts w:asciiTheme="majorBidi" w:hAnsiTheme="majorBidi"/>
          <w:lang w:val="fr-FR"/>
        </w:rPr>
        <w:t>’</w:t>
      </w:r>
      <w:r w:rsidRPr="00363B32">
        <w:rPr>
          <w:rFonts w:asciiTheme="majorBidi" w:hAnsiTheme="majorBidi"/>
          <w:lang w:val="fr-FR"/>
        </w:rPr>
        <w:t>élévation du niveau de la mer liée aux changements climatiques.</w:t>
      </w:r>
      <w:r w:rsidRPr="00016AD6">
        <w:rPr>
          <w:rFonts w:asciiTheme="majorBidi" w:hAnsiTheme="majorBidi"/>
          <w:lang w:val="fr-FR"/>
        </w:rPr>
        <w:t xml:space="preserve"> Selon une autre opinion, on voyait mal </w:t>
      </w:r>
      <w:r>
        <w:rPr>
          <w:rFonts w:asciiTheme="majorBidi" w:hAnsiTheme="majorBidi"/>
          <w:lang w:val="fr-FR"/>
        </w:rPr>
        <w:t xml:space="preserve">en quoi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absence d</w:t>
      </w:r>
      <w:r w:rsidR="004C5E26">
        <w:rPr>
          <w:rFonts w:asciiTheme="majorBidi" w:hAnsiTheme="majorBidi"/>
          <w:lang w:val="fr-FR"/>
        </w:rPr>
        <w:t>’</w:t>
      </w:r>
      <w:r w:rsidRPr="00016AD6">
        <w:rPr>
          <w:rFonts w:asciiTheme="majorBidi" w:hAnsiTheme="majorBidi"/>
          <w:lang w:val="fr-FR"/>
        </w:rPr>
        <w:t>obstacle juridique à la continuité d</w:t>
      </w:r>
      <w:r w:rsidR="004C5E26">
        <w:rPr>
          <w:rFonts w:asciiTheme="majorBidi" w:hAnsiTheme="majorBidi"/>
          <w:lang w:val="fr-FR"/>
        </w:rPr>
        <w:t>’</w:t>
      </w:r>
      <w:r w:rsidRPr="00016AD6">
        <w:rPr>
          <w:rFonts w:asciiTheme="majorBidi" w:hAnsiTheme="majorBidi"/>
          <w:lang w:val="fr-FR"/>
        </w:rPr>
        <w:t>un statut juridique différait d</w:t>
      </w:r>
      <w:r w:rsidR="004C5E26">
        <w:rPr>
          <w:rFonts w:asciiTheme="majorBidi" w:hAnsiTheme="majorBidi"/>
          <w:lang w:val="fr-FR"/>
        </w:rPr>
        <w:t>’</w:t>
      </w:r>
      <w:r w:rsidRPr="00016AD6">
        <w:rPr>
          <w:rFonts w:asciiTheme="majorBidi" w:hAnsiTheme="majorBidi"/>
          <w:lang w:val="fr-FR"/>
        </w:rPr>
        <w:t>une règle positive de continuité. On a aussi fait observer que c</w:t>
      </w:r>
      <w:r w:rsidR="004C5E26">
        <w:rPr>
          <w:rFonts w:asciiTheme="majorBidi" w:hAnsiTheme="majorBidi"/>
          <w:lang w:val="fr-FR"/>
        </w:rPr>
        <w:t>’</w:t>
      </w:r>
      <w:r w:rsidRPr="00016AD6">
        <w:rPr>
          <w:rFonts w:asciiTheme="majorBidi" w:hAnsiTheme="majorBidi"/>
          <w:lang w:val="fr-FR"/>
        </w:rPr>
        <w:t xml:space="preserve">était précisément parce que la question </w:t>
      </w:r>
      <w:r>
        <w:rPr>
          <w:rFonts w:asciiTheme="majorBidi" w:hAnsiTheme="majorBidi"/>
          <w:lang w:val="fr-FR"/>
        </w:rPr>
        <w:t xml:space="preserve">se posait </w:t>
      </w:r>
      <w:r w:rsidRPr="00016AD6">
        <w:rPr>
          <w:rFonts w:asciiTheme="majorBidi" w:hAnsiTheme="majorBidi"/>
          <w:lang w:val="fr-FR"/>
        </w:rPr>
        <w:t>de savoir si un État pouvait ou ne pouvait pas continuer d</w:t>
      </w:r>
      <w:r w:rsidR="004C5E26">
        <w:rPr>
          <w:rFonts w:asciiTheme="majorBidi" w:hAnsiTheme="majorBidi"/>
          <w:lang w:val="fr-FR"/>
        </w:rPr>
        <w:t>’</w:t>
      </w:r>
      <w:r w:rsidRPr="00016AD6">
        <w:rPr>
          <w:rFonts w:asciiTheme="majorBidi" w:hAnsiTheme="majorBidi"/>
          <w:lang w:val="fr-FR"/>
        </w:rPr>
        <w:t>exister lorsqu</w:t>
      </w:r>
      <w:r>
        <w:rPr>
          <w:rFonts w:asciiTheme="majorBidi" w:hAnsiTheme="majorBidi"/>
          <w:lang w:val="fr-FR"/>
        </w:rPr>
        <w:t>e l</w:t>
      </w:r>
      <w:r w:rsidR="004C5E26">
        <w:rPr>
          <w:rFonts w:asciiTheme="majorBidi" w:hAnsiTheme="majorBidi"/>
          <w:lang w:val="fr-FR"/>
        </w:rPr>
        <w:t>’</w:t>
      </w:r>
      <w:r>
        <w:rPr>
          <w:rFonts w:asciiTheme="majorBidi" w:hAnsiTheme="majorBidi"/>
          <w:lang w:val="fr-FR"/>
        </w:rPr>
        <w:t>un des éléments constitutifs de l</w:t>
      </w:r>
      <w:r w:rsidR="004C5E26">
        <w:rPr>
          <w:rFonts w:asciiTheme="majorBidi" w:hAnsiTheme="majorBidi"/>
          <w:lang w:val="fr-FR"/>
        </w:rPr>
        <w:t>’</w:t>
      </w:r>
      <w:r>
        <w:rPr>
          <w:rFonts w:asciiTheme="majorBidi" w:hAnsiTheme="majorBidi"/>
          <w:lang w:val="fr-FR"/>
        </w:rPr>
        <w:t>État en tant que sujet de droit international lui faisait défaut</w:t>
      </w:r>
      <w:r w:rsidRPr="00016AD6">
        <w:rPr>
          <w:rFonts w:asciiTheme="majorBidi" w:hAnsiTheme="majorBidi"/>
          <w:lang w:val="fr-FR"/>
        </w:rPr>
        <w:t>, en fonction des circonstances, qu</w:t>
      </w:r>
      <w:r w:rsidR="004C5E26">
        <w:rPr>
          <w:rFonts w:asciiTheme="majorBidi" w:hAnsiTheme="majorBidi"/>
          <w:lang w:val="fr-FR"/>
        </w:rPr>
        <w:t>’</w:t>
      </w:r>
      <w:r w:rsidRPr="00016AD6">
        <w:rPr>
          <w:rFonts w:asciiTheme="majorBidi" w:hAnsiTheme="majorBidi"/>
          <w:lang w:val="fr-FR"/>
        </w:rPr>
        <w:t>une présomption de continuité fournissait un point de départ utile.</w:t>
      </w:r>
    </w:p>
    <w:p w14:paraId="500A20BB" w14:textId="2086F08C" w:rsidR="00737BD1" w:rsidRPr="00016AD6" w:rsidRDefault="00737BD1" w:rsidP="00737BD1">
      <w:pPr>
        <w:pStyle w:val="SingleTxtG"/>
        <w:rPr>
          <w:rFonts w:asciiTheme="majorBidi" w:eastAsia="Calibri" w:hAnsiTheme="majorBidi"/>
          <w:lang w:val="fr-FR"/>
        </w:rPr>
      </w:pPr>
      <w:r>
        <w:rPr>
          <w:rFonts w:asciiTheme="majorBidi" w:hAnsiTheme="majorBidi"/>
          <w:lang w:val="fr-FR"/>
        </w:rPr>
        <w:t>367.</w:t>
      </w:r>
      <w:r>
        <w:rPr>
          <w:rFonts w:asciiTheme="majorBidi" w:hAnsiTheme="majorBidi"/>
          <w:lang w:val="fr-FR"/>
        </w:rPr>
        <w:tab/>
        <w:t>Néanmoins</w:t>
      </w:r>
      <w:r w:rsidRPr="00016AD6">
        <w:rPr>
          <w:rFonts w:asciiTheme="majorBidi" w:hAnsiTheme="majorBidi"/>
          <w:lang w:val="fr-FR"/>
        </w:rPr>
        <w:t>, selon une opinion, quelle que soit l</w:t>
      </w:r>
      <w:r w:rsidR="004C5E26">
        <w:rPr>
          <w:rFonts w:asciiTheme="majorBidi" w:hAnsiTheme="majorBidi"/>
          <w:lang w:val="fr-FR"/>
        </w:rPr>
        <w:t>’</w:t>
      </w:r>
      <w:r w:rsidRPr="00016AD6">
        <w:rPr>
          <w:rFonts w:asciiTheme="majorBidi" w:hAnsiTheme="majorBidi"/>
          <w:lang w:val="fr-FR"/>
        </w:rPr>
        <w:t>approche suivie, l</w:t>
      </w:r>
      <w:r w:rsidR="004C5E26">
        <w:rPr>
          <w:rFonts w:asciiTheme="majorBidi" w:hAnsiTheme="majorBidi"/>
          <w:lang w:val="fr-FR"/>
        </w:rPr>
        <w:t>’</w:t>
      </w:r>
      <w:r w:rsidRPr="00016AD6">
        <w:rPr>
          <w:rFonts w:asciiTheme="majorBidi" w:hAnsiTheme="majorBidi"/>
          <w:lang w:val="fr-FR"/>
        </w:rPr>
        <w:t xml:space="preserve">important était que la notion de continuité de la condition étatique soit clairement fondée en droit international. On a souligné que si une </w:t>
      </w:r>
      <w:r>
        <w:rPr>
          <w:rFonts w:asciiTheme="majorBidi" w:hAnsiTheme="majorBidi"/>
          <w:lang w:val="fr-FR"/>
        </w:rPr>
        <w:t>perte</w:t>
      </w:r>
      <w:r w:rsidRPr="00016AD6">
        <w:rPr>
          <w:rFonts w:asciiTheme="majorBidi" w:hAnsiTheme="majorBidi"/>
          <w:lang w:val="fr-FR"/>
        </w:rPr>
        <w:t xml:space="preserve"> </w:t>
      </w:r>
      <w:r>
        <w:rPr>
          <w:rFonts w:asciiTheme="majorBidi" w:hAnsiTheme="majorBidi"/>
          <w:lang w:val="fr-FR"/>
        </w:rPr>
        <w:t xml:space="preserve">temporaire </w:t>
      </w:r>
      <w:r w:rsidRPr="00016AD6">
        <w:rPr>
          <w:rFonts w:asciiTheme="majorBidi" w:hAnsiTheme="majorBidi"/>
          <w:lang w:val="fr-FR"/>
        </w:rPr>
        <w:t>de l</w:t>
      </w:r>
      <w:r w:rsidR="004C5E26">
        <w:rPr>
          <w:rFonts w:asciiTheme="majorBidi" w:hAnsiTheme="majorBidi"/>
          <w:lang w:val="fr-FR"/>
        </w:rPr>
        <w:t>’</w:t>
      </w:r>
      <w:r w:rsidRPr="00016AD6">
        <w:rPr>
          <w:rFonts w:asciiTheme="majorBidi" w:hAnsiTheme="majorBidi"/>
          <w:lang w:val="fr-FR"/>
        </w:rPr>
        <w:t xml:space="preserve">un des </w:t>
      </w:r>
      <w:r>
        <w:rPr>
          <w:rFonts w:asciiTheme="majorBidi" w:hAnsiTheme="majorBidi"/>
          <w:lang w:val="fr-FR"/>
        </w:rPr>
        <w:t>éléments constitutifs de l</w:t>
      </w:r>
      <w:r w:rsidR="004C5E26">
        <w:rPr>
          <w:rFonts w:asciiTheme="majorBidi" w:hAnsiTheme="majorBidi"/>
          <w:lang w:val="fr-FR"/>
        </w:rPr>
        <w:t>’</w:t>
      </w:r>
      <w:r>
        <w:rPr>
          <w:rFonts w:asciiTheme="majorBidi" w:hAnsiTheme="majorBidi"/>
          <w:lang w:val="fr-FR"/>
        </w:rPr>
        <w:t xml:space="preserve">État définis </w:t>
      </w:r>
      <w:r w:rsidRPr="00016AD6">
        <w:rPr>
          <w:rFonts w:asciiTheme="majorBidi" w:hAnsiTheme="majorBidi"/>
          <w:lang w:val="fr-FR"/>
        </w:rPr>
        <w:t xml:space="preserve">dans la Convention de Montevideo, par exemple </w:t>
      </w:r>
      <w:r>
        <w:rPr>
          <w:rFonts w:asciiTheme="majorBidi" w:hAnsiTheme="majorBidi"/>
          <w:lang w:val="fr-FR"/>
        </w:rPr>
        <w:t xml:space="preserve">en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absence de gouvernement, était tolérable</w:t>
      </w:r>
      <w:r>
        <w:rPr>
          <w:rFonts w:asciiTheme="majorBidi" w:hAnsiTheme="majorBidi"/>
          <w:lang w:val="fr-FR"/>
        </w:rPr>
        <w:t xml:space="preserve"> − pour </w:t>
      </w:r>
      <w:r w:rsidRPr="00016AD6">
        <w:rPr>
          <w:rFonts w:asciiTheme="majorBidi" w:hAnsiTheme="majorBidi"/>
          <w:lang w:val="fr-FR"/>
        </w:rPr>
        <w:t>maintenir la présomption de continuité de la condition étatique comme on l</w:t>
      </w:r>
      <w:r w:rsidR="004C5E26">
        <w:rPr>
          <w:rFonts w:asciiTheme="majorBidi" w:hAnsiTheme="majorBidi"/>
          <w:lang w:val="fr-FR"/>
        </w:rPr>
        <w:t>’</w:t>
      </w:r>
      <w:r w:rsidRPr="00016AD6">
        <w:rPr>
          <w:rFonts w:asciiTheme="majorBidi" w:hAnsiTheme="majorBidi"/>
          <w:lang w:val="fr-FR"/>
        </w:rPr>
        <w:t>a</w:t>
      </w:r>
      <w:r>
        <w:rPr>
          <w:rFonts w:asciiTheme="majorBidi" w:hAnsiTheme="majorBidi"/>
          <w:lang w:val="fr-FR"/>
        </w:rPr>
        <w:t>vait</w:t>
      </w:r>
      <w:r w:rsidRPr="00016AD6">
        <w:rPr>
          <w:rFonts w:asciiTheme="majorBidi" w:hAnsiTheme="majorBidi"/>
          <w:lang w:val="fr-FR"/>
        </w:rPr>
        <w:t xml:space="preserve"> déjà vu</w:t>
      </w:r>
      <w:r>
        <w:rPr>
          <w:rFonts w:asciiTheme="majorBidi" w:hAnsiTheme="majorBidi"/>
          <w:lang w:val="fr-FR"/>
        </w:rPr>
        <w:t xml:space="preserve"> −, </w:t>
      </w:r>
      <w:r w:rsidRPr="00016AD6">
        <w:rPr>
          <w:rFonts w:asciiTheme="majorBidi" w:hAnsiTheme="majorBidi"/>
          <w:lang w:val="fr-FR"/>
        </w:rPr>
        <w:t>la situation n</w:t>
      </w:r>
      <w:r w:rsidR="004C5E26">
        <w:rPr>
          <w:rFonts w:asciiTheme="majorBidi" w:hAnsiTheme="majorBidi"/>
          <w:lang w:val="fr-FR"/>
        </w:rPr>
        <w:t>’</w:t>
      </w:r>
      <w:r w:rsidRPr="00016AD6">
        <w:rPr>
          <w:rFonts w:asciiTheme="majorBidi" w:hAnsiTheme="majorBidi"/>
          <w:lang w:val="fr-FR"/>
        </w:rPr>
        <w:t xml:space="preserve">était pas </w:t>
      </w:r>
      <w:r>
        <w:rPr>
          <w:rFonts w:asciiTheme="majorBidi" w:hAnsiTheme="majorBidi"/>
          <w:lang w:val="fr-FR"/>
        </w:rPr>
        <w:t xml:space="preserve">entièrement </w:t>
      </w:r>
      <w:r w:rsidRPr="00016AD6">
        <w:rPr>
          <w:rFonts w:asciiTheme="majorBidi" w:hAnsiTheme="majorBidi"/>
          <w:lang w:val="fr-FR"/>
        </w:rPr>
        <w:t>comparable à la perte permanente de l</w:t>
      </w:r>
      <w:r w:rsidR="004C5E26">
        <w:rPr>
          <w:rFonts w:asciiTheme="majorBidi" w:hAnsiTheme="majorBidi"/>
          <w:lang w:val="fr-FR"/>
        </w:rPr>
        <w:t>’</w:t>
      </w:r>
      <w:r w:rsidRPr="00016AD6">
        <w:rPr>
          <w:rFonts w:asciiTheme="majorBidi" w:hAnsiTheme="majorBidi"/>
          <w:lang w:val="fr-FR"/>
        </w:rPr>
        <w:t>un de</w:t>
      </w:r>
      <w:r>
        <w:rPr>
          <w:rFonts w:asciiTheme="majorBidi" w:hAnsiTheme="majorBidi"/>
          <w:lang w:val="fr-FR"/>
        </w:rPr>
        <w:t xml:space="preserve"> ce</w:t>
      </w:r>
      <w:r w:rsidRPr="00016AD6">
        <w:rPr>
          <w:rFonts w:asciiTheme="majorBidi" w:hAnsiTheme="majorBidi"/>
          <w:lang w:val="fr-FR"/>
        </w:rPr>
        <w:t xml:space="preserve">s </w:t>
      </w:r>
      <w:r>
        <w:rPr>
          <w:rFonts w:asciiTheme="majorBidi" w:hAnsiTheme="majorBidi"/>
          <w:lang w:val="fr-FR"/>
        </w:rPr>
        <w:t>éléments constitutifs</w:t>
      </w:r>
      <w:r w:rsidRPr="00016AD6">
        <w:rPr>
          <w:rFonts w:asciiTheme="majorBidi" w:hAnsiTheme="majorBidi"/>
          <w:lang w:val="fr-FR"/>
        </w:rPr>
        <w:t xml:space="preserve">. Il </w:t>
      </w:r>
      <w:r>
        <w:rPr>
          <w:rFonts w:asciiTheme="majorBidi" w:hAnsiTheme="majorBidi"/>
          <w:lang w:val="fr-FR"/>
        </w:rPr>
        <w:t xml:space="preserve">était </w:t>
      </w:r>
      <w:r w:rsidRPr="00016AD6">
        <w:rPr>
          <w:rFonts w:asciiTheme="majorBidi" w:hAnsiTheme="majorBidi"/>
          <w:lang w:val="fr-FR"/>
        </w:rPr>
        <w:t xml:space="preserve">certes prématuré de postuler la perte de la condition étatique dans de telles circonstances, </w:t>
      </w:r>
      <w:r>
        <w:rPr>
          <w:rFonts w:asciiTheme="majorBidi" w:hAnsiTheme="majorBidi"/>
          <w:lang w:val="fr-FR"/>
        </w:rPr>
        <w:t>mais on s</w:t>
      </w:r>
      <w:r w:rsidR="004C5E26">
        <w:rPr>
          <w:rFonts w:asciiTheme="majorBidi" w:hAnsiTheme="majorBidi"/>
          <w:lang w:val="fr-FR"/>
        </w:rPr>
        <w:t>’</w:t>
      </w:r>
      <w:r>
        <w:rPr>
          <w:rFonts w:asciiTheme="majorBidi" w:hAnsiTheme="majorBidi"/>
          <w:lang w:val="fr-FR"/>
        </w:rPr>
        <w:t xml:space="preserve">est demandé </w:t>
      </w:r>
      <w:r w:rsidRPr="00016AD6">
        <w:rPr>
          <w:rFonts w:asciiTheme="majorBidi" w:hAnsiTheme="majorBidi"/>
          <w:lang w:val="fr-FR"/>
        </w:rPr>
        <w:t>pendant combien de temps la présomption subsisterait et dans quelles circonstances</w:t>
      </w:r>
      <w:r>
        <w:rPr>
          <w:rFonts w:asciiTheme="majorBidi" w:hAnsiTheme="majorBidi"/>
          <w:lang w:val="fr-FR"/>
        </w:rPr>
        <w:t>.</w:t>
      </w:r>
      <w:r w:rsidRPr="00016AD6">
        <w:rPr>
          <w:rFonts w:asciiTheme="majorBidi" w:hAnsiTheme="majorBidi"/>
          <w:lang w:val="fr-FR"/>
        </w:rPr>
        <w:t xml:space="preserve"> De plus, qu</w:t>
      </w:r>
      <w:r w:rsidR="004C5E26">
        <w:rPr>
          <w:rFonts w:asciiTheme="majorBidi" w:hAnsiTheme="majorBidi"/>
          <w:lang w:val="fr-FR"/>
        </w:rPr>
        <w:t>’</w:t>
      </w:r>
      <w:r w:rsidRPr="00016AD6">
        <w:rPr>
          <w:rFonts w:asciiTheme="majorBidi" w:hAnsiTheme="majorBidi"/>
          <w:lang w:val="fr-FR"/>
        </w:rPr>
        <w:t>arriverait-il si l</w:t>
      </w:r>
      <w:r w:rsidR="004C5E26">
        <w:rPr>
          <w:rFonts w:asciiTheme="majorBidi" w:hAnsiTheme="majorBidi"/>
          <w:lang w:val="fr-FR"/>
        </w:rPr>
        <w:t>’</w:t>
      </w:r>
      <w:r w:rsidRPr="00016AD6">
        <w:rPr>
          <w:rFonts w:asciiTheme="majorBidi" w:hAnsiTheme="majorBidi"/>
          <w:lang w:val="fr-FR"/>
        </w:rPr>
        <w:t>État s</w:t>
      </w:r>
      <w:r w:rsidR="004C5E26">
        <w:rPr>
          <w:rFonts w:asciiTheme="majorBidi" w:hAnsiTheme="majorBidi"/>
          <w:lang w:val="fr-FR"/>
        </w:rPr>
        <w:t>’</w:t>
      </w:r>
      <w:r w:rsidRPr="00016AD6">
        <w:rPr>
          <w:rFonts w:asciiTheme="majorBidi" w:hAnsiTheme="majorBidi"/>
          <w:lang w:val="fr-FR"/>
        </w:rPr>
        <w:t xml:space="preserve">éteignait avec le temps, ou si les États avaient des opinions divergentes quant à la présomption de continuité de tel ou tel État ? On a ainsi considéré </w:t>
      </w:r>
      <w:r>
        <w:rPr>
          <w:rFonts w:asciiTheme="majorBidi" w:hAnsiTheme="majorBidi"/>
          <w:lang w:val="fr-FR"/>
        </w:rPr>
        <w:t>qu</w:t>
      </w:r>
      <w:r w:rsidR="004C5E26">
        <w:rPr>
          <w:rFonts w:asciiTheme="majorBidi" w:hAnsiTheme="majorBidi"/>
          <w:lang w:val="fr-FR"/>
        </w:rPr>
        <w:t>’</w:t>
      </w:r>
      <w:r>
        <w:rPr>
          <w:rFonts w:asciiTheme="majorBidi" w:hAnsiTheme="majorBidi"/>
          <w:lang w:val="fr-FR"/>
        </w:rPr>
        <w:t xml:space="preserve">il fallait </w:t>
      </w:r>
      <w:r w:rsidRPr="00016AD6">
        <w:rPr>
          <w:rFonts w:asciiTheme="majorBidi" w:hAnsiTheme="majorBidi"/>
          <w:lang w:val="fr-FR"/>
        </w:rPr>
        <w:t>définir un</w:t>
      </w:r>
      <w:r>
        <w:rPr>
          <w:rFonts w:asciiTheme="majorBidi" w:hAnsiTheme="majorBidi"/>
          <w:lang w:val="fr-FR"/>
        </w:rPr>
        <w:t>e</w:t>
      </w:r>
      <w:r w:rsidRPr="00016AD6">
        <w:rPr>
          <w:rFonts w:asciiTheme="majorBidi" w:hAnsiTheme="majorBidi"/>
          <w:lang w:val="fr-FR"/>
        </w:rPr>
        <w:t xml:space="preserve"> </w:t>
      </w:r>
      <w:r>
        <w:rPr>
          <w:rFonts w:asciiTheme="majorBidi" w:hAnsiTheme="majorBidi"/>
          <w:lang w:val="fr-FR"/>
        </w:rPr>
        <w:t xml:space="preserve">série plus objective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éléments étayant cette présomption de continuité en droit international en fournissant des indications à cet effet.</w:t>
      </w:r>
    </w:p>
    <w:p w14:paraId="2F967848" w14:textId="6435FC17" w:rsidR="00737BD1" w:rsidRPr="00016AD6" w:rsidRDefault="00737BD1" w:rsidP="00737BD1">
      <w:pPr>
        <w:pStyle w:val="SingleTxtG"/>
        <w:keepNext/>
        <w:rPr>
          <w:rFonts w:asciiTheme="majorBidi" w:eastAsia="Calibri" w:hAnsiTheme="majorBidi"/>
          <w:lang w:val="fr-FR"/>
        </w:rPr>
      </w:pPr>
      <w:r>
        <w:rPr>
          <w:rFonts w:asciiTheme="majorBidi" w:eastAsia="Calibri" w:hAnsiTheme="majorBidi"/>
          <w:lang w:val="fr-FR"/>
        </w:rPr>
        <w:lastRenderedPageBreak/>
        <w:t>368.</w:t>
      </w:r>
      <w:r>
        <w:rPr>
          <w:rFonts w:asciiTheme="majorBidi" w:eastAsia="Calibri" w:hAnsiTheme="majorBidi"/>
          <w:lang w:val="fr-FR"/>
        </w:rPr>
        <w:tab/>
        <w:t>Plusieurs idées ont été</w:t>
      </w:r>
      <w:r w:rsidRPr="00016AD6">
        <w:rPr>
          <w:rFonts w:asciiTheme="majorBidi" w:eastAsia="Calibri" w:hAnsiTheme="majorBidi"/>
          <w:lang w:val="fr-FR"/>
        </w:rPr>
        <w:t xml:space="preserve"> proposé</w:t>
      </w:r>
      <w:r>
        <w:rPr>
          <w:rFonts w:asciiTheme="majorBidi" w:eastAsia="Calibri" w:hAnsiTheme="majorBidi"/>
          <w:lang w:val="fr-FR"/>
        </w:rPr>
        <w:t>es, concernant des éléments dont il conviendrait</w:t>
      </w:r>
      <w:r w:rsidRPr="00016AD6">
        <w:rPr>
          <w:rFonts w:asciiTheme="majorBidi" w:eastAsia="Calibri" w:hAnsiTheme="majorBidi"/>
          <w:lang w:val="fr-FR"/>
        </w:rPr>
        <w:t xml:space="preserve"> de tenir compte </w:t>
      </w:r>
      <w:r>
        <w:rPr>
          <w:rFonts w:asciiTheme="majorBidi" w:eastAsia="Calibri" w:hAnsiTheme="majorBidi"/>
          <w:lang w:val="fr-FR"/>
        </w:rPr>
        <w:t xml:space="preserve">pour apprécier le </w:t>
      </w:r>
      <w:r w:rsidRPr="00016AD6">
        <w:rPr>
          <w:rFonts w:asciiTheme="majorBidi" w:eastAsia="Calibri" w:hAnsiTheme="majorBidi"/>
          <w:lang w:val="fr-FR"/>
        </w:rPr>
        <w:t>fondement juridique de la continuité de la condition étatique</w:t>
      </w:r>
      <w:r>
        <w:rPr>
          <w:rFonts w:asciiTheme="majorBidi" w:eastAsia="Calibri" w:hAnsiTheme="majorBidi"/>
          <w:lang w:val="fr-FR"/>
        </w:rPr>
        <w:t xml:space="preserve"> lorsque la surface terrestre d</w:t>
      </w:r>
      <w:r w:rsidR="004C5E26">
        <w:rPr>
          <w:rFonts w:asciiTheme="majorBidi" w:eastAsia="Calibri" w:hAnsiTheme="majorBidi"/>
          <w:lang w:val="fr-FR"/>
        </w:rPr>
        <w:t>’</w:t>
      </w:r>
      <w:r>
        <w:rPr>
          <w:rFonts w:asciiTheme="majorBidi" w:eastAsia="Calibri" w:hAnsiTheme="majorBidi"/>
          <w:lang w:val="fr-FR"/>
        </w:rPr>
        <w:t>un État était totalement submergée ou rendue inhabitable en raison de l</w:t>
      </w:r>
      <w:r w:rsidR="004C5E26">
        <w:rPr>
          <w:rFonts w:asciiTheme="majorBidi" w:eastAsia="Calibri" w:hAnsiTheme="majorBidi"/>
          <w:lang w:val="fr-FR"/>
        </w:rPr>
        <w:t>’</w:t>
      </w:r>
      <w:r>
        <w:rPr>
          <w:rFonts w:asciiTheme="majorBidi" w:eastAsia="Calibri" w:hAnsiTheme="majorBidi"/>
          <w:lang w:val="fr-FR"/>
        </w:rPr>
        <w:t>élévation du niveau de la mer, notamment</w:t>
      </w:r>
      <w:r w:rsidRPr="00016AD6">
        <w:rPr>
          <w:rFonts w:asciiTheme="majorBidi" w:eastAsia="Calibri" w:hAnsiTheme="majorBidi"/>
          <w:lang w:val="fr-FR"/>
        </w:rPr>
        <w:t> :</w:t>
      </w:r>
    </w:p>
    <w:p w14:paraId="3A912D89" w14:textId="77777777"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La nécessité de donner la priorité à la stabilité, la sécurité, la certitude et la prévisibilité juridiques dans les relations internationales ;</w:t>
      </w:r>
    </w:p>
    <w:p w14:paraId="6E8CB044" w14:textId="1FDCC517"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w:t>
      </w:r>
      <w:r w:rsidR="004C5E26">
        <w:rPr>
          <w:lang w:val="fr-FR"/>
        </w:rPr>
        <w:t>’</w:t>
      </w:r>
      <w:r w:rsidRPr="00016AD6">
        <w:rPr>
          <w:lang w:val="fr-FR"/>
        </w:rPr>
        <w:t>application des principes de l</w:t>
      </w:r>
      <w:r w:rsidR="004C5E26">
        <w:rPr>
          <w:lang w:val="fr-FR"/>
        </w:rPr>
        <w:t>’</w:t>
      </w:r>
      <w:r w:rsidRPr="00016AD6">
        <w:rPr>
          <w:lang w:val="fr-FR"/>
        </w:rPr>
        <w:t>intégrité territoriale, de l</w:t>
      </w:r>
      <w:r w:rsidR="004C5E26">
        <w:rPr>
          <w:lang w:val="fr-FR"/>
        </w:rPr>
        <w:t>’</w:t>
      </w:r>
      <w:r w:rsidRPr="00016AD6">
        <w:rPr>
          <w:lang w:val="fr-FR"/>
        </w:rPr>
        <w:t xml:space="preserve">égalité souveraine des États et de leur souveraineté permanente sur les ressources naturelles, le maintien de la paix et de la sécurité </w:t>
      </w:r>
      <w:r>
        <w:rPr>
          <w:lang w:val="fr-FR"/>
        </w:rPr>
        <w:t xml:space="preserve">internationales et </w:t>
      </w:r>
      <w:r w:rsidRPr="00016AD6">
        <w:rPr>
          <w:lang w:val="fr-FR"/>
        </w:rPr>
        <w:t>l</w:t>
      </w:r>
      <w:r w:rsidR="004C5E26">
        <w:rPr>
          <w:lang w:val="fr-FR"/>
        </w:rPr>
        <w:t>’</w:t>
      </w:r>
      <w:r w:rsidRPr="00016AD6">
        <w:rPr>
          <w:lang w:val="fr-FR"/>
        </w:rPr>
        <w:t>application du droit à l</w:t>
      </w:r>
      <w:r w:rsidR="004C5E26">
        <w:rPr>
          <w:lang w:val="fr-FR"/>
        </w:rPr>
        <w:t>’</w:t>
      </w:r>
      <w:proofErr w:type="spellStart"/>
      <w:r w:rsidRPr="00016AD6">
        <w:rPr>
          <w:lang w:val="fr-FR"/>
        </w:rPr>
        <w:t>autodétermination</w:t>
      </w:r>
      <w:proofErr w:type="spellEnd"/>
      <w:r w:rsidRPr="00016AD6">
        <w:rPr>
          <w:lang w:val="fr-FR"/>
        </w:rPr>
        <w:t> ;</w:t>
      </w:r>
    </w:p>
    <w:p w14:paraId="26531631" w14:textId="6D854B92" w:rsidR="00737BD1" w:rsidRPr="00E95BB1" w:rsidRDefault="00737BD1" w:rsidP="00737BD1">
      <w:pPr>
        <w:pStyle w:val="Bullet1G"/>
        <w:numPr>
          <w:ilvl w:val="0"/>
          <w:numId w:val="0"/>
        </w:numPr>
        <w:tabs>
          <w:tab w:val="left" w:pos="1701"/>
        </w:tabs>
        <w:ind w:left="1701" w:hanging="170"/>
        <w:rPr>
          <w:lang w:val="fr-FR"/>
        </w:rPr>
      </w:pPr>
      <w:r w:rsidRPr="00E95BB1">
        <w:rPr>
          <w:lang w:val="fr-FR"/>
        </w:rPr>
        <w:t>•</w:t>
      </w:r>
      <w:r w:rsidRPr="00E95BB1">
        <w:rPr>
          <w:lang w:val="fr-FR"/>
        </w:rPr>
        <w:tab/>
      </w:r>
      <w:r>
        <w:rPr>
          <w:lang w:val="fr-FR"/>
        </w:rPr>
        <w:t>D</w:t>
      </w:r>
      <w:r w:rsidRPr="00016AD6">
        <w:rPr>
          <w:lang w:val="fr-FR"/>
        </w:rPr>
        <w:t>es considérations d</w:t>
      </w:r>
      <w:r w:rsidR="004C5E26">
        <w:rPr>
          <w:lang w:val="fr-FR"/>
        </w:rPr>
        <w:t>’</w:t>
      </w:r>
      <w:r w:rsidRPr="00016AD6">
        <w:rPr>
          <w:lang w:val="fr-FR"/>
        </w:rPr>
        <w:t xml:space="preserve">équité, par exemple le fait que </w:t>
      </w:r>
      <w:r w:rsidRPr="00E95BB1">
        <w:rPr>
          <w:lang w:val="fr-FR"/>
        </w:rPr>
        <w:t>les conséquences d</w:t>
      </w:r>
      <w:r w:rsidR="004C5E26">
        <w:rPr>
          <w:lang w:val="fr-FR"/>
        </w:rPr>
        <w:t>’</w:t>
      </w:r>
      <w:r w:rsidRPr="00E95BB1">
        <w:rPr>
          <w:lang w:val="fr-FR"/>
        </w:rPr>
        <w:t>un phénomène anthropique tel que l</w:t>
      </w:r>
      <w:r w:rsidR="004C5E26">
        <w:rPr>
          <w:lang w:val="fr-FR"/>
        </w:rPr>
        <w:t>’</w:t>
      </w:r>
      <w:r w:rsidRPr="00E95BB1">
        <w:rPr>
          <w:lang w:val="fr-FR"/>
        </w:rPr>
        <w:t>élévation du niveau de la mer n</w:t>
      </w:r>
      <w:r w:rsidR="004C5E26">
        <w:rPr>
          <w:lang w:val="fr-FR"/>
        </w:rPr>
        <w:t>’</w:t>
      </w:r>
      <w:r w:rsidRPr="00E95BB1">
        <w:rPr>
          <w:lang w:val="fr-FR"/>
        </w:rPr>
        <w:t>étaient pas imputables aux États qui les subissaient le plus fortement ;</w:t>
      </w:r>
    </w:p>
    <w:p w14:paraId="5C872872" w14:textId="68505599"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La possibilité de l</w:t>
      </w:r>
      <w:r w:rsidR="004C5E26">
        <w:rPr>
          <w:lang w:val="fr-FR"/>
        </w:rPr>
        <w:t>’</w:t>
      </w:r>
      <w:r w:rsidRPr="00016AD6">
        <w:rPr>
          <w:lang w:val="fr-FR"/>
        </w:rPr>
        <w:t>existence au niveau national d</w:t>
      </w:r>
      <w:r w:rsidR="004C5E26">
        <w:rPr>
          <w:lang w:val="fr-FR"/>
        </w:rPr>
        <w:t>’</w:t>
      </w:r>
      <w:r w:rsidRPr="00016AD6">
        <w:rPr>
          <w:lang w:val="fr-FR"/>
        </w:rPr>
        <w:t>un principe général lié à la présomption de continuité de la condition étatique transposable en droit international ;</w:t>
      </w:r>
    </w:p>
    <w:p w14:paraId="482784AA" w14:textId="64D0086D"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 xml:space="preserve">La possibilité de déduire un principe de continuité de la condition étatique, </w:t>
      </w:r>
      <w:r>
        <w:rPr>
          <w:lang w:val="fr-FR"/>
        </w:rPr>
        <w:t xml:space="preserve">que </w:t>
      </w:r>
      <w:r w:rsidRPr="00016AD6">
        <w:rPr>
          <w:lang w:val="fr-FR"/>
        </w:rPr>
        <w:t xml:space="preserve">la submersion </w:t>
      </w:r>
      <w:r>
        <w:rPr>
          <w:lang w:val="fr-FR"/>
        </w:rPr>
        <w:t>de la surface terrestre d</w:t>
      </w:r>
      <w:r w:rsidR="004C5E26">
        <w:rPr>
          <w:lang w:val="fr-FR"/>
        </w:rPr>
        <w:t>’</w:t>
      </w:r>
      <w:r>
        <w:rPr>
          <w:lang w:val="fr-FR"/>
        </w:rPr>
        <w:t>un État</w:t>
      </w:r>
      <w:r w:rsidRPr="00016AD6">
        <w:rPr>
          <w:lang w:val="fr-FR"/>
        </w:rPr>
        <w:t xml:space="preserve"> soit partielle ou totale, de l</w:t>
      </w:r>
      <w:r w:rsidR="004C5E26">
        <w:rPr>
          <w:lang w:val="fr-FR"/>
        </w:rPr>
        <w:t>’</w:t>
      </w:r>
      <w:r w:rsidRPr="00016AD6">
        <w:rPr>
          <w:lang w:val="fr-FR"/>
        </w:rPr>
        <w:t>interprétation de traités existants</w:t>
      </w:r>
      <w:r>
        <w:rPr>
          <w:lang w:val="fr-FR"/>
        </w:rPr>
        <w:t>. On a évoqué</w:t>
      </w:r>
      <w:r w:rsidRPr="00016AD6">
        <w:rPr>
          <w:lang w:val="fr-FR"/>
        </w:rPr>
        <w:t xml:space="preserve"> </w:t>
      </w:r>
      <w:r>
        <w:rPr>
          <w:lang w:val="fr-FR"/>
        </w:rPr>
        <w:t xml:space="preserve">une </w:t>
      </w:r>
      <w:r w:rsidRPr="00016AD6">
        <w:rPr>
          <w:lang w:val="fr-FR"/>
        </w:rPr>
        <w:t xml:space="preserve">application </w:t>
      </w:r>
      <w:r>
        <w:rPr>
          <w:lang w:val="fr-FR"/>
        </w:rPr>
        <w:t xml:space="preserve">combinée </w:t>
      </w:r>
      <w:r w:rsidRPr="00016AD6">
        <w:rPr>
          <w:lang w:val="fr-FR"/>
        </w:rPr>
        <w:t>de la Convention de Montevideo, de la Convention des Nations Unies sur le droit de la mer et de la Convention de Vienne sur le droit des traités</w:t>
      </w:r>
      <w:r w:rsidRPr="00E9227E">
        <w:rPr>
          <w:rStyle w:val="Appelnotedebasdep"/>
        </w:rPr>
        <w:footnoteReference w:id="264"/>
      </w:r>
      <w:r w:rsidRPr="00016AD6">
        <w:rPr>
          <w:lang w:val="fr-FR"/>
        </w:rPr>
        <w:t>, de</w:t>
      </w:r>
      <w:r>
        <w:rPr>
          <w:lang w:val="fr-FR"/>
        </w:rPr>
        <w:t xml:space="preserve"> </w:t>
      </w:r>
      <w:r w:rsidRPr="00016AD6">
        <w:rPr>
          <w:lang w:val="fr-FR"/>
        </w:rPr>
        <w:t>196</w:t>
      </w:r>
      <w:r w:rsidRPr="003F3FEE">
        <w:rPr>
          <w:lang w:val="fr-FR"/>
        </w:rPr>
        <w:t>9.</w:t>
      </w:r>
      <w:r>
        <w:rPr>
          <w:lang w:val="fr-FR"/>
        </w:rPr>
        <w:t xml:space="preserve"> Il a été fait observer </w:t>
      </w:r>
      <w:r w:rsidRPr="00016AD6">
        <w:rPr>
          <w:lang w:val="fr-FR"/>
        </w:rPr>
        <w:t xml:space="preserve">que ni la Convention de Montevideo ni la Convention sur le droit de la mer ne traitaient explicitement de la disparition potentielle de </w:t>
      </w:r>
      <w:r>
        <w:rPr>
          <w:lang w:val="fr-FR"/>
        </w:rPr>
        <w:t>l</w:t>
      </w:r>
      <w:r w:rsidR="004C5E26">
        <w:rPr>
          <w:lang w:val="fr-FR"/>
        </w:rPr>
        <w:t>’</w:t>
      </w:r>
      <w:r>
        <w:rPr>
          <w:lang w:val="fr-FR"/>
        </w:rPr>
        <w:t>État</w:t>
      </w:r>
      <w:r w:rsidRPr="00016AD6">
        <w:rPr>
          <w:lang w:val="fr-FR"/>
        </w:rPr>
        <w:t xml:space="preserve"> et qu</w:t>
      </w:r>
      <w:r w:rsidR="004C5E26">
        <w:rPr>
          <w:lang w:val="fr-FR"/>
        </w:rPr>
        <w:t>’</w:t>
      </w:r>
      <w:r w:rsidRPr="00016AD6">
        <w:rPr>
          <w:lang w:val="fr-FR"/>
        </w:rPr>
        <w:t>en droit de la mer, une fois qu</w:t>
      </w:r>
      <w:r w:rsidR="004C5E26">
        <w:rPr>
          <w:lang w:val="fr-FR"/>
        </w:rPr>
        <w:t>’</w:t>
      </w:r>
      <w:r w:rsidRPr="00016AD6">
        <w:rPr>
          <w:lang w:val="fr-FR"/>
        </w:rPr>
        <w:t xml:space="preserve">elle avait été définie, la limite extérieure du plateau continental demeurait permanente quelles que soient les modifications du territoire terrestre auquel </w:t>
      </w:r>
      <w:r>
        <w:rPr>
          <w:lang w:val="fr-FR"/>
        </w:rPr>
        <w:t xml:space="preserve">elle </w:t>
      </w:r>
      <w:r w:rsidRPr="00016AD6">
        <w:rPr>
          <w:lang w:val="fr-FR"/>
        </w:rPr>
        <w:t>était lié</w:t>
      </w:r>
      <w:r>
        <w:rPr>
          <w:lang w:val="fr-FR"/>
        </w:rPr>
        <w:t>e,</w:t>
      </w:r>
      <w:r w:rsidRPr="00016AD6">
        <w:rPr>
          <w:lang w:val="fr-FR"/>
        </w:rPr>
        <w:t xml:space="preserve"> et qu</w:t>
      </w:r>
      <w:r w:rsidR="004C5E26">
        <w:rPr>
          <w:lang w:val="fr-FR"/>
        </w:rPr>
        <w:t>’</w:t>
      </w:r>
      <w:r w:rsidRPr="00016AD6">
        <w:rPr>
          <w:lang w:val="fr-FR"/>
        </w:rPr>
        <w:t>en application de l</w:t>
      </w:r>
      <w:r w:rsidR="004C5E26">
        <w:rPr>
          <w:lang w:val="fr-FR"/>
        </w:rPr>
        <w:t>’</w:t>
      </w:r>
      <w:r w:rsidRPr="00016AD6">
        <w:rPr>
          <w:lang w:val="fr-FR"/>
        </w:rPr>
        <w:t>article 62 de la Convention de Vienne sur le droit des traités les frontières maritimes n</w:t>
      </w:r>
      <w:r w:rsidR="004C5E26">
        <w:rPr>
          <w:lang w:val="fr-FR"/>
        </w:rPr>
        <w:t>’</w:t>
      </w:r>
      <w:r w:rsidRPr="00016AD6">
        <w:rPr>
          <w:lang w:val="fr-FR"/>
        </w:rPr>
        <w:t>étaient pas affectées par l</w:t>
      </w:r>
      <w:r w:rsidR="004C5E26">
        <w:rPr>
          <w:lang w:val="fr-FR"/>
        </w:rPr>
        <w:t>’</w:t>
      </w:r>
      <w:r w:rsidRPr="00016AD6">
        <w:rPr>
          <w:lang w:val="fr-FR"/>
        </w:rPr>
        <w:t>invocation d</w:t>
      </w:r>
      <w:r w:rsidR="004C5E26">
        <w:rPr>
          <w:lang w:val="fr-FR"/>
        </w:rPr>
        <w:t>’</w:t>
      </w:r>
      <w:r w:rsidRPr="00016AD6">
        <w:rPr>
          <w:lang w:val="fr-FR"/>
        </w:rPr>
        <w:t>un changement fondamental de circonstances ;</w:t>
      </w:r>
    </w:p>
    <w:p w14:paraId="2F195323" w14:textId="75C4D6ED"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r>
      <w:r>
        <w:rPr>
          <w:lang w:val="fr-FR"/>
        </w:rPr>
        <w:t>Le fait qu</w:t>
      </w:r>
      <w:r w:rsidR="004C5E26">
        <w:rPr>
          <w:lang w:val="fr-FR"/>
        </w:rPr>
        <w:t>’</w:t>
      </w:r>
      <w:r w:rsidRPr="00016AD6">
        <w:rPr>
          <w:lang w:val="fr-FR"/>
        </w:rPr>
        <w:t>un État qui était membre d</w:t>
      </w:r>
      <w:r w:rsidR="004C5E26">
        <w:rPr>
          <w:lang w:val="fr-FR"/>
        </w:rPr>
        <w:t>’</w:t>
      </w:r>
      <w:r w:rsidRPr="00016AD6">
        <w:rPr>
          <w:lang w:val="fr-FR"/>
        </w:rPr>
        <w:t xml:space="preserve">un organe international </w:t>
      </w:r>
      <w:r>
        <w:rPr>
          <w:lang w:val="fr-FR"/>
        </w:rPr>
        <w:t xml:space="preserve">établi au titre de la </w:t>
      </w:r>
      <w:r w:rsidRPr="00016AD6">
        <w:rPr>
          <w:lang w:val="fr-FR"/>
        </w:rPr>
        <w:t>Convention sur le droit de la mer était supposé le demeurer et ne perdait pas automatiquement sa qualité de membre ;</w:t>
      </w:r>
    </w:p>
    <w:p w14:paraId="79973656" w14:textId="77777777"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 fait que le droit international ne prescri</w:t>
      </w:r>
      <w:r>
        <w:rPr>
          <w:lang w:val="fr-FR"/>
        </w:rPr>
        <w:t>vai</w:t>
      </w:r>
      <w:r w:rsidRPr="00016AD6">
        <w:rPr>
          <w:lang w:val="fr-FR"/>
        </w:rPr>
        <w:t xml:space="preserve">t pas de structure </w:t>
      </w:r>
      <w:r>
        <w:rPr>
          <w:lang w:val="fr-FR"/>
        </w:rPr>
        <w:t>déterminée</w:t>
      </w:r>
      <w:r w:rsidRPr="00016AD6">
        <w:rPr>
          <w:lang w:val="fr-FR"/>
        </w:rPr>
        <w:t xml:space="preserve"> pour la condition étatique</w:t>
      </w:r>
      <w:r w:rsidRPr="00E9227E">
        <w:rPr>
          <w:rStyle w:val="Appelnotedebasdep"/>
        </w:rPr>
        <w:footnoteReference w:id="265"/>
      </w:r>
      <w:r w:rsidRPr="00016AD6">
        <w:rPr>
          <w:lang w:val="fr-FR"/>
        </w:rPr>
        <w:t> ;</w:t>
      </w:r>
    </w:p>
    <w:p w14:paraId="390C6C2A" w14:textId="1DC5B3F3"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 fait que le droit international autoris</w:t>
      </w:r>
      <w:r>
        <w:rPr>
          <w:lang w:val="fr-FR"/>
        </w:rPr>
        <w:t>ait</w:t>
      </w:r>
      <w:r w:rsidRPr="00016AD6">
        <w:rPr>
          <w:lang w:val="fr-FR"/>
        </w:rPr>
        <w:t xml:space="preserve"> une certaine souplesse quant au degré de l</w:t>
      </w:r>
      <w:r w:rsidR="004C5E26">
        <w:rPr>
          <w:lang w:val="fr-FR"/>
        </w:rPr>
        <w:t>’</w:t>
      </w:r>
      <w:r w:rsidRPr="00016AD6">
        <w:rPr>
          <w:lang w:val="fr-FR"/>
        </w:rPr>
        <w:t xml:space="preserve">autorité publique qui </w:t>
      </w:r>
      <w:r>
        <w:rPr>
          <w:lang w:val="fr-FR"/>
        </w:rPr>
        <w:t xml:space="preserve">devait </w:t>
      </w:r>
      <w:r w:rsidRPr="00016AD6">
        <w:rPr>
          <w:lang w:val="fr-FR"/>
        </w:rPr>
        <w:t xml:space="preserve">être exercée pour </w:t>
      </w:r>
      <w:r>
        <w:rPr>
          <w:lang w:val="fr-FR"/>
        </w:rPr>
        <w:t xml:space="preserve">établir </w:t>
      </w:r>
      <w:r w:rsidRPr="00016AD6">
        <w:rPr>
          <w:lang w:val="fr-FR"/>
        </w:rPr>
        <w:t>l</w:t>
      </w:r>
      <w:r w:rsidR="004C5E26">
        <w:rPr>
          <w:lang w:val="fr-FR"/>
        </w:rPr>
        <w:t>’</w:t>
      </w:r>
      <w:r w:rsidRPr="00016AD6">
        <w:rPr>
          <w:lang w:val="fr-FR"/>
        </w:rPr>
        <w:t>existence d</w:t>
      </w:r>
      <w:r w:rsidR="004C5E26">
        <w:rPr>
          <w:lang w:val="fr-FR"/>
        </w:rPr>
        <w:t>’</w:t>
      </w:r>
      <w:r w:rsidRPr="00016AD6">
        <w:rPr>
          <w:lang w:val="fr-FR"/>
        </w:rPr>
        <w:t xml:space="preserve">un titre ; </w:t>
      </w:r>
    </w:p>
    <w:p w14:paraId="2C9E68E4" w14:textId="60127CDA"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 fait que la pratique étatique montr</w:t>
      </w:r>
      <w:r>
        <w:rPr>
          <w:lang w:val="fr-FR"/>
        </w:rPr>
        <w:t>ait</w:t>
      </w:r>
      <w:r w:rsidRPr="00016AD6">
        <w:rPr>
          <w:lang w:val="fr-FR"/>
        </w:rPr>
        <w:t xml:space="preserve"> que, s</w:t>
      </w:r>
      <w:r w:rsidR="004C5E26">
        <w:rPr>
          <w:lang w:val="fr-FR"/>
        </w:rPr>
        <w:t>’</w:t>
      </w:r>
      <w:r w:rsidRPr="00016AD6">
        <w:rPr>
          <w:lang w:val="fr-FR"/>
        </w:rPr>
        <w:t>agissant des questions relatives à la condition étatique dans le contexte de la submersion d</w:t>
      </w:r>
      <w:r w:rsidR="004C5E26">
        <w:rPr>
          <w:lang w:val="fr-FR"/>
        </w:rPr>
        <w:t>’</w:t>
      </w:r>
      <w:r w:rsidRPr="00016AD6">
        <w:rPr>
          <w:lang w:val="fr-FR"/>
        </w:rPr>
        <w:t>un</w:t>
      </w:r>
      <w:r>
        <w:rPr>
          <w:lang w:val="fr-FR"/>
        </w:rPr>
        <w:t>e surface terrestre</w:t>
      </w:r>
      <w:r w:rsidRPr="00016AD6">
        <w:rPr>
          <w:lang w:val="fr-FR"/>
        </w:rPr>
        <w:t xml:space="preserve"> due à l</w:t>
      </w:r>
      <w:r w:rsidR="004C5E26">
        <w:rPr>
          <w:lang w:val="fr-FR"/>
        </w:rPr>
        <w:t>’</w:t>
      </w:r>
      <w:r w:rsidRPr="00016AD6">
        <w:rPr>
          <w:lang w:val="fr-FR"/>
        </w:rPr>
        <w:t xml:space="preserve">élévation du niveau de la mer, </w:t>
      </w:r>
      <w:r>
        <w:rPr>
          <w:lang w:val="fr-FR"/>
        </w:rPr>
        <w:t xml:space="preserve">le droit international était </w:t>
      </w:r>
      <w:r w:rsidRPr="00016AD6">
        <w:rPr>
          <w:lang w:val="fr-FR"/>
        </w:rPr>
        <w:t xml:space="preserve">appliqué avec souplesse. </w:t>
      </w:r>
    </w:p>
    <w:p w14:paraId="542AC04E" w14:textId="3DF71725" w:rsidR="00737BD1" w:rsidRPr="00016AD6" w:rsidRDefault="00737BD1" w:rsidP="00737BD1">
      <w:pPr>
        <w:pStyle w:val="SingleTxtG"/>
        <w:rPr>
          <w:lang w:val="fr-FR"/>
        </w:rPr>
      </w:pPr>
      <w:r>
        <w:rPr>
          <w:lang w:val="fr-FR"/>
        </w:rPr>
        <w:t>369.</w:t>
      </w:r>
      <w:r>
        <w:rPr>
          <w:lang w:val="fr-FR"/>
        </w:rPr>
        <w:tab/>
        <w:t>Selon une opinion,</w:t>
      </w:r>
      <w:r w:rsidRPr="00016AD6">
        <w:rPr>
          <w:lang w:val="fr-FR"/>
        </w:rPr>
        <w:t xml:space="preserve"> la Commission ne </w:t>
      </w:r>
      <w:r>
        <w:rPr>
          <w:lang w:val="fr-FR"/>
        </w:rPr>
        <w:t xml:space="preserve">devrait </w:t>
      </w:r>
      <w:r w:rsidRPr="00016AD6">
        <w:rPr>
          <w:lang w:val="fr-FR"/>
        </w:rPr>
        <w:t>pas chercher à étudier les questions relatives à la condition étatique en termes génér</w:t>
      </w:r>
      <w:r>
        <w:rPr>
          <w:lang w:val="fr-FR"/>
        </w:rPr>
        <w:t>aux</w:t>
      </w:r>
      <w:r w:rsidRPr="00016AD6">
        <w:rPr>
          <w:lang w:val="fr-FR"/>
        </w:rPr>
        <w:t>, ce qui outrepassait le mandat du Groupe d</w:t>
      </w:r>
      <w:r w:rsidR="004C5E26">
        <w:rPr>
          <w:lang w:val="fr-FR"/>
        </w:rPr>
        <w:t>’</w:t>
      </w:r>
      <w:r w:rsidRPr="00016AD6">
        <w:rPr>
          <w:lang w:val="fr-FR"/>
        </w:rPr>
        <w:t xml:space="preserve">étude, </w:t>
      </w:r>
      <w:r>
        <w:rPr>
          <w:lang w:val="fr-FR"/>
        </w:rPr>
        <w:t xml:space="preserve">et </w:t>
      </w:r>
      <w:r w:rsidRPr="00016AD6">
        <w:rPr>
          <w:lang w:val="fr-FR"/>
        </w:rPr>
        <w:t xml:space="preserve">ne </w:t>
      </w:r>
      <w:r>
        <w:rPr>
          <w:lang w:val="fr-FR"/>
        </w:rPr>
        <w:t xml:space="preserve">devrait </w:t>
      </w:r>
      <w:r w:rsidRPr="00016AD6">
        <w:rPr>
          <w:lang w:val="fr-FR"/>
        </w:rPr>
        <w:t>pas trop s</w:t>
      </w:r>
      <w:r w:rsidR="004C5E26">
        <w:rPr>
          <w:lang w:val="fr-FR"/>
        </w:rPr>
        <w:t>’</w:t>
      </w:r>
      <w:r w:rsidRPr="00016AD6">
        <w:rPr>
          <w:lang w:val="fr-FR"/>
        </w:rPr>
        <w:t xml:space="preserve">écarter des </w:t>
      </w:r>
      <w:r>
        <w:rPr>
          <w:lang w:val="fr-FR"/>
        </w:rPr>
        <w:t>éléments constitutifs traditionnels de l</w:t>
      </w:r>
      <w:r w:rsidR="004C5E26">
        <w:rPr>
          <w:lang w:val="fr-FR"/>
        </w:rPr>
        <w:t>’</w:t>
      </w:r>
      <w:r>
        <w:rPr>
          <w:lang w:val="fr-FR"/>
        </w:rPr>
        <w:t>État</w:t>
      </w:r>
      <w:r w:rsidRPr="00016AD6">
        <w:rPr>
          <w:lang w:val="fr-FR"/>
        </w:rPr>
        <w:t xml:space="preserve">, </w:t>
      </w:r>
      <w:r>
        <w:rPr>
          <w:lang w:val="fr-FR"/>
        </w:rPr>
        <w:t xml:space="preserve">notamment le </w:t>
      </w:r>
      <w:r w:rsidRPr="00016AD6">
        <w:rPr>
          <w:lang w:val="fr-FR"/>
        </w:rPr>
        <w:t>territoire, puisqu</w:t>
      </w:r>
      <w:r w:rsidR="004C5E26">
        <w:rPr>
          <w:lang w:val="fr-FR"/>
        </w:rPr>
        <w:t>’</w:t>
      </w:r>
      <w:r w:rsidRPr="00016AD6">
        <w:rPr>
          <w:lang w:val="fr-FR"/>
        </w:rPr>
        <w:t>il existait certaines règles fondamentales du droit international qui ne pouvaient être isolées du territoire ou de la condition étatique, par exemple celles concernant l</w:t>
      </w:r>
      <w:r w:rsidR="004C5E26">
        <w:rPr>
          <w:lang w:val="fr-FR"/>
        </w:rPr>
        <w:t>’</w:t>
      </w:r>
      <w:r w:rsidRPr="00016AD6">
        <w:rPr>
          <w:lang w:val="fr-FR"/>
        </w:rPr>
        <w:t xml:space="preserve">exercice de la compétence. Ainsi, </w:t>
      </w:r>
      <w:r>
        <w:rPr>
          <w:lang w:val="fr-FR"/>
        </w:rPr>
        <w:t>la prudence s</w:t>
      </w:r>
      <w:r w:rsidR="004C5E26">
        <w:rPr>
          <w:lang w:val="fr-FR"/>
        </w:rPr>
        <w:t>’</w:t>
      </w:r>
      <w:r>
        <w:rPr>
          <w:lang w:val="fr-FR"/>
        </w:rPr>
        <w:t>imposait lorsque l</w:t>
      </w:r>
      <w:r w:rsidR="004C5E26">
        <w:rPr>
          <w:lang w:val="fr-FR"/>
        </w:rPr>
        <w:t>’</w:t>
      </w:r>
      <w:r>
        <w:rPr>
          <w:lang w:val="fr-FR"/>
        </w:rPr>
        <w:t xml:space="preserve">on débattait de la </w:t>
      </w:r>
      <w:r w:rsidRPr="00016AD6">
        <w:rPr>
          <w:lang w:val="fr-FR"/>
        </w:rPr>
        <w:t xml:space="preserve">modification des </w:t>
      </w:r>
      <w:r>
        <w:rPr>
          <w:lang w:val="fr-FR"/>
        </w:rPr>
        <w:t xml:space="preserve">éléments constitutifs </w:t>
      </w:r>
      <w:r w:rsidRPr="00016AD6">
        <w:rPr>
          <w:lang w:val="fr-FR"/>
        </w:rPr>
        <w:t xml:space="preserve">établis, en particulier </w:t>
      </w:r>
      <w:r>
        <w:rPr>
          <w:lang w:val="fr-FR"/>
        </w:rPr>
        <w:t xml:space="preserve">le </w:t>
      </w:r>
      <w:r w:rsidRPr="00016AD6">
        <w:rPr>
          <w:lang w:val="fr-FR"/>
        </w:rPr>
        <w:t xml:space="preserve">territoire. </w:t>
      </w:r>
    </w:p>
    <w:p w14:paraId="07204323" w14:textId="3B5E298B" w:rsidR="00737BD1" w:rsidRPr="00745A01" w:rsidRDefault="00737BD1" w:rsidP="00737BD1">
      <w:pPr>
        <w:pStyle w:val="H4G"/>
        <w:rPr>
          <w:lang w:val="fr-FR"/>
        </w:rPr>
      </w:pPr>
      <w:bookmarkStart w:id="140" w:name="_Hlk135048459"/>
      <w:r w:rsidRPr="00745A01">
        <w:rPr>
          <w:lang w:val="fr-FR"/>
        </w:rPr>
        <w:lastRenderedPageBreak/>
        <w:tab/>
        <w:t>iv</w:t>
      </w:r>
      <w:r>
        <w:rPr>
          <w:lang w:val="fr-FR"/>
        </w:rPr>
        <w:t>)</w:t>
      </w:r>
      <w:r w:rsidRPr="00745A01">
        <w:rPr>
          <w:lang w:val="fr-FR"/>
        </w:rPr>
        <w:tab/>
        <w:t>Cas de figures possibles en matière de condition étatique dans le contexte de l</w:t>
      </w:r>
      <w:r w:rsidR="004C5E26">
        <w:rPr>
          <w:b/>
          <w:lang w:val="fr-FR"/>
        </w:rPr>
        <w:t>’</w:t>
      </w:r>
      <w:r w:rsidRPr="00745A01">
        <w:rPr>
          <w:lang w:val="fr-FR"/>
        </w:rPr>
        <w:t xml:space="preserve">élévation </w:t>
      </w:r>
      <w:r w:rsidR="00414AA0">
        <w:rPr>
          <w:lang w:val="fr-FR"/>
        </w:rPr>
        <w:br/>
      </w:r>
      <w:r w:rsidRPr="00745A01">
        <w:rPr>
          <w:lang w:val="fr-FR"/>
        </w:rPr>
        <w:t>du niveau de la mer et droit de l</w:t>
      </w:r>
      <w:r w:rsidR="004C5E26">
        <w:rPr>
          <w:b/>
          <w:lang w:val="fr-FR"/>
        </w:rPr>
        <w:t>’</w:t>
      </w:r>
      <w:r w:rsidRPr="00745A01">
        <w:rPr>
          <w:lang w:val="fr-FR"/>
        </w:rPr>
        <w:t>État à pourvoir à sa conservation</w:t>
      </w:r>
    </w:p>
    <w:p w14:paraId="7BBC3E2C" w14:textId="77777777" w:rsidR="00737BD1" w:rsidRDefault="00737BD1" w:rsidP="00737BD1">
      <w:pPr>
        <w:pStyle w:val="H56G"/>
        <w:rPr>
          <w:lang w:val="fr-FR"/>
        </w:rPr>
      </w:pPr>
      <w:r>
        <w:rPr>
          <w:lang w:val="fr-FR"/>
        </w:rPr>
        <w:tab/>
        <w:t>a.</w:t>
      </w:r>
      <w:r>
        <w:rPr>
          <w:lang w:val="fr-FR"/>
        </w:rPr>
        <w:tab/>
        <w:t>Présentation par le Coprésident</w:t>
      </w:r>
    </w:p>
    <w:p w14:paraId="7FAA217B" w14:textId="55154A31" w:rsidR="00737BD1" w:rsidRPr="00016AD6" w:rsidRDefault="00737BD1" w:rsidP="00737BD1">
      <w:pPr>
        <w:pStyle w:val="SingleTxtG"/>
        <w:rPr>
          <w:lang w:val="fr-FR"/>
        </w:rPr>
      </w:pPr>
      <w:r>
        <w:rPr>
          <w:lang w:val="fr-FR"/>
        </w:rPr>
        <w:t>370.</w:t>
      </w:r>
      <w:r>
        <w:rPr>
          <w:lang w:val="fr-FR"/>
        </w:rPr>
        <w:tab/>
      </w:r>
      <w:r w:rsidRPr="0030481C">
        <w:rPr>
          <w:lang w:val="fr-FR"/>
        </w:rPr>
        <w:t>Présentant la section B du chapitre III de la première partie de la note complémentaire, le Coprésident</w:t>
      </w:r>
      <w:r>
        <w:rPr>
          <w:lang w:val="fr-FR"/>
        </w:rPr>
        <w:t xml:space="preserve"> (M. </w:t>
      </w:r>
      <w:proofErr w:type="spellStart"/>
      <w:r>
        <w:rPr>
          <w:lang w:val="fr-FR"/>
        </w:rPr>
        <w:t>Ruda</w:t>
      </w:r>
      <w:proofErr w:type="spellEnd"/>
      <w:r>
        <w:rPr>
          <w:lang w:val="fr-FR"/>
        </w:rPr>
        <w:t xml:space="preserve"> </w:t>
      </w:r>
      <w:proofErr w:type="spellStart"/>
      <w:r>
        <w:rPr>
          <w:lang w:val="fr-FR"/>
        </w:rPr>
        <w:t>Santaloria</w:t>
      </w:r>
      <w:proofErr w:type="spellEnd"/>
      <w:r>
        <w:rPr>
          <w:lang w:val="fr-FR"/>
        </w:rPr>
        <w:t>)</w:t>
      </w:r>
      <w:r w:rsidRPr="0030481C">
        <w:rPr>
          <w:lang w:val="fr-FR"/>
        </w:rPr>
        <w:t xml:space="preserve"> a fait observer qu</w:t>
      </w:r>
      <w:r w:rsidR="004C5E26">
        <w:rPr>
          <w:lang w:val="fr-FR"/>
        </w:rPr>
        <w:t>’</w:t>
      </w:r>
      <w:r w:rsidRPr="0030481C">
        <w:rPr>
          <w:lang w:val="fr-FR"/>
        </w:rPr>
        <w:t>il importait de souligner le droit de l</w:t>
      </w:r>
      <w:r w:rsidR="004C5E26">
        <w:rPr>
          <w:lang w:val="fr-FR"/>
        </w:rPr>
        <w:t>’</w:t>
      </w:r>
      <w:r w:rsidRPr="0030481C">
        <w:rPr>
          <w:lang w:val="fr-FR"/>
        </w:rPr>
        <w:t xml:space="preserve">État touché de préserver son existence, comme indiqué précédemment, en prenant diverses mesures pour assurer sa continuité, </w:t>
      </w:r>
      <w:r w:rsidRPr="00087C5A">
        <w:rPr>
          <w:lang w:val="fr-FR"/>
        </w:rPr>
        <w:t>entendue com</w:t>
      </w:r>
      <w:r w:rsidRPr="0030481C">
        <w:rPr>
          <w:lang w:val="fr-FR"/>
        </w:rPr>
        <w:t xml:space="preserve">me la continuité de sa souveraineté et des droits souverains attachés à </w:t>
      </w:r>
      <w:r>
        <w:rPr>
          <w:lang w:val="fr-FR"/>
        </w:rPr>
        <w:t>sa surface</w:t>
      </w:r>
      <w:r w:rsidRPr="0030481C">
        <w:rPr>
          <w:lang w:val="fr-FR"/>
        </w:rPr>
        <w:t xml:space="preserve"> terrestre et </w:t>
      </w:r>
      <w:r>
        <w:rPr>
          <w:lang w:val="fr-FR"/>
        </w:rPr>
        <w:t>sa surface</w:t>
      </w:r>
      <w:r w:rsidRPr="0030481C">
        <w:rPr>
          <w:lang w:val="fr-FR"/>
        </w:rPr>
        <w:t xml:space="preserve"> maritime</w:t>
      </w:r>
      <w:r w:rsidRPr="00016AD6">
        <w:rPr>
          <w:lang w:val="fr-FR"/>
        </w:rPr>
        <w:t xml:space="preserve"> composé</w:t>
      </w:r>
      <w:r>
        <w:rPr>
          <w:lang w:val="fr-FR"/>
        </w:rPr>
        <w:t>e</w:t>
      </w:r>
      <w:r w:rsidRPr="00016AD6">
        <w:rPr>
          <w:lang w:val="fr-FR"/>
        </w:rPr>
        <w:t xml:space="preserve"> des zones maritimes relevant de sa juridiction, et la conservation et l</w:t>
      </w:r>
      <w:r w:rsidR="004C5E26">
        <w:rPr>
          <w:lang w:val="fr-FR"/>
        </w:rPr>
        <w:t>’</w:t>
      </w:r>
      <w:r w:rsidRPr="00016AD6">
        <w:rPr>
          <w:lang w:val="fr-FR"/>
        </w:rPr>
        <w:t>utilisation durable des ressources naturelles que renferm</w:t>
      </w:r>
      <w:r>
        <w:rPr>
          <w:lang w:val="fr-FR"/>
        </w:rPr>
        <w:t>ait</w:t>
      </w:r>
      <w:r w:rsidRPr="00016AD6">
        <w:rPr>
          <w:lang w:val="fr-FR"/>
        </w:rPr>
        <w:t xml:space="preserve"> ce territoire, de même que la préservation de la biodiversité et des écosystèmes au bénéfice des générations présentes et futures de sa population.</w:t>
      </w:r>
    </w:p>
    <w:p w14:paraId="3CD3637F" w14:textId="02238286" w:rsidR="00737BD1" w:rsidRPr="00016AD6" w:rsidRDefault="00737BD1" w:rsidP="00737BD1">
      <w:pPr>
        <w:pStyle w:val="SingleTxtG"/>
        <w:rPr>
          <w:rFonts w:asciiTheme="majorBidi" w:hAnsiTheme="majorBidi"/>
          <w:lang w:val="fr-FR"/>
        </w:rPr>
      </w:pPr>
      <w:r>
        <w:rPr>
          <w:rFonts w:asciiTheme="majorBidi" w:hAnsiTheme="majorBidi"/>
          <w:lang w:val="fr-FR"/>
        </w:rPr>
        <w:t>371.</w:t>
      </w:r>
      <w:r>
        <w:rPr>
          <w:rFonts w:asciiTheme="majorBidi" w:hAnsiTheme="majorBidi"/>
          <w:lang w:val="fr-FR"/>
        </w:rPr>
        <w:tab/>
      </w:r>
      <w:r w:rsidRPr="00016AD6">
        <w:rPr>
          <w:rFonts w:asciiTheme="majorBidi" w:hAnsiTheme="majorBidi"/>
          <w:lang w:val="fr-FR"/>
        </w:rPr>
        <w:t xml:space="preserve">Comme relevé durant le débat sur la continuité de la condition étatique, deux cas de figure étaient envisagés. Le premier était la situation dans laquelle </w:t>
      </w:r>
      <w:r>
        <w:rPr>
          <w:rFonts w:asciiTheme="majorBidi" w:hAnsiTheme="majorBidi"/>
          <w:lang w:val="fr-FR"/>
        </w:rPr>
        <w:t>la surface</w:t>
      </w:r>
      <w:r w:rsidRPr="00016AD6">
        <w:rPr>
          <w:rFonts w:asciiTheme="majorBidi" w:hAnsiTheme="majorBidi"/>
          <w:lang w:val="fr-FR"/>
        </w:rPr>
        <w:t xml:space="preserve"> terrestre de l</w:t>
      </w:r>
      <w:r w:rsidR="004C5E26">
        <w:rPr>
          <w:rFonts w:asciiTheme="majorBidi" w:hAnsiTheme="majorBidi"/>
          <w:lang w:val="fr-FR"/>
        </w:rPr>
        <w:t>’</w:t>
      </w:r>
      <w:r w:rsidRPr="00016AD6">
        <w:rPr>
          <w:rFonts w:asciiTheme="majorBidi" w:hAnsiTheme="majorBidi"/>
          <w:lang w:val="fr-FR"/>
        </w:rPr>
        <w:t>État concerné subissait les effets de l</w:t>
      </w:r>
      <w:r w:rsidR="004C5E26">
        <w:rPr>
          <w:rFonts w:asciiTheme="majorBidi" w:hAnsiTheme="majorBidi"/>
          <w:lang w:val="fr-FR"/>
        </w:rPr>
        <w:t>’</w:t>
      </w:r>
      <w:r w:rsidRPr="00016AD6">
        <w:rPr>
          <w:rFonts w:asciiTheme="majorBidi" w:hAnsiTheme="majorBidi"/>
          <w:lang w:val="fr-FR"/>
        </w:rPr>
        <w:t>érosion, de la salinisation et d</w:t>
      </w:r>
      <w:r w:rsidR="004C5E26">
        <w:rPr>
          <w:rFonts w:asciiTheme="majorBidi" w:hAnsiTheme="majorBidi"/>
          <w:lang w:val="fr-FR"/>
        </w:rPr>
        <w:t>’</w:t>
      </w:r>
      <w:r w:rsidRPr="00016AD6">
        <w:rPr>
          <w:rFonts w:asciiTheme="majorBidi" w:hAnsiTheme="majorBidi"/>
          <w:lang w:val="fr-FR"/>
        </w:rPr>
        <w:t>une submersion partielle pouvant l</w:t>
      </w:r>
      <w:r>
        <w:rPr>
          <w:rFonts w:asciiTheme="majorBidi" w:hAnsiTheme="majorBidi"/>
          <w:lang w:val="fr-FR"/>
        </w:rPr>
        <w:t>a</w:t>
      </w:r>
      <w:r w:rsidRPr="00016AD6">
        <w:rPr>
          <w:rFonts w:asciiTheme="majorBidi" w:hAnsiTheme="majorBidi"/>
          <w:lang w:val="fr-FR"/>
        </w:rPr>
        <w:t xml:space="preserve"> rendre inhabitable bien qu</w:t>
      </w:r>
      <w:r w:rsidR="004C5E26">
        <w:rPr>
          <w:rFonts w:asciiTheme="majorBidi" w:hAnsiTheme="majorBidi"/>
          <w:lang w:val="fr-FR"/>
        </w:rPr>
        <w:t>’</w:t>
      </w:r>
      <w:r>
        <w:rPr>
          <w:rFonts w:asciiTheme="majorBidi" w:hAnsiTheme="majorBidi"/>
          <w:lang w:val="fr-FR"/>
        </w:rPr>
        <w:t>elle</w:t>
      </w:r>
      <w:r w:rsidRPr="00016AD6">
        <w:rPr>
          <w:rFonts w:asciiTheme="majorBidi" w:hAnsiTheme="majorBidi"/>
          <w:lang w:val="fr-FR"/>
        </w:rPr>
        <w:t xml:space="preserve"> ne soit</w:t>
      </w:r>
      <w:r>
        <w:rPr>
          <w:rFonts w:asciiTheme="majorBidi" w:hAnsiTheme="majorBidi"/>
          <w:lang w:val="fr-FR"/>
        </w:rPr>
        <w:t xml:space="preserve"> que partiellement submergée par la mer, </w:t>
      </w:r>
      <w:r w:rsidRPr="00016AD6">
        <w:rPr>
          <w:rFonts w:asciiTheme="majorBidi" w:hAnsiTheme="majorBidi"/>
          <w:lang w:val="fr-FR"/>
        </w:rPr>
        <w:t>en raison de l</w:t>
      </w:r>
      <w:r w:rsidR="004C5E26">
        <w:rPr>
          <w:rFonts w:asciiTheme="majorBidi" w:hAnsiTheme="majorBidi"/>
          <w:lang w:val="fr-FR"/>
        </w:rPr>
        <w:t>’</w:t>
      </w:r>
      <w:r w:rsidRPr="00016AD6">
        <w:rPr>
          <w:rFonts w:asciiTheme="majorBidi" w:hAnsiTheme="majorBidi"/>
          <w:lang w:val="fr-FR"/>
        </w:rPr>
        <w:t>insuffisance de l</w:t>
      </w:r>
      <w:r w:rsidR="004C5E26">
        <w:rPr>
          <w:rFonts w:asciiTheme="majorBidi" w:hAnsiTheme="majorBidi"/>
          <w:lang w:val="fr-FR"/>
        </w:rPr>
        <w:t>’</w:t>
      </w:r>
      <w:r w:rsidRPr="00016AD6">
        <w:rPr>
          <w:rFonts w:asciiTheme="majorBidi" w:hAnsiTheme="majorBidi"/>
          <w:lang w:val="fr-FR"/>
        </w:rPr>
        <w:t>approvisionnement en eau potable, qui entraînait le déplacement de la population en d</w:t>
      </w:r>
      <w:r w:rsidR="004C5E26">
        <w:rPr>
          <w:rFonts w:asciiTheme="majorBidi" w:hAnsiTheme="majorBidi"/>
          <w:lang w:val="fr-FR"/>
        </w:rPr>
        <w:t>’</w:t>
      </w:r>
      <w:r w:rsidRPr="00016AD6">
        <w:rPr>
          <w:rFonts w:asciiTheme="majorBidi" w:hAnsiTheme="majorBidi"/>
          <w:lang w:val="fr-FR"/>
        </w:rPr>
        <w:t>autres lieux d</w:t>
      </w:r>
      <w:r>
        <w:rPr>
          <w:rFonts w:asciiTheme="majorBidi" w:hAnsiTheme="majorBidi"/>
          <w:lang w:val="fr-FR"/>
        </w:rPr>
        <w:t>e son</w:t>
      </w:r>
      <w:r w:rsidRPr="00016AD6">
        <w:rPr>
          <w:rFonts w:asciiTheme="majorBidi" w:hAnsiTheme="majorBidi"/>
          <w:lang w:val="fr-FR"/>
        </w:rPr>
        <w:t xml:space="preserve"> territoire ou </w:t>
      </w:r>
      <w:r>
        <w:rPr>
          <w:rFonts w:asciiTheme="majorBidi" w:hAnsiTheme="majorBidi"/>
          <w:lang w:val="fr-FR"/>
        </w:rPr>
        <w:t>l</w:t>
      </w:r>
      <w:r w:rsidRPr="00016AD6">
        <w:rPr>
          <w:rFonts w:asciiTheme="majorBidi" w:hAnsiTheme="majorBidi"/>
          <w:lang w:val="fr-FR"/>
        </w:rPr>
        <w:t xml:space="preserve">a migration </w:t>
      </w:r>
      <w:r>
        <w:rPr>
          <w:rFonts w:asciiTheme="majorBidi" w:hAnsiTheme="majorBidi"/>
          <w:lang w:val="fr-FR"/>
        </w:rPr>
        <w:t xml:space="preserve">de celle-ci </w:t>
      </w:r>
      <w:r w:rsidRPr="00016AD6">
        <w:rPr>
          <w:rFonts w:asciiTheme="majorBidi" w:hAnsiTheme="majorBidi"/>
          <w:lang w:val="fr-FR"/>
        </w:rPr>
        <w:t xml:space="preserve">vers un ou plusieurs autres États. Dans le second cas de figure, celui de </w:t>
      </w:r>
      <w:r>
        <w:rPr>
          <w:rFonts w:asciiTheme="majorBidi" w:hAnsiTheme="majorBidi"/>
          <w:lang w:val="fr-FR"/>
        </w:rPr>
        <w:t>la submersion</w:t>
      </w:r>
      <w:r w:rsidRPr="00016AD6">
        <w:rPr>
          <w:rFonts w:asciiTheme="majorBidi" w:hAnsiTheme="majorBidi"/>
          <w:lang w:val="fr-FR"/>
        </w:rPr>
        <w:t xml:space="preserve"> totale, </w:t>
      </w:r>
      <w:r>
        <w:rPr>
          <w:rFonts w:asciiTheme="majorBidi" w:hAnsiTheme="majorBidi"/>
          <w:lang w:val="fr-FR"/>
        </w:rPr>
        <w:t>la surface</w:t>
      </w:r>
      <w:r w:rsidRPr="00016AD6">
        <w:rPr>
          <w:rFonts w:asciiTheme="majorBidi" w:hAnsiTheme="majorBidi"/>
          <w:lang w:val="fr-FR"/>
        </w:rPr>
        <w:t xml:space="preserve"> terrestre de l</w:t>
      </w:r>
      <w:r w:rsidR="004C5E26">
        <w:rPr>
          <w:rFonts w:asciiTheme="majorBidi" w:hAnsiTheme="majorBidi"/>
          <w:lang w:val="fr-FR"/>
        </w:rPr>
        <w:t>’</w:t>
      </w:r>
      <w:r w:rsidRPr="00016AD6">
        <w:rPr>
          <w:rFonts w:asciiTheme="majorBidi" w:hAnsiTheme="majorBidi"/>
          <w:lang w:val="fr-FR"/>
        </w:rPr>
        <w:t>État touché était complètement recouvert</w:t>
      </w:r>
      <w:r>
        <w:rPr>
          <w:rFonts w:asciiTheme="majorBidi" w:hAnsiTheme="majorBidi"/>
          <w:lang w:val="fr-FR"/>
        </w:rPr>
        <w:t>e</w:t>
      </w:r>
      <w:r w:rsidRPr="00016AD6">
        <w:rPr>
          <w:rFonts w:asciiTheme="majorBidi" w:hAnsiTheme="majorBidi"/>
          <w:lang w:val="fr-FR"/>
        </w:rPr>
        <w:t xml:space="preserve"> par la mer.</w:t>
      </w:r>
    </w:p>
    <w:p w14:paraId="149CC3B3" w14:textId="1C9D46DC" w:rsidR="00737BD1" w:rsidRPr="00016AD6" w:rsidRDefault="00737BD1" w:rsidP="00737BD1">
      <w:pPr>
        <w:pStyle w:val="SingleTxtG"/>
        <w:rPr>
          <w:rFonts w:asciiTheme="majorBidi" w:hAnsiTheme="majorBidi"/>
          <w:lang w:val="fr-FR"/>
        </w:rPr>
      </w:pPr>
      <w:r>
        <w:rPr>
          <w:rFonts w:asciiTheme="majorBidi" w:hAnsiTheme="majorBidi"/>
          <w:lang w:val="fr-FR"/>
        </w:rPr>
        <w:t>372.</w:t>
      </w:r>
      <w:r>
        <w:rPr>
          <w:rFonts w:asciiTheme="majorBidi" w:hAnsiTheme="majorBidi"/>
          <w:lang w:val="fr-FR"/>
        </w:rPr>
        <w:tab/>
      </w:r>
      <w:r w:rsidRPr="00016AD6">
        <w:rPr>
          <w:rFonts w:asciiTheme="majorBidi" w:hAnsiTheme="majorBidi"/>
          <w:lang w:val="fr-FR"/>
        </w:rPr>
        <w:t xml:space="preserve">On a fait observer que </w:t>
      </w:r>
      <w:r>
        <w:rPr>
          <w:rFonts w:asciiTheme="majorBidi" w:hAnsiTheme="majorBidi"/>
          <w:lang w:val="fr-FR"/>
        </w:rPr>
        <w:t>plusieurs</w:t>
      </w:r>
      <w:r w:rsidRPr="00016AD6">
        <w:rPr>
          <w:rFonts w:asciiTheme="majorBidi" w:hAnsiTheme="majorBidi"/>
          <w:lang w:val="fr-FR"/>
        </w:rPr>
        <w:t xml:space="preserve"> États côtiers avaient déjà adopté des mesures pour réduire l</w:t>
      </w:r>
      <w:r w:rsidR="004C5E26">
        <w:rPr>
          <w:rFonts w:asciiTheme="majorBidi" w:hAnsiTheme="majorBidi"/>
          <w:lang w:val="fr-FR"/>
        </w:rPr>
        <w:t>’</w:t>
      </w:r>
      <w:r w:rsidRPr="00016AD6">
        <w:rPr>
          <w:rFonts w:asciiTheme="majorBidi" w:hAnsiTheme="majorBidi"/>
          <w:lang w:val="fr-FR"/>
        </w:rPr>
        <w:t>impact de l</w:t>
      </w:r>
      <w:r w:rsidR="004C5E26">
        <w:rPr>
          <w:rFonts w:asciiTheme="majorBidi" w:hAnsiTheme="majorBidi"/>
          <w:lang w:val="fr-FR"/>
        </w:rPr>
        <w:t>’</w:t>
      </w:r>
      <w:r w:rsidRPr="00016AD6">
        <w:rPr>
          <w:rFonts w:asciiTheme="majorBidi" w:hAnsiTheme="majorBidi"/>
          <w:lang w:val="fr-FR"/>
        </w:rPr>
        <w:t xml:space="preserve">élévation du niveau de la mer, notamment en installant ou en renforçant des digues, des </w:t>
      </w:r>
      <w:r>
        <w:rPr>
          <w:rFonts w:asciiTheme="majorBidi" w:hAnsiTheme="majorBidi"/>
          <w:lang w:val="fr-FR"/>
        </w:rPr>
        <w:t xml:space="preserve">barrières </w:t>
      </w:r>
      <w:r w:rsidRPr="00016AD6">
        <w:rPr>
          <w:rFonts w:asciiTheme="majorBidi" w:hAnsiTheme="majorBidi"/>
          <w:lang w:val="fr-FR"/>
        </w:rPr>
        <w:t>ou des défenses côtières, ainsi qu</w:t>
      </w:r>
      <w:r w:rsidR="004C5E26">
        <w:rPr>
          <w:rFonts w:asciiTheme="majorBidi" w:hAnsiTheme="majorBidi"/>
          <w:lang w:val="fr-FR"/>
        </w:rPr>
        <w:t>’</w:t>
      </w:r>
      <w:r w:rsidRPr="00016AD6">
        <w:rPr>
          <w:rFonts w:asciiTheme="majorBidi" w:hAnsiTheme="majorBidi"/>
          <w:lang w:val="fr-FR"/>
        </w:rPr>
        <w:t>en construisant des îles artificielles dans les zones maritimes relevant de leur juridiction, sur lesquelles des parties de leur population pouvaient s</w:t>
      </w:r>
      <w:r w:rsidR="004C5E26">
        <w:rPr>
          <w:rFonts w:asciiTheme="majorBidi" w:hAnsiTheme="majorBidi"/>
          <w:lang w:val="fr-FR"/>
        </w:rPr>
        <w:t>’</w:t>
      </w:r>
      <w:r w:rsidRPr="00016AD6">
        <w:rPr>
          <w:rFonts w:asciiTheme="majorBidi" w:hAnsiTheme="majorBidi"/>
          <w:lang w:val="fr-FR"/>
        </w:rPr>
        <w:t xml:space="preserve">installer. Diverses options ont été </w:t>
      </w:r>
      <w:r>
        <w:rPr>
          <w:rFonts w:asciiTheme="majorBidi" w:hAnsiTheme="majorBidi"/>
          <w:lang w:val="fr-FR"/>
        </w:rPr>
        <w:t>envisagées</w:t>
      </w:r>
      <w:r w:rsidRPr="00016AD6">
        <w:rPr>
          <w:rFonts w:asciiTheme="majorBidi" w:hAnsiTheme="majorBidi"/>
          <w:lang w:val="fr-FR"/>
        </w:rPr>
        <w:t>, y compris la possibilité de combiner l</w:t>
      </w:r>
      <w:r w:rsidR="004C5E26">
        <w:rPr>
          <w:rFonts w:asciiTheme="majorBidi" w:hAnsiTheme="majorBidi"/>
          <w:lang w:val="fr-FR"/>
        </w:rPr>
        <w:t>’</w:t>
      </w:r>
      <w:r w:rsidRPr="00016AD6">
        <w:rPr>
          <w:rFonts w:asciiTheme="majorBidi" w:hAnsiTheme="majorBidi"/>
          <w:lang w:val="fr-FR"/>
        </w:rPr>
        <w:t>installation ou le renforcement de barrières côtières ou d</w:t>
      </w:r>
      <w:r w:rsidR="004C5E26">
        <w:rPr>
          <w:rFonts w:asciiTheme="majorBidi" w:hAnsiTheme="majorBidi"/>
          <w:lang w:val="fr-FR"/>
        </w:rPr>
        <w:t>’</w:t>
      </w:r>
      <w:r w:rsidRPr="00016AD6">
        <w:rPr>
          <w:rFonts w:asciiTheme="majorBidi" w:hAnsiTheme="majorBidi"/>
          <w:lang w:val="fr-FR"/>
        </w:rPr>
        <w:t>îles artificielles à des moyens naturels, tels que la création de mangroves, qui étaient plus durables sur le plan environnemental, la réinstallation des personnes touchées par le phénomène dans d</w:t>
      </w:r>
      <w:r w:rsidR="004C5E26">
        <w:rPr>
          <w:rFonts w:asciiTheme="majorBidi" w:hAnsiTheme="majorBidi"/>
          <w:lang w:val="fr-FR"/>
        </w:rPr>
        <w:t>’</w:t>
      </w:r>
      <w:r w:rsidRPr="00016AD6">
        <w:rPr>
          <w:rFonts w:asciiTheme="majorBidi" w:hAnsiTheme="majorBidi"/>
          <w:lang w:val="fr-FR"/>
        </w:rPr>
        <w:t>autres lieux, ainsi que l</w:t>
      </w:r>
      <w:r w:rsidR="004C5E26">
        <w:rPr>
          <w:rFonts w:asciiTheme="majorBidi" w:hAnsiTheme="majorBidi"/>
          <w:lang w:val="fr-FR"/>
        </w:rPr>
        <w:t>’</w:t>
      </w:r>
      <w:r w:rsidRPr="00016AD6">
        <w:rPr>
          <w:rFonts w:asciiTheme="majorBidi" w:hAnsiTheme="majorBidi"/>
          <w:lang w:val="fr-FR"/>
        </w:rPr>
        <w:t>installation d</w:t>
      </w:r>
      <w:r w:rsidR="004C5E26">
        <w:rPr>
          <w:rFonts w:asciiTheme="majorBidi" w:hAnsiTheme="majorBidi"/>
          <w:lang w:val="fr-FR"/>
        </w:rPr>
        <w:t>’</w:t>
      </w:r>
      <w:r w:rsidRPr="00016AD6">
        <w:rPr>
          <w:rFonts w:asciiTheme="majorBidi" w:hAnsiTheme="majorBidi"/>
          <w:lang w:val="fr-FR"/>
        </w:rPr>
        <w:t>usines de dessalement de l</w:t>
      </w:r>
      <w:r w:rsidR="004C5E26">
        <w:rPr>
          <w:rFonts w:asciiTheme="majorBidi" w:hAnsiTheme="majorBidi"/>
          <w:lang w:val="fr-FR"/>
        </w:rPr>
        <w:t>’</w:t>
      </w:r>
      <w:r w:rsidRPr="00016AD6">
        <w:rPr>
          <w:rFonts w:asciiTheme="majorBidi" w:hAnsiTheme="majorBidi"/>
          <w:lang w:val="fr-FR"/>
        </w:rPr>
        <w:t>eau de mer.</w:t>
      </w:r>
    </w:p>
    <w:p w14:paraId="5D0C6538" w14:textId="37246298" w:rsidR="00737BD1" w:rsidRDefault="00737BD1" w:rsidP="00737BD1">
      <w:pPr>
        <w:pStyle w:val="SingleTxtG"/>
        <w:rPr>
          <w:rFonts w:asciiTheme="majorBidi" w:hAnsiTheme="majorBidi"/>
          <w:lang w:val="fr-FR"/>
        </w:rPr>
      </w:pPr>
      <w:r>
        <w:rPr>
          <w:rFonts w:asciiTheme="majorBidi" w:hAnsiTheme="majorBidi"/>
          <w:lang w:val="fr-FR"/>
        </w:rPr>
        <w:t>373.</w:t>
      </w:r>
      <w:r>
        <w:rPr>
          <w:rFonts w:asciiTheme="majorBidi" w:hAnsiTheme="majorBidi"/>
          <w:lang w:val="fr-FR"/>
        </w:rPr>
        <w:tab/>
      </w:r>
      <w:r w:rsidRPr="00016AD6">
        <w:rPr>
          <w:rFonts w:asciiTheme="majorBidi" w:hAnsiTheme="majorBidi"/>
          <w:lang w:val="fr-FR"/>
        </w:rPr>
        <w:t>De plus, la coopération internationale</w:t>
      </w:r>
      <w:r>
        <w:rPr>
          <w:rFonts w:asciiTheme="majorBidi" w:hAnsiTheme="majorBidi"/>
          <w:lang w:val="fr-FR"/>
        </w:rPr>
        <w:t>,</w:t>
      </w:r>
      <w:r w:rsidRPr="00016AD6">
        <w:rPr>
          <w:rFonts w:asciiTheme="majorBidi" w:hAnsiTheme="majorBidi"/>
          <w:lang w:val="fr-FR"/>
        </w:rPr>
        <w:t xml:space="preserve"> </w:t>
      </w:r>
      <w:r>
        <w:rPr>
          <w:rFonts w:asciiTheme="majorBidi" w:hAnsiTheme="majorBidi"/>
          <w:lang w:val="fr-FR"/>
        </w:rPr>
        <w:t xml:space="preserve">sous la forme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une assistance technique ou logistique, de ressources humaines qualifiées ou d</w:t>
      </w:r>
      <w:r w:rsidR="004C5E26">
        <w:rPr>
          <w:rFonts w:asciiTheme="majorBidi" w:hAnsiTheme="majorBidi"/>
          <w:lang w:val="fr-FR"/>
        </w:rPr>
        <w:t>’</w:t>
      </w:r>
      <w:r w:rsidRPr="00016AD6">
        <w:rPr>
          <w:rFonts w:asciiTheme="majorBidi" w:hAnsiTheme="majorBidi"/>
          <w:lang w:val="fr-FR"/>
        </w:rPr>
        <w:t xml:space="preserve">une aide financière aux États particulièrement touchés par le phénomène dont les capacités propres </w:t>
      </w:r>
      <w:r>
        <w:rPr>
          <w:rFonts w:asciiTheme="majorBidi" w:hAnsiTheme="majorBidi"/>
          <w:lang w:val="fr-FR"/>
        </w:rPr>
        <w:t>n</w:t>
      </w:r>
      <w:r w:rsidR="004C5E26">
        <w:rPr>
          <w:rFonts w:asciiTheme="majorBidi" w:hAnsiTheme="majorBidi"/>
          <w:lang w:val="fr-FR"/>
        </w:rPr>
        <w:t>’</w:t>
      </w:r>
      <w:r>
        <w:rPr>
          <w:rFonts w:asciiTheme="majorBidi" w:hAnsiTheme="majorBidi"/>
          <w:lang w:val="fr-FR"/>
        </w:rPr>
        <w:t xml:space="preserve">étaient pas </w:t>
      </w:r>
      <w:r w:rsidRPr="00016AD6">
        <w:rPr>
          <w:rFonts w:asciiTheme="majorBidi" w:hAnsiTheme="majorBidi"/>
          <w:lang w:val="fr-FR"/>
        </w:rPr>
        <w:t xml:space="preserve">suffisantes, </w:t>
      </w:r>
      <w:r>
        <w:rPr>
          <w:rFonts w:asciiTheme="majorBidi" w:hAnsiTheme="majorBidi"/>
          <w:lang w:val="fr-FR"/>
        </w:rPr>
        <w:t xml:space="preserve">était </w:t>
      </w:r>
      <w:r w:rsidRPr="00016AD6">
        <w:rPr>
          <w:rFonts w:asciiTheme="majorBidi" w:hAnsiTheme="majorBidi"/>
          <w:lang w:val="fr-FR"/>
        </w:rPr>
        <w:t>considérée comme essentielle. Outre l</w:t>
      </w:r>
      <w:r w:rsidR="004C5E26">
        <w:rPr>
          <w:rFonts w:asciiTheme="majorBidi" w:hAnsiTheme="majorBidi"/>
          <w:lang w:val="fr-FR"/>
        </w:rPr>
        <w:t>’</w:t>
      </w:r>
      <w:r w:rsidRPr="00016AD6">
        <w:rPr>
          <w:rFonts w:asciiTheme="majorBidi" w:hAnsiTheme="majorBidi"/>
          <w:lang w:val="fr-FR"/>
        </w:rPr>
        <w:t>interprétation et l</w:t>
      </w:r>
      <w:r w:rsidR="004C5E26">
        <w:rPr>
          <w:rFonts w:asciiTheme="majorBidi" w:hAnsiTheme="majorBidi"/>
          <w:lang w:val="fr-FR"/>
        </w:rPr>
        <w:t>’</w:t>
      </w:r>
      <w:r w:rsidRPr="00016AD6">
        <w:rPr>
          <w:rFonts w:asciiTheme="majorBidi" w:hAnsiTheme="majorBidi"/>
          <w:lang w:val="fr-FR"/>
        </w:rPr>
        <w:t>application des instruments existants, il conv</w:t>
      </w:r>
      <w:r>
        <w:rPr>
          <w:rFonts w:asciiTheme="majorBidi" w:hAnsiTheme="majorBidi"/>
          <w:lang w:val="fr-FR"/>
        </w:rPr>
        <w:t xml:space="preserve">enait </w:t>
      </w:r>
      <w:r w:rsidRPr="00016AD6">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 xml:space="preserve">envisager la </w:t>
      </w:r>
      <w:r>
        <w:rPr>
          <w:rFonts w:asciiTheme="majorBidi" w:hAnsiTheme="majorBidi"/>
          <w:lang w:val="fr-FR"/>
        </w:rPr>
        <w:t xml:space="preserve">conclusion </w:t>
      </w:r>
      <w:r w:rsidRPr="00016AD6">
        <w:rPr>
          <w:rFonts w:asciiTheme="majorBidi" w:hAnsiTheme="majorBidi"/>
          <w:lang w:val="fr-FR"/>
        </w:rPr>
        <w:t xml:space="preserve">de nouveaux accords </w:t>
      </w:r>
      <w:r>
        <w:rPr>
          <w:rFonts w:asciiTheme="majorBidi" w:hAnsiTheme="majorBidi"/>
          <w:lang w:val="fr-FR"/>
        </w:rPr>
        <w:t xml:space="preserve">bilatéraux ou multilatéraux </w:t>
      </w:r>
      <w:r w:rsidRPr="00016AD6">
        <w:rPr>
          <w:rFonts w:asciiTheme="majorBidi" w:hAnsiTheme="majorBidi"/>
          <w:lang w:val="fr-FR"/>
        </w:rPr>
        <w:t>entre les États les plus directement touchés et des États tiers</w:t>
      </w:r>
      <w:r>
        <w:rPr>
          <w:rFonts w:asciiTheme="majorBidi" w:hAnsiTheme="majorBidi"/>
          <w:lang w:val="fr-FR"/>
        </w:rPr>
        <w:t>,</w:t>
      </w:r>
      <w:r w:rsidRPr="00016AD6">
        <w:rPr>
          <w:rFonts w:asciiTheme="majorBidi" w:hAnsiTheme="majorBidi"/>
          <w:lang w:val="fr-FR"/>
        </w:rPr>
        <w:t xml:space="preserve"> ou </w:t>
      </w:r>
      <w:r>
        <w:rPr>
          <w:rFonts w:asciiTheme="majorBidi" w:hAnsiTheme="majorBidi"/>
          <w:lang w:val="fr-FR"/>
        </w:rPr>
        <w:t>l</w:t>
      </w:r>
      <w:r w:rsidR="004C5E26">
        <w:rPr>
          <w:rFonts w:asciiTheme="majorBidi" w:hAnsiTheme="majorBidi"/>
          <w:lang w:val="fr-FR"/>
        </w:rPr>
        <w:t>’</w:t>
      </w:r>
      <w:r>
        <w:rPr>
          <w:rFonts w:asciiTheme="majorBidi" w:hAnsiTheme="majorBidi"/>
          <w:lang w:val="fr-FR"/>
        </w:rPr>
        <w:t>adoption éventuelle d</w:t>
      </w:r>
      <w:r w:rsidR="004C5E26">
        <w:rPr>
          <w:rFonts w:asciiTheme="majorBidi" w:hAnsiTheme="majorBidi"/>
          <w:lang w:val="fr-FR"/>
        </w:rPr>
        <w:t>’</w:t>
      </w:r>
      <w:r>
        <w:rPr>
          <w:rFonts w:asciiTheme="majorBidi" w:hAnsiTheme="majorBidi"/>
          <w:lang w:val="fr-FR"/>
        </w:rPr>
        <w:t xml:space="preserve">instruments </w:t>
      </w:r>
      <w:r w:rsidRPr="00016AD6">
        <w:rPr>
          <w:rFonts w:asciiTheme="majorBidi" w:hAnsiTheme="majorBidi"/>
          <w:lang w:val="fr-FR"/>
        </w:rPr>
        <w:t>dans le cadre d</w:t>
      </w:r>
      <w:r w:rsidR="004C5E26">
        <w:rPr>
          <w:rFonts w:asciiTheme="majorBidi" w:hAnsiTheme="majorBidi"/>
          <w:lang w:val="fr-FR"/>
        </w:rPr>
        <w:t>’</w:t>
      </w:r>
      <w:r w:rsidRPr="00016AD6">
        <w:rPr>
          <w:rFonts w:asciiTheme="majorBidi" w:hAnsiTheme="majorBidi"/>
          <w:lang w:val="fr-FR"/>
        </w:rPr>
        <w:t xml:space="preserve">organisations internationales régionales </w:t>
      </w:r>
      <w:r>
        <w:rPr>
          <w:rFonts w:asciiTheme="majorBidi" w:hAnsiTheme="majorBidi"/>
          <w:lang w:val="fr-FR"/>
        </w:rPr>
        <w:t xml:space="preserve">ou </w:t>
      </w:r>
      <w:r w:rsidRPr="00016AD6">
        <w:rPr>
          <w:rFonts w:asciiTheme="majorBidi" w:hAnsiTheme="majorBidi"/>
          <w:lang w:val="fr-FR"/>
        </w:rPr>
        <w:t xml:space="preserve">universelles, en particulier </w:t>
      </w:r>
      <w:r>
        <w:rPr>
          <w:rFonts w:asciiTheme="majorBidi" w:hAnsiTheme="majorBidi"/>
          <w:lang w:val="fr-FR"/>
        </w:rPr>
        <w:t xml:space="preserve">au sein </w:t>
      </w:r>
      <w:r w:rsidRPr="00016AD6">
        <w:rPr>
          <w:rFonts w:asciiTheme="majorBidi" w:hAnsiTheme="majorBidi"/>
          <w:lang w:val="fr-FR"/>
        </w:rPr>
        <w:t xml:space="preserve">du système des Nations Unies. À cet égard, il </w:t>
      </w:r>
      <w:r>
        <w:rPr>
          <w:rFonts w:asciiTheme="majorBidi" w:hAnsiTheme="majorBidi"/>
          <w:lang w:val="fr-FR"/>
        </w:rPr>
        <w:t xml:space="preserve">importait </w:t>
      </w:r>
      <w:r w:rsidRPr="00016AD6">
        <w:rPr>
          <w:rFonts w:asciiTheme="majorBidi" w:hAnsiTheme="majorBidi"/>
          <w:lang w:val="fr-FR"/>
        </w:rPr>
        <w:t xml:space="preserve">de veiller à ce que les formules employées </w:t>
      </w:r>
      <w:r>
        <w:rPr>
          <w:rFonts w:asciiTheme="majorBidi" w:hAnsiTheme="majorBidi"/>
          <w:lang w:val="fr-FR"/>
        </w:rPr>
        <w:t>ne se limitent pas aux</w:t>
      </w:r>
      <w:r w:rsidRPr="00016AD6">
        <w:rPr>
          <w:rFonts w:asciiTheme="majorBidi" w:hAnsiTheme="majorBidi"/>
          <w:lang w:val="fr-FR"/>
        </w:rPr>
        <w:t xml:space="preserve"> besoins à court terme tout en respectant les droits individuels et le droit à l</w:t>
      </w:r>
      <w:r w:rsidR="004C5E26">
        <w:rPr>
          <w:rFonts w:asciiTheme="majorBidi" w:hAnsiTheme="majorBidi"/>
          <w:lang w:val="fr-FR"/>
        </w:rPr>
        <w:t>’</w:t>
      </w:r>
      <w:proofErr w:type="spellStart"/>
      <w:r w:rsidRPr="00016AD6">
        <w:rPr>
          <w:rFonts w:asciiTheme="majorBidi" w:hAnsiTheme="majorBidi"/>
          <w:lang w:val="fr-FR"/>
        </w:rPr>
        <w:t>autodétermination</w:t>
      </w:r>
      <w:proofErr w:type="spellEnd"/>
      <w:r w:rsidRPr="00016AD6">
        <w:rPr>
          <w:rFonts w:asciiTheme="majorBidi" w:hAnsiTheme="majorBidi"/>
          <w:lang w:val="fr-FR"/>
        </w:rPr>
        <w:t xml:space="preserve"> des </w:t>
      </w:r>
      <w:r>
        <w:rPr>
          <w:rFonts w:asciiTheme="majorBidi" w:hAnsiTheme="majorBidi"/>
          <w:lang w:val="fr-FR"/>
        </w:rPr>
        <w:t>peuples des États</w:t>
      </w:r>
      <w:r w:rsidRPr="00016AD6">
        <w:rPr>
          <w:rFonts w:asciiTheme="majorBidi" w:hAnsiTheme="majorBidi"/>
          <w:lang w:val="fr-FR"/>
        </w:rPr>
        <w:t xml:space="preserve"> touchés.</w:t>
      </w:r>
    </w:p>
    <w:p w14:paraId="3F940237" w14:textId="77777777" w:rsidR="00737BD1" w:rsidRPr="00016AD6" w:rsidRDefault="00737BD1" w:rsidP="00737BD1">
      <w:pPr>
        <w:pStyle w:val="H56G"/>
        <w:rPr>
          <w:lang w:val="fr-FR"/>
        </w:rPr>
      </w:pPr>
      <w:r>
        <w:rPr>
          <w:lang w:val="fr-FR"/>
        </w:rPr>
        <w:tab/>
        <w:t>b.</w:t>
      </w:r>
      <w:r>
        <w:rPr>
          <w:lang w:val="fr-FR"/>
        </w:rPr>
        <w:tab/>
        <w:t>Résumé du débat</w:t>
      </w:r>
    </w:p>
    <w:p w14:paraId="2C25CEE6" w14:textId="55DC07AA" w:rsidR="00737BD1" w:rsidRPr="00016AD6" w:rsidRDefault="00737BD1" w:rsidP="00737BD1">
      <w:pPr>
        <w:pStyle w:val="SingleTxtG"/>
        <w:rPr>
          <w:rFonts w:asciiTheme="majorBidi" w:hAnsiTheme="majorBidi"/>
          <w:lang w:val="fr-FR"/>
        </w:rPr>
      </w:pPr>
      <w:r>
        <w:rPr>
          <w:rFonts w:asciiTheme="majorBidi" w:hAnsiTheme="majorBidi"/>
          <w:lang w:val="fr-FR"/>
        </w:rPr>
        <w:t>374.</w:t>
      </w:r>
      <w:r>
        <w:rPr>
          <w:rFonts w:asciiTheme="majorBidi" w:hAnsiTheme="majorBidi"/>
          <w:lang w:val="fr-FR"/>
        </w:rPr>
        <w:tab/>
      </w:r>
      <w:r w:rsidRPr="00016AD6">
        <w:rPr>
          <w:rFonts w:asciiTheme="majorBidi" w:hAnsiTheme="majorBidi"/>
          <w:lang w:val="fr-FR"/>
        </w:rPr>
        <w:t>Durant le débat qui a suivi, il a été convenu que le processus serait probablement progressif et que l</w:t>
      </w:r>
      <w:r w:rsidR="004C5E26">
        <w:rPr>
          <w:rFonts w:asciiTheme="majorBidi" w:hAnsiTheme="majorBidi"/>
          <w:lang w:val="fr-FR"/>
        </w:rPr>
        <w:t>’</w:t>
      </w:r>
      <w:r w:rsidRPr="00016AD6">
        <w:rPr>
          <w:rFonts w:asciiTheme="majorBidi" w:hAnsiTheme="majorBidi"/>
          <w:lang w:val="fr-FR"/>
        </w:rPr>
        <w:t xml:space="preserve">on pouvait opérer une distinction entre </w:t>
      </w:r>
      <w:r>
        <w:rPr>
          <w:rFonts w:asciiTheme="majorBidi" w:hAnsiTheme="majorBidi"/>
          <w:lang w:val="fr-FR"/>
        </w:rPr>
        <w:t>l</w:t>
      </w:r>
      <w:r w:rsidRPr="00016AD6">
        <w:rPr>
          <w:rFonts w:asciiTheme="majorBidi" w:hAnsiTheme="majorBidi"/>
          <w:lang w:val="fr-FR"/>
        </w:rPr>
        <w:t>es situations de submersion partielle et totale</w:t>
      </w:r>
      <w:r>
        <w:rPr>
          <w:rFonts w:asciiTheme="majorBidi" w:hAnsiTheme="majorBidi"/>
          <w:lang w:val="fr-FR"/>
        </w:rPr>
        <w:t xml:space="preserve"> de la surface terrestre</w:t>
      </w:r>
      <w:r w:rsidRPr="00016AD6">
        <w:rPr>
          <w:rFonts w:asciiTheme="majorBidi" w:hAnsiTheme="majorBidi"/>
          <w:lang w:val="fr-FR"/>
        </w:rPr>
        <w:t>. Dans un cas comme dans l</w:t>
      </w:r>
      <w:r w:rsidR="004C5E26">
        <w:rPr>
          <w:rFonts w:asciiTheme="majorBidi" w:hAnsiTheme="majorBidi"/>
          <w:lang w:val="fr-FR"/>
        </w:rPr>
        <w:t>’</w:t>
      </w:r>
      <w:r w:rsidRPr="00016AD6">
        <w:rPr>
          <w:rFonts w:asciiTheme="majorBidi" w:hAnsiTheme="majorBidi"/>
          <w:lang w:val="fr-FR"/>
        </w:rPr>
        <w:t xml:space="preserve">autre, les États touchés conservaient le droit de pourvoir à leur préservation, </w:t>
      </w:r>
      <w:r>
        <w:rPr>
          <w:rFonts w:asciiTheme="majorBidi" w:hAnsiTheme="majorBidi"/>
          <w:lang w:val="fr-FR"/>
        </w:rPr>
        <w:t>qui pouvait prendre de nombreuses formes</w:t>
      </w:r>
      <w:r w:rsidRPr="00016AD6">
        <w:rPr>
          <w:rFonts w:asciiTheme="majorBidi" w:hAnsiTheme="majorBidi"/>
          <w:lang w:val="fr-FR"/>
        </w:rPr>
        <w:t>. Selon une opinion, il était souhaitable de se concentrer sur la question des conséquences juridiques de l</w:t>
      </w:r>
      <w:r w:rsidR="004C5E26">
        <w:rPr>
          <w:rFonts w:asciiTheme="majorBidi" w:hAnsiTheme="majorBidi"/>
          <w:lang w:val="fr-FR"/>
        </w:rPr>
        <w:t>’</w:t>
      </w:r>
      <w:proofErr w:type="spellStart"/>
      <w:r w:rsidRPr="00016AD6">
        <w:rPr>
          <w:rFonts w:asciiTheme="majorBidi" w:hAnsiTheme="majorBidi"/>
          <w:lang w:val="fr-FR"/>
        </w:rPr>
        <w:t>inhabitabilité</w:t>
      </w:r>
      <w:proofErr w:type="spellEnd"/>
      <w:r w:rsidRPr="00016AD6">
        <w:rPr>
          <w:rFonts w:asciiTheme="majorBidi" w:hAnsiTheme="majorBidi"/>
          <w:lang w:val="fr-FR"/>
        </w:rPr>
        <w:t xml:space="preserve"> d</w:t>
      </w:r>
      <w:r w:rsidR="004C5E26">
        <w:rPr>
          <w:rFonts w:asciiTheme="majorBidi" w:hAnsiTheme="majorBidi"/>
          <w:lang w:val="fr-FR"/>
        </w:rPr>
        <w:t>’</w:t>
      </w:r>
      <w:r w:rsidRPr="00016AD6">
        <w:rPr>
          <w:rFonts w:asciiTheme="majorBidi" w:hAnsiTheme="majorBidi"/>
          <w:lang w:val="fr-FR"/>
        </w:rPr>
        <w:t>un territoire en raison d</w:t>
      </w:r>
      <w:r w:rsidR="004C5E26">
        <w:rPr>
          <w:rFonts w:asciiTheme="majorBidi" w:hAnsiTheme="majorBidi"/>
          <w:lang w:val="fr-FR"/>
        </w:rPr>
        <w:t>’</w:t>
      </w:r>
      <w:r w:rsidRPr="00016AD6">
        <w:rPr>
          <w:rFonts w:asciiTheme="majorBidi" w:hAnsiTheme="majorBidi"/>
          <w:lang w:val="fr-FR"/>
        </w:rPr>
        <w:t>une submersion partielle due à l</w:t>
      </w:r>
      <w:r w:rsidR="004C5E26">
        <w:rPr>
          <w:rFonts w:asciiTheme="majorBidi" w:hAnsiTheme="majorBidi"/>
          <w:lang w:val="fr-FR"/>
        </w:rPr>
        <w:t>’</w:t>
      </w:r>
      <w:r w:rsidRPr="00016AD6">
        <w:rPr>
          <w:rFonts w:asciiTheme="majorBidi" w:hAnsiTheme="majorBidi"/>
          <w:lang w:val="fr-FR"/>
        </w:rPr>
        <w:t xml:space="preserve">élévation du niveau de la mer, qui interviendrait avant </w:t>
      </w:r>
      <w:r>
        <w:rPr>
          <w:rFonts w:asciiTheme="majorBidi" w:hAnsiTheme="majorBidi"/>
          <w:lang w:val="fr-FR"/>
        </w:rPr>
        <w:t>la submersion</w:t>
      </w:r>
      <w:r w:rsidRPr="00016AD6">
        <w:rPr>
          <w:rFonts w:asciiTheme="majorBidi" w:hAnsiTheme="majorBidi"/>
          <w:lang w:val="fr-FR"/>
        </w:rPr>
        <w:t xml:space="preserve"> totale</w:t>
      </w:r>
      <w:r>
        <w:rPr>
          <w:rFonts w:asciiTheme="majorBidi" w:hAnsiTheme="majorBidi"/>
          <w:lang w:val="fr-FR"/>
        </w:rPr>
        <w:t xml:space="preserve"> de la surface terrestre</w:t>
      </w:r>
      <w:r w:rsidRPr="00016AD6">
        <w:rPr>
          <w:rFonts w:asciiTheme="majorBidi" w:hAnsiTheme="majorBidi"/>
          <w:lang w:val="fr-FR"/>
        </w:rPr>
        <w:t>.</w:t>
      </w:r>
    </w:p>
    <w:p w14:paraId="417F1C01" w14:textId="094DEE2D" w:rsidR="00737BD1" w:rsidRPr="00016AD6" w:rsidRDefault="00737BD1" w:rsidP="00737BD1">
      <w:pPr>
        <w:pStyle w:val="SingleTxtG"/>
        <w:rPr>
          <w:rFonts w:asciiTheme="majorBidi" w:hAnsiTheme="majorBidi"/>
          <w:lang w:val="fr-FR"/>
        </w:rPr>
      </w:pPr>
      <w:r>
        <w:rPr>
          <w:rFonts w:asciiTheme="majorBidi" w:hAnsiTheme="majorBidi"/>
          <w:lang w:val="fr-FR"/>
        </w:rPr>
        <w:t>375.</w:t>
      </w:r>
      <w:r>
        <w:rPr>
          <w:rFonts w:asciiTheme="majorBidi" w:hAnsiTheme="majorBidi"/>
          <w:lang w:val="fr-FR"/>
        </w:rPr>
        <w:tab/>
        <w:t>Certains membres ont approuvé l</w:t>
      </w:r>
      <w:r w:rsidR="004C5E26">
        <w:rPr>
          <w:rFonts w:asciiTheme="majorBidi" w:hAnsiTheme="majorBidi"/>
          <w:lang w:val="fr-FR"/>
        </w:rPr>
        <w:t>’</w:t>
      </w:r>
      <w:r w:rsidRPr="00016AD6">
        <w:rPr>
          <w:rFonts w:asciiTheme="majorBidi" w:hAnsiTheme="majorBidi"/>
          <w:lang w:val="fr-FR"/>
        </w:rPr>
        <w:t xml:space="preserve">opinion exprimée dans la note complémentaire selon laquelle un </w:t>
      </w:r>
      <w:r>
        <w:rPr>
          <w:rFonts w:asciiTheme="majorBidi" w:hAnsiTheme="majorBidi"/>
          <w:lang w:val="fr-FR"/>
        </w:rPr>
        <w:t>État dont la surface terrestre avait été</w:t>
      </w:r>
      <w:r w:rsidRPr="00016AD6">
        <w:rPr>
          <w:rFonts w:asciiTheme="majorBidi" w:hAnsiTheme="majorBidi"/>
          <w:lang w:val="fr-FR"/>
        </w:rPr>
        <w:t xml:space="preserve"> totalement </w:t>
      </w:r>
      <w:r>
        <w:rPr>
          <w:rFonts w:asciiTheme="majorBidi" w:hAnsiTheme="majorBidi"/>
          <w:lang w:val="fr-FR"/>
        </w:rPr>
        <w:t>submergée</w:t>
      </w:r>
      <w:r w:rsidRPr="00016AD6">
        <w:rPr>
          <w:rFonts w:asciiTheme="majorBidi" w:hAnsiTheme="majorBidi"/>
          <w:lang w:val="fr-FR"/>
        </w:rPr>
        <w:t xml:space="preserve"> en raison de l</w:t>
      </w:r>
      <w:r w:rsidR="004C5E26">
        <w:rPr>
          <w:rFonts w:asciiTheme="majorBidi" w:hAnsiTheme="majorBidi"/>
          <w:lang w:val="fr-FR"/>
        </w:rPr>
        <w:t>’</w:t>
      </w:r>
      <w:r w:rsidRPr="00016AD6">
        <w:rPr>
          <w:rFonts w:asciiTheme="majorBidi" w:hAnsiTheme="majorBidi"/>
          <w:lang w:val="fr-FR"/>
        </w:rPr>
        <w:t>élévation du niveau de la mer continuait d</w:t>
      </w:r>
      <w:r w:rsidR="004C5E26">
        <w:rPr>
          <w:rFonts w:asciiTheme="majorBidi" w:hAnsiTheme="majorBidi"/>
          <w:lang w:val="fr-FR"/>
        </w:rPr>
        <w:t>’</w:t>
      </w:r>
      <w:r w:rsidRPr="00016AD6">
        <w:rPr>
          <w:rFonts w:asciiTheme="majorBidi" w:hAnsiTheme="majorBidi"/>
          <w:lang w:val="fr-FR"/>
        </w:rPr>
        <w:t>exister en tant qu</w:t>
      </w:r>
      <w:r w:rsidR="004C5E26">
        <w:rPr>
          <w:rFonts w:asciiTheme="majorBidi" w:hAnsiTheme="majorBidi"/>
          <w:lang w:val="fr-FR"/>
        </w:rPr>
        <w:t>’</w:t>
      </w:r>
      <w:r w:rsidRPr="00016AD6">
        <w:rPr>
          <w:rFonts w:asciiTheme="majorBidi" w:hAnsiTheme="majorBidi"/>
          <w:lang w:val="fr-FR"/>
        </w:rPr>
        <w:t xml:space="preserve">État ; cette position était étroitement liée au débat </w:t>
      </w:r>
      <w:r>
        <w:rPr>
          <w:rFonts w:asciiTheme="majorBidi" w:hAnsiTheme="majorBidi"/>
          <w:lang w:val="fr-FR"/>
        </w:rPr>
        <w:t>qu</w:t>
      </w:r>
      <w:r w:rsidR="004C5E26">
        <w:rPr>
          <w:rFonts w:asciiTheme="majorBidi" w:hAnsiTheme="majorBidi"/>
          <w:lang w:val="fr-FR"/>
        </w:rPr>
        <w:t>’</w:t>
      </w:r>
      <w:r>
        <w:rPr>
          <w:rFonts w:asciiTheme="majorBidi" w:hAnsiTheme="majorBidi"/>
          <w:lang w:val="fr-FR"/>
        </w:rPr>
        <w:t xml:space="preserve">avait tenu </w:t>
      </w:r>
      <w:r w:rsidRPr="00016AD6">
        <w:rPr>
          <w:rFonts w:asciiTheme="majorBidi" w:hAnsiTheme="majorBidi"/>
          <w:lang w:val="fr-FR"/>
        </w:rPr>
        <w:t xml:space="preserve">la Commission </w:t>
      </w:r>
      <w:r>
        <w:rPr>
          <w:rFonts w:asciiTheme="majorBidi" w:hAnsiTheme="majorBidi"/>
          <w:lang w:val="fr-FR"/>
        </w:rPr>
        <w:t xml:space="preserve">en 2023 </w:t>
      </w:r>
      <w:r w:rsidRPr="00016AD6">
        <w:rPr>
          <w:rFonts w:asciiTheme="majorBidi" w:hAnsiTheme="majorBidi"/>
          <w:lang w:val="fr-FR"/>
        </w:rPr>
        <w:t>sur les aspects du sujet concernant le droit de la mer. On a de plus souligné que le lien entre la juridiction et le territoire était historiquement très récent et n</w:t>
      </w:r>
      <w:r w:rsidR="004C5E26">
        <w:rPr>
          <w:rFonts w:asciiTheme="majorBidi" w:hAnsiTheme="majorBidi"/>
          <w:lang w:val="fr-FR"/>
        </w:rPr>
        <w:t>’</w:t>
      </w:r>
      <w:r w:rsidRPr="00016AD6">
        <w:rPr>
          <w:rFonts w:asciiTheme="majorBidi" w:hAnsiTheme="majorBidi"/>
          <w:lang w:val="fr-FR"/>
        </w:rPr>
        <w:t xml:space="preserve">avait pas toujours nécessairement été un </w:t>
      </w:r>
      <w:r w:rsidRPr="00016AD6">
        <w:rPr>
          <w:rFonts w:asciiTheme="majorBidi" w:hAnsiTheme="majorBidi"/>
          <w:lang w:val="fr-FR"/>
        </w:rPr>
        <w:lastRenderedPageBreak/>
        <w:t>prérequis de l</w:t>
      </w:r>
      <w:r w:rsidR="004C5E26">
        <w:rPr>
          <w:rFonts w:asciiTheme="majorBidi" w:hAnsiTheme="majorBidi"/>
          <w:lang w:val="fr-FR"/>
        </w:rPr>
        <w:t>’</w:t>
      </w:r>
      <w:r w:rsidRPr="00016AD6">
        <w:rPr>
          <w:rFonts w:asciiTheme="majorBidi" w:hAnsiTheme="majorBidi"/>
          <w:lang w:val="fr-FR"/>
        </w:rPr>
        <w:t>application du droit. Comme il avait déjà été indiqué du</w:t>
      </w:r>
      <w:r>
        <w:rPr>
          <w:rFonts w:asciiTheme="majorBidi" w:hAnsiTheme="majorBidi"/>
          <w:lang w:val="fr-FR"/>
        </w:rPr>
        <w:t>r</w:t>
      </w:r>
      <w:r w:rsidRPr="00016AD6">
        <w:rPr>
          <w:rFonts w:asciiTheme="majorBidi" w:hAnsiTheme="majorBidi"/>
          <w:lang w:val="fr-FR"/>
        </w:rPr>
        <w:t>ant le débat, la nécessité d</w:t>
      </w:r>
      <w:r w:rsidR="004C5E26">
        <w:rPr>
          <w:rFonts w:asciiTheme="majorBidi" w:hAnsiTheme="majorBidi"/>
          <w:lang w:val="fr-FR"/>
        </w:rPr>
        <w:t>’</w:t>
      </w:r>
      <w:r w:rsidRPr="00016AD6">
        <w:rPr>
          <w:rFonts w:asciiTheme="majorBidi" w:hAnsiTheme="majorBidi"/>
          <w:lang w:val="fr-FR"/>
        </w:rPr>
        <w:t>assurer la sécurité et la stabilité juridiques était une considération importante lorsque l</w:t>
      </w:r>
      <w:r w:rsidR="004C5E26">
        <w:rPr>
          <w:rFonts w:asciiTheme="majorBidi" w:hAnsiTheme="majorBidi"/>
          <w:lang w:val="fr-FR"/>
        </w:rPr>
        <w:t>’</w:t>
      </w:r>
      <w:r w:rsidRPr="00016AD6">
        <w:rPr>
          <w:rFonts w:asciiTheme="majorBidi" w:hAnsiTheme="majorBidi"/>
          <w:lang w:val="fr-FR"/>
        </w:rPr>
        <w:t>on examinait les questions et intérêts en jeu.</w:t>
      </w:r>
    </w:p>
    <w:p w14:paraId="44623305" w14:textId="322B8637" w:rsidR="00737BD1" w:rsidRPr="00016AD6" w:rsidRDefault="00737BD1" w:rsidP="00737BD1">
      <w:pPr>
        <w:pStyle w:val="SingleTxtG"/>
        <w:rPr>
          <w:rFonts w:asciiTheme="majorBidi" w:hAnsiTheme="majorBidi"/>
          <w:lang w:val="fr-FR"/>
        </w:rPr>
      </w:pPr>
      <w:r>
        <w:rPr>
          <w:rFonts w:asciiTheme="majorBidi" w:hAnsiTheme="majorBidi"/>
          <w:lang w:val="fr-FR"/>
        </w:rPr>
        <w:t>376.</w:t>
      </w:r>
      <w:r>
        <w:rPr>
          <w:rFonts w:asciiTheme="majorBidi" w:hAnsiTheme="majorBidi"/>
          <w:lang w:val="fr-FR"/>
        </w:rPr>
        <w:tab/>
      </w:r>
      <w:r w:rsidRPr="00016AD6">
        <w:rPr>
          <w:rFonts w:asciiTheme="majorBidi" w:hAnsiTheme="majorBidi"/>
          <w:lang w:val="fr-FR"/>
        </w:rPr>
        <w:t xml:space="preserve">Selon une autre opinion, il était préférable de se concentrer </w:t>
      </w:r>
      <w:r>
        <w:rPr>
          <w:rFonts w:asciiTheme="majorBidi" w:hAnsiTheme="majorBidi"/>
          <w:lang w:val="fr-FR"/>
        </w:rPr>
        <w:t xml:space="preserve">à la fois </w:t>
      </w:r>
      <w:r w:rsidRPr="00016AD6">
        <w:rPr>
          <w:rFonts w:asciiTheme="majorBidi" w:hAnsiTheme="majorBidi"/>
          <w:lang w:val="fr-FR"/>
        </w:rPr>
        <w:t xml:space="preserve">sur la notion de préservation des titres juridiques </w:t>
      </w:r>
      <w:r>
        <w:rPr>
          <w:rFonts w:asciiTheme="majorBidi" w:hAnsiTheme="majorBidi"/>
          <w:lang w:val="fr-FR"/>
        </w:rPr>
        <w:t xml:space="preserve">et </w:t>
      </w:r>
      <w:r w:rsidRPr="00016AD6">
        <w:rPr>
          <w:rFonts w:asciiTheme="majorBidi" w:hAnsiTheme="majorBidi"/>
          <w:lang w:val="fr-FR"/>
        </w:rPr>
        <w:t>sur la protection de certains intérêts qui méritaient d</w:t>
      </w:r>
      <w:r w:rsidR="004C5E26">
        <w:rPr>
          <w:rFonts w:asciiTheme="majorBidi" w:hAnsiTheme="majorBidi"/>
          <w:lang w:val="fr-FR"/>
        </w:rPr>
        <w:t>’</w:t>
      </w:r>
      <w:r w:rsidRPr="00016AD6">
        <w:rPr>
          <w:rFonts w:asciiTheme="majorBidi" w:hAnsiTheme="majorBidi"/>
          <w:lang w:val="fr-FR"/>
        </w:rPr>
        <w:t>être juridiquement protégés. Il était ce faisant important de dépasser l</w:t>
      </w:r>
      <w:r w:rsidR="004C5E26">
        <w:rPr>
          <w:rFonts w:asciiTheme="majorBidi" w:hAnsiTheme="majorBidi"/>
          <w:lang w:val="fr-FR"/>
        </w:rPr>
        <w:t>’</w:t>
      </w:r>
      <w:r w:rsidRPr="00016AD6">
        <w:rPr>
          <w:rFonts w:asciiTheme="majorBidi" w:hAnsiTheme="majorBidi"/>
          <w:lang w:val="fr-FR"/>
        </w:rPr>
        <w:t>approche de la préservation des droits centrée sur l</w:t>
      </w:r>
      <w:r w:rsidR="004C5E26">
        <w:rPr>
          <w:rFonts w:asciiTheme="majorBidi" w:hAnsiTheme="majorBidi"/>
          <w:lang w:val="fr-FR"/>
        </w:rPr>
        <w:t>’</w:t>
      </w:r>
      <w:r w:rsidRPr="00016AD6">
        <w:rPr>
          <w:rFonts w:asciiTheme="majorBidi" w:hAnsiTheme="majorBidi"/>
          <w:lang w:val="fr-FR"/>
        </w:rPr>
        <w:t xml:space="preserve">État et de tenir également compte des identités et langues autochtones et de tous les divers éléments </w:t>
      </w:r>
      <w:r>
        <w:rPr>
          <w:rFonts w:asciiTheme="majorBidi" w:hAnsiTheme="majorBidi"/>
          <w:lang w:val="fr-FR"/>
        </w:rPr>
        <w:t xml:space="preserve">qui pouvaient, </w:t>
      </w:r>
      <w:r w:rsidRPr="00016AD6">
        <w:rPr>
          <w:rFonts w:asciiTheme="majorBidi" w:hAnsiTheme="majorBidi"/>
          <w:lang w:val="fr-FR"/>
        </w:rPr>
        <w:t>dans certains contexte</w:t>
      </w:r>
      <w:r>
        <w:rPr>
          <w:rFonts w:asciiTheme="majorBidi" w:hAnsiTheme="majorBidi"/>
          <w:lang w:val="fr-FR"/>
        </w:rPr>
        <w:t>s,</w:t>
      </w:r>
      <w:r w:rsidRPr="00016AD6">
        <w:rPr>
          <w:rFonts w:asciiTheme="majorBidi" w:hAnsiTheme="majorBidi"/>
          <w:lang w:val="fr-FR"/>
        </w:rPr>
        <w:t xml:space="preserve"> </w:t>
      </w:r>
      <w:r w:rsidRPr="00D328A8">
        <w:rPr>
          <w:rFonts w:asciiTheme="majorBidi" w:hAnsiTheme="majorBidi"/>
          <w:lang w:val="fr-FR"/>
        </w:rPr>
        <w:t>dépasser</w:t>
      </w:r>
      <w:r>
        <w:rPr>
          <w:rFonts w:asciiTheme="majorBidi" w:hAnsiTheme="majorBidi"/>
          <w:lang w:val="fr-FR"/>
        </w:rPr>
        <w:t xml:space="preserve"> </w:t>
      </w:r>
      <w:r w:rsidRPr="00016AD6">
        <w:rPr>
          <w:rFonts w:asciiTheme="majorBidi" w:hAnsiTheme="majorBidi"/>
          <w:lang w:val="fr-FR"/>
        </w:rPr>
        <w:t>la notion de patrimoine culturel ou de protection du patrimoine culturel mais n</w:t>
      </w:r>
      <w:r w:rsidR="004C5E26">
        <w:rPr>
          <w:rFonts w:asciiTheme="majorBidi" w:hAnsiTheme="majorBidi"/>
          <w:lang w:val="fr-FR"/>
        </w:rPr>
        <w:t>’</w:t>
      </w:r>
      <w:r w:rsidRPr="00016AD6">
        <w:rPr>
          <w:rFonts w:asciiTheme="majorBidi" w:hAnsiTheme="majorBidi"/>
          <w:lang w:val="fr-FR"/>
        </w:rPr>
        <w:t xml:space="preserve">en étaient pas moins liés </w:t>
      </w:r>
      <w:r>
        <w:rPr>
          <w:rFonts w:asciiTheme="majorBidi" w:hAnsiTheme="majorBidi"/>
          <w:lang w:val="fr-FR"/>
        </w:rPr>
        <w:t xml:space="preserve">à des </w:t>
      </w:r>
      <w:r w:rsidRPr="00016AD6">
        <w:rPr>
          <w:rFonts w:asciiTheme="majorBidi" w:hAnsiTheme="majorBidi"/>
          <w:lang w:val="fr-FR"/>
        </w:rPr>
        <w:t xml:space="preserve">normes juridiques devant être respectées. Ainsi, ce qui était nécessaire était </w:t>
      </w:r>
      <w:r>
        <w:rPr>
          <w:rFonts w:asciiTheme="majorBidi" w:hAnsiTheme="majorBidi"/>
          <w:lang w:val="fr-FR"/>
        </w:rPr>
        <w:t xml:space="preserve">moins </w:t>
      </w:r>
      <w:r w:rsidRPr="00016AD6">
        <w:rPr>
          <w:rFonts w:asciiTheme="majorBidi" w:hAnsiTheme="majorBidi"/>
          <w:lang w:val="fr-FR"/>
        </w:rPr>
        <w:t>le droit d</w:t>
      </w:r>
      <w:r w:rsidR="004C5E26">
        <w:rPr>
          <w:rFonts w:asciiTheme="majorBidi" w:hAnsiTheme="majorBidi"/>
          <w:lang w:val="fr-FR"/>
        </w:rPr>
        <w:t>’</w:t>
      </w:r>
      <w:r w:rsidRPr="00016AD6">
        <w:rPr>
          <w:rFonts w:asciiTheme="majorBidi" w:hAnsiTheme="majorBidi"/>
          <w:lang w:val="fr-FR"/>
        </w:rPr>
        <w:t xml:space="preserve">assurer </w:t>
      </w:r>
      <w:r>
        <w:rPr>
          <w:rFonts w:asciiTheme="majorBidi" w:hAnsiTheme="majorBidi"/>
          <w:lang w:val="fr-FR"/>
        </w:rPr>
        <w:t xml:space="preserve">le maintien </w:t>
      </w:r>
      <w:r w:rsidRPr="00016AD6">
        <w:rPr>
          <w:rFonts w:asciiTheme="majorBidi" w:hAnsiTheme="majorBidi"/>
          <w:lang w:val="fr-FR"/>
        </w:rPr>
        <w:t xml:space="preserve">du territoire, qui </w:t>
      </w:r>
      <w:r>
        <w:rPr>
          <w:rFonts w:asciiTheme="majorBidi" w:hAnsiTheme="majorBidi"/>
          <w:lang w:val="fr-FR"/>
        </w:rPr>
        <w:t xml:space="preserve">concernait davantage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 xml:space="preserve">établissement </w:t>
      </w:r>
      <w:r>
        <w:rPr>
          <w:rFonts w:asciiTheme="majorBidi" w:hAnsiTheme="majorBidi"/>
          <w:lang w:val="fr-FR"/>
        </w:rPr>
        <w:t>de barrières</w:t>
      </w:r>
      <w:r w:rsidRPr="00016AD6">
        <w:rPr>
          <w:rFonts w:asciiTheme="majorBidi" w:hAnsiTheme="majorBidi"/>
          <w:lang w:val="fr-FR"/>
        </w:rPr>
        <w:t xml:space="preserve"> physiques ou </w:t>
      </w:r>
      <w:r>
        <w:rPr>
          <w:rFonts w:asciiTheme="majorBidi" w:hAnsiTheme="majorBidi"/>
          <w:lang w:val="fr-FR"/>
        </w:rPr>
        <w:t xml:space="preserve">les </w:t>
      </w:r>
      <w:r w:rsidRPr="00016AD6">
        <w:rPr>
          <w:rFonts w:asciiTheme="majorBidi" w:hAnsiTheme="majorBidi"/>
          <w:lang w:val="fr-FR"/>
        </w:rPr>
        <w:t>autres efforts d</w:t>
      </w:r>
      <w:r w:rsidR="004C5E26">
        <w:rPr>
          <w:rFonts w:asciiTheme="majorBidi" w:hAnsiTheme="majorBidi"/>
          <w:lang w:val="fr-FR"/>
        </w:rPr>
        <w:t>’</w:t>
      </w:r>
      <w:r w:rsidRPr="00016AD6">
        <w:rPr>
          <w:rFonts w:asciiTheme="majorBidi" w:hAnsiTheme="majorBidi"/>
          <w:lang w:val="fr-FR"/>
        </w:rPr>
        <w:t>atténuation</w:t>
      </w:r>
      <w:r>
        <w:rPr>
          <w:rFonts w:asciiTheme="majorBidi" w:hAnsiTheme="majorBidi"/>
          <w:lang w:val="fr-FR"/>
        </w:rPr>
        <w:t xml:space="preserve">, que </w:t>
      </w:r>
      <w:r w:rsidRPr="00016AD6">
        <w:rPr>
          <w:rFonts w:asciiTheme="majorBidi" w:hAnsiTheme="majorBidi"/>
          <w:lang w:val="fr-FR"/>
        </w:rPr>
        <w:t>la préservation des titres juridiques sur les espaces terrestres et maritimes relevant de la juridiction de l</w:t>
      </w:r>
      <w:r w:rsidR="004C5E26">
        <w:rPr>
          <w:rFonts w:asciiTheme="majorBidi" w:hAnsiTheme="majorBidi"/>
          <w:lang w:val="fr-FR"/>
        </w:rPr>
        <w:t>’</w:t>
      </w:r>
      <w:r w:rsidRPr="00016AD6">
        <w:rPr>
          <w:rFonts w:asciiTheme="majorBidi" w:hAnsiTheme="majorBidi"/>
          <w:lang w:val="fr-FR"/>
        </w:rPr>
        <w:t xml:space="preserve">État touché. </w:t>
      </w:r>
      <w:r>
        <w:rPr>
          <w:rFonts w:asciiTheme="majorBidi" w:hAnsiTheme="majorBidi"/>
          <w:lang w:val="fr-FR"/>
        </w:rPr>
        <w:t>A</w:t>
      </w:r>
      <w:r w:rsidRPr="00016AD6">
        <w:rPr>
          <w:rFonts w:asciiTheme="majorBidi" w:hAnsiTheme="majorBidi"/>
          <w:lang w:val="fr-FR"/>
        </w:rPr>
        <w:t>insi</w:t>
      </w:r>
      <w:r>
        <w:rPr>
          <w:rFonts w:asciiTheme="majorBidi" w:hAnsiTheme="majorBidi"/>
          <w:lang w:val="fr-FR"/>
        </w:rPr>
        <w:t xml:space="preserve">, il fallait </w:t>
      </w:r>
      <w:r w:rsidRPr="00016AD6">
        <w:rPr>
          <w:rFonts w:asciiTheme="majorBidi" w:hAnsiTheme="majorBidi"/>
          <w:lang w:val="fr-FR"/>
        </w:rPr>
        <w:t>examiner l</w:t>
      </w:r>
      <w:r>
        <w:rPr>
          <w:rFonts w:asciiTheme="majorBidi" w:hAnsiTheme="majorBidi"/>
          <w:lang w:val="fr-FR"/>
        </w:rPr>
        <w:t>es devoirs</w:t>
      </w:r>
      <w:r w:rsidRPr="00016AD6">
        <w:rPr>
          <w:rFonts w:asciiTheme="majorBidi" w:hAnsiTheme="majorBidi"/>
          <w:lang w:val="fr-FR"/>
        </w:rPr>
        <w:t xml:space="preserve"> précis des États en relation avec cette préservation des titres juridiques et de la condition étatique. On a fait valoir que ces questions devaient être envisagées aux niveaux régional et local </w:t>
      </w:r>
      <w:r>
        <w:rPr>
          <w:rFonts w:asciiTheme="majorBidi" w:hAnsiTheme="majorBidi"/>
          <w:lang w:val="fr-FR"/>
        </w:rPr>
        <w:t>dans le cadre d</w:t>
      </w:r>
      <w:r w:rsidR="004C5E26">
        <w:rPr>
          <w:rFonts w:asciiTheme="majorBidi" w:hAnsiTheme="majorBidi"/>
          <w:lang w:val="fr-FR"/>
        </w:rPr>
        <w:t>’</w:t>
      </w:r>
      <w:r w:rsidRPr="00016AD6">
        <w:rPr>
          <w:rFonts w:asciiTheme="majorBidi" w:hAnsiTheme="majorBidi"/>
          <w:lang w:val="fr-FR"/>
        </w:rPr>
        <w:t>accords qui tiendraient compte, par exemple, de</w:t>
      </w:r>
      <w:r>
        <w:rPr>
          <w:rFonts w:asciiTheme="majorBidi" w:hAnsiTheme="majorBidi"/>
          <w:lang w:val="fr-FR"/>
        </w:rPr>
        <w:t xml:space="preserve"> l</w:t>
      </w:r>
      <w:r w:rsidR="004C5E26">
        <w:rPr>
          <w:rFonts w:asciiTheme="majorBidi" w:hAnsiTheme="majorBidi"/>
          <w:lang w:val="fr-FR"/>
        </w:rPr>
        <w:t>’</w:t>
      </w:r>
      <w:r>
        <w:rPr>
          <w:rFonts w:asciiTheme="majorBidi" w:hAnsiTheme="majorBidi"/>
          <w:lang w:val="fr-FR"/>
        </w:rPr>
        <w:t xml:space="preserve">approche </w:t>
      </w:r>
      <w:r w:rsidRPr="00016AD6">
        <w:rPr>
          <w:rFonts w:asciiTheme="majorBidi" w:hAnsiTheme="majorBidi"/>
          <w:lang w:val="fr-FR"/>
        </w:rPr>
        <w:t>différente suivie dans l</w:t>
      </w:r>
      <w:r w:rsidR="004C5E26">
        <w:rPr>
          <w:rFonts w:asciiTheme="majorBidi" w:hAnsiTheme="majorBidi"/>
          <w:lang w:val="fr-FR"/>
        </w:rPr>
        <w:t>’</w:t>
      </w:r>
      <w:r w:rsidRPr="00016AD6">
        <w:rPr>
          <w:rFonts w:asciiTheme="majorBidi" w:hAnsiTheme="majorBidi"/>
          <w:lang w:val="fr-FR"/>
        </w:rPr>
        <w:t xml:space="preserve">examen des demandes individuelles de personnes souhaitant être réinstallées, par opposition à une approche </w:t>
      </w:r>
      <w:r>
        <w:rPr>
          <w:rFonts w:asciiTheme="majorBidi" w:hAnsiTheme="majorBidi"/>
          <w:lang w:val="fr-FR"/>
        </w:rPr>
        <w:t>collective</w:t>
      </w:r>
      <w:r w:rsidRPr="00016AD6">
        <w:rPr>
          <w:rFonts w:asciiTheme="majorBidi" w:hAnsiTheme="majorBidi"/>
          <w:lang w:val="fr-FR"/>
        </w:rPr>
        <w:t>. Il était important d</w:t>
      </w:r>
      <w:r w:rsidR="004C5E26">
        <w:rPr>
          <w:rFonts w:asciiTheme="majorBidi" w:hAnsiTheme="majorBidi"/>
          <w:lang w:val="fr-FR"/>
        </w:rPr>
        <w:t>’</w:t>
      </w:r>
      <w:r w:rsidRPr="00016AD6">
        <w:rPr>
          <w:rFonts w:asciiTheme="majorBidi" w:hAnsiTheme="majorBidi"/>
          <w:lang w:val="fr-FR"/>
        </w:rPr>
        <w:t xml:space="preserve">adopter des solutions novatrices et rapides pour </w:t>
      </w:r>
      <w:r>
        <w:rPr>
          <w:rFonts w:asciiTheme="majorBidi" w:hAnsiTheme="majorBidi"/>
          <w:lang w:val="fr-FR"/>
        </w:rPr>
        <w:t xml:space="preserve">prévenir </w:t>
      </w:r>
      <w:r w:rsidRPr="00016AD6">
        <w:rPr>
          <w:rFonts w:asciiTheme="majorBidi" w:hAnsiTheme="majorBidi"/>
          <w:lang w:val="fr-FR"/>
        </w:rPr>
        <w:t xml:space="preserve">une concurrence </w:t>
      </w:r>
      <w:r>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intérêts. On a aussi suggéré que le Groupe d</w:t>
      </w:r>
      <w:r w:rsidR="004C5E26">
        <w:rPr>
          <w:rFonts w:asciiTheme="majorBidi" w:hAnsiTheme="majorBidi"/>
          <w:lang w:val="fr-FR"/>
        </w:rPr>
        <w:t>’</w:t>
      </w:r>
      <w:r w:rsidRPr="00016AD6">
        <w:rPr>
          <w:rFonts w:asciiTheme="majorBidi" w:hAnsiTheme="majorBidi"/>
          <w:lang w:val="fr-FR"/>
        </w:rPr>
        <w:t xml:space="preserve">étude </w:t>
      </w:r>
      <w:r>
        <w:rPr>
          <w:rFonts w:asciiTheme="majorBidi" w:hAnsiTheme="majorBidi"/>
          <w:lang w:val="fr-FR"/>
        </w:rPr>
        <w:t>analyse</w:t>
      </w:r>
      <w:r w:rsidRPr="00016AD6">
        <w:rPr>
          <w:rFonts w:asciiTheme="majorBidi" w:hAnsiTheme="majorBidi"/>
          <w:lang w:val="fr-FR"/>
        </w:rPr>
        <w:t xml:space="preserve"> la notion de droits acquis et </w:t>
      </w:r>
      <w:r>
        <w:rPr>
          <w:rFonts w:asciiTheme="majorBidi" w:hAnsiTheme="majorBidi"/>
          <w:lang w:val="fr-FR"/>
        </w:rPr>
        <w:t xml:space="preserve">le lien de celle-ci avec </w:t>
      </w:r>
      <w:r w:rsidRPr="00016AD6">
        <w:rPr>
          <w:rFonts w:asciiTheme="majorBidi" w:hAnsiTheme="majorBidi"/>
          <w:lang w:val="fr-FR"/>
        </w:rPr>
        <w:t>le droit international des droits de l</w:t>
      </w:r>
      <w:r w:rsidR="004C5E26">
        <w:rPr>
          <w:rFonts w:asciiTheme="majorBidi" w:hAnsiTheme="majorBidi"/>
          <w:lang w:val="fr-FR"/>
        </w:rPr>
        <w:t>’</w:t>
      </w:r>
      <w:r w:rsidRPr="00016AD6">
        <w:rPr>
          <w:rFonts w:asciiTheme="majorBidi" w:hAnsiTheme="majorBidi"/>
          <w:lang w:val="fr-FR"/>
        </w:rPr>
        <w:t>homme</w:t>
      </w:r>
      <w:r w:rsidRPr="00E9227E">
        <w:rPr>
          <w:rStyle w:val="Appelnotedebasdep"/>
        </w:rPr>
        <w:footnoteReference w:id="266"/>
      </w:r>
      <w:r w:rsidRPr="00016AD6">
        <w:rPr>
          <w:rFonts w:asciiTheme="majorBidi" w:hAnsiTheme="majorBidi"/>
          <w:lang w:val="fr-FR"/>
        </w:rPr>
        <w:t>.</w:t>
      </w:r>
    </w:p>
    <w:p w14:paraId="064C2CCC" w14:textId="71A7D3CD" w:rsidR="00737BD1" w:rsidRPr="00016AD6" w:rsidRDefault="00737BD1" w:rsidP="00737BD1">
      <w:pPr>
        <w:pStyle w:val="SingleTxtG"/>
        <w:rPr>
          <w:lang w:val="fr-FR"/>
        </w:rPr>
      </w:pPr>
      <w:r>
        <w:rPr>
          <w:lang w:val="fr-FR"/>
        </w:rPr>
        <w:t>377.</w:t>
      </w:r>
      <w:r>
        <w:rPr>
          <w:lang w:val="fr-FR"/>
        </w:rPr>
        <w:tab/>
      </w:r>
      <w:r w:rsidRPr="00016AD6">
        <w:rPr>
          <w:lang w:val="fr-FR"/>
        </w:rPr>
        <w:t>Il a également été convenu qu</w:t>
      </w:r>
      <w:r w:rsidR="004C5E26">
        <w:rPr>
          <w:lang w:val="fr-FR"/>
        </w:rPr>
        <w:t>’</w:t>
      </w:r>
      <w:r w:rsidRPr="00016AD6">
        <w:rPr>
          <w:lang w:val="fr-FR"/>
        </w:rPr>
        <w:t>il était essentiel que la Commission mette l</w:t>
      </w:r>
      <w:r w:rsidR="004C5E26">
        <w:rPr>
          <w:lang w:val="fr-FR"/>
        </w:rPr>
        <w:t>’</w:t>
      </w:r>
      <w:r w:rsidRPr="00016AD6">
        <w:rPr>
          <w:lang w:val="fr-FR"/>
        </w:rPr>
        <w:t>accent sur l</w:t>
      </w:r>
      <w:r w:rsidR="004C5E26">
        <w:rPr>
          <w:lang w:val="fr-FR"/>
        </w:rPr>
        <w:t>’</w:t>
      </w:r>
      <w:r>
        <w:rPr>
          <w:lang w:val="fr-FR"/>
        </w:rPr>
        <w:t>obligation de coopérer</w:t>
      </w:r>
      <w:r w:rsidRPr="00016AD6">
        <w:rPr>
          <w:lang w:val="fr-FR"/>
        </w:rPr>
        <w:t>, que ce soit en tant que principe général d</w:t>
      </w:r>
      <w:r>
        <w:rPr>
          <w:lang w:val="fr-FR"/>
        </w:rPr>
        <w:t>u</w:t>
      </w:r>
      <w:r w:rsidRPr="00016AD6">
        <w:rPr>
          <w:lang w:val="fr-FR"/>
        </w:rPr>
        <w:t xml:space="preserve"> droit ou règle d</w:t>
      </w:r>
      <w:r>
        <w:rPr>
          <w:lang w:val="fr-FR"/>
        </w:rPr>
        <w:t>e</w:t>
      </w:r>
      <w:r w:rsidRPr="00016AD6">
        <w:rPr>
          <w:lang w:val="fr-FR"/>
        </w:rPr>
        <w:t xml:space="preserve"> droit international coutumier. Il a été fait référence aux dispositions de la Convention des Nations Unies sur le droit de la mer relative</w:t>
      </w:r>
      <w:r>
        <w:rPr>
          <w:lang w:val="fr-FR"/>
        </w:rPr>
        <w:t>s</w:t>
      </w:r>
      <w:r w:rsidRPr="00016AD6">
        <w:rPr>
          <w:lang w:val="fr-FR"/>
        </w:rPr>
        <w:t xml:space="preserve"> à la coopération, qui méritaient d</w:t>
      </w:r>
      <w:r w:rsidR="004C5E26">
        <w:rPr>
          <w:lang w:val="fr-FR"/>
        </w:rPr>
        <w:t>’</w:t>
      </w:r>
      <w:r w:rsidRPr="00016AD6">
        <w:rPr>
          <w:lang w:val="fr-FR"/>
        </w:rPr>
        <w:t>être examinées plus avant dans le présent contexte. On a rappelé que l</w:t>
      </w:r>
      <w:r w:rsidR="004C5E26">
        <w:rPr>
          <w:lang w:val="fr-FR"/>
        </w:rPr>
        <w:t>’</w:t>
      </w:r>
      <w:r w:rsidRPr="00016AD6">
        <w:rPr>
          <w:lang w:val="fr-FR"/>
        </w:rPr>
        <w:t>obligation de coopérer figurait également dans certains des travaux antérieurs de la Commission.</w:t>
      </w:r>
    </w:p>
    <w:p w14:paraId="335F49C1" w14:textId="4F940BE2" w:rsidR="00737BD1" w:rsidRPr="00016AD6" w:rsidRDefault="00737BD1" w:rsidP="00737BD1">
      <w:pPr>
        <w:pStyle w:val="SingleTxtG"/>
        <w:rPr>
          <w:rFonts w:asciiTheme="majorBidi" w:hAnsiTheme="majorBidi"/>
          <w:lang w:val="fr-FR"/>
        </w:rPr>
      </w:pPr>
      <w:r>
        <w:rPr>
          <w:rFonts w:asciiTheme="majorBidi" w:hAnsiTheme="majorBidi"/>
          <w:lang w:val="fr-FR"/>
        </w:rPr>
        <w:t>378.</w:t>
      </w:r>
      <w:r>
        <w:rPr>
          <w:rFonts w:asciiTheme="majorBidi" w:hAnsiTheme="majorBidi"/>
          <w:lang w:val="fr-FR"/>
        </w:rPr>
        <w:tab/>
      </w:r>
      <w:r w:rsidRPr="00016AD6">
        <w:rPr>
          <w:rFonts w:asciiTheme="majorBidi" w:hAnsiTheme="majorBidi"/>
          <w:lang w:val="fr-FR"/>
        </w:rPr>
        <w:t>On a souligné qu</w:t>
      </w:r>
      <w:r w:rsidR="004C5E26">
        <w:rPr>
          <w:rFonts w:asciiTheme="majorBidi" w:hAnsiTheme="majorBidi"/>
          <w:lang w:val="fr-FR"/>
        </w:rPr>
        <w:t>’</w:t>
      </w:r>
      <w:r w:rsidRPr="00016AD6">
        <w:rPr>
          <w:rFonts w:asciiTheme="majorBidi" w:hAnsiTheme="majorBidi"/>
          <w:lang w:val="fr-FR"/>
        </w:rPr>
        <w:t>il existait de multiples obligations de coopérer, dont certaines</w:t>
      </w:r>
      <w:r>
        <w:rPr>
          <w:rFonts w:asciiTheme="majorBidi" w:hAnsiTheme="majorBidi"/>
          <w:lang w:val="fr-FR"/>
        </w:rPr>
        <w:t>,</w:t>
      </w:r>
      <w:r w:rsidRPr="00016AD6">
        <w:rPr>
          <w:rFonts w:asciiTheme="majorBidi" w:hAnsiTheme="majorBidi"/>
          <w:lang w:val="fr-FR"/>
        </w:rPr>
        <w:t xml:space="preserve"> comme </w:t>
      </w:r>
      <w:r>
        <w:rPr>
          <w:rFonts w:asciiTheme="majorBidi" w:hAnsiTheme="majorBidi"/>
          <w:lang w:val="fr-FR"/>
        </w:rPr>
        <w:t xml:space="preserve">celle énoncée à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article</w:t>
      </w:r>
      <w:r>
        <w:rPr>
          <w:rFonts w:asciiTheme="majorBidi" w:hAnsiTheme="majorBidi"/>
          <w:lang w:val="fr-FR"/>
        </w:rPr>
        <w:t> </w:t>
      </w:r>
      <w:r w:rsidRPr="00016AD6">
        <w:rPr>
          <w:rFonts w:asciiTheme="majorBidi" w:hAnsiTheme="majorBidi"/>
          <w:lang w:val="fr-FR"/>
        </w:rPr>
        <w:t>7 du projet d</w:t>
      </w:r>
      <w:r w:rsidR="004C5E26">
        <w:rPr>
          <w:rFonts w:asciiTheme="majorBidi" w:hAnsiTheme="majorBidi"/>
          <w:lang w:val="fr-FR"/>
        </w:rPr>
        <w:t>’</w:t>
      </w:r>
      <w:r w:rsidRPr="00016AD6">
        <w:rPr>
          <w:rFonts w:asciiTheme="majorBidi" w:hAnsiTheme="majorBidi"/>
          <w:lang w:val="fr-FR"/>
        </w:rPr>
        <w:t>articles sur la protection des personnes en cas de catastrophe</w:t>
      </w:r>
      <w:r>
        <w:rPr>
          <w:rFonts w:asciiTheme="majorBidi" w:hAnsiTheme="majorBidi"/>
          <w:lang w:val="fr-FR"/>
        </w:rPr>
        <w:t>,</w:t>
      </w:r>
      <w:r w:rsidRPr="00016AD6">
        <w:rPr>
          <w:rFonts w:asciiTheme="majorBidi" w:hAnsiTheme="majorBidi"/>
          <w:lang w:val="fr-FR"/>
        </w:rPr>
        <w:t xml:space="preserve"> </w:t>
      </w:r>
      <w:r>
        <w:rPr>
          <w:rFonts w:asciiTheme="majorBidi" w:hAnsiTheme="majorBidi"/>
          <w:lang w:val="fr-FR"/>
        </w:rPr>
        <w:t xml:space="preserve">étaient </w:t>
      </w:r>
      <w:r w:rsidRPr="00016AD6">
        <w:rPr>
          <w:rFonts w:asciiTheme="majorBidi" w:hAnsiTheme="majorBidi"/>
          <w:lang w:val="fr-FR"/>
        </w:rPr>
        <w:t>exprimées sous une forme « </w:t>
      </w:r>
      <w:r>
        <w:rPr>
          <w:rFonts w:asciiTheme="majorBidi" w:hAnsiTheme="majorBidi"/>
          <w:lang w:val="fr-FR"/>
        </w:rPr>
        <w:t>plus souple</w:t>
      </w:r>
      <w:r w:rsidRPr="00016AD6">
        <w:rPr>
          <w:rFonts w:asciiTheme="majorBidi" w:hAnsiTheme="majorBidi"/>
          <w:lang w:val="fr-FR"/>
        </w:rPr>
        <w:t> » que d</w:t>
      </w:r>
      <w:r w:rsidR="004C5E26">
        <w:rPr>
          <w:rFonts w:asciiTheme="majorBidi" w:hAnsiTheme="majorBidi"/>
          <w:lang w:val="fr-FR"/>
        </w:rPr>
        <w:t>’</w:t>
      </w:r>
      <w:r w:rsidRPr="00016AD6">
        <w:rPr>
          <w:rFonts w:asciiTheme="majorBidi" w:hAnsiTheme="majorBidi"/>
          <w:lang w:val="fr-FR"/>
        </w:rPr>
        <w:t>autres</w:t>
      </w:r>
      <w:r>
        <w:rPr>
          <w:rFonts w:asciiTheme="majorBidi" w:hAnsiTheme="majorBidi"/>
          <w:lang w:val="fr-FR"/>
        </w:rPr>
        <w:t>,</w:t>
      </w:r>
      <w:r w:rsidRPr="00016AD6">
        <w:rPr>
          <w:rFonts w:asciiTheme="majorBidi" w:hAnsiTheme="majorBidi"/>
          <w:lang w:val="fr-FR"/>
        </w:rPr>
        <w:t xml:space="preserve"> comme </w:t>
      </w:r>
      <w:r>
        <w:rPr>
          <w:rFonts w:asciiTheme="majorBidi" w:hAnsiTheme="majorBidi"/>
          <w:lang w:val="fr-FR"/>
        </w:rPr>
        <w:t xml:space="preserve">celles énoncées à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 xml:space="preserve">article 197 de la </w:t>
      </w:r>
      <w:r w:rsidRPr="00016AD6">
        <w:rPr>
          <w:rFonts w:asciiTheme="majorBidi" w:eastAsia="Calibri" w:hAnsiTheme="majorBidi"/>
          <w:lang w:val="fr-FR"/>
        </w:rPr>
        <w:t>Convention des Nations Unies sur le droit de la mer</w:t>
      </w:r>
      <w:r>
        <w:rPr>
          <w:rFonts w:asciiTheme="majorBidi" w:eastAsia="Calibri" w:hAnsiTheme="majorBidi"/>
          <w:lang w:val="fr-FR"/>
        </w:rPr>
        <w:t>,</w:t>
      </w:r>
      <w:r w:rsidRPr="00016AD6">
        <w:rPr>
          <w:rFonts w:asciiTheme="majorBidi" w:hAnsiTheme="majorBidi"/>
          <w:lang w:val="fr-FR"/>
        </w:rPr>
        <w:t xml:space="preserve"> qui étaient </w:t>
      </w:r>
      <w:r>
        <w:rPr>
          <w:rFonts w:asciiTheme="majorBidi" w:hAnsiTheme="majorBidi"/>
          <w:lang w:val="fr-FR"/>
        </w:rPr>
        <w:t>formulées en termes plus péremptoires</w:t>
      </w:r>
      <w:r w:rsidRPr="00016AD6">
        <w:rPr>
          <w:rFonts w:asciiTheme="majorBidi" w:hAnsiTheme="majorBidi"/>
          <w:lang w:val="fr-FR"/>
        </w:rPr>
        <w:t>.</w:t>
      </w:r>
    </w:p>
    <w:bookmarkEnd w:id="140"/>
    <w:p w14:paraId="699D3B11" w14:textId="0D7DA273" w:rsidR="00737BD1" w:rsidRPr="00745A01" w:rsidRDefault="00737BD1" w:rsidP="00737BD1">
      <w:pPr>
        <w:pStyle w:val="H4G"/>
        <w:rPr>
          <w:lang w:val="fr-FR"/>
        </w:rPr>
      </w:pPr>
      <w:r w:rsidRPr="00016AD6">
        <w:rPr>
          <w:lang w:val="fr-FR"/>
        </w:rPr>
        <w:tab/>
      </w:r>
      <w:r w:rsidRPr="00745A01">
        <w:rPr>
          <w:lang w:val="fr-FR"/>
        </w:rPr>
        <w:t>v</w:t>
      </w:r>
      <w:r>
        <w:rPr>
          <w:lang w:val="fr-FR"/>
        </w:rPr>
        <w:t>)</w:t>
      </w:r>
      <w:r w:rsidRPr="00745A01">
        <w:rPr>
          <w:lang w:val="fr-FR"/>
        </w:rPr>
        <w:tab/>
        <w:t>Options envisageables pour le traitement du phénomène au regard de la condition étatique</w:t>
      </w:r>
    </w:p>
    <w:p w14:paraId="4FEFDFBB" w14:textId="77777777" w:rsidR="00737BD1" w:rsidRDefault="00737BD1" w:rsidP="00737BD1">
      <w:pPr>
        <w:pStyle w:val="H56G"/>
        <w:rPr>
          <w:lang w:val="fr-FR"/>
        </w:rPr>
      </w:pPr>
      <w:r>
        <w:rPr>
          <w:lang w:val="fr-FR"/>
        </w:rPr>
        <w:tab/>
        <w:t>a.</w:t>
      </w:r>
      <w:r>
        <w:rPr>
          <w:lang w:val="fr-FR"/>
        </w:rPr>
        <w:tab/>
        <w:t>Présentation par le Coprésident</w:t>
      </w:r>
    </w:p>
    <w:p w14:paraId="4066D9A2" w14:textId="7DD511D8" w:rsidR="00737BD1" w:rsidRPr="00016AD6" w:rsidRDefault="00737BD1" w:rsidP="00737BD1">
      <w:pPr>
        <w:pStyle w:val="SingleTxtG"/>
        <w:rPr>
          <w:lang w:val="fr-FR"/>
        </w:rPr>
      </w:pPr>
      <w:r>
        <w:rPr>
          <w:lang w:val="fr-FR"/>
        </w:rPr>
        <w:t>379.</w:t>
      </w:r>
      <w:r>
        <w:rPr>
          <w:lang w:val="fr-FR"/>
        </w:rPr>
        <w:tab/>
      </w:r>
      <w:r w:rsidRPr="00016AD6">
        <w:rPr>
          <w:lang w:val="fr-FR"/>
        </w:rPr>
        <w:t xml:space="preserve">Présentant la question des cas de figure possibles, le Coprésident </w:t>
      </w:r>
      <w:r>
        <w:rPr>
          <w:lang w:val="fr-FR"/>
        </w:rPr>
        <w:t>(M. </w:t>
      </w:r>
      <w:proofErr w:type="spellStart"/>
      <w:r>
        <w:rPr>
          <w:lang w:val="fr-FR"/>
        </w:rPr>
        <w:t>Ruda</w:t>
      </w:r>
      <w:proofErr w:type="spellEnd"/>
      <w:r w:rsidR="00CC2174">
        <w:rPr>
          <w:lang w:val="fr-FR"/>
        </w:rPr>
        <w:t> </w:t>
      </w:r>
      <w:proofErr w:type="spellStart"/>
      <w:r>
        <w:rPr>
          <w:lang w:val="fr-FR"/>
        </w:rPr>
        <w:t>Santolaria</w:t>
      </w:r>
      <w:proofErr w:type="spellEnd"/>
      <w:r>
        <w:rPr>
          <w:lang w:val="fr-FR"/>
        </w:rPr>
        <w:t xml:space="preserve">) </w:t>
      </w:r>
      <w:r w:rsidRPr="00016AD6">
        <w:rPr>
          <w:lang w:val="fr-FR"/>
        </w:rPr>
        <w:t>a rappelé l</w:t>
      </w:r>
      <w:r w:rsidR="004C5E26">
        <w:rPr>
          <w:lang w:val="fr-FR"/>
        </w:rPr>
        <w:t>’</w:t>
      </w:r>
      <w:r w:rsidRPr="00016AD6">
        <w:rPr>
          <w:lang w:val="fr-FR"/>
        </w:rPr>
        <w:t>observation du Secrétaire général selon laquelle l</w:t>
      </w:r>
      <w:r w:rsidR="004C5E26">
        <w:rPr>
          <w:lang w:val="fr-FR"/>
        </w:rPr>
        <w:t>’</w:t>
      </w:r>
      <w:r w:rsidRPr="00016AD6">
        <w:rPr>
          <w:lang w:val="fr-FR"/>
        </w:rPr>
        <w:t>ampleur des répercussions du phénomène de l</w:t>
      </w:r>
      <w:r w:rsidR="004C5E26">
        <w:rPr>
          <w:lang w:val="fr-FR"/>
        </w:rPr>
        <w:t>’</w:t>
      </w:r>
      <w:r w:rsidRPr="00016AD6">
        <w:rPr>
          <w:lang w:val="fr-FR"/>
        </w:rPr>
        <w:t>élévation du niveau de la mer sur les plans juridique</w:t>
      </w:r>
      <w:r>
        <w:rPr>
          <w:lang w:val="fr-FR"/>
        </w:rPr>
        <w:t>s</w:t>
      </w:r>
      <w:r w:rsidRPr="00016AD6">
        <w:rPr>
          <w:lang w:val="fr-FR"/>
        </w:rPr>
        <w:t xml:space="preserve"> et des droits de l</w:t>
      </w:r>
      <w:r w:rsidR="004C5E26">
        <w:rPr>
          <w:lang w:val="fr-FR"/>
        </w:rPr>
        <w:t>’</w:t>
      </w:r>
      <w:r w:rsidRPr="00016AD6">
        <w:rPr>
          <w:lang w:val="fr-FR"/>
        </w:rPr>
        <w:t xml:space="preserve">homme exigeait des solutions juridiques et pratiques innovantes. Pour le Coprésident, aussi longtemps que </w:t>
      </w:r>
      <w:r>
        <w:rPr>
          <w:lang w:val="fr-FR"/>
        </w:rPr>
        <w:t>la surface</w:t>
      </w:r>
      <w:r w:rsidRPr="00016AD6">
        <w:rPr>
          <w:lang w:val="fr-FR"/>
        </w:rPr>
        <w:t xml:space="preserve"> terrestre n</w:t>
      </w:r>
      <w:r w:rsidR="004C5E26">
        <w:rPr>
          <w:lang w:val="fr-FR"/>
        </w:rPr>
        <w:t>’</w:t>
      </w:r>
      <w:r w:rsidRPr="00016AD6">
        <w:rPr>
          <w:lang w:val="fr-FR"/>
        </w:rPr>
        <w:t>était pas totalement recouvert</w:t>
      </w:r>
      <w:r>
        <w:rPr>
          <w:lang w:val="fr-FR"/>
        </w:rPr>
        <w:t>e</w:t>
      </w:r>
      <w:r w:rsidRPr="00016AD6">
        <w:rPr>
          <w:lang w:val="fr-FR"/>
        </w:rPr>
        <w:t xml:space="preserve"> par la mer, le </w:t>
      </w:r>
      <w:r>
        <w:rPr>
          <w:lang w:val="fr-FR"/>
        </w:rPr>
        <w:t>G</w:t>
      </w:r>
      <w:r w:rsidRPr="00016AD6">
        <w:rPr>
          <w:lang w:val="fr-FR"/>
        </w:rPr>
        <w:t>ouvernement de l</w:t>
      </w:r>
      <w:r w:rsidR="004C5E26">
        <w:rPr>
          <w:lang w:val="fr-FR"/>
        </w:rPr>
        <w:t>’</w:t>
      </w:r>
      <w:r w:rsidRPr="00016AD6">
        <w:rPr>
          <w:lang w:val="fr-FR"/>
        </w:rPr>
        <w:t xml:space="preserve">État </w:t>
      </w:r>
      <w:r>
        <w:rPr>
          <w:lang w:val="fr-FR"/>
        </w:rPr>
        <w:t xml:space="preserve">concerné </w:t>
      </w:r>
      <w:r w:rsidRPr="00016AD6">
        <w:rPr>
          <w:lang w:val="fr-FR"/>
        </w:rPr>
        <w:t>pourrait s</w:t>
      </w:r>
      <w:r w:rsidR="004C5E26">
        <w:rPr>
          <w:lang w:val="fr-FR"/>
        </w:rPr>
        <w:t>’</w:t>
      </w:r>
      <w:r w:rsidRPr="00016AD6">
        <w:rPr>
          <w:lang w:val="fr-FR"/>
        </w:rPr>
        <w:t xml:space="preserve">installer ou fonctionner en un lieu non </w:t>
      </w:r>
      <w:r>
        <w:rPr>
          <w:lang w:val="fr-FR"/>
        </w:rPr>
        <w:t>re</w:t>
      </w:r>
      <w:r w:rsidRPr="00016AD6">
        <w:rPr>
          <w:lang w:val="fr-FR"/>
        </w:rPr>
        <w:t>couvert par les eaux, où pourrait demeurer symboliquement une partie de la population, aussi réduite soit-elle. On considérerait comme la population de l</w:t>
      </w:r>
      <w:r w:rsidR="004C5E26">
        <w:rPr>
          <w:lang w:val="fr-FR"/>
        </w:rPr>
        <w:t>’</w:t>
      </w:r>
      <w:r w:rsidRPr="00016AD6">
        <w:rPr>
          <w:lang w:val="fr-FR"/>
        </w:rPr>
        <w:t xml:space="preserve">État directement touché les personnes qui continueraient de résider </w:t>
      </w:r>
      <w:r>
        <w:rPr>
          <w:lang w:val="fr-FR"/>
        </w:rPr>
        <w:t xml:space="preserve">sur le </w:t>
      </w:r>
      <w:r w:rsidRPr="00016AD6">
        <w:rPr>
          <w:lang w:val="fr-FR"/>
        </w:rPr>
        <w:t xml:space="preserve">territoire de cet État ainsi que les </w:t>
      </w:r>
      <w:r>
        <w:rPr>
          <w:lang w:val="fr-FR"/>
        </w:rPr>
        <w:t xml:space="preserve">nationaux de celui-ci se trouvant </w:t>
      </w:r>
      <w:r w:rsidRPr="00016AD6">
        <w:rPr>
          <w:lang w:val="fr-FR"/>
        </w:rPr>
        <w:t>physiquement sur le territoire d</w:t>
      </w:r>
      <w:r w:rsidR="004C5E26">
        <w:rPr>
          <w:lang w:val="fr-FR"/>
        </w:rPr>
        <w:t>’</w:t>
      </w:r>
      <w:r w:rsidRPr="00016AD6">
        <w:rPr>
          <w:lang w:val="fr-FR"/>
        </w:rPr>
        <w:t>un autre État. Il ne s</w:t>
      </w:r>
      <w:r w:rsidR="004C5E26">
        <w:rPr>
          <w:lang w:val="fr-FR"/>
        </w:rPr>
        <w:t>’</w:t>
      </w:r>
      <w:r w:rsidRPr="00016AD6">
        <w:rPr>
          <w:lang w:val="fr-FR"/>
        </w:rPr>
        <w:t>agissait pas d</w:t>
      </w:r>
      <w:r w:rsidR="004C5E26">
        <w:rPr>
          <w:lang w:val="fr-FR"/>
        </w:rPr>
        <w:t>’</w:t>
      </w:r>
      <w:r w:rsidRPr="00016AD6">
        <w:rPr>
          <w:lang w:val="fr-FR"/>
        </w:rPr>
        <w:t>attribuer des nouveaux droits aux États touchés par l</w:t>
      </w:r>
      <w:r w:rsidR="004C5E26">
        <w:rPr>
          <w:lang w:val="fr-FR"/>
        </w:rPr>
        <w:t>’</w:t>
      </w:r>
      <w:r w:rsidRPr="00016AD6">
        <w:rPr>
          <w:lang w:val="fr-FR"/>
        </w:rPr>
        <w:t>élévation du niveau de la mer mais d</w:t>
      </w:r>
      <w:r w:rsidR="004C5E26">
        <w:rPr>
          <w:lang w:val="fr-FR"/>
        </w:rPr>
        <w:t>’</w:t>
      </w:r>
      <w:r w:rsidRPr="00016AD6">
        <w:rPr>
          <w:lang w:val="fr-FR"/>
        </w:rPr>
        <w:t xml:space="preserve">assurer la préservation de droits existants que les États touchés possédaient légitimement </w:t>
      </w:r>
      <w:r>
        <w:rPr>
          <w:lang w:val="fr-FR"/>
        </w:rPr>
        <w:t xml:space="preserve">en </w:t>
      </w:r>
      <w:r w:rsidRPr="00016AD6">
        <w:rPr>
          <w:lang w:val="fr-FR"/>
        </w:rPr>
        <w:t>droit international.</w:t>
      </w:r>
    </w:p>
    <w:p w14:paraId="44B7E761" w14:textId="539F1C6A" w:rsidR="00737BD1" w:rsidRPr="00016AD6" w:rsidRDefault="00737BD1" w:rsidP="00CC2174">
      <w:pPr>
        <w:pStyle w:val="SingleTxtG"/>
        <w:keepNext/>
        <w:keepLines/>
        <w:rPr>
          <w:lang w:val="fr-FR"/>
        </w:rPr>
      </w:pPr>
      <w:r>
        <w:rPr>
          <w:lang w:val="fr-FR"/>
        </w:rPr>
        <w:lastRenderedPageBreak/>
        <w:t>380.</w:t>
      </w:r>
      <w:r>
        <w:rPr>
          <w:lang w:val="fr-FR"/>
        </w:rPr>
        <w:tab/>
      </w:r>
      <w:r w:rsidRPr="00016AD6">
        <w:rPr>
          <w:lang w:val="fr-FR"/>
        </w:rPr>
        <w:t>En outre, afin de garantir que les nationaux d</w:t>
      </w:r>
      <w:r>
        <w:rPr>
          <w:lang w:val="fr-FR"/>
        </w:rPr>
        <w:t>e l</w:t>
      </w:r>
      <w:r w:rsidR="004C5E26">
        <w:rPr>
          <w:lang w:val="fr-FR"/>
        </w:rPr>
        <w:t>’</w:t>
      </w:r>
      <w:r w:rsidRPr="00016AD6">
        <w:rPr>
          <w:lang w:val="fr-FR"/>
        </w:rPr>
        <w:t>État touché par l</w:t>
      </w:r>
      <w:r w:rsidR="004C5E26">
        <w:rPr>
          <w:lang w:val="fr-FR"/>
        </w:rPr>
        <w:t>’</w:t>
      </w:r>
      <w:r w:rsidRPr="00016AD6">
        <w:rPr>
          <w:lang w:val="fr-FR"/>
        </w:rPr>
        <w:t>élévation du niveau de la mer résidant dans d</w:t>
      </w:r>
      <w:r w:rsidR="004C5E26">
        <w:rPr>
          <w:lang w:val="fr-FR"/>
        </w:rPr>
        <w:t>’</w:t>
      </w:r>
      <w:r w:rsidRPr="00016AD6">
        <w:rPr>
          <w:lang w:val="fr-FR"/>
        </w:rPr>
        <w:t>autres États bénéficient d</w:t>
      </w:r>
      <w:r w:rsidR="004C5E26">
        <w:rPr>
          <w:lang w:val="fr-FR"/>
        </w:rPr>
        <w:t>’</w:t>
      </w:r>
      <w:r w:rsidRPr="00016AD6">
        <w:rPr>
          <w:lang w:val="fr-FR"/>
        </w:rPr>
        <w:t>une assistance ou d</w:t>
      </w:r>
      <w:r w:rsidR="004C5E26">
        <w:rPr>
          <w:lang w:val="fr-FR"/>
        </w:rPr>
        <w:t>’</w:t>
      </w:r>
      <w:r w:rsidRPr="00016AD6">
        <w:rPr>
          <w:lang w:val="fr-FR"/>
        </w:rPr>
        <w:t>une protection adéquates et d</w:t>
      </w:r>
      <w:r w:rsidR="004C5E26">
        <w:rPr>
          <w:lang w:val="fr-FR"/>
        </w:rPr>
        <w:t>’</w:t>
      </w:r>
      <w:r w:rsidRPr="00016AD6">
        <w:rPr>
          <w:lang w:val="fr-FR"/>
        </w:rPr>
        <w:t xml:space="preserve">un bon accès à certains services de base et </w:t>
      </w:r>
      <w:r>
        <w:rPr>
          <w:lang w:val="fr-FR"/>
        </w:rPr>
        <w:t>aux</w:t>
      </w:r>
      <w:r w:rsidRPr="00016AD6">
        <w:rPr>
          <w:lang w:val="fr-FR"/>
        </w:rPr>
        <w:t xml:space="preserve"> document</w:t>
      </w:r>
      <w:r>
        <w:rPr>
          <w:lang w:val="fr-FR"/>
        </w:rPr>
        <w:t>s</w:t>
      </w:r>
      <w:r w:rsidRPr="00016AD6">
        <w:rPr>
          <w:lang w:val="fr-FR"/>
        </w:rPr>
        <w:t xml:space="preserve"> </w:t>
      </w:r>
      <w:r>
        <w:rPr>
          <w:lang w:val="fr-FR"/>
        </w:rPr>
        <w:t>habituellement</w:t>
      </w:r>
      <w:r w:rsidRPr="00016AD6">
        <w:rPr>
          <w:lang w:val="fr-FR"/>
        </w:rPr>
        <w:t xml:space="preserve"> fourni</w:t>
      </w:r>
      <w:r>
        <w:rPr>
          <w:lang w:val="fr-FR"/>
        </w:rPr>
        <w:t>s pa</w:t>
      </w:r>
      <w:r w:rsidRPr="00016AD6">
        <w:rPr>
          <w:lang w:val="fr-FR"/>
        </w:rPr>
        <w:t>r cet État, il était nécessaire de renforcer l</w:t>
      </w:r>
      <w:r w:rsidR="004C5E26">
        <w:rPr>
          <w:lang w:val="fr-FR"/>
        </w:rPr>
        <w:t>’</w:t>
      </w:r>
      <w:r w:rsidRPr="00016AD6">
        <w:rPr>
          <w:lang w:val="fr-FR"/>
        </w:rPr>
        <w:t>assistance fournie par les services consulaires dans les États où le</w:t>
      </w:r>
      <w:r>
        <w:rPr>
          <w:lang w:val="fr-FR"/>
        </w:rPr>
        <w:t>s personnes ayant quitté</w:t>
      </w:r>
      <w:r w:rsidRPr="00016AD6">
        <w:rPr>
          <w:lang w:val="fr-FR"/>
        </w:rPr>
        <w:t xml:space="preserve"> cet État étai</w:t>
      </w:r>
      <w:r>
        <w:rPr>
          <w:lang w:val="fr-FR"/>
        </w:rPr>
        <w:t>ent relativement nombreuses</w:t>
      </w:r>
      <w:r w:rsidRPr="00016AD6">
        <w:rPr>
          <w:lang w:val="fr-FR"/>
        </w:rPr>
        <w:t xml:space="preserve">, </w:t>
      </w:r>
      <w:r>
        <w:rPr>
          <w:lang w:val="fr-FR"/>
        </w:rPr>
        <w:t xml:space="preserve">et </w:t>
      </w:r>
      <w:r w:rsidRPr="00016AD6">
        <w:rPr>
          <w:lang w:val="fr-FR"/>
        </w:rPr>
        <w:t>de mettre en place des plateformes numériques reliant l</w:t>
      </w:r>
      <w:r w:rsidR="004C5E26">
        <w:rPr>
          <w:lang w:val="fr-FR"/>
        </w:rPr>
        <w:t>’</w:t>
      </w:r>
      <w:r w:rsidRPr="00016AD6">
        <w:rPr>
          <w:lang w:val="fr-FR"/>
        </w:rPr>
        <w:t xml:space="preserve">État en question à ses nationaux dispersés dans le monde </w:t>
      </w:r>
      <w:r>
        <w:rPr>
          <w:lang w:val="fr-FR"/>
        </w:rPr>
        <w:t xml:space="preserve">ou </w:t>
      </w:r>
      <w:r w:rsidRPr="00016AD6">
        <w:rPr>
          <w:lang w:val="fr-FR"/>
        </w:rPr>
        <w:t>renforcer celles qui exist</w:t>
      </w:r>
      <w:r>
        <w:rPr>
          <w:lang w:val="fr-FR"/>
        </w:rPr>
        <w:t>ai</w:t>
      </w:r>
      <w:r w:rsidRPr="00016AD6">
        <w:rPr>
          <w:lang w:val="fr-FR"/>
        </w:rPr>
        <w:t>ent déjà.</w:t>
      </w:r>
    </w:p>
    <w:p w14:paraId="5E3451AC" w14:textId="4CEEDB6D" w:rsidR="00737BD1" w:rsidRPr="00016AD6" w:rsidRDefault="00737BD1" w:rsidP="00737BD1">
      <w:pPr>
        <w:pStyle w:val="SingleTxtG"/>
        <w:rPr>
          <w:lang w:val="fr-FR"/>
        </w:rPr>
      </w:pPr>
      <w:r>
        <w:rPr>
          <w:lang w:val="fr-FR"/>
        </w:rPr>
        <w:t>381.</w:t>
      </w:r>
      <w:r>
        <w:rPr>
          <w:lang w:val="fr-FR"/>
        </w:rPr>
        <w:tab/>
      </w:r>
      <w:r w:rsidRPr="005D3266">
        <w:rPr>
          <w:lang w:val="fr-FR"/>
        </w:rPr>
        <w:t>De plus, il convenait d</w:t>
      </w:r>
      <w:r w:rsidR="004C5E26">
        <w:rPr>
          <w:lang w:val="fr-FR"/>
        </w:rPr>
        <w:t>’</w:t>
      </w:r>
      <w:r w:rsidRPr="005D3266">
        <w:rPr>
          <w:lang w:val="fr-FR"/>
        </w:rPr>
        <w:t>envisager la possibilité que, moyennant une modification des législations nationales ou la conclusion d</w:t>
      </w:r>
      <w:r w:rsidR="004C5E26">
        <w:rPr>
          <w:lang w:val="fr-FR"/>
        </w:rPr>
        <w:t>’</w:t>
      </w:r>
      <w:r w:rsidRPr="005D3266">
        <w:rPr>
          <w:lang w:val="fr-FR"/>
        </w:rPr>
        <w:t>accords bilatéraux ou multilatéraux entre l</w:t>
      </w:r>
      <w:r w:rsidR="004C5E26">
        <w:rPr>
          <w:lang w:val="fr-FR"/>
        </w:rPr>
        <w:t>’</w:t>
      </w:r>
      <w:r w:rsidRPr="005D3266">
        <w:rPr>
          <w:lang w:val="fr-FR"/>
        </w:rPr>
        <w:t>État touché et d</w:t>
      </w:r>
      <w:r w:rsidR="004C5E26">
        <w:rPr>
          <w:lang w:val="fr-FR"/>
        </w:rPr>
        <w:t>’</w:t>
      </w:r>
      <w:r w:rsidRPr="005D3266">
        <w:rPr>
          <w:lang w:val="fr-FR"/>
        </w:rPr>
        <w:t xml:space="preserve">autres États, les nationaux du premier puissent </w:t>
      </w:r>
      <w:r>
        <w:rPr>
          <w:lang w:val="fr-FR"/>
        </w:rPr>
        <w:t>obtenir des droits de séjour plus longs et/ou</w:t>
      </w:r>
      <w:r w:rsidRPr="005D3266">
        <w:rPr>
          <w:lang w:val="fr-FR"/>
        </w:rPr>
        <w:t xml:space="preserve"> la nationalité de l</w:t>
      </w:r>
      <w:r w:rsidR="004C5E26">
        <w:rPr>
          <w:lang w:val="fr-FR"/>
        </w:rPr>
        <w:t>’</w:t>
      </w:r>
      <w:r w:rsidRPr="005D3266">
        <w:rPr>
          <w:lang w:val="fr-FR"/>
        </w:rPr>
        <w:t>un des seconds sans perdre leur nationalité d</w:t>
      </w:r>
      <w:r w:rsidR="004C5E26">
        <w:rPr>
          <w:lang w:val="fr-FR"/>
        </w:rPr>
        <w:t>’</w:t>
      </w:r>
      <w:r w:rsidRPr="005D3266">
        <w:rPr>
          <w:lang w:val="fr-FR"/>
        </w:rPr>
        <w:t>origine ou que, en vertu d</w:t>
      </w:r>
      <w:r w:rsidR="004C5E26">
        <w:rPr>
          <w:lang w:val="fr-FR"/>
        </w:rPr>
        <w:t>’</w:t>
      </w:r>
      <w:r w:rsidRPr="005D3266">
        <w:rPr>
          <w:lang w:val="fr-FR"/>
        </w:rPr>
        <w:t>un accord plus large conclu dans le cadre, par exemple, d</w:t>
      </w:r>
      <w:r w:rsidR="004C5E26">
        <w:rPr>
          <w:lang w:val="fr-FR"/>
        </w:rPr>
        <w:t>’</w:t>
      </w:r>
      <w:r w:rsidRPr="005D3266">
        <w:rPr>
          <w:lang w:val="fr-FR"/>
        </w:rPr>
        <w:t>une confédération d</w:t>
      </w:r>
      <w:r w:rsidR="004C5E26">
        <w:rPr>
          <w:lang w:val="fr-FR"/>
        </w:rPr>
        <w:t>’</w:t>
      </w:r>
      <w:r w:rsidRPr="005D3266">
        <w:rPr>
          <w:lang w:val="fr-FR"/>
        </w:rPr>
        <w:t>États, ils puissent acquérir la nationalité de celle-ci sans perdre</w:t>
      </w:r>
      <w:r w:rsidRPr="00016AD6">
        <w:rPr>
          <w:lang w:val="fr-FR"/>
        </w:rPr>
        <w:t xml:space="preserve"> leur nationalité d</w:t>
      </w:r>
      <w:r w:rsidR="004C5E26">
        <w:rPr>
          <w:lang w:val="fr-FR"/>
        </w:rPr>
        <w:t>’</w:t>
      </w:r>
      <w:r w:rsidRPr="00016AD6">
        <w:rPr>
          <w:lang w:val="fr-FR"/>
        </w:rPr>
        <w:t>origine.</w:t>
      </w:r>
    </w:p>
    <w:p w14:paraId="182E20BC" w14:textId="22B6115A" w:rsidR="00737BD1" w:rsidRPr="00016AD6" w:rsidRDefault="00737BD1" w:rsidP="00737BD1">
      <w:pPr>
        <w:pStyle w:val="SingleTxtG"/>
        <w:rPr>
          <w:lang w:val="fr-FR"/>
        </w:rPr>
      </w:pPr>
      <w:r>
        <w:rPr>
          <w:lang w:val="fr-FR"/>
        </w:rPr>
        <w:t>382.</w:t>
      </w:r>
      <w:r>
        <w:rPr>
          <w:lang w:val="fr-FR"/>
        </w:rPr>
        <w:tab/>
      </w:r>
      <w:r w:rsidRPr="00016AD6">
        <w:rPr>
          <w:lang w:val="fr-FR"/>
        </w:rPr>
        <w:t>L</w:t>
      </w:r>
      <w:r w:rsidR="004C5E26">
        <w:rPr>
          <w:lang w:val="fr-FR"/>
        </w:rPr>
        <w:t>’</w:t>
      </w:r>
      <w:r w:rsidRPr="00016AD6">
        <w:rPr>
          <w:lang w:val="fr-FR"/>
        </w:rPr>
        <w:t xml:space="preserve">Union européenne a été mentionnée comme </w:t>
      </w:r>
      <w:r>
        <w:rPr>
          <w:lang w:val="fr-FR"/>
        </w:rPr>
        <w:t xml:space="preserve">un </w:t>
      </w:r>
      <w:r w:rsidRPr="00016AD6">
        <w:rPr>
          <w:lang w:val="fr-FR"/>
        </w:rPr>
        <w:t>autre modèle possible pour l</w:t>
      </w:r>
      <w:r w:rsidR="004C5E26">
        <w:rPr>
          <w:lang w:val="fr-FR"/>
        </w:rPr>
        <w:t>’</w:t>
      </w:r>
      <w:r w:rsidRPr="00016AD6">
        <w:rPr>
          <w:lang w:val="fr-FR"/>
        </w:rPr>
        <w:t>établissement d</w:t>
      </w:r>
      <w:r w:rsidR="004C5E26">
        <w:rPr>
          <w:lang w:val="fr-FR"/>
        </w:rPr>
        <w:t>’</w:t>
      </w:r>
      <w:r w:rsidRPr="00016AD6">
        <w:rPr>
          <w:lang w:val="fr-FR"/>
        </w:rPr>
        <w:t>une citoyenneté commune de plus d</w:t>
      </w:r>
      <w:r w:rsidR="004C5E26">
        <w:rPr>
          <w:lang w:val="fr-FR"/>
        </w:rPr>
        <w:t>’</w:t>
      </w:r>
      <w:r w:rsidRPr="00016AD6">
        <w:rPr>
          <w:lang w:val="fr-FR"/>
        </w:rPr>
        <w:t>un État coexistant avec la nationalité d</w:t>
      </w:r>
      <w:r w:rsidR="004C5E26">
        <w:rPr>
          <w:lang w:val="fr-FR"/>
        </w:rPr>
        <w:t>’</w:t>
      </w:r>
      <w:r w:rsidRPr="00016AD6">
        <w:rPr>
          <w:lang w:val="fr-FR"/>
        </w:rPr>
        <w:t xml:space="preserve">origine et donnant naissance à des droits nouveaux et spécifiques, comme </w:t>
      </w:r>
      <w:r>
        <w:rPr>
          <w:lang w:val="fr-FR"/>
        </w:rPr>
        <w:t xml:space="preserve">ceux existant </w:t>
      </w:r>
      <w:r w:rsidRPr="00016AD6">
        <w:rPr>
          <w:lang w:val="fr-FR"/>
        </w:rPr>
        <w:t>dans le cadre de l</w:t>
      </w:r>
      <w:r w:rsidR="004C5E26">
        <w:rPr>
          <w:lang w:val="fr-FR"/>
        </w:rPr>
        <w:t>’</w:t>
      </w:r>
      <w:r w:rsidRPr="00016AD6">
        <w:rPr>
          <w:lang w:val="fr-FR"/>
        </w:rPr>
        <w:t>Union européenne au sein de laquelle</w:t>
      </w:r>
      <w:r>
        <w:rPr>
          <w:lang w:val="fr-FR"/>
        </w:rPr>
        <w:t>,</w:t>
      </w:r>
      <w:r w:rsidRPr="00016AD6">
        <w:rPr>
          <w:lang w:val="fr-FR"/>
        </w:rPr>
        <w:t xml:space="preserve"> en cas d</w:t>
      </w:r>
      <w:r w:rsidR="004C5E26">
        <w:rPr>
          <w:lang w:val="fr-FR"/>
        </w:rPr>
        <w:t>’</w:t>
      </w:r>
      <w:r w:rsidRPr="00016AD6">
        <w:rPr>
          <w:lang w:val="fr-FR"/>
        </w:rPr>
        <w:t>absence de représentation diplomatique ou consulaire de tel ou tel État de l</w:t>
      </w:r>
      <w:r w:rsidR="004C5E26">
        <w:rPr>
          <w:lang w:val="fr-FR"/>
        </w:rPr>
        <w:t>’</w:t>
      </w:r>
      <w:r w:rsidRPr="00016AD6">
        <w:rPr>
          <w:lang w:val="fr-FR"/>
        </w:rPr>
        <w:t xml:space="preserve">Union, un autre État membre de celle-ci </w:t>
      </w:r>
      <w:r>
        <w:rPr>
          <w:lang w:val="fr-FR"/>
        </w:rPr>
        <w:t xml:space="preserve">pouvait </w:t>
      </w:r>
      <w:r w:rsidRPr="00016AD6">
        <w:rPr>
          <w:lang w:val="fr-FR"/>
        </w:rPr>
        <w:t xml:space="preserve">fournir une assistance et une protection sur la base de </w:t>
      </w:r>
      <w:r>
        <w:rPr>
          <w:lang w:val="fr-FR"/>
        </w:rPr>
        <w:t xml:space="preserve">la </w:t>
      </w:r>
      <w:r w:rsidRPr="00016AD6">
        <w:rPr>
          <w:lang w:val="fr-FR"/>
        </w:rPr>
        <w:t>citoyenneté commune de l</w:t>
      </w:r>
      <w:r w:rsidR="004C5E26">
        <w:rPr>
          <w:lang w:val="fr-FR"/>
        </w:rPr>
        <w:t>’</w:t>
      </w:r>
      <w:r w:rsidRPr="00016AD6">
        <w:rPr>
          <w:lang w:val="fr-FR"/>
        </w:rPr>
        <w:t xml:space="preserve">Union européenne. Dans </w:t>
      </w:r>
      <w:r>
        <w:rPr>
          <w:lang w:val="fr-FR"/>
        </w:rPr>
        <w:t>une telle situation</w:t>
      </w:r>
      <w:r w:rsidRPr="00016AD6">
        <w:rPr>
          <w:lang w:val="fr-FR"/>
        </w:rPr>
        <w:t>, la citoyenneté commune ne rempla</w:t>
      </w:r>
      <w:r>
        <w:rPr>
          <w:lang w:val="fr-FR"/>
        </w:rPr>
        <w:t>ç</w:t>
      </w:r>
      <w:r w:rsidRPr="00016AD6">
        <w:rPr>
          <w:lang w:val="fr-FR"/>
        </w:rPr>
        <w:t>ait pas la nationalité de l</w:t>
      </w:r>
      <w:r w:rsidR="004C5E26">
        <w:rPr>
          <w:lang w:val="fr-FR"/>
        </w:rPr>
        <w:t>’</w:t>
      </w:r>
      <w:r w:rsidRPr="00016AD6">
        <w:rPr>
          <w:lang w:val="fr-FR"/>
        </w:rPr>
        <w:t>État mais coexistait avec celle-ci sur la base de l</w:t>
      </w:r>
      <w:r w:rsidR="004C5E26">
        <w:rPr>
          <w:lang w:val="fr-FR"/>
        </w:rPr>
        <w:t>’</w:t>
      </w:r>
      <w:r w:rsidRPr="00016AD6">
        <w:rPr>
          <w:lang w:val="fr-FR"/>
        </w:rPr>
        <w:t>appartenance à l</w:t>
      </w:r>
      <w:r w:rsidR="004C5E26">
        <w:rPr>
          <w:lang w:val="fr-FR"/>
        </w:rPr>
        <w:t>’</w:t>
      </w:r>
      <w:r w:rsidRPr="00016AD6">
        <w:rPr>
          <w:lang w:val="fr-FR"/>
        </w:rPr>
        <w:t>Union européenne.</w:t>
      </w:r>
    </w:p>
    <w:p w14:paraId="3CAA7954" w14:textId="00BE7C97"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383.</w:t>
      </w:r>
      <w:r>
        <w:rPr>
          <w:rFonts w:asciiTheme="majorBidi" w:eastAsia="Calibri" w:hAnsiTheme="majorBidi"/>
          <w:lang w:val="fr-FR"/>
        </w:rPr>
        <w:tab/>
      </w:r>
      <w:r w:rsidRPr="00016AD6">
        <w:rPr>
          <w:rFonts w:asciiTheme="majorBidi" w:eastAsia="Calibri" w:hAnsiTheme="majorBidi"/>
          <w:lang w:val="fr-FR"/>
        </w:rPr>
        <w:t xml:space="preserve">Le point de départ </w:t>
      </w:r>
      <w:r>
        <w:rPr>
          <w:rFonts w:asciiTheme="majorBidi" w:eastAsia="Calibri" w:hAnsiTheme="majorBidi"/>
          <w:lang w:val="fr-FR"/>
        </w:rPr>
        <w:t xml:space="preserve">était </w:t>
      </w:r>
      <w:r w:rsidRPr="00016AD6">
        <w:rPr>
          <w:rFonts w:asciiTheme="majorBidi" w:eastAsia="Calibri" w:hAnsiTheme="majorBidi"/>
          <w:lang w:val="fr-FR"/>
        </w:rPr>
        <w:t>la forte présomption de continuité de la condition étatique et de la personnalité juridique internationale de l</w:t>
      </w:r>
      <w:r w:rsidR="004C5E26">
        <w:rPr>
          <w:rFonts w:asciiTheme="majorBidi" w:eastAsia="Calibri" w:hAnsiTheme="majorBidi"/>
          <w:lang w:val="fr-FR"/>
        </w:rPr>
        <w:t>’</w:t>
      </w:r>
      <w:r w:rsidRPr="00016AD6">
        <w:rPr>
          <w:rFonts w:asciiTheme="majorBidi" w:eastAsia="Calibri" w:hAnsiTheme="majorBidi"/>
          <w:lang w:val="fr-FR"/>
        </w:rPr>
        <w:t>État directement touché par le phénomène. La souveraineté de l</w:t>
      </w:r>
      <w:r w:rsidR="004C5E26">
        <w:rPr>
          <w:rFonts w:asciiTheme="majorBidi" w:eastAsia="Calibri" w:hAnsiTheme="majorBidi"/>
          <w:lang w:val="fr-FR"/>
        </w:rPr>
        <w:t>’</w:t>
      </w:r>
      <w:r w:rsidRPr="00016AD6">
        <w:rPr>
          <w:rFonts w:asciiTheme="majorBidi" w:eastAsia="Calibri" w:hAnsiTheme="majorBidi"/>
          <w:lang w:val="fr-FR"/>
        </w:rPr>
        <w:t>État sur son territoire devait être préservé</w:t>
      </w:r>
      <w:r>
        <w:rPr>
          <w:rFonts w:asciiTheme="majorBidi" w:eastAsia="Calibri" w:hAnsiTheme="majorBidi"/>
          <w:lang w:val="fr-FR"/>
        </w:rPr>
        <w:t>e</w:t>
      </w:r>
      <w:r w:rsidRPr="00016AD6">
        <w:rPr>
          <w:rFonts w:asciiTheme="majorBidi" w:eastAsia="Calibri" w:hAnsiTheme="majorBidi"/>
          <w:lang w:val="fr-FR"/>
        </w:rPr>
        <w:t>, y</w:t>
      </w:r>
      <w:r>
        <w:rPr>
          <w:rFonts w:asciiTheme="majorBidi" w:eastAsia="Calibri" w:hAnsiTheme="majorBidi"/>
          <w:lang w:val="fr-FR"/>
        </w:rPr>
        <w:t> </w:t>
      </w:r>
      <w:r w:rsidRPr="00016AD6">
        <w:rPr>
          <w:rFonts w:asciiTheme="majorBidi" w:eastAsia="Calibri" w:hAnsiTheme="majorBidi"/>
          <w:lang w:val="fr-FR"/>
        </w:rPr>
        <w:t xml:space="preserve">compris </w:t>
      </w:r>
      <w:r>
        <w:rPr>
          <w:rFonts w:asciiTheme="majorBidi" w:eastAsia="Calibri" w:hAnsiTheme="majorBidi"/>
          <w:lang w:val="fr-FR"/>
        </w:rPr>
        <w:t>sur sa surface</w:t>
      </w:r>
      <w:r w:rsidRPr="00016AD6">
        <w:rPr>
          <w:rFonts w:asciiTheme="majorBidi" w:eastAsia="Calibri" w:hAnsiTheme="majorBidi"/>
          <w:lang w:val="fr-FR"/>
        </w:rPr>
        <w:t xml:space="preserve"> terrestre</w:t>
      </w:r>
      <w:r>
        <w:rPr>
          <w:rFonts w:asciiTheme="majorBidi" w:eastAsia="Calibri" w:hAnsiTheme="majorBidi"/>
          <w:lang w:val="fr-FR"/>
        </w:rPr>
        <w:t>,</w:t>
      </w:r>
      <w:r w:rsidRPr="00016AD6">
        <w:rPr>
          <w:rFonts w:asciiTheme="majorBidi" w:eastAsia="Calibri" w:hAnsiTheme="majorBidi"/>
          <w:lang w:val="fr-FR"/>
        </w:rPr>
        <w:t xml:space="preserve"> </w:t>
      </w:r>
      <w:r>
        <w:rPr>
          <w:rFonts w:asciiTheme="majorBidi" w:eastAsia="Calibri" w:hAnsiTheme="majorBidi"/>
          <w:lang w:val="fr-FR"/>
        </w:rPr>
        <w:t>qu</w:t>
      </w:r>
      <w:r w:rsidR="004C5E26">
        <w:rPr>
          <w:rFonts w:asciiTheme="majorBidi" w:eastAsia="Calibri" w:hAnsiTheme="majorBidi"/>
          <w:lang w:val="fr-FR"/>
        </w:rPr>
        <w:t>’</w:t>
      </w:r>
      <w:r>
        <w:rPr>
          <w:rFonts w:asciiTheme="majorBidi" w:eastAsia="Calibri" w:hAnsiTheme="majorBidi"/>
          <w:lang w:val="fr-FR"/>
        </w:rPr>
        <w:t>elle soit ou non recouverte par la mer, tout comme les droits souverains sur s</w:t>
      </w:r>
      <w:r w:rsidRPr="00016AD6">
        <w:rPr>
          <w:rFonts w:asciiTheme="majorBidi" w:eastAsia="Calibri" w:hAnsiTheme="majorBidi"/>
          <w:lang w:val="fr-FR"/>
        </w:rPr>
        <w:t xml:space="preserve">es zones maritimes </w:t>
      </w:r>
      <w:r>
        <w:rPr>
          <w:rFonts w:asciiTheme="majorBidi" w:eastAsia="Calibri" w:hAnsiTheme="majorBidi"/>
          <w:lang w:val="fr-FR"/>
        </w:rPr>
        <w:t xml:space="preserve">et </w:t>
      </w:r>
      <w:r w:rsidRPr="00016AD6">
        <w:rPr>
          <w:rFonts w:asciiTheme="majorBidi" w:eastAsia="Calibri" w:hAnsiTheme="majorBidi"/>
          <w:lang w:val="fr-FR"/>
        </w:rPr>
        <w:t>les ressources naturelles s</w:t>
      </w:r>
      <w:r w:rsidR="004C5E26">
        <w:rPr>
          <w:rFonts w:asciiTheme="majorBidi" w:eastAsia="Calibri" w:hAnsiTheme="majorBidi"/>
          <w:lang w:val="fr-FR"/>
        </w:rPr>
        <w:t>’</w:t>
      </w:r>
      <w:r w:rsidRPr="00016AD6">
        <w:rPr>
          <w:rFonts w:asciiTheme="majorBidi" w:eastAsia="Calibri" w:hAnsiTheme="majorBidi"/>
          <w:lang w:val="fr-FR"/>
        </w:rPr>
        <w:t>y trouvant</w:t>
      </w:r>
      <w:r>
        <w:rPr>
          <w:rFonts w:asciiTheme="majorBidi" w:eastAsia="Calibri" w:hAnsiTheme="majorBidi"/>
          <w:lang w:val="fr-FR"/>
        </w:rPr>
        <w:t>,</w:t>
      </w:r>
      <w:r w:rsidRPr="00016AD6">
        <w:rPr>
          <w:rFonts w:asciiTheme="majorBidi" w:eastAsia="Calibri" w:hAnsiTheme="majorBidi"/>
          <w:lang w:val="fr-FR"/>
        </w:rPr>
        <w:t xml:space="preserve"> au bénéfice des générations présentes et futures de sa population. Il a été expliqué que selon certaines des options envisagées dans la note complémentaire, un État dont l</w:t>
      </w:r>
      <w:r>
        <w:rPr>
          <w:rFonts w:asciiTheme="majorBidi" w:eastAsia="Calibri" w:hAnsiTheme="majorBidi"/>
          <w:lang w:val="fr-FR"/>
        </w:rPr>
        <w:t>a</w:t>
      </w:r>
      <w:r w:rsidRPr="00016AD6">
        <w:rPr>
          <w:rFonts w:asciiTheme="majorBidi" w:eastAsia="Calibri" w:hAnsiTheme="majorBidi"/>
          <w:lang w:val="fr-FR"/>
        </w:rPr>
        <w:t xml:space="preserve"> </w:t>
      </w:r>
      <w:r>
        <w:rPr>
          <w:rFonts w:asciiTheme="majorBidi" w:eastAsia="Calibri" w:hAnsiTheme="majorBidi"/>
          <w:lang w:val="fr-FR"/>
        </w:rPr>
        <w:t>surface</w:t>
      </w:r>
      <w:r w:rsidRPr="00016AD6">
        <w:rPr>
          <w:rFonts w:asciiTheme="majorBidi" w:eastAsia="Calibri" w:hAnsiTheme="majorBidi"/>
          <w:lang w:val="fr-FR"/>
        </w:rPr>
        <w:t xml:space="preserve"> terrestre était devenu</w:t>
      </w:r>
      <w:r>
        <w:rPr>
          <w:rFonts w:asciiTheme="majorBidi" w:eastAsia="Calibri" w:hAnsiTheme="majorBidi"/>
          <w:lang w:val="fr-FR"/>
        </w:rPr>
        <w:t>e</w:t>
      </w:r>
      <w:r w:rsidRPr="00016AD6">
        <w:rPr>
          <w:rFonts w:asciiTheme="majorBidi" w:eastAsia="Calibri" w:hAnsiTheme="majorBidi"/>
          <w:lang w:val="fr-FR"/>
        </w:rPr>
        <w:t xml:space="preserve"> inhabitable ou </w:t>
      </w:r>
      <w:r>
        <w:rPr>
          <w:rFonts w:asciiTheme="majorBidi" w:eastAsia="Calibri" w:hAnsiTheme="majorBidi"/>
          <w:lang w:val="fr-FR"/>
        </w:rPr>
        <w:t>avait été totalement submergée</w:t>
      </w:r>
      <w:r w:rsidRPr="00016AD6">
        <w:rPr>
          <w:rFonts w:asciiTheme="majorBidi" w:eastAsia="Calibri" w:hAnsiTheme="majorBidi"/>
          <w:lang w:val="fr-FR"/>
        </w:rPr>
        <w:t xml:space="preserve"> par </w:t>
      </w:r>
      <w:r>
        <w:rPr>
          <w:rFonts w:asciiTheme="majorBidi" w:eastAsia="Calibri" w:hAnsiTheme="majorBidi"/>
          <w:lang w:val="fr-FR"/>
        </w:rPr>
        <w:t>l</w:t>
      </w:r>
      <w:r w:rsidR="004C5E26">
        <w:rPr>
          <w:rFonts w:asciiTheme="majorBidi" w:eastAsia="Calibri" w:hAnsiTheme="majorBidi"/>
          <w:lang w:val="fr-FR"/>
        </w:rPr>
        <w:t>’</w:t>
      </w:r>
      <w:r>
        <w:rPr>
          <w:rFonts w:asciiTheme="majorBidi" w:eastAsia="Calibri" w:hAnsiTheme="majorBidi"/>
          <w:lang w:val="fr-FR"/>
        </w:rPr>
        <w:t xml:space="preserve">élévation du niveau de </w:t>
      </w:r>
      <w:r w:rsidRPr="00016AD6">
        <w:rPr>
          <w:rFonts w:asciiTheme="majorBidi" w:eastAsia="Calibri" w:hAnsiTheme="majorBidi"/>
          <w:lang w:val="fr-FR"/>
        </w:rPr>
        <w:t>la mer n</w:t>
      </w:r>
      <w:r w:rsidR="004C5E26">
        <w:rPr>
          <w:rFonts w:asciiTheme="majorBidi" w:eastAsia="Calibri" w:hAnsiTheme="majorBidi"/>
          <w:lang w:val="fr-FR"/>
        </w:rPr>
        <w:t>’</w:t>
      </w:r>
      <w:r w:rsidRPr="00016AD6">
        <w:rPr>
          <w:rFonts w:asciiTheme="majorBidi" w:eastAsia="Calibri" w:hAnsiTheme="majorBidi"/>
          <w:lang w:val="fr-FR"/>
        </w:rPr>
        <w:t>en conservait pas moins son statut juridique, alors que selon d</w:t>
      </w:r>
      <w:r w:rsidR="004C5E26">
        <w:rPr>
          <w:rFonts w:asciiTheme="majorBidi" w:eastAsia="Calibri" w:hAnsiTheme="majorBidi"/>
          <w:lang w:val="fr-FR"/>
        </w:rPr>
        <w:t>’</w:t>
      </w:r>
      <w:r w:rsidRPr="00016AD6">
        <w:rPr>
          <w:rFonts w:asciiTheme="majorBidi" w:eastAsia="Calibri" w:hAnsiTheme="majorBidi"/>
          <w:lang w:val="fr-FR"/>
        </w:rPr>
        <w:t>autres options, cet État pourrait être intégré dans un autre État tout en préservant les aspects essentiels de son identité et en conservant un degré suffisant d</w:t>
      </w:r>
      <w:r w:rsidR="004C5E26">
        <w:rPr>
          <w:rFonts w:asciiTheme="majorBidi" w:eastAsia="Calibri" w:hAnsiTheme="majorBidi"/>
          <w:lang w:val="fr-FR"/>
        </w:rPr>
        <w:t>’</w:t>
      </w:r>
      <w:r w:rsidRPr="00016AD6">
        <w:rPr>
          <w:rFonts w:asciiTheme="majorBidi" w:eastAsia="Calibri" w:hAnsiTheme="majorBidi"/>
          <w:lang w:val="fr-FR"/>
        </w:rPr>
        <w:t xml:space="preserve">autonomie et </w:t>
      </w:r>
      <w:r>
        <w:rPr>
          <w:rFonts w:asciiTheme="majorBidi" w:eastAsia="Calibri" w:hAnsiTheme="majorBidi"/>
          <w:lang w:val="fr-FR"/>
        </w:rPr>
        <w:t>la capacité d</w:t>
      </w:r>
      <w:r w:rsidR="004C5E26">
        <w:rPr>
          <w:rFonts w:asciiTheme="majorBidi" w:eastAsia="Calibri" w:hAnsiTheme="majorBidi"/>
          <w:lang w:val="fr-FR"/>
        </w:rPr>
        <w:t>’</w:t>
      </w:r>
      <w:r w:rsidRPr="00016AD6">
        <w:rPr>
          <w:rFonts w:asciiTheme="majorBidi" w:eastAsia="Calibri" w:hAnsiTheme="majorBidi"/>
          <w:lang w:val="fr-FR"/>
        </w:rPr>
        <w:t>exercer certains pouvoirs bien qu</w:t>
      </w:r>
      <w:r w:rsidR="004C5E26">
        <w:rPr>
          <w:rFonts w:asciiTheme="majorBidi" w:eastAsia="Calibri" w:hAnsiTheme="majorBidi"/>
          <w:lang w:val="fr-FR"/>
        </w:rPr>
        <w:t>’</w:t>
      </w:r>
      <w:r w:rsidRPr="00016AD6">
        <w:rPr>
          <w:rFonts w:asciiTheme="majorBidi" w:eastAsia="Calibri" w:hAnsiTheme="majorBidi"/>
          <w:lang w:val="fr-FR"/>
        </w:rPr>
        <w:t>étant devenu partie de cet autre État. Il faudrait en outre examiner les questions juridiques soulevées par l</w:t>
      </w:r>
      <w:r w:rsidR="004C5E26">
        <w:rPr>
          <w:rFonts w:asciiTheme="majorBidi" w:eastAsia="Calibri" w:hAnsiTheme="majorBidi"/>
          <w:lang w:val="fr-FR"/>
        </w:rPr>
        <w:t>’</w:t>
      </w:r>
      <w:r w:rsidRPr="00016AD6">
        <w:rPr>
          <w:rFonts w:asciiTheme="majorBidi" w:eastAsia="Calibri" w:hAnsiTheme="majorBidi"/>
          <w:lang w:val="fr-FR"/>
        </w:rPr>
        <w:t>établissement éventuel sur le territoire d</w:t>
      </w:r>
      <w:r w:rsidR="004C5E26">
        <w:rPr>
          <w:rFonts w:asciiTheme="majorBidi" w:eastAsia="Calibri" w:hAnsiTheme="majorBidi"/>
          <w:lang w:val="fr-FR"/>
        </w:rPr>
        <w:t>’</w:t>
      </w:r>
      <w:r w:rsidRPr="00016AD6">
        <w:rPr>
          <w:rFonts w:asciiTheme="majorBidi" w:eastAsia="Calibri" w:hAnsiTheme="majorBidi"/>
          <w:lang w:val="fr-FR"/>
        </w:rPr>
        <w:t>un autre État du gouvernement de l</w:t>
      </w:r>
      <w:r w:rsidR="004C5E26">
        <w:rPr>
          <w:rFonts w:asciiTheme="majorBidi" w:eastAsia="Calibri" w:hAnsiTheme="majorBidi"/>
          <w:lang w:val="fr-FR"/>
        </w:rPr>
        <w:t>’</w:t>
      </w:r>
      <w:r w:rsidRPr="00016AD6">
        <w:rPr>
          <w:rFonts w:asciiTheme="majorBidi" w:eastAsia="Calibri" w:hAnsiTheme="majorBidi"/>
          <w:lang w:val="fr-FR"/>
        </w:rPr>
        <w:t>État directement touché par l</w:t>
      </w:r>
      <w:r w:rsidR="004C5E26">
        <w:rPr>
          <w:rFonts w:asciiTheme="majorBidi" w:eastAsia="Calibri" w:hAnsiTheme="majorBidi"/>
          <w:lang w:val="fr-FR"/>
        </w:rPr>
        <w:t>’</w:t>
      </w:r>
      <w:r w:rsidRPr="00016AD6">
        <w:rPr>
          <w:rFonts w:asciiTheme="majorBidi" w:eastAsia="Calibri" w:hAnsiTheme="majorBidi"/>
          <w:lang w:val="fr-FR"/>
        </w:rPr>
        <w:t>élévation du niveau de la mer, ainsi que d</w:t>
      </w:r>
      <w:r w:rsidR="004C5E26">
        <w:rPr>
          <w:rFonts w:asciiTheme="majorBidi" w:eastAsia="Calibri" w:hAnsiTheme="majorBidi"/>
          <w:lang w:val="fr-FR"/>
        </w:rPr>
        <w:t>’</w:t>
      </w:r>
      <w:r w:rsidRPr="00016AD6">
        <w:rPr>
          <w:rFonts w:asciiTheme="majorBidi" w:eastAsia="Calibri" w:hAnsiTheme="majorBidi"/>
          <w:lang w:val="fr-FR"/>
        </w:rPr>
        <w:t xml:space="preserve">autres questions liées à la conservation de la personnalité juridique internationale de cet État. </w:t>
      </w:r>
    </w:p>
    <w:p w14:paraId="72FD6BB9" w14:textId="64FAAD78" w:rsidR="00737BD1" w:rsidRDefault="00737BD1" w:rsidP="00737BD1">
      <w:pPr>
        <w:pStyle w:val="SingleTxtG"/>
        <w:keepLines/>
        <w:rPr>
          <w:rFonts w:asciiTheme="majorBidi" w:eastAsia="Calibri" w:hAnsiTheme="majorBidi"/>
          <w:lang w:val="fr-FR"/>
        </w:rPr>
      </w:pPr>
      <w:r>
        <w:rPr>
          <w:rFonts w:asciiTheme="majorBidi" w:eastAsia="Calibri" w:hAnsiTheme="majorBidi"/>
          <w:lang w:val="fr-FR"/>
        </w:rPr>
        <w:t>384.</w:t>
      </w:r>
      <w:r>
        <w:rPr>
          <w:rFonts w:asciiTheme="majorBidi" w:eastAsia="Calibri" w:hAnsiTheme="majorBidi"/>
          <w:lang w:val="fr-FR"/>
        </w:rPr>
        <w:tab/>
      </w:r>
      <w:r w:rsidRPr="00016AD6">
        <w:rPr>
          <w:rFonts w:asciiTheme="majorBidi" w:eastAsia="Calibri" w:hAnsiTheme="majorBidi"/>
          <w:lang w:val="fr-FR"/>
        </w:rPr>
        <w:t>Pour que le droit à l</w:t>
      </w:r>
      <w:r w:rsidR="004C5E26">
        <w:rPr>
          <w:rFonts w:asciiTheme="majorBidi" w:eastAsia="Calibri" w:hAnsiTheme="majorBidi"/>
          <w:lang w:val="fr-FR"/>
        </w:rPr>
        <w:t>’</w:t>
      </w:r>
      <w:proofErr w:type="spellStart"/>
      <w:r w:rsidRPr="00016AD6">
        <w:rPr>
          <w:rFonts w:asciiTheme="majorBidi" w:eastAsia="Calibri" w:hAnsiTheme="majorBidi"/>
          <w:lang w:val="fr-FR"/>
        </w:rPr>
        <w:t>autodétermination</w:t>
      </w:r>
      <w:proofErr w:type="spellEnd"/>
      <w:r w:rsidRPr="00016AD6">
        <w:rPr>
          <w:rFonts w:asciiTheme="majorBidi" w:eastAsia="Calibri" w:hAnsiTheme="majorBidi"/>
          <w:lang w:val="fr-FR"/>
        </w:rPr>
        <w:t xml:space="preserve"> </w:t>
      </w:r>
      <w:r>
        <w:rPr>
          <w:rFonts w:asciiTheme="majorBidi" w:eastAsia="Calibri" w:hAnsiTheme="majorBidi"/>
          <w:lang w:val="fr-FR"/>
        </w:rPr>
        <w:t>des peuples</w:t>
      </w:r>
      <w:r w:rsidRPr="00016AD6">
        <w:rPr>
          <w:rFonts w:asciiTheme="majorBidi" w:eastAsia="Calibri" w:hAnsiTheme="majorBidi"/>
          <w:lang w:val="fr-FR"/>
        </w:rPr>
        <w:t xml:space="preserve"> des États et pays touchés par le phénomène</w:t>
      </w:r>
      <w:r>
        <w:rPr>
          <w:rFonts w:asciiTheme="majorBidi" w:eastAsia="Calibri" w:hAnsiTheme="majorBidi"/>
          <w:lang w:val="fr-FR"/>
        </w:rPr>
        <w:t xml:space="preserve"> soit respecté</w:t>
      </w:r>
      <w:r w:rsidRPr="00016AD6">
        <w:rPr>
          <w:rFonts w:asciiTheme="majorBidi" w:eastAsia="Calibri" w:hAnsiTheme="majorBidi"/>
          <w:lang w:val="fr-FR"/>
        </w:rPr>
        <w:t>, la formule utilisée dans chaque cas</w:t>
      </w:r>
      <w:r>
        <w:rPr>
          <w:rFonts w:asciiTheme="majorBidi" w:eastAsia="Calibri" w:hAnsiTheme="majorBidi"/>
          <w:lang w:val="fr-FR"/>
        </w:rPr>
        <w:t xml:space="preserve"> devait faire l</w:t>
      </w:r>
      <w:r w:rsidR="004C5E26">
        <w:rPr>
          <w:rFonts w:asciiTheme="majorBidi" w:eastAsia="Calibri" w:hAnsiTheme="majorBidi"/>
          <w:lang w:val="fr-FR"/>
        </w:rPr>
        <w:t>’</w:t>
      </w:r>
      <w:r>
        <w:rPr>
          <w:rFonts w:asciiTheme="majorBidi" w:eastAsia="Calibri" w:hAnsiTheme="majorBidi"/>
          <w:lang w:val="fr-FR"/>
        </w:rPr>
        <w:t>objet d</w:t>
      </w:r>
      <w:r w:rsidR="004C5E26">
        <w:rPr>
          <w:rFonts w:asciiTheme="majorBidi" w:eastAsia="Calibri" w:hAnsiTheme="majorBidi"/>
          <w:lang w:val="fr-FR"/>
        </w:rPr>
        <w:t>’</w:t>
      </w:r>
      <w:r>
        <w:rPr>
          <w:rFonts w:asciiTheme="majorBidi" w:eastAsia="Calibri" w:hAnsiTheme="majorBidi"/>
          <w:lang w:val="fr-FR"/>
        </w:rPr>
        <w:t>une procédure de consultation de la population concernée</w:t>
      </w:r>
      <w:r w:rsidRPr="00016AD6">
        <w:rPr>
          <w:rFonts w:asciiTheme="majorBidi" w:eastAsia="Calibri" w:hAnsiTheme="majorBidi"/>
          <w:lang w:val="fr-FR"/>
        </w:rPr>
        <w:t>. Les diverses modalités envisagées compren</w:t>
      </w:r>
      <w:r>
        <w:rPr>
          <w:rFonts w:asciiTheme="majorBidi" w:eastAsia="Calibri" w:hAnsiTheme="majorBidi"/>
          <w:lang w:val="fr-FR"/>
        </w:rPr>
        <w:t>ai</w:t>
      </w:r>
      <w:r w:rsidRPr="00016AD6">
        <w:rPr>
          <w:rFonts w:asciiTheme="majorBidi" w:eastAsia="Calibri" w:hAnsiTheme="majorBidi"/>
          <w:lang w:val="fr-FR"/>
        </w:rPr>
        <w:t>ent l</w:t>
      </w:r>
      <w:r w:rsidR="004C5E26">
        <w:rPr>
          <w:rFonts w:asciiTheme="majorBidi" w:eastAsia="Calibri" w:hAnsiTheme="majorBidi"/>
          <w:lang w:val="fr-FR"/>
        </w:rPr>
        <w:t>’</w:t>
      </w:r>
      <w:r>
        <w:rPr>
          <w:rFonts w:asciiTheme="majorBidi" w:eastAsia="Calibri" w:hAnsiTheme="majorBidi"/>
          <w:lang w:val="fr-FR"/>
        </w:rPr>
        <w:t xml:space="preserve">acquisition </w:t>
      </w:r>
      <w:r w:rsidRPr="00016AD6">
        <w:rPr>
          <w:rFonts w:asciiTheme="majorBidi" w:eastAsia="Calibri" w:hAnsiTheme="majorBidi"/>
          <w:lang w:val="fr-FR"/>
        </w:rPr>
        <w:t>par l</w:t>
      </w:r>
      <w:r w:rsidR="004C5E26">
        <w:rPr>
          <w:rFonts w:asciiTheme="majorBidi" w:eastAsia="Calibri" w:hAnsiTheme="majorBidi"/>
          <w:lang w:val="fr-FR"/>
        </w:rPr>
        <w:t>’</w:t>
      </w:r>
      <w:r w:rsidRPr="00016AD6">
        <w:rPr>
          <w:rFonts w:asciiTheme="majorBidi" w:eastAsia="Calibri" w:hAnsiTheme="majorBidi"/>
          <w:lang w:val="fr-FR"/>
        </w:rPr>
        <w:t>État touché, avec ou sans transfert de souveraineté, d</w:t>
      </w:r>
      <w:r w:rsidR="004C5E26">
        <w:rPr>
          <w:rFonts w:asciiTheme="majorBidi" w:eastAsia="Calibri" w:hAnsiTheme="majorBidi"/>
          <w:lang w:val="fr-FR"/>
        </w:rPr>
        <w:t>’</w:t>
      </w:r>
      <w:r w:rsidRPr="00016AD6">
        <w:rPr>
          <w:rFonts w:asciiTheme="majorBidi" w:eastAsia="Calibri" w:hAnsiTheme="majorBidi"/>
          <w:lang w:val="fr-FR"/>
        </w:rPr>
        <w:t>une portion du territoire d</w:t>
      </w:r>
      <w:r w:rsidR="004C5E26">
        <w:rPr>
          <w:rFonts w:asciiTheme="majorBidi" w:eastAsia="Calibri" w:hAnsiTheme="majorBidi"/>
          <w:lang w:val="fr-FR"/>
        </w:rPr>
        <w:t>’</w:t>
      </w:r>
      <w:r w:rsidRPr="00016AD6">
        <w:rPr>
          <w:rFonts w:asciiTheme="majorBidi" w:eastAsia="Calibri" w:hAnsiTheme="majorBidi"/>
          <w:lang w:val="fr-FR"/>
        </w:rPr>
        <w:t xml:space="preserve">un autre État ou de terres sur ce territoire, </w:t>
      </w:r>
      <w:r>
        <w:rPr>
          <w:rFonts w:asciiTheme="majorBidi" w:eastAsia="Calibri" w:hAnsiTheme="majorBidi"/>
          <w:lang w:val="fr-FR"/>
        </w:rPr>
        <w:t>la conclusion d</w:t>
      </w:r>
      <w:r w:rsidR="004C5E26">
        <w:rPr>
          <w:rFonts w:asciiTheme="majorBidi" w:eastAsia="Calibri" w:hAnsiTheme="majorBidi"/>
          <w:lang w:val="fr-FR"/>
        </w:rPr>
        <w:t>’</w:t>
      </w:r>
      <w:r w:rsidRPr="00016AD6">
        <w:rPr>
          <w:rFonts w:asciiTheme="majorBidi" w:eastAsia="Calibri" w:hAnsiTheme="majorBidi"/>
          <w:lang w:val="fr-FR"/>
        </w:rPr>
        <w:t>un accord d</w:t>
      </w:r>
      <w:r w:rsidR="004C5E26">
        <w:rPr>
          <w:rFonts w:asciiTheme="majorBidi" w:eastAsia="Calibri" w:hAnsiTheme="majorBidi"/>
          <w:lang w:val="fr-FR"/>
        </w:rPr>
        <w:t>’</w:t>
      </w:r>
      <w:r w:rsidRPr="00016AD6">
        <w:rPr>
          <w:rFonts w:asciiTheme="majorBidi" w:eastAsia="Calibri" w:hAnsiTheme="majorBidi"/>
          <w:lang w:val="fr-FR"/>
        </w:rPr>
        <w:t>association avec d</w:t>
      </w:r>
      <w:r w:rsidR="004C5E26">
        <w:rPr>
          <w:rFonts w:asciiTheme="majorBidi" w:eastAsia="Calibri" w:hAnsiTheme="majorBidi"/>
          <w:lang w:val="fr-FR"/>
        </w:rPr>
        <w:t>’</w:t>
      </w:r>
      <w:r w:rsidRPr="00016AD6">
        <w:rPr>
          <w:rFonts w:asciiTheme="majorBidi" w:eastAsia="Calibri" w:hAnsiTheme="majorBidi"/>
          <w:lang w:val="fr-FR"/>
        </w:rPr>
        <w:t xml:space="preserve">autres États, ou </w:t>
      </w:r>
      <w:r>
        <w:rPr>
          <w:rFonts w:asciiTheme="majorBidi" w:eastAsia="Calibri" w:hAnsiTheme="majorBidi"/>
          <w:lang w:val="fr-FR"/>
        </w:rPr>
        <w:t>l</w:t>
      </w:r>
      <w:r w:rsidR="004C5E26">
        <w:rPr>
          <w:rFonts w:asciiTheme="majorBidi" w:eastAsia="Calibri" w:hAnsiTheme="majorBidi"/>
          <w:lang w:val="fr-FR"/>
        </w:rPr>
        <w:t>’</w:t>
      </w:r>
      <w:r>
        <w:rPr>
          <w:rFonts w:asciiTheme="majorBidi" w:eastAsia="Calibri" w:hAnsiTheme="majorBidi"/>
          <w:lang w:val="fr-FR"/>
        </w:rPr>
        <w:t>établissement d</w:t>
      </w:r>
      <w:r w:rsidR="004C5E26">
        <w:rPr>
          <w:rFonts w:asciiTheme="majorBidi" w:eastAsia="Calibri" w:hAnsiTheme="majorBidi"/>
          <w:lang w:val="fr-FR"/>
        </w:rPr>
        <w:t>’</w:t>
      </w:r>
      <w:r w:rsidRPr="00016AD6">
        <w:rPr>
          <w:rFonts w:asciiTheme="majorBidi" w:eastAsia="Calibri" w:hAnsiTheme="majorBidi"/>
          <w:lang w:val="fr-FR"/>
        </w:rPr>
        <w:t>une confédération au moyen d</w:t>
      </w:r>
      <w:r w:rsidR="004C5E26">
        <w:rPr>
          <w:rFonts w:asciiTheme="majorBidi" w:eastAsia="Calibri" w:hAnsiTheme="majorBidi"/>
          <w:lang w:val="fr-FR"/>
        </w:rPr>
        <w:t>’</w:t>
      </w:r>
      <w:r w:rsidRPr="00016AD6">
        <w:rPr>
          <w:rFonts w:asciiTheme="majorBidi" w:eastAsia="Calibri" w:hAnsiTheme="majorBidi"/>
          <w:lang w:val="fr-FR"/>
        </w:rPr>
        <w:t>accords qui rendraient possible la continuité de l</w:t>
      </w:r>
      <w:r w:rsidR="004C5E26">
        <w:rPr>
          <w:rFonts w:asciiTheme="majorBidi" w:eastAsia="Calibri" w:hAnsiTheme="majorBidi"/>
          <w:lang w:val="fr-FR"/>
        </w:rPr>
        <w:t>’</w:t>
      </w:r>
      <w:r w:rsidRPr="00016AD6">
        <w:rPr>
          <w:rFonts w:asciiTheme="majorBidi" w:eastAsia="Calibri" w:hAnsiTheme="majorBidi"/>
          <w:lang w:val="fr-FR"/>
        </w:rPr>
        <w:t>État touché et de sa personnalité juridique internationale. Une autre modalité serait l</w:t>
      </w:r>
      <w:r w:rsidR="004C5E26">
        <w:rPr>
          <w:rFonts w:asciiTheme="majorBidi" w:eastAsia="Calibri" w:hAnsiTheme="majorBidi"/>
          <w:lang w:val="fr-FR"/>
        </w:rPr>
        <w:t>’</w:t>
      </w:r>
      <w:r w:rsidRPr="00016AD6">
        <w:rPr>
          <w:rFonts w:asciiTheme="majorBidi" w:eastAsia="Calibri" w:hAnsiTheme="majorBidi"/>
          <w:lang w:val="fr-FR"/>
        </w:rPr>
        <w:t>intégration dans une fédération avec un autre État où, bien que l</w:t>
      </w:r>
      <w:r w:rsidR="004C5E26">
        <w:rPr>
          <w:rFonts w:asciiTheme="majorBidi" w:eastAsia="Calibri" w:hAnsiTheme="majorBidi"/>
          <w:lang w:val="fr-FR"/>
        </w:rPr>
        <w:t>’</w:t>
      </w:r>
      <w:r w:rsidRPr="00016AD6">
        <w:rPr>
          <w:rFonts w:asciiTheme="majorBidi" w:eastAsia="Calibri" w:hAnsiTheme="majorBidi"/>
          <w:lang w:val="fr-FR"/>
        </w:rPr>
        <w:t>État touché n</w:t>
      </w:r>
      <w:r w:rsidR="004C5E26">
        <w:rPr>
          <w:rFonts w:asciiTheme="majorBidi" w:eastAsia="Calibri" w:hAnsiTheme="majorBidi"/>
          <w:lang w:val="fr-FR"/>
        </w:rPr>
        <w:t>’</w:t>
      </w:r>
      <w:r w:rsidRPr="00016AD6">
        <w:rPr>
          <w:rFonts w:asciiTheme="majorBidi" w:eastAsia="Calibri" w:hAnsiTheme="majorBidi"/>
          <w:lang w:val="fr-FR"/>
        </w:rPr>
        <w:t>existerait plus en tant que tel, il pourrait conserver un fort degré d</w:t>
      </w:r>
      <w:r w:rsidR="004C5E26">
        <w:rPr>
          <w:rFonts w:asciiTheme="majorBidi" w:eastAsia="Calibri" w:hAnsiTheme="majorBidi"/>
          <w:lang w:val="fr-FR"/>
        </w:rPr>
        <w:t>’</w:t>
      </w:r>
      <w:r w:rsidRPr="00016AD6">
        <w:rPr>
          <w:rFonts w:asciiTheme="majorBidi" w:eastAsia="Calibri" w:hAnsiTheme="majorBidi"/>
          <w:lang w:val="fr-FR"/>
        </w:rPr>
        <w:t>autonomie. Une option similaire serait l</w:t>
      </w:r>
      <w:r w:rsidR="004C5E26">
        <w:rPr>
          <w:rFonts w:asciiTheme="majorBidi" w:eastAsia="Calibri" w:hAnsiTheme="majorBidi"/>
          <w:lang w:val="fr-FR"/>
        </w:rPr>
        <w:t>’</w:t>
      </w:r>
      <w:r w:rsidRPr="00016AD6">
        <w:rPr>
          <w:rFonts w:asciiTheme="majorBidi" w:eastAsia="Calibri" w:hAnsiTheme="majorBidi"/>
          <w:lang w:val="fr-FR"/>
        </w:rPr>
        <w:t xml:space="preserve">unification avec un autre État, </w:t>
      </w:r>
      <w:r w:rsidR="00E71225">
        <w:rPr>
          <w:rFonts w:asciiTheme="majorBidi" w:eastAsia="Calibri" w:hAnsiTheme="majorBidi"/>
          <w:lang w:val="fr-FR"/>
        </w:rPr>
        <w:t>où</w:t>
      </w:r>
      <w:r w:rsidRPr="00016AD6">
        <w:rPr>
          <w:rFonts w:asciiTheme="majorBidi" w:eastAsia="Calibri" w:hAnsiTheme="majorBidi"/>
          <w:lang w:val="fr-FR"/>
        </w:rPr>
        <w:t xml:space="preserve"> une certaine forme d</w:t>
      </w:r>
      <w:r w:rsidR="004C5E26">
        <w:rPr>
          <w:rFonts w:asciiTheme="majorBidi" w:eastAsia="Calibri" w:hAnsiTheme="majorBidi"/>
          <w:lang w:val="fr-FR"/>
        </w:rPr>
        <w:t>’</w:t>
      </w:r>
      <w:r w:rsidRPr="00016AD6">
        <w:rPr>
          <w:rFonts w:asciiTheme="majorBidi" w:eastAsia="Calibri" w:hAnsiTheme="majorBidi"/>
          <w:lang w:val="fr-FR"/>
        </w:rPr>
        <w:t>autonomie pourrait aussi être envisagée en faveur de l</w:t>
      </w:r>
      <w:r w:rsidR="004C5E26">
        <w:rPr>
          <w:rFonts w:asciiTheme="majorBidi" w:eastAsia="Calibri" w:hAnsiTheme="majorBidi"/>
          <w:lang w:val="fr-FR"/>
        </w:rPr>
        <w:t>’</w:t>
      </w:r>
      <w:r w:rsidRPr="00016AD6">
        <w:rPr>
          <w:rFonts w:asciiTheme="majorBidi" w:eastAsia="Calibri" w:hAnsiTheme="majorBidi"/>
          <w:lang w:val="fr-FR"/>
        </w:rPr>
        <w:t>État touché, qui cesserait d</w:t>
      </w:r>
      <w:r w:rsidR="004C5E26">
        <w:rPr>
          <w:rFonts w:asciiTheme="majorBidi" w:eastAsia="Calibri" w:hAnsiTheme="majorBidi"/>
          <w:lang w:val="fr-FR"/>
        </w:rPr>
        <w:t>’</w:t>
      </w:r>
      <w:r w:rsidRPr="00016AD6">
        <w:rPr>
          <w:rFonts w:asciiTheme="majorBidi" w:eastAsia="Calibri" w:hAnsiTheme="majorBidi"/>
          <w:lang w:val="fr-FR"/>
        </w:rPr>
        <w:t>exister en tant qu</w:t>
      </w:r>
      <w:r w:rsidR="004C5E26">
        <w:rPr>
          <w:rFonts w:asciiTheme="majorBidi" w:eastAsia="Calibri" w:hAnsiTheme="majorBidi"/>
          <w:lang w:val="fr-FR"/>
        </w:rPr>
        <w:t>’</w:t>
      </w:r>
      <w:r w:rsidRPr="00016AD6">
        <w:rPr>
          <w:rFonts w:asciiTheme="majorBidi" w:eastAsia="Calibri" w:hAnsiTheme="majorBidi"/>
          <w:lang w:val="fr-FR"/>
        </w:rPr>
        <w:t>État indépendant. Enfin, la note complémentaire évoqu</w:t>
      </w:r>
      <w:r>
        <w:rPr>
          <w:rFonts w:asciiTheme="majorBidi" w:eastAsia="Calibri" w:hAnsiTheme="majorBidi"/>
          <w:lang w:val="fr-FR"/>
        </w:rPr>
        <w:t>ait</w:t>
      </w:r>
      <w:r w:rsidRPr="00016AD6">
        <w:rPr>
          <w:rFonts w:asciiTheme="majorBidi" w:eastAsia="Calibri" w:hAnsiTheme="majorBidi"/>
          <w:lang w:val="fr-FR"/>
        </w:rPr>
        <w:t xml:space="preserve"> la possibilité de recourir à des formules ou régimes juridiques ad hoc qui permettraient aux États touchés de conserver leur personnalité juridique internationale ainsi que leurs droits sur les espaces maritimes et les ressources s</w:t>
      </w:r>
      <w:r w:rsidR="004C5E26">
        <w:rPr>
          <w:rFonts w:asciiTheme="majorBidi" w:eastAsia="Calibri" w:hAnsiTheme="majorBidi"/>
          <w:lang w:val="fr-FR"/>
        </w:rPr>
        <w:t>’</w:t>
      </w:r>
      <w:r w:rsidRPr="00016AD6">
        <w:rPr>
          <w:rFonts w:asciiTheme="majorBidi" w:eastAsia="Calibri" w:hAnsiTheme="majorBidi"/>
          <w:lang w:val="fr-FR"/>
        </w:rPr>
        <w:t>y trouvant.</w:t>
      </w:r>
    </w:p>
    <w:p w14:paraId="7F1A7ABC" w14:textId="77777777" w:rsidR="00737BD1" w:rsidRPr="00016AD6" w:rsidRDefault="00737BD1" w:rsidP="00737BD1">
      <w:pPr>
        <w:pStyle w:val="H56G"/>
        <w:rPr>
          <w:lang w:val="fr-FR"/>
        </w:rPr>
      </w:pPr>
      <w:r>
        <w:rPr>
          <w:lang w:val="fr-FR"/>
        </w:rPr>
        <w:lastRenderedPageBreak/>
        <w:tab/>
        <w:t>b.</w:t>
      </w:r>
      <w:r>
        <w:rPr>
          <w:lang w:val="fr-FR"/>
        </w:rPr>
        <w:tab/>
        <w:t>Résumé du débat</w:t>
      </w:r>
    </w:p>
    <w:p w14:paraId="35E3791B" w14:textId="1B560608" w:rsidR="00737BD1" w:rsidRPr="00016AD6" w:rsidRDefault="00737BD1" w:rsidP="00737BD1">
      <w:pPr>
        <w:pStyle w:val="SingleTxtG"/>
        <w:keepNext/>
        <w:keepLines/>
        <w:rPr>
          <w:rFonts w:asciiTheme="majorBidi" w:eastAsia="Calibri" w:hAnsiTheme="majorBidi"/>
          <w:lang w:val="fr-FR"/>
        </w:rPr>
      </w:pPr>
      <w:r>
        <w:rPr>
          <w:rFonts w:asciiTheme="majorBidi" w:eastAsia="Calibri" w:hAnsiTheme="majorBidi"/>
          <w:lang w:val="fr-FR"/>
        </w:rPr>
        <w:t>385.</w:t>
      </w:r>
      <w:r>
        <w:rPr>
          <w:rFonts w:asciiTheme="majorBidi" w:eastAsia="Calibri" w:hAnsiTheme="majorBidi"/>
          <w:lang w:val="fr-FR"/>
        </w:rPr>
        <w:tab/>
      </w:r>
      <w:r w:rsidRPr="00016AD6">
        <w:rPr>
          <w:rFonts w:asciiTheme="majorBidi" w:eastAsia="Calibri" w:hAnsiTheme="majorBidi"/>
          <w:lang w:val="fr-FR"/>
        </w:rPr>
        <w:t xml:space="preserve">Durant la discussion qui a suivi </w:t>
      </w:r>
      <w:r>
        <w:rPr>
          <w:rFonts w:asciiTheme="majorBidi" w:eastAsia="Calibri" w:hAnsiTheme="majorBidi"/>
          <w:lang w:val="fr-FR"/>
        </w:rPr>
        <w:t xml:space="preserve">au sein </w:t>
      </w:r>
      <w:r w:rsidRPr="00016AD6">
        <w:rPr>
          <w:rFonts w:asciiTheme="majorBidi" w:eastAsia="Calibri" w:hAnsiTheme="majorBidi"/>
          <w:lang w:val="fr-FR"/>
        </w:rPr>
        <w:t>du Groupe d</w:t>
      </w:r>
      <w:r w:rsidR="004C5E26">
        <w:rPr>
          <w:rFonts w:asciiTheme="majorBidi" w:eastAsia="Calibri" w:hAnsiTheme="majorBidi"/>
          <w:lang w:val="fr-FR"/>
        </w:rPr>
        <w:t>’</w:t>
      </w:r>
      <w:r w:rsidRPr="00016AD6">
        <w:rPr>
          <w:rFonts w:asciiTheme="majorBidi" w:eastAsia="Calibri" w:hAnsiTheme="majorBidi"/>
          <w:lang w:val="fr-FR"/>
        </w:rPr>
        <w:t xml:space="preserve">étude, on a </w:t>
      </w:r>
      <w:r>
        <w:rPr>
          <w:rFonts w:asciiTheme="majorBidi" w:eastAsia="Calibri" w:hAnsiTheme="majorBidi"/>
          <w:lang w:val="fr-FR"/>
        </w:rPr>
        <w:t>fait remarquer</w:t>
      </w:r>
      <w:r w:rsidRPr="00016AD6">
        <w:rPr>
          <w:rFonts w:asciiTheme="majorBidi" w:eastAsia="Calibri" w:hAnsiTheme="majorBidi"/>
          <w:lang w:val="fr-FR"/>
        </w:rPr>
        <w:t xml:space="preserve"> que l</w:t>
      </w:r>
      <w:r w:rsidR="004C5E26">
        <w:rPr>
          <w:rFonts w:asciiTheme="majorBidi" w:eastAsia="Calibri" w:hAnsiTheme="majorBidi"/>
          <w:lang w:val="fr-FR"/>
        </w:rPr>
        <w:t>’</w:t>
      </w:r>
      <w:r w:rsidRPr="00016AD6">
        <w:rPr>
          <w:rFonts w:asciiTheme="majorBidi" w:eastAsia="Calibri" w:hAnsiTheme="majorBidi"/>
          <w:lang w:val="fr-FR"/>
        </w:rPr>
        <w:t>incapacité progressive d</w:t>
      </w:r>
      <w:r w:rsidR="004C5E26">
        <w:rPr>
          <w:rFonts w:asciiTheme="majorBidi" w:eastAsia="Calibri" w:hAnsiTheme="majorBidi"/>
          <w:lang w:val="fr-FR"/>
        </w:rPr>
        <w:t>’</w:t>
      </w:r>
      <w:r w:rsidRPr="00016AD6">
        <w:rPr>
          <w:rFonts w:asciiTheme="majorBidi" w:eastAsia="Calibri" w:hAnsiTheme="majorBidi"/>
          <w:lang w:val="fr-FR"/>
        </w:rPr>
        <w:t xml:space="preserve">exercer des fonctions étatiques pourrait constituer une difficulté critique bien avant </w:t>
      </w:r>
      <w:r>
        <w:rPr>
          <w:rFonts w:asciiTheme="majorBidi" w:eastAsia="Calibri" w:hAnsiTheme="majorBidi"/>
          <w:lang w:val="fr-FR"/>
        </w:rPr>
        <w:t>que la surface</w:t>
      </w:r>
      <w:r w:rsidRPr="00016AD6">
        <w:rPr>
          <w:rFonts w:asciiTheme="majorBidi" w:eastAsia="Calibri" w:hAnsiTheme="majorBidi"/>
          <w:lang w:val="fr-FR"/>
        </w:rPr>
        <w:t xml:space="preserve"> terrestre</w:t>
      </w:r>
      <w:r>
        <w:rPr>
          <w:rFonts w:asciiTheme="majorBidi" w:eastAsia="Calibri" w:hAnsiTheme="majorBidi"/>
          <w:lang w:val="fr-FR"/>
        </w:rPr>
        <w:t xml:space="preserve"> ne soit totalement recouverte par la mer</w:t>
      </w:r>
      <w:r w:rsidRPr="00016AD6">
        <w:rPr>
          <w:rFonts w:asciiTheme="majorBidi" w:eastAsia="Calibri" w:hAnsiTheme="majorBidi"/>
          <w:lang w:val="fr-FR"/>
        </w:rPr>
        <w:t>. La question se posait donc de savoir ce qu</w:t>
      </w:r>
      <w:r w:rsidR="004C5E26">
        <w:rPr>
          <w:rFonts w:asciiTheme="majorBidi" w:eastAsia="Calibri" w:hAnsiTheme="majorBidi"/>
          <w:lang w:val="fr-FR"/>
        </w:rPr>
        <w:t>’</w:t>
      </w:r>
      <w:r w:rsidRPr="00016AD6">
        <w:rPr>
          <w:rFonts w:asciiTheme="majorBidi" w:eastAsia="Calibri" w:hAnsiTheme="majorBidi"/>
          <w:lang w:val="fr-FR"/>
        </w:rPr>
        <w:t>il adviendrait des ressources naturelles d</w:t>
      </w:r>
      <w:r w:rsidR="004C5E26">
        <w:rPr>
          <w:rFonts w:asciiTheme="majorBidi" w:eastAsia="Calibri" w:hAnsiTheme="majorBidi"/>
          <w:lang w:val="fr-FR"/>
        </w:rPr>
        <w:t>’</w:t>
      </w:r>
      <w:r w:rsidRPr="00016AD6">
        <w:rPr>
          <w:rFonts w:asciiTheme="majorBidi" w:eastAsia="Calibri" w:hAnsiTheme="majorBidi"/>
          <w:lang w:val="fr-FR"/>
        </w:rPr>
        <w:t>un État qui a</w:t>
      </w:r>
      <w:r>
        <w:rPr>
          <w:rFonts w:asciiTheme="majorBidi" w:eastAsia="Calibri" w:hAnsiTheme="majorBidi"/>
          <w:lang w:val="fr-FR"/>
        </w:rPr>
        <w:t>vait</w:t>
      </w:r>
      <w:r w:rsidRPr="00016AD6">
        <w:rPr>
          <w:rFonts w:asciiTheme="majorBidi" w:eastAsia="Calibri" w:hAnsiTheme="majorBidi"/>
          <w:lang w:val="fr-FR"/>
        </w:rPr>
        <w:t xml:space="preserve"> </w:t>
      </w:r>
      <w:r>
        <w:rPr>
          <w:rFonts w:asciiTheme="majorBidi" w:eastAsia="Calibri" w:hAnsiTheme="majorBidi"/>
          <w:lang w:val="fr-FR"/>
        </w:rPr>
        <w:t>perdu sa capacité d</w:t>
      </w:r>
      <w:r w:rsidR="004C5E26">
        <w:rPr>
          <w:rFonts w:asciiTheme="majorBidi" w:eastAsia="Calibri" w:hAnsiTheme="majorBidi"/>
          <w:lang w:val="fr-FR"/>
        </w:rPr>
        <w:t>’</w:t>
      </w:r>
      <w:r>
        <w:rPr>
          <w:rFonts w:asciiTheme="majorBidi" w:eastAsia="Calibri" w:hAnsiTheme="majorBidi"/>
          <w:lang w:val="fr-FR"/>
        </w:rPr>
        <w:t>exercer ses fonctions</w:t>
      </w:r>
      <w:r w:rsidRPr="00016AD6">
        <w:rPr>
          <w:rFonts w:asciiTheme="majorBidi" w:eastAsia="Calibri" w:hAnsiTheme="majorBidi"/>
          <w:lang w:val="fr-FR"/>
        </w:rPr>
        <w:t xml:space="preserve">, et comment </w:t>
      </w:r>
      <w:r>
        <w:rPr>
          <w:rFonts w:asciiTheme="majorBidi" w:eastAsia="Calibri" w:hAnsiTheme="majorBidi"/>
          <w:lang w:val="fr-FR"/>
        </w:rPr>
        <w:t>s</w:t>
      </w:r>
      <w:r w:rsidRPr="00016AD6">
        <w:rPr>
          <w:rFonts w:asciiTheme="majorBidi" w:eastAsia="Calibri" w:hAnsiTheme="majorBidi"/>
          <w:lang w:val="fr-FR"/>
        </w:rPr>
        <w:t>a population pourrait bénéficier de ces ressources à l</w:t>
      </w:r>
      <w:r w:rsidR="004C5E26">
        <w:rPr>
          <w:rFonts w:asciiTheme="majorBidi" w:eastAsia="Calibri" w:hAnsiTheme="majorBidi"/>
          <w:lang w:val="fr-FR"/>
        </w:rPr>
        <w:t>’</w:t>
      </w:r>
      <w:r w:rsidRPr="00016AD6">
        <w:rPr>
          <w:rFonts w:asciiTheme="majorBidi" w:eastAsia="Calibri" w:hAnsiTheme="majorBidi"/>
          <w:lang w:val="fr-FR"/>
        </w:rPr>
        <w:t>avenir.</w:t>
      </w:r>
    </w:p>
    <w:p w14:paraId="72A9CF8E" w14:textId="542C0AA3"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386.</w:t>
      </w:r>
      <w:r>
        <w:rPr>
          <w:rFonts w:asciiTheme="majorBidi" w:eastAsia="Calibri" w:hAnsiTheme="majorBidi"/>
          <w:lang w:val="fr-FR"/>
        </w:rPr>
        <w:tab/>
      </w:r>
      <w:r w:rsidRPr="00016AD6">
        <w:rPr>
          <w:rFonts w:asciiTheme="majorBidi" w:eastAsia="Calibri" w:hAnsiTheme="majorBidi"/>
          <w:lang w:val="fr-FR"/>
        </w:rPr>
        <w:t xml:space="preserve">Il a été suggéré que la communauté internationale </w:t>
      </w:r>
      <w:r>
        <w:rPr>
          <w:rFonts w:asciiTheme="majorBidi" w:eastAsia="Calibri" w:hAnsiTheme="majorBidi"/>
          <w:lang w:val="fr-FR"/>
        </w:rPr>
        <w:t xml:space="preserve">contribue </w:t>
      </w:r>
      <w:r w:rsidRPr="00016AD6">
        <w:rPr>
          <w:rFonts w:asciiTheme="majorBidi" w:eastAsia="Calibri" w:hAnsiTheme="majorBidi"/>
          <w:lang w:val="fr-FR"/>
        </w:rPr>
        <w:t>à la restauration d</w:t>
      </w:r>
      <w:r w:rsidR="004C5E26">
        <w:rPr>
          <w:rFonts w:asciiTheme="majorBidi" w:eastAsia="Calibri" w:hAnsiTheme="majorBidi"/>
          <w:lang w:val="fr-FR"/>
        </w:rPr>
        <w:t>’</w:t>
      </w:r>
      <w:r w:rsidRPr="00016AD6">
        <w:rPr>
          <w:rFonts w:asciiTheme="majorBidi" w:eastAsia="Calibri" w:hAnsiTheme="majorBidi"/>
          <w:lang w:val="fr-FR"/>
        </w:rPr>
        <w:t>une condition étatique territorialisée. La Commission pourrait ainsi envisager des formes intérimaires d</w:t>
      </w:r>
      <w:r w:rsidR="004C5E26">
        <w:rPr>
          <w:rFonts w:asciiTheme="majorBidi" w:eastAsia="Calibri" w:hAnsiTheme="majorBidi"/>
          <w:lang w:val="fr-FR"/>
        </w:rPr>
        <w:t>’</w:t>
      </w:r>
      <w:r w:rsidRPr="00016AD6">
        <w:rPr>
          <w:rFonts w:asciiTheme="majorBidi" w:eastAsia="Calibri" w:hAnsiTheme="majorBidi"/>
          <w:lang w:val="fr-FR"/>
        </w:rPr>
        <w:t>administration pouvant aider les États touchés à recouvrer l</w:t>
      </w:r>
      <w:r w:rsidR="004C5E26">
        <w:rPr>
          <w:rFonts w:asciiTheme="majorBidi" w:eastAsia="Calibri" w:hAnsiTheme="majorBidi"/>
          <w:lang w:val="fr-FR"/>
        </w:rPr>
        <w:t>’</w:t>
      </w:r>
      <w:r w:rsidRPr="00016AD6">
        <w:rPr>
          <w:rFonts w:asciiTheme="majorBidi" w:eastAsia="Calibri" w:hAnsiTheme="majorBidi"/>
          <w:lang w:val="fr-FR"/>
        </w:rPr>
        <w:t>effectivité requise pour conserver leur qualité d</w:t>
      </w:r>
      <w:r w:rsidR="004C5E26">
        <w:rPr>
          <w:rFonts w:asciiTheme="majorBidi" w:eastAsia="Calibri" w:hAnsiTheme="majorBidi"/>
          <w:lang w:val="fr-FR"/>
        </w:rPr>
        <w:t>’</w:t>
      </w:r>
      <w:r w:rsidRPr="00016AD6">
        <w:rPr>
          <w:rFonts w:asciiTheme="majorBidi" w:eastAsia="Calibri" w:hAnsiTheme="majorBidi"/>
          <w:lang w:val="fr-FR"/>
        </w:rPr>
        <w:t xml:space="preserve">État. Il était de même important de tenir compte des pratiques existant au sein du système des Nations Unies, </w:t>
      </w:r>
      <w:r>
        <w:rPr>
          <w:rFonts w:asciiTheme="majorBidi" w:eastAsia="Calibri" w:hAnsiTheme="majorBidi"/>
          <w:lang w:val="fr-FR"/>
        </w:rPr>
        <w:t>bien qu</w:t>
      </w:r>
      <w:r w:rsidR="004C5E26">
        <w:rPr>
          <w:rFonts w:asciiTheme="majorBidi" w:eastAsia="Calibri" w:hAnsiTheme="majorBidi"/>
          <w:lang w:val="fr-FR"/>
        </w:rPr>
        <w:t>’</w:t>
      </w:r>
      <w:r>
        <w:rPr>
          <w:rFonts w:asciiTheme="majorBidi" w:eastAsia="Calibri" w:hAnsiTheme="majorBidi"/>
          <w:lang w:val="fr-FR"/>
        </w:rPr>
        <w:t>elles ne soient pas pleinement transposables dans le contexte de l</w:t>
      </w:r>
      <w:r w:rsidR="004C5E26">
        <w:rPr>
          <w:rFonts w:asciiTheme="majorBidi" w:eastAsia="Calibri" w:hAnsiTheme="majorBidi"/>
          <w:lang w:val="fr-FR"/>
        </w:rPr>
        <w:t>’</w:t>
      </w:r>
      <w:r>
        <w:rPr>
          <w:rFonts w:asciiTheme="majorBidi" w:eastAsia="Calibri" w:hAnsiTheme="majorBidi"/>
          <w:lang w:val="fr-FR"/>
        </w:rPr>
        <w:t xml:space="preserve">élévation du niveau de la mer, </w:t>
      </w:r>
      <w:r w:rsidRPr="00016AD6">
        <w:rPr>
          <w:rFonts w:asciiTheme="majorBidi" w:eastAsia="Calibri" w:hAnsiTheme="majorBidi"/>
          <w:lang w:val="fr-FR"/>
        </w:rPr>
        <w:t>comme l</w:t>
      </w:r>
      <w:r w:rsidR="004C5E26">
        <w:rPr>
          <w:rFonts w:asciiTheme="majorBidi" w:eastAsia="Calibri" w:hAnsiTheme="majorBidi"/>
          <w:lang w:val="fr-FR"/>
        </w:rPr>
        <w:t>’</w:t>
      </w:r>
      <w:r w:rsidRPr="00016AD6">
        <w:rPr>
          <w:rFonts w:asciiTheme="majorBidi" w:eastAsia="Calibri" w:hAnsiTheme="majorBidi"/>
          <w:lang w:val="fr-FR"/>
        </w:rPr>
        <w:t>administration de territoires par les Nations Unies ou la gouvernance des ressources au nom de l</w:t>
      </w:r>
      <w:r w:rsidR="004C5E26">
        <w:rPr>
          <w:rFonts w:asciiTheme="majorBidi" w:eastAsia="Calibri" w:hAnsiTheme="majorBidi"/>
          <w:lang w:val="fr-FR"/>
        </w:rPr>
        <w:t>’</w:t>
      </w:r>
      <w:r w:rsidRPr="00016AD6">
        <w:rPr>
          <w:rFonts w:asciiTheme="majorBidi" w:eastAsia="Calibri" w:hAnsiTheme="majorBidi"/>
          <w:lang w:val="fr-FR"/>
        </w:rPr>
        <w:t>État touché et/ou de s</w:t>
      </w:r>
      <w:r>
        <w:rPr>
          <w:rFonts w:asciiTheme="majorBidi" w:eastAsia="Calibri" w:hAnsiTheme="majorBidi"/>
          <w:lang w:val="fr-FR"/>
        </w:rPr>
        <w:t>a</w:t>
      </w:r>
      <w:r w:rsidRPr="00016AD6">
        <w:rPr>
          <w:rFonts w:asciiTheme="majorBidi" w:eastAsia="Calibri" w:hAnsiTheme="majorBidi"/>
          <w:lang w:val="fr-FR"/>
        </w:rPr>
        <w:t xml:space="preserve"> population</w:t>
      </w:r>
      <w:r w:rsidRPr="00F41AC7">
        <w:rPr>
          <w:rFonts w:asciiTheme="majorBidi" w:eastAsia="Calibri" w:hAnsiTheme="majorBidi"/>
          <w:lang w:val="fr-FR"/>
        </w:rPr>
        <w:t xml:space="preserve"> </w:t>
      </w:r>
      <w:r w:rsidRPr="00016AD6">
        <w:rPr>
          <w:rFonts w:asciiTheme="majorBidi" w:eastAsia="Calibri" w:hAnsiTheme="majorBidi"/>
          <w:lang w:val="fr-FR"/>
        </w:rPr>
        <w:t>par une organisation internationale compétente.</w:t>
      </w:r>
    </w:p>
    <w:p w14:paraId="778C771D" w14:textId="5843082B"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387.</w:t>
      </w:r>
      <w:r>
        <w:rPr>
          <w:rFonts w:asciiTheme="majorBidi" w:eastAsia="Calibri" w:hAnsiTheme="majorBidi"/>
          <w:lang w:val="fr-FR"/>
        </w:rPr>
        <w:tab/>
      </w:r>
      <w:r w:rsidRPr="00016AD6">
        <w:rPr>
          <w:rFonts w:asciiTheme="majorBidi" w:eastAsia="Calibri" w:hAnsiTheme="majorBidi"/>
          <w:lang w:val="fr-FR"/>
        </w:rPr>
        <w:t>Selon une opinion, si les modalités envisagées dans la note complémentaire telles que l</w:t>
      </w:r>
      <w:r w:rsidR="004C5E26">
        <w:rPr>
          <w:rFonts w:asciiTheme="majorBidi" w:eastAsia="Calibri" w:hAnsiTheme="majorBidi"/>
          <w:lang w:val="fr-FR"/>
        </w:rPr>
        <w:t>’</w:t>
      </w:r>
      <w:r w:rsidRPr="00016AD6">
        <w:rPr>
          <w:rFonts w:asciiTheme="majorBidi" w:eastAsia="Calibri" w:hAnsiTheme="majorBidi"/>
          <w:lang w:val="fr-FR"/>
        </w:rPr>
        <w:t>acquisition de territoire, l</w:t>
      </w:r>
      <w:r w:rsidR="004C5E26">
        <w:rPr>
          <w:rFonts w:asciiTheme="majorBidi" w:eastAsia="Calibri" w:hAnsiTheme="majorBidi"/>
          <w:lang w:val="fr-FR"/>
        </w:rPr>
        <w:t>’</w:t>
      </w:r>
      <w:r w:rsidRPr="00016AD6">
        <w:rPr>
          <w:rFonts w:asciiTheme="majorBidi" w:eastAsia="Calibri" w:hAnsiTheme="majorBidi"/>
          <w:lang w:val="fr-FR"/>
        </w:rPr>
        <w:t>association, la confédération, la fédération</w:t>
      </w:r>
      <w:r>
        <w:rPr>
          <w:rFonts w:asciiTheme="majorBidi" w:eastAsia="Calibri" w:hAnsiTheme="majorBidi"/>
          <w:lang w:val="fr-FR"/>
        </w:rPr>
        <w:t>,</w:t>
      </w:r>
      <w:r w:rsidRPr="00016AD6">
        <w:rPr>
          <w:rFonts w:asciiTheme="majorBidi" w:eastAsia="Calibri" w:hAnsiTheme="majorBidi"/>
          <w:lang w:val="fr-FR"/>
        </w:rPr>
        <w:t xml:space="preserve"> l</w:t>
      </w:r>
      <w:r w:rsidR="004C5E26">
        <w:rPr>
          <w:rFonts w:asciiTheme="majorBidi" w:eastAsia="Calibri" w:hAnsiTheme="majorBidi"/>
          <w:lang w:val="fr-FR"/>
        </w:rPr>
        <w:t>’</w:t>
      </w:r>
      <w:r w:rsidRPr="00016AD6">
        <w:rPr>
          <w:rFonts w:asciiTheme="majorBidi" w:eastAsia="Calibri" w:hAnsiTheme="majorBidi"/>
          <w:lang w:val="fr-FR"/>
        </w:rPr>
        <w:t xml:space="preserve">unification et les régimes juridiques ad hoc constituaient des solutions </w:t>
      </w:r>
      <w:r>
        <w:rPr>
          <w:rFonts w:asciiTheme="majorBidi" w:eastAsia="Calibri" w:hAnsiTheme="majorBidi"/>
          <w:lang w:val="fr-FR"/>
        </w:rPr>
        <w:t>faisables</w:t>
      </w:r>
      <w:r w:rsidRPr="00016AD6">
        <w:rPr>
          <w:rFonts w:asciiTheme="majorBidi" w:eastAsia="Calibri" w:hAnsiTheme="majorBidi"/>
          <w:lang w:val="fr-FR"/>
        </w:rPr>
        <w:t xml:space="preserve"> pour les États touchés, une analyse plus approfondie était nécessaire. Il fallait </w:t>
      </w:r>
      <w:r>
        <w:rPr>
          <w:rFonts w:asciiTheme="majorBidi" w:eastAsia="Calibri" w:hAnsiTheme="majorBidi"/>
          <w:lang w:val="fr-FR"/>
        </w:rPr>
        <w:t xml:space="preserve">déterminer </w:t>
      </w:r>
      <w:r w:rsidRPr="00016AD6">
        <w:rPr>
          <w:rFonts w:asciiTheme="majorBidi" w:eastAsia="Calibri" w:hAnsiTheme="majorBidi"/>
          <w:lang w:val="fr-FR"/>
        </w:rPr>
        <w:t>les implications de chaque option, en particulier en ce qui concerne la sécurité nationale et l</w:t>
      </w:r>
      <w:r w:rsidR="004C5E26">
        <w:rPr>
          <w:rFonts w:asciiTheme="majorBidi" w:eastAsia="Calibri" w:hAnsiTheme="majorBidi"/>
          <w:lang w:val="fr-FR"/>
        </w:rPr>
        <w:t>’</w:t>
      </w:r>
      <w:r w:rsidRPr="00016AD6">
        <w:rPr>
          <w:rFonts w:asciiTheme="majorBidi" w:eastAsia="Calibri" w:hAnsiTheme="majorBidi"/>
          <w:lang w:val="fr-FR"/>
        </w:rPr>
        <w:t xml:space="preserve">exercice des fonctions gouvernementales, notamment des questions telles que la capacité de défense, les contrôles aux frontières, la gestion des ressources et la capacité de continuer à fournir des services essentiels aux citoyens. </w:t>
      </w:r>
      <w:r>
        <w:rPr>
          <w:rFonts w:asciiTheme="majorBidi" w:eastAsia="Calibri" w:hAnsiTheme="majorBidi"/>
          <w:lang w:val="fr-FR"/>
        </w:rPr>
        <w:t xml:space="preserve">Seul </w:t>
      </w:r>
      <w:r w:rsidRPr="00016AD6">
        <w:rPr>
          <w:rFonts w:asciiTheme="majorBidi" w:eastAsia="Calibri" w:hAnsiTheme="majorBidi"/>
          <w:lang w:val="fr-FR"/>
        </w:rPr>
        <w:t>un tel examen nuancé garantir</w:t>
      </w:r>
      <w:r>
        <w:rPr>
          <w:rFonts w:asciiTheme="majorBidi" w:eastAsia="Calibri" w:hAnsiTheme="majorBidi"/>
          <w:lang w:val="fr-FR"/>
        </w:rPr>
        <w:t>ait</w:t>
      </w:r>
      <w:r w:rsidRPr="00016AD6">
        <w:rPr>
          <w:rFonts w:asciiTheme="majorBidi" w:eastAsia="Calibri" w:hAnsiTheme="majorBidi"/>
          <w:lang w:val="fr-FR"/>
        </w:rPr>
        <w:t xml:space="preserve"> que ces modalités </w:t>
      </w:r>
      <w:r>
        <w:rPr>
          <w:rFonts w:asciiTheme="majorBidi" w:eastAsia="Calibri" w:hAnsiTheme="majorBidi"/>
          <w:lang w:val="fr-FR"/>
        </w:rPr>
        <w:t xml:space="preserve">contribuent </w:t>
      </w:r>
      <w:r w:rsidRPr="00016AD6">
        <w:rPr>
          <w:rFonts w:asciiTheme="majorBidi" w:eastAsia="Calibri" w:hAnsiTheme="majorBidi"/>
          <w:lang w:val="fr-FR"/>
        </w:rPr>
        <w:t xml:space="preserve">réellement </w:t>
      </w:r>
      <w:r>
        <w:rPr>
          <w:rFonts w:asciiTheme="majorBidi" w:eastAsia="Calibri" w:hAnsiTheme="majorBidi"/>
          <w:lang w:val="fr-FR"/>
        </w:rPr>
        <w:t xml:space="preserve">à </w:t>
      </w:r>
      <w:r w:rsidRPr="00016AD6">
        <w:rPr>
          <w:rFonts w:asciiTheme="majorBidi" w:eastAsia="Calibri" w:hAnsiTheme="majorBidi"/>
          <w:lang w:val="fr-FR"/>
        </w:rPr>
        <w:t xml:space="preserve">la sécurité et </w:t>
      </w:r>
      <w:r>
        <w:rPr>
          <w:rFonts w:asciiTheme="majorBidi" w:eastAsia="Calibri" w:hAnsiTheme="majorBidi"/>
          <w:lang w:val="fr-FR"/>
        </w:rPr>
        <w:t xml:space="preserve">au </w:t>
      </w:r>
      <w:r w:rsidRPr="00016AD6">
        <w:rPr>
          <w:rFonts w:asciiTheme="majorBidi" w:eastAsia="Calibri" w:hAnsiTheme="majorBidi"/>
          <w:lang w:val="fr-FR"/>
        </w:rPr>
        <w:t>bien-être à long terme des États touchés.</w:t>
      </w:r>
    </w:p>
    <w:p w14:paraId="62C28F8A" w14:textId="49465504"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388.</w:t>
      </w:r>
      <w:r>
        <w:rPr>
          <w:rFonts w:asciiTheme="majorBidi" w:eastAsia="Calibri" w:hAnsiTheme="majorBidi"/>
          <w:lang w:val="fr-FR"/>
        </w:rPr>
        <w:tab/>
      </w:r>
      <w:r w:rsidRPr="00016AD6">
        <w:rPr>
          <w:rFonts w:asciiTheme="majorBidi" w:eastAsia="Calibri" w:hAnsiTheme="majorBidi"/>
          <w:lang w:val="fr-FR"/>
        </w:rPr>
        <w:t xml:space="preserve">La référence dans la note complémentaire à une nation </w:t>
      </w:r>
      <w:r w:rsidRPr="00016AD6">
        <w:rPr>
          <w:rFonts w:asciiTheme="majorBidi" w:eastAsia="Calibri" w:hAnsiTheme="majorBidi"/>
          <w:i/>
          <w:iCs/>
          <w:lang w:val="fr-FR"/>
        </w:rPr>
        <w:t>ex situ</w:t>
      </w:r>
      <w:r w:rsidRPr="00016AD6">
        <w:rPr>
          <w:rFonts w:asciiTheme="majorBidi" w:eastAsia="Calibri" w:hAnsiTheme="majorBidi"/>
          <w:lang w:val="fr-FR"/>
        </w:rPr>
        <w:t xml:space="preserve"> en tant que cadre juridique pour les États </w:t>
      </w:r>
      <w:r>
        <w:rPr>
          <w:rFonts w:asciiTheme="majorBidi" w:eastAsia="Calibri" w:hAnsiTheme="majorBidi"/>
          <w:lang w:val="fr-FR"/>
        </w:rPr>
        <w:t xml:space="preserve">dont la surface terrestre était </w:t>
      </w:r>
      <w:r w:rsidRPr="00016AD6">
        <w:rPr>
          <w:rFonts w:asciiTheme="majorBidi" w:eastAsia="Calibri" w:hAnsiTheme="majorBidi"/>
          <w:lang w:val="fr-FR"/>
        </w:rPr>
        <w:t>totalement submergé</w:t>
      </w:r>
      <w:r>
        <w:rPr>
          <w:rFonts w:asciiTheme="majorBidi" w:eastAsia="Calibri" w:hAnsiTheme="majorBidi"/>
          <w:lang w:val="fr-FR"/>
        </w:rPr>
        <w:t>e</w:t>
      </w:r>
      <w:r w:rsidRPr="00016AD6">
        <w:rPr>
          <w:rFonts w:asciiTheme="majorBidi" w:eastAsia="Calibri" w:hAnsiTheme="majorBidi"/>
          <w:lang w:val="fr-FR"/>
        </w:rPr>
        <w:t xml:space="preserve"> a été mentionnée comme </w:t>
      </w:r>
      <w:r>
        <w:rPr>
          <w:rFonts w:asciiTheme="majorBidi" w:eastAsia="Calibri" w:hAnsiTheme="majorBidi"/>
          <w:lang w:val="fr-FR"/>
        </w:rPr>
        <w:t xml:space="preserve">une étape utile face </w:t>
      </w:r>
      <w:r w:rsidRPr="00016AD6">
        <w:rPr>
          <w:rFonts w:asciiTheme="majorBidi" w:eastAsia="Calibri" w:hAnsiTheme="majorBidi"/>
          <w:lang w:val="fr-FR"/>
        </w:rPr>
        <w:t>à des problèmes qui étaient sans précédent. Si elle allait à l</w:t>
      </w:r>
      <w:r w:rsidR="004C5E26">
        <w:rPr>
          <w:rFonts w:asciiTheme="majorBidi" w:eastAsia="Calibri" w:hAnsiTheme="majorBidi"/>
          <w:lang w:val="fr-FR"/>
        </w:rPr>
        <w:t>’</w:t>
      </w:r>
      <w:r w:rsidRPr="00016AD6">
        <w:rPr>
          <w:rFonts w:asciiTheme="majorBidi" w:eastAsia="Calibri" w:hAnsiTheme="majorBidi"/>
          <w:lang w:val="fr-FR"/>
        </w:rPr>
        <w:t xml:space="preserve">encontre du fondement territorial traditionnel de la condition étatique, cette approche </w:t>
      </w:r>
      <w:r>
        <w:rPr>
          <w:rFonts w:asciiTheme="majorBidi" w:eastAsia="Calibri" w:hAnsiTheme="majorBidi"/>
          <w:lang w:val="fr-FR"/>
        </w:rPr>
        <w:t xml:space="preserve">novatrice amenait à envisager </w:t>
      </w:r>
      <w:r w:rsidRPr="00016AD6">
        <w:rPr>
          <w:rFonts w:asciiTheme="majorBidi" w:eastAsia="Calibri" w:hAnsiTheme="majorBidi"/>
          <w:lang w:val="fr-FR"/>
        </w:rPr>
        <w:t>de nouvelles solutions face à l</w:t>
      </w:r>
      <w:r w:rsidR="004C5E26">
        <w:rPr>
          <w:rFonts w:asciiTheme="majorBidi" w:eastAsia="Calibri" w:hAnsiTheme="majorBidi"/>
          <w:lang w:val="fr-FR"/>
        </w:rPr>
        <w:t>’</w:t>
      </w:r>
      <w:r w:rsidRPr="00016AD6">
        <w:rPr>
          <w:rFonts w:asciiTheme="majorBidi" w:eastAsia="Calibri" w:hAnsiTheme="majorBidi"/>
          <w:lang w:val="fr-FR"/>
        </w:rPr>
        <w:t>élévation du niveau de la mer. Une étude plus approfondie de la notion d</w:t>
      </w:r>
      <w:r w:rsidR="004C5E26">
        <w:rPr>
          <w:rFonts w:asciiTheme="majorBidi" w:eastAsia="Calibri" w:hAnsiTheme="majorBidi"/>
          <w:lang w:val="fr-FR"/>
        </w:rPr>
        <w:t>’</w:t>
      </w:r>
      <w:r w:rsidRPr="00016AD6">
        <w:rPr>
          <w:rFonts w:asciiTheme="majorBidi" w:eastAsia="Calibri" w:hAnsiTheme="majorBidi"/>
          <w:lang w:val="fr-FR"/>
        </w:rPr>
        <w:t xml:space="preserve">État </w:t>
      </w:r>
      <w:r w:rsidRPr="00016AD6">
        <w:rPr>
          <w:rFonts w:asciiTheme="majorBidi" w:eastAsia="Calibri" w:hAnsiTheme="majorBidi"/>
          <w:i/>
          <w:iCs/>
          <w:lang w:val="fr-FR"/>
        </w:rPr>
        <w:t>ex situ</w:t>
      </w:r>
      <w:r w:rsidRPr="00016AD6">
        <w:rPr>
          <w:rFonts w:asciiTheme="majorBidi" w:eastAsia="Calibri" w:hAnsiTheme="majorBidi"/>
          <w:lang w:val="fr-FR"/>
        </w:rPr>
        <w:t xml:space="preserve"> était néanmoins nécessaire pour </w:t>
      </w:r>
      <w:r>
        <w:rPr>
          <w:rFonts w:asciiTheme="majorBidi" w:eastAsia="Calibri" w:hAnsiTheme="majorBidi"/>
          <w:lang w:val="fr-FR"/>
        </w:rPr>
        <w:t xml:space="preserve">que </w:t>
      </w:r>
      <w:r w:rsidRPr="00016AD6">
        <w:rPr>
          <w:rFonts w:asciiTheme="majorBidi" w:eastAsia="Calibri" w:hAnsiTheme="majorBidi"/>
          <w:lang w:val="fr-FR"/>
        </w:rPr>
        <w:t>la possibilité d</w:t>
      </w:r>
      <w:r w:rsidR="004C5E26">
        <w:rPr>
          <w:rFonts w:asciiTheme="majorBidi" w:eastAsia="Calibri" w:hAnsiTheme="majorBidi"/>
          <w:lang w:val="fr-FR"/>
        </w:rPr>
        <w:t>’</w:t>
      </w:r>
      <w:r w:rsidRPr="00016AD6">
        <w:rPr>
          <w:rFonts w:asciiTheme="majorBidi" w:eastAsia="Calibri" w:hAnsiTheme="majorBidi"/>
          <w:lang w:val="fr-FR"/>
        </w:rPr>
        <w:t xml:space="preserve">élaborer un nouveau régime juridique pour les États </w:t>
      </w:r>
      <w:r>
        <w:rPr>
          <w:rFonts w:asciiTheme="majorBidi" w:eastAsia="Calibri" w:hAnsiTheme="majorBidi"/>
          <w:lang w:val="fr-FR"/>
        </w:rPr>
        <w:t>de cette nature puisse être envisagée</w:t>
      </w:r>
      <w:r w:rsidRPr="00016AD6">
        <w:rPr>
          <w:rFonts w:asciiTheme="majorBidi" w:eastAsia="Calibri" w:hAnsiTheme="majorBidi"/>
          <w:lang w:val="fr-FR"/>
        </w:rPr>
        <w:t>. Il fallait également réfléchir davantage à la question de l</w:t>
      </w:r>
      <w:r w:rsidR="004C5E26">
        <w:rPr>
          <w:rFonts w:asciiTheme="majorBidi" w:eastAsia="Calibri" w:hAnsiTheme="majorBidi"/>
          <w:lang w:val="fr-FR"/>
        </w:rPr>
        <w:t>’</w:t>
      </w:r>
      <w:r w:rsidRPr="00016AD6">
        <w:rPr>
          <w:rFonts w:asciiTheme="majorBidi" w:eastAsia="Calibri" w:hAnsiTheme="majorBidi"/>
          <w:lang w:val="fr-FR"/>
        </w:rPr>
        <w:t xml:space="preserve">impact des négociations en cours entre États voisins </w:t>
      </w:r>
      <w:r>
        <w:rPr>
          <w:rFonts w:asciiTheme="majorBidi" w:eastAsia="Calibri" w:hAnsiTheme="majorBidi"/>
          <w:lang w:val="fr-FR"/>
        </w:rPr>
        <w:t>sur l</w:t>
      </w:r>
      <w:r w:rsidRPr="00016AD6">
        <w:rPr>
          <w:rFonts w:asciiTheme="majorBidi" w:eastAsia="Calibri" w:hAnsiTheme="majorBidi"/>
          <w:lang w:val="fr-FR"/>
        </w:rPr>
        <w:t>es frontières maritimes.</w:t>
      </w:r>
    </w:p>
    <w:p w14:paraId="5D0992A6" w14:textId="24F2ED69"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389.</w:t>
      </w:r>
      <w:r>
        <w:rPr>
          <w:rFonts w:asciiTheme="majorBidi" w:eastAsia="Calibri" w:hAnsiTheme="majorBidi"/>
          <w:lang w:val="fr-FR"/>
        </w:rPr>
        <w:tab/>
      </w:r>
      <w:r w:rsidRPr="00016AD6">
        <w:rPr>
          <w:rFonts w:asciiTheme="majorBidi" w:eastAsia="Calibri" w:hAnsiTheme="majorBidi"/>
          <w:lang w:val="fr-FR"/>
        </w:rPr>
        <w:t>On a fait valoir qu</w:t>
      </w:r>
      <w:r w:rsidR="004C5E26">
        <w:rPr>
          <w:rFonts w:asciiTheme="majorBidi" w:eastAsia="Calibri" w:hAnsiTheme="majorBidi"/>
          <w:lang w:val="fr-FR"/>
        </w:rPr>
        <w:t>’</w:t>
      </w:r>
      <w:r w:rsidRPr="00016AD6">
        <w:rPr>
          <w:rFonts w:asciiTheme="majorBidi" w:eastAsia="Calibri" w:hAnsiTheme="majorBidi"/>
          <w:lang w:val="fr-FR"/>
        </w:rPr>
        <w:t>il fallait mettre l</w:t>
      </w:r>
      <w:r w:rsidR="004C5E26">
        <w:rPr>
          <w:rFonts w:asciiTheme="majorBidi" w:eastAsia="Calibri" w:hAnsiTheme="majorBidi"/>
          <w:lang w:val="fr-FR"/>
        </w:rPr>
        <w:t>’</w:t>
      </w:r>
      <w:r w:rsidRPr="00016AD6">
        <w:rPr>
          <w:rFonts w:asciiTheme="majorBidi" w:eastAsia="Calibri" w:hAnsiTheme="majorBidi"/>
          <w:lang w:val="fr-FR"/>
        </w:rPr>
        <w:t>accent sur l</w:t>
      </w:r>
      <w:r w:rsidR="004C5E26">
        <w:rPr>
          <w:rFonts w:asciiTheme="majorBidi" w:eastAsia="Calibri" w:hAnsiTheme="majorBidi"/>
          <w:lang w:val="fr-FR"/>
        </w:rPr>
        <w:t>’</w:t>
      </w:r>
      <w:r w:rsidRPr="00016AD6">
        <w:rPr>
          <w:rFonts w:asciiTheme="majorBidi" w:eastAsia="Calibri" w:hAnsiTheme="majorBidi"/>
          <w:lang w:val="fr-FR"/>
        </w:rPr>
        <w:t>interprétation et l</w:t>
      </w:r>
      <w:r w:rsidR="004C5E26">
        <w:rPr>
          <w:rFonts w:asciiTheme="majorBidi" w:eastAsia="Calibri" w:hAnsiTheme="majorBidi"/>
          <w:lang w:val="fr-FR"/>
        </w:rPr>
        <w:t>’</w:t>
      </w:r>
      <w:r w:rsidRPr="00016AD6">
        <w:rPr>
          <w:rFonts w:asciiTheme="majorBidi" w:eastAsia="Calibri" w:hAnsiTheme="majorBidi"/>
          <w:lang w:val="fr-FR"/>
        </w:rPr>
        <w:t>application novatrice des traités et accords existants, car il n</w:t>
      </w:r>
      <w:r w:rsidR="004C5E26">
        <w:rPr>
          <w:rFonts w:asciiTheme="majorBidi" w:eastAsia="Calibri" w:hAnsiTheme="majorBidi"/>
          <w:lang w:val="fr-FR"/>
        </w:rPr>
        <w:t>’</w:t>
      </w:r>
      <w:r w:rsidRPr="00016AD6">
        <w:rPr>
          <w:rFonts w:asciiTheme="majorBidi" w:eastAsia="Calibri" w:hAnsiTheme="majorBidi"/>
          <w:lang w:val="fr-FR"/>
        </w:rPr>
        <w:t>était pas réaliste d</w:t>
      </w:r>
      <w:r w:rsidR="004C5E26">
        <w:rPr>
          <w:rFonts w:asciiTheme="majorBidi" w:eastAsia="Calibri" w:hAnsiTheme="majorBidi"/>
          <w:lang w:val="fr-FR"/>
        </w:rPr>
        <w:t>’</w:t>
      </w:r>
      <w:r w:rsidRPr="00016AD6">
        <w:rPr>
          <w:rFonts w:asciiTheme="majorBidi" w:eastAsia="Calibri" w:hAnsiTheme="majorBidi"/>
          <w:lang w:val="fr-FR"/>
        </w:rPr>
        <w:t>attendre qu</w:t>
      </w:r>
      <w:r w:rsidR="004C5E26">
        <w:rPr>
          <w:rFonts w:asciiTheme="majorBidi" w:eastAsia="Calibri" w:hAnsiTheme="majorBidi"/>
          <w:lang w:val="fr-FR"/>
        </w:rPr>
        <w:t>’</w:t>
      </w:r>
      <w:r w:rsidRPr="00016AD6">
        <w:rPr>
          <w:rFonts w:asciiTheme="majorBidi" w:eastAsia="Calibri" w:hAnsiTheme="majorBidi"/>
          <w:lang w:val="fr-FR"/>
        </w:rPr>
        <w:t>un traité entièrement nouveau, voire des amendements à des traités existants, soi</w:t>
      </w:r>
      <w:r>
        <w:rPr>
          <w:rFonts w:asciiTheme="majorBidi" w:eastAsia="Calibri" w:hAnsiTheme="majorBidi"/>
          <w:lang w:val="fr-FR"/>
        </w:rPr>
        <w:t>en</w:t>
      </w:r>
      <w:r w:rsidRPr="00016AD6">
        <w:rPr>
          <w:rFonts w:asciiTheme="majorBidi" w:eastAsia="Calibri" w:hAnsiTheme="majorBidi"/>
          <w:lang w:val="fr-FR"/>
        </w:rPr>
        <w:t>t adopté</w:t>
      </w:r>
      <w:r>
        <w:rPr>
          <w:rFonts w:asciiTheme="majorBidi" w:eastAsia="Calibri" w:hAnsiTheme="majorBidi"/>
          <w:lang w:val="fr-FR"/>
        </w:rPr>
        <w:t>s</w:t>
      </w:r>
      <w:r w:rsidRPr="00016AD6">
        <w:rPr>
          <w:rFonts w:asciiTheme="majorBidi" w:eastAsia="Calibri" w:hAnsiTheme="majorBidi"/>
          <w:lang w:val="fr-FR"/>
        </w:rPr>
        <w:t xml:space="preserve"> pour </w:t>
      </w:r>
      <w:r>
        <w:rPr>
          <w:rFonts w:asciiTheme="majorBidi" w:eastAsia="Calibri" w:hAnsiTheme="majorBidi"/>
          <w:lang w:val="fr-FR"/>
        </w:rPr>
        <w:t xml:space="preserve">régler </w:t>
      </w:r>
      <w:r w:rsidRPr="00016AD6">
        <w:rPr>
          <w:rFonts w:asciiTheme="majorBidi" w:eastAsia="Calibri" w:hAnsiTheme="majorBidi"/>
          <w:lang w:val="fr-FR"/>
        </w:rPr>
        <w:t>les questions qu</w:t>
      </w:r>
      <w:r w:rsidR="004C5E26">
        <w:rPr>
          <w:rFonts w:asciiTheme="majorBidi" w:eastAsia="Calibri" w:hAnsiTheme="majorBidi"/>
          <w:lang w:val="fr-FR"/>
        </w:rPr>
        <w:t>’</w:t>
      </w:r>
      <w:r w:rsidRPr="00016AD6">
        <w:rPr>
          <w:rFonts w:asciiTheme="majorBidi" w:eastAsia="Calibri" w:hAnsiTheme="majorBidi"/>
          <w:lang w:val="fr-FR"/>
        </w:rPr>
        <w:t>examinait le Groupe d</w:t>
      </w:r>
      <w:r w:rsidR="004C5E26">
        <w:rPr>
          <w:rFonts w:asciiTheme="majorBidi" w:eastAsia="Calibri" w:hAnsiTheme="majorBidi"/>
          <w:lang w:val="fr-FR"/>
        </w:rPr>
        <w:t>’</w:t>
      </w:r>
      <w:r w:rsidRPr="00016AD6">
        <w:rPr>
          <w:rFonts w:asciiTheme="majorBidi" w:eastAsia="Calibri" w:hAnsiTheme="majorBidi"/>
          <w:lang w:val="fr-FR"/>
        </w:rPr>
        <w:t xml:space="preserve">étude. On a toutefois fait observer que certaines des </w:t>
      </w:r>
      <w:r>
        <w:rPr>
          <w:rFonts w:asciiTheme="majorBidi" w:eastAsia="Calibri" w:hAnsiTheme="majorBidi"/>
          <w:lang w:val="fr-FR"/>
        </w:rPr>
        <w:t xml:space="preserve">options envisagées </w:t>
      </w:r>
      <w:r w:rsidRPr="00016AD6">
        <w:rPr>
          <w:rFonts w:asciiTheme="majorBidi" w:eastAsia="Calibri" w:hAnsiTheme="majorBidi"/>
          <w:lang w:val="fr-FR"/>
        </w:rPr>
        <w:t>dans la note complémentaire, par exemple l</w:t>
      </w:r>
      <w:r w:rsidR="004C5E26">
        <w:rPr>
          <w:rFonts w:asciiTheme="majorBidi" w:eastAsia="Calibri" w:hAnsiTheme="majorBidi"/>
          <w:lang w:val="fr-FR"/>
        </w:rPr>
        <w:t>’</w:t>
      </w:r>
      <w:r w:rsidRPr="00016AD6">
        <w:rPr>
          <w:rFonts w:asciiTheme="majorBidi" w:eastAsia="Calibri" w:hAnsiTheme="majorBidi"/>
          <w:lang w:val="fr-FR"/>
        </w:rPr>
        <w:t>utilisation de moyens numériques pour l</w:t>
      </w:r>
      <w:r w:rsidR="004C5E26">
        <w:rPr>
          <w:rFonts w:asciiTheme="majorBidi" w:eastAsia="Calibri" w:hAnsiTheme="majorBidi"/>
          <w:lang w:val="fr-FR"/>
        </w:rPr>
        <w:t>’</w:t>
      </w:r>
      <w:r w:rsidRPr="00016AD6">
        <w:rPr>
          <w:rFonts w:asciiTheme="majorBidi" w:eastAsia="Calibri" w:hAnsiTheme="majorBidi"/>
          <w:lang w:val="fr-FR"/>
        </w:rPr>
        <w:t xml:space="preserve">exercice des </w:t>
      </w:r>
      <w:r>
        <w:rPr>
          <w:rFonts w:asciiTheme="majorBidi" w:eastAsia="Calibri" w:hAnsiTheme="majorBidi"/>
          <w:lang w:val="fr-FR"/>
        </w:rPr>
        <w:t xml:space="preserve">droits </w:t>
      </w:r>
      <w:r w:rsidRPr="00016AD6">
        <w:rPr>
          <w:rFonts w:asciiTheme="majorBidi" w:eastAsia="Calibri" w:hAnsiTheme="majorBidi"/>
          <w:lang w:val="fr-FR"/>
        </w:rPr>
        <w:t xml:space="preserve">diplomatiques et consulaires, les visas, les privilèges et immunités, </w:t>
      </w:r>
      <w:r>
        <w:rPr>
          <w:rFonts w:asciiTheme="majorBidi" w:eastAsia="Calibri" w:hAnsiTheme="majorBidi"/>
          <w:lang w:val="fr-FR"/>
        </w:rPr>
        <w:t xml:space="preserve">etc., </w:t>
      </w:r>
      <w:r w:rsidRPr="00016AD6">
        <w:rPr>
          <w:rFonts w:asciiTheme="majorBidi" w:eastAsia="Calibri" w:hAnsiTheme="majorBidi"/>
          <w:lang w:val="fr-FR"/>
        </w:rPr>
        <w:t xml:space="preserve">étaient déjà une réalité pour certains États. </w:t>
      </w:r>
    </w:p>
    <w:p w14:paraId="534BCB43" w14:textId="5B024062"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390.</w:t>
      </w:r>
      <w:r>
        <w:rPr>
          <w:rFonts w:asciiTheme="majorBidi" w:eastAsia="Calibri" w:hAnsiTheme="majorBidi"/>
          <w:lang w:val="fr-FR"/>
        </w:rPr>
        <w:tab/>
      </w:r>
      <w:r w:rsidRPr="00016AD6">
        <w:rPr>
          <w:rFonts w:asciiTheme="majorBidi" w:eastAsia="Calibri" w:hAnsiTheme="majorBidi"/>
          <w:lang w:val="fr-FR"/>
        </w:rPr>
        <w:t>On a suggéré de distinguer trois séries différentes de questions : les titres juridiques liés à la nature de la souveraineté ou à la condition étatique de l</w:t>
      </w:r>
      <w:r w:rsidR="004C5E26">
        <w:rPr>
          <w:rFonts w:asciiTheme="majorBidi" w:eastAsia="Calibri" w:hAnsiTheme="majorBidi"/>
          <w:lang w:val="fr-FR"/>
        </w:rPr>
        <w:t>’</w:t>
      </w:r>
      <w:r w:rsidRPr="00016AD6">
        <w:rPr>
          <w:rFonts w:asciiTheme="majorBidi" w:eastAsia="Calibri" w:hAnsiTheme="majorBidi"/>
          <w:lang w:val="fr-FR"/>
        </w:rPr>
        <w:t>État qui continuait d</w:t>
      </w:r>
      <w:r w:rsidR="004C5E26">
        <w:rPr>
          <w:rFonts w:asciiTheme="majorBidi" w:eastAsia="Calibri" w:hAnsiTheme="majorBidi"/>
          <w:lang w:val="fr-FR"/>
        </w:rPr>
        <w:t>’</w:t>
      </w:r>
      <w:r w:rsidRPr="00016AD6">
        <w:rPr>
          <w:rFonts w:asciiTheme="majorBidi" w:eastAsia="Calibri" w:hAnsiTheme="majorBidi"/>
          <w:lang w:val="fr-FR"/>
        </w:rPr>
        <w:t>exister (concernant les compétences et titres affér</w:t>
      </w:r>
      <w:r>
        <w:rPr>
          <w:rFonts w:asciiTheme="majorBidi" w:eastAsia="Calibri" w:hAnsiTheme="majorBidi"/>
          <w:lang w:val="fr-FR"/>
        </w:rPr>
        <w:t>e</w:t>
      </w:r>
      <w:r w:rsidRPr="00016AD6">
        <w:rPr>
          <w:rFonts w:asciiTheme="majorBidi" w:eastAsia="Calibri" w:hAnsiTheme="majorBidi"/>
          <w:lang w:val="fr-FR"/>
        </w:rPr>
        <w:t>nt</w:t>
      </w:r>
      <w:r>
        <w:rPr>
          <w:rFonts w:asciiTheme="majorBidi" w:eastAsia="Calibri" w:hAnsiTheme="majorBidi"/>
          <w:lang w:val="fr-FR"/>
        </w:rPr>
        <w:t>s</w:t>
      </w:r>
      <w:r w:rsidRPr="00016AD6">
        <w:rPr>
          <w:rFonts w:asciiTheme="majorBidi" w:eastAsia="Calibri" w:hAnsiTheme="majorBidi"/>
          <w:lang w:val="fr-FR"/>
        </w:rPr>
        <w:t xml:space="preserve"> </w:t>
      </w:r>
      <w:r>
        <w:rPr>
          <w:rFonts w:asciiTheme="majorBidi" w:eastAsia="Calibri" w:hAnsiTheme="majorBidi"/>
          <w:lang w:val="fr-FR"/>
        </w:rPr>
        <w:t>à la surface terrestre</w:t>
      </w:r>
      <w:r w:rsidRPr="00016AD6">
        <w:rPr>
          <w:rFonts w:asciiTheme="majorBidi" w:eastAsia="Calibri" w:hAnsiTheme="majorBidi"/>
          <w:lang w:val="fr-FR"/>
        </w:rPr>
        <w:t xml:space="preserve"> </w:t>
      </w:r>
      <w:r>
        <w:rPr>
          <w:rFonts w:asciiTheme="majorBidi" w:eastAsia="Calibri" w:hAnsiTheme="majorBidi"/>
          <w:lang w:val="fr-FR"/>
        </w:rPr>
        <w:t xml:space="preserve">pouvant </w:t>
      </w:r>
      <w:r w:rsidRPr="00016AD6">
        <w:rPr>
          <w:rFonts w:asciiTheme="majorBidi" w:eastAsia="Calibri" w:hAnsiTheme="majorBidi"/>
          <w:lang w:val="fr-FR"/>
        </w:rPr>
        <w:t>être submergé</w:t>
      </w:r>
      <w:r>
        <w:rPr>
          <w:rFonts w:asciiTheme="majorBidi" w:eastAsia="Calibri" w:hAnsiTheme="majorBidi"/>
          <w:lang w:val="fr-FR"/>
        </w:rPr>
        <w:t>e</w:t>
      </w:r>
      <w:r w:rsidRPr="00016AD6">
        <w:rPr>
          <w:rFonts w:asciiTheme="majorBidi" w:eastAsia="Calibri" w:hAnsiTheme="majorBidi"/>
          <w:lang w:val="fr-FR"/>
        </w:rPr>
        <w:t xml:space="preserve">) ; les </w:t>
      </w:r>
      <w:r>
        <w:rPr>
          <w:rFonts w:asciiTheme="majorBidi" w:eastAsia="Calibri" w:hAnsiTheme="majorBidi"/>
          <w:lang w:val="fr-FR"/>
        </w:rPr>
        <w:t xml:space="preserve">dispositions </w:t>
      </w:r>
      <w:r w:rsidRPr="00016AD6">
        <w:rPr>
          <w:rFonts w:asciiTheme="majorBidi" w:eastAsia="Calibri" w:hAnsiTheme="majorBidi"/>
          <w:lang w:val="fr-FR"/>
        </w:rPr>
        <w:t>pratiques concernant la nationalité des membres de la communauté en question (</w:t>
      </w:r>
      <w:r>
        <w:rPr>
          <w:rFonts w:asciiTheme="majorBidi" w:eastAsia="Calibri" w:hAnsiTheme="majorBidi"/>
          <w:lang w:val="fr-FR"/>
        </w:rPr>
        <w:t xml:space="preserve">dispositions </w:t>
      </w:r>
      <w:r w:rsidRPr="00016AD6">
        <w:rPr>
          <w:rFonts w:asciiTheme="majorBidi" w:eastAsia="Calibri" w:hAnsiTheme="majorBidi"/>
          <w:lang w:val="fr-FR"/>
        </w:rPr>
        <w:t xml:space="preserve">pratiques concernant le gouvernement, etc.) ; et les </w:t>
      </w:r>
      <w:r>
        <w:rPr>
          <w:rFonts w:asciiTheme="majorBidi" w:eastAsia="Calibri" w:hAnsiTheme="majorBidi"/>
          <w:lang w:val="fr-FR"/>
        </w:rPr>
        <w:t xml:space="preserve">options envisageables </w:t>
      </w:r>
      <w:r w:rsidRPr="00016AD6">
        <w:rPr>
          <w:rFonts w:asciiTheme="majorBidi" w:eastAsia="Calibri" w:hAnsiTheme="majorBidi"/>
          <w:lang w:val="fr-FR"/>
        </w:rPr>
        <w:t>lorsque l</w:t>
      </w:r>
      <w:r w:rsidR="004C5E26">
        <w:rPr>
          <w:rFonts w:asciiTheme="majorBidi" w:eastAsia="Calibri" w:hAnsiTheme="majorBidi"/>
          <w:lang w:val="fr-FR"/>
        </w:rPr>
        <w:t>’</w:t>
      </w:r>
      <w:r w:rsidRPr="00016AD6">
        <w:rPr>
          <w:rFonts w:asciiTheme="majorBidi" w:eastAsia="Calibri" w:hAnsiTheme="majorBidi"/>
          <w:lang w:val="fr-FR"/>
        </w:rPr>
        <w:t>État cessait effectivement d</w:t>
      </w:r>
      <w:r w:rsidR="004C5E26">
        <w:rPr>
          <w:rFonts w:asciiTheme="majorBidi" w:eastAsia="Calibri" w:hAnsiTheme="majorBidi"/>
          <w:lang w:val="fr-FR"/>
        </w:rPr>
        <w:t>’</w:t>
      </w:r>
      <w:r w:rsidRPr="00016AD6">
        <w:rPr>
          <w:rFonts w:asciiTheme="majorBidi" w:eastAsia="Calibri" w:hAnsiTheme="majorBidi"/>
          <w:lang w:val="fr-FR"/>
        </w:rPr>
        <w:t xml:space="preserve">exister sur la base </w:t>
      </w:r>
      <w:r>
        <w:rPr>
          <w:rFonts w:asciiTheme="majorBidi" w:eastAsia="Calibri" w:hAnsiTheme="majorBidi"/>
          <w:lang w:val="fr-FR"/>
        </w:rPr>
        <w:t>d</w:t>
      </w:r>
      <w:r w:rsidR="004C5E26">
        <w:rPr>
          <w:rFonts w:asciiTheme="majorBidi" w:eastAsia="Calibri" w:hAnsiTheme="majorBidi"/>
          <w:lang w:val="fr-FR"/>
        </w:rPr>
        <w:t>’</w:t>
      </w:r>
      <w:r>
        <w:rPr>
          <w:rFonts w:asciiTheme="majorBidi" w:eastAsia="Calibri" w:hAnsiTheme="majorBidi"/>
          <w:lang w:val="fr-FR"/>
        </w:rPr>
        <w:t xml:space="preserve">une </w:t>
      </w:r>
      <w:r w:rsidRPr="00016AD6">
        <w:rPr>
          <w:rFonts w:asciiTheme="majorBidi" w:eastAsia="Calibri" w:hAnsiTheme="majorBidi"/>
          <w:lang w:val="fr-FR"/>
        </w:rPr>
        <w:t>unification avec un autre État ou de la fusion avec un autre État dans le cadre d</w:t>
      </w:r>
      <w:r w:rsidR="004C5E26">
        <w:rPr>
          <w:rFonts w:asciiTheme="majorBidi" w:eastAsia="Calibri" w:hAnsiTheme="majorBidi"/>
          <w:lang w:val="fr-FR"/>
        </w:rPr>
        <w:t>’</w:t>
      </w:r>
      <w:r w:rsidRPr="00016AD6">
        <w:rPr>
          <w:rFonts w:asciiTheme="majorBidi" w:eastAsia="Calibri" w:hAnsiTheme="majorBidi"/>
          <w:lang w:val="fr-FR"/>
        </w:rPr>
        <w:t>une fédération (lorsque l</w:t>
      </w:r>
      <w:r w:rsidR="004C5E26">
        <w:rPr>
          <w:rFonts w:asciiTheme="majorBidi" w:eastAsia="Calibri" w:hAnsiTheme="majorBidi"/>
          <w:lang w:val="fr-FR"/>
        </w:rPr>
        <w:t>’</w:t>
      </w:r>
      <w:r w:rsidRPr="00016AD6">
        <w:rPr>
          <w:rFonts w:asciiTheme="majorBidi" w:eastAsia="Calibri" w:hAnsiTheme="majorBidi"/>
          <w:lang w:val="fr-FR"/>
        </w:rPr>
        <w:t>État perdait sa personnalité juridique internationale).</w:t>
      </w:r>
    </w:p>
    <w:p w14:paraId="1DC1A4D4" w14:textId="1DBF6B42"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391.</w:t>
      </w:r>
      <w:r>
        <w:rPr>
          <w:rFonts w:asciiTheme="majorBidi" w:eastAsia="Calibri" w:hAnsiTheme="majorBidi"/>
          <w:lang w:val="fr-FR"/>
        </w:rPr>
        <w:tab/>
      </w:r>
      <w:r w:rsidRPr="00016AD6">
        <w:rPr>
          <w:rFonts w:asciiTheme="majorBidi" w:eastAsia="Calibri" w:hAnsiTheme="majorBidi"/>
          <w:lang w:val="fr-FR"/>
        </w:rPr>
        <w:t>On a dit craindre que le Groupe d</w:t>
      </w:r>
      <w:r w:rsidR="004C5E26">
        <w:rPr>
          <w:rFonts w:asciiTheme="majorBidi" w:eastAsia="Calibri" w:hAnsiTheme="majorBidi"/>
          <w:lang w:val="fr-FR"/>
        </w:rPr>
        <w:t>’</w:t>
      </w:r>
      <w:r w:rsidRPr="00016AD6">
        <w:rPr>
          <w:rFonts w:asciiTheme="majorBidi" w:eastAsia="Calibri" w:hAnsiTheme="majorBidi"/>
          <w:lang w:val="fr-FR"/>
        </w:rPr>
        <w:t>étude n</w:t>
      </w:r>
      <w:r w:rsidR="004C5E26">
        <w:rPr>
          <w:rFonts w:asciiTheme="majorBidi" w:eastAsia="Calibri" w:hAnsiTheme="majorBidi"/>
          <w:lang w:val="fr-FR"/>
        </w:rPr>
        <w:t>’</w:t>
      </w:r>
      <w:r w:rsidRPr="00016AD6">
        <w:rPr>
          <w:rFonts w:asciiTheme="majorBidi" w:eastAsia="Calibri" w:hAnsiTheme="majorBidi"/>
          <w:lang w:val="fr-FR"/>
        </w:rPr>
        <w:t>outrepasse son mandat en proposant des solutions essentiellement politiques qu</w:t>
      </w:r>
      <w:r w:rsidR="004C5E26">
        <w:rPr>
          <w:rFonts w:asciiTheme="majorBidi" w:eastAsia="Calibri" w:hAnsiTheme="majorBidi"/>
          <w:lang w:val="fr-FR"/>
        </w:rPr>
        <w:t>’</w:t>
      </w:r>
      <w:r w:rsidRPr="00016AD6">
        <w:rPr>
          <w:rFonts w:asciiTheme="majorBidi" w:eastAsia="Calibri" w:hAnsiTheme="majorBidi"/>
          <w:lang w:val="fr-FR"/>
        </w:rPr>
        <w:t xml:space="preserve">il </w:t>
      </w:r>
      <w:r>
        <w:rPr>
          <w:rFonts w:asciiTheme="majorBidi" w:eastAsia="Calibri" w:hAnsiTheme="majorBidi"/>
          <w:lang w:val="fr-FR"/>
        </w:rPr>
        <w:t xml:space="preserve">appartenait davantage </w:t>
      </w:r>
      <w:r w:rsidRPr="00016AD6">
        <w:rPr>
          <w:rFonts w:asciiTheme="majorBidi" w:eastAsia="Calibri" w:hAnsiTheme="majorBidi"/>
          <w:lang w:val="fr-FR"/>
        </w:rPr>
        <w:t>aux États d</w:t>
      </w:r>
      <w:r w:rsidR="004C5E26">
        <w:rPr>
          <w:rFonts w:asciiTheme="majorBidi" w:eastAsia="Calibri" w:hAnsiTheme="majorBidi"/>
          <w:lang w:val="fr-FR"/>
        </w:rPr>
        <w:t>’</w:t>
      </w:r>
      <w:r w:rsidRPr="00016AD6">
        <w:rPr>
          <w:rFonts w:asciiTheme="majorBidi" w:eastAsia="Calibri" w:hAnsiTheme="majorBidi"/>
          <w:lang w:val="fr-FR"/>
        </w:rPr>
        <w:t xml:space="preserve">envisager. En particulier, </w:t>
      </w:r>
      <w:r>
        <w:rPr>
          <w:rFonts w:asciiTheme="majorBidi" w:eastAsia="Calibri" w:hAnsiTheme="majorBidi"/>
          <w:lang w:val="fr-FR"/>
        </w:rPr>
        <w:t>certains membres du Groupe d</w:t>
      </w:r>
      <w:r w:rsidR="004C5E26">
        <w:rPr>
          <w:rFonts w:asciiTheme="majorBidi" w:eastAsia="Calibri" w:hAnsiTheme="majorBidi"/>
          <w:lang w:val="fr-FR"/>
        </w:rPr>
        <w:t>’</w:t>
      </w:r>
      <w:r>
        <w:rPr>
          <w:rFonts w:asciiTheme="majorBidi" w:eastAsia="Calibri" w:hAnsiTheme="majorBidi"/>
          <w:lang w:val="fr-FR"/>
        </w:rPr>
        <w:t>étude ont mis en garde contre la formulation</w:t>
      </w:r>
      <w:r w:rsidRPr="00016AD6">
        <w:rPr>
          <w:rFonts w:asciiTheme="majorBidi" w:eastAsia="Calibri" w:hAnsiTheme="majorBidi"/>
          <w:lang w:val="fr-FR"/>
        </w:rPr>
        <w:t xml:space="preserve"> de propositions </w:t>
      </w:r>
      <w:r>
        <w:rPr>
          <w:rFonts w:asciiTheme="majorBidi" w:eastAsia="Calibri" w:hAnsiTheme="majorBidi"/>
          <w:lang w:val="fr-FR"/>
        </w:rPr>
        <w:t xml:space="preserve">qui </w:t>
      </w:r>
      <w:r w:rsidRPr="00016AD6">
        <w:rPr>
          <w:rFonts w:asciiTheme="majorBidi" w:eastAsia="Calibri" w:hAnsiTheme="majorBidi"/>
          <w:lang w:val="fr-FR"/>
        </w:rPr>
        <w:t>pouva</w:t>
      </w:r>
      <w:r>
        <w:rPr>
          <w:rFonts w:asciiTheme="majorBidi" w:eastAsia="Calibri" w:hAnsiTheme="majorBidi"/>
          <w:lang w:val="fr-FR"/>
        </w:rPr>
        <w:t>ie</w:t>
      </w:r>
      <w:r w:rsidRPr="00016AD6">
        <w:rPr>
          <w:rFonts w:asciiTheme="majorBidi" w:eastAsia="Calibri" w:hAnsiTheme="majorBidi"/>
          <w:lang w:val="fr-FR"/>
        </w:rPr>
        <w:t xml:space="preserve">nt se révéler difficiles à mettre en œuvre (par exemple </w:t>
      </w:r>
      <w:r>
        <w:rPr>
          <w:rFonts w:asciiTheme="majorBidi" w:eastAsia="Calibri" w:hAnsiTheme="majorBidi"/>
          <w:lang w:val="fr-FR"/>
        </w:rPr>
        <w:t xml:space="preserve">promouvoir </w:t>
      </w:r>
      <w:r w:rsidRPr="00016AD6">
        <w:rPr>
          <w:rFonts w:asciiTheme="majorBidi" w:eastAsia="Calibri" w:hAnsiTheme="majorBidi"/>
          <w:lang w:val="fr-FR"/>
        </w:rPr>
        <w:t xml:space="preserve">la notion de nation numérique) ou qui soulevaient des questions politiques délicates (par exemple </w:t>
      </w:r>
      <w:r>
        <w:rPr>
          <w:rFonts w:asciiTheme="majorBidi" w:eastAsia="Calibri" w:hAnsiTheme="majorBidi"/>
          <w:lang w:val="fr-FR"/>
        </w:rPr>
        <w:t xml:space="preserve">proposer la modification des </w:t>
      </w:r>
      <w:r w:rsidRPr="00016AD6">
        <w:rPr>
          <w:rFonts w:asciiTheme="majorBidi" w:eastAsia="Calibri" w:hAnsiTheme="majorBidi"/>
          <w:lang w:val="fr-FR"/>
        </w:rPr>
        <w:t>lois relatives à la nationalité). Il importait aussi de faire en sorte que les résultats des travaux menés par la Commission dans le cadre du Groupe d</w:t>
      </w:r>
      <w:r w:rsidR="004C5E26">
        <w:rPr>
          <w:rFonts w:asciiTheme="majorBidi" w:eastAsia="Calibri" w:hAnsiTheme="majorBidi"/>
          <w:lang w:val="fr-FR"/>
        </w:rPr>
        <w:t>’</w:t>
      </w:r>
      <w:r w:rsidRPr="00016AD6">
        <w:rPr>
          <w:rFonts w:asciiTheme="majorBidi" w:eastAsia="Calibri" w:hAnsiTheme="majorBidi"/>
          <w:lang w:val="fr-FR"/>
        </w:rPr>
        <w:t xml:space="preserve">étude ne menacent aucunement des dispositions juridiques en vigueur, par exemple </w:t>
      </w:r>
      <w:r>
        <w:rPr>
          <w:rFonts w:asciiTheme="majorBidi" w:eastAsia="Calibri" w:hAnsiTheme="majorBidi"/>
          <w:lang w:val="fr-FR"/>
        </w:rPr>
        <w:t xml:space="preserve">lorsque </w:t>
      </w:r>
      <w:r w:rsidRPr="00016AD6">
        <w:rPr>
          <w:rFonts w:asciiTheme="majorBidi" w:eastAsia="Calibri" w:hAnsiTheme="majorBidi"/>
          <w:lang w:val="fr-FR"/>
        </w:rPr>
        <w:lastRenderedPageBreak/>
        <w:t>des personnes choisissaient de conserver leur nationalité d</w:t>
      </w:r>
      <w:r w:rsidR="004C5E26">
        <w:rPr>
          <w:rFonts w:asciiTheme="majorBidi" w:eastAsia="Calibri" w:hAnsiTheme="majorBidi"/>
          <w:lang w:val="fr-FR"/>
        </w:rPr>
        <w:t>’</w:t>
      </w:r>
      <w:r w:rsidRPr="00016AD6">
        <w:rPr>
          <w:rFonts w:asciiTheme="majorBidi" w:eastAsia="Calibri" w:hAnsiTheme="majorBidi"/>
          <w:lang w:val="fr-FR"/>
        </w:rPr>
        <w:t>origine. Selon une opinion, il fallait distinguer plus nettement les considérations juridique</w:t>
      </w:r>
      <w:r>
        <w:rPr>
          <w:rFonts w:asciiTheme="majorBidi" w:eastAsia="Calibri" w:hAnsiTheme="majorBidi"/>
          <w:lang w:val="fr-FR"/>
        </w:rPr>
        <w:t>ment</w:t>
      </w:r>
      <w:r w:rsidRPr="00016AD6">
        <w:rPr>
          <w:rFonts w:asciiTheme="majorBidi" w:eastAsia="Calibri" w:hAnsiTheme="majorBidi"/>
          <w:lang w:val="fr-FR"/>
        </w:rPr>
        <w:t xml:space="preserve"> pertinentes des propositions de nature politique, la Commission étant plus compétente pour examiner les premières que les secondes. </w:t>
      </w:r>
      <w:r>
        <w:rPr>
          <w:rFonts w:asciiTheme="majorBidi" w:eastAsia="Calibri" w:hAnsiTheme="majorBidi"/>
          <w:lang w:val="fr-FR"/>
        </w:rPr>
        <w:t xml:space="preserve">Des </w:t>
      </w:r>
      <w:r w:rsidRPr="00016AD6">
        <w:rPr>
          <w:rFonts w:asciiTheme="majorBidi" w:eastAsia="Calibri" w:hAnsiTheme="majorBidi"/>
          <w:lang w:val="fr-FR"/>
        </w:rPr>
        <w:t>membre</w:t>
      </w:r>
      <w:r>
        <w:rPr>
          <w:rFonts w:asciiTheme="majorBidi" w:eastAsia="Calibri" w:hAnsiTheme="majorBidi"/>
          <w:lang w:val="fr-FR"/>
        </w:rPr>
        <w:t>s</w:t>
      </w:r>
      <w:r w:rsidRPr="00016AD6">
        <w:rPr>
          <w:rFonts w:asciiTheme="majorBidi" w:eastAsia="Calibri" w:hAnsiTheme="majorBidi"/>
          <w:lang w:val="fr-FR"/>
        </w:rPr>
        <w:t xml:space="preserve"> </w:t>
      </w:r>
      <w:r>
        <w:rPr>
          <w:rFonts w:asciiTheme="majorBidi" w:eastAsia="Calibri" w:hAnsiTheme="majorBidi"/>
          <w:lang w:val="fr-FR"/>
        </w:rPr>
        <w:t>ont</w:t>
      </w:r>
      <w:r w:rsidRPr="00016AD6">
        <w:rPr>
          <w:rFonts w:asciiTheme="majorBidi" w:eastAsia="Calibri" w:hAnsiTheme="majorBidi"/>
          <w:lang w:val="fr-FR"/>
        </w:rPr>
        <w:t xml:space="preserve"> fait valoir que tout débat sur les options envisageables était </w:t>
      </w:r>
      <w:r>
        <w:rPr>
          <w:rFonts w:asciiTheme="majorBidi" w:eastAsia="Calibri" w:hAnsiTheme="majorBidi"/>
          <w:lang w:val="fr-FR"/>
        </w:rPr>
        <w:t xml:space="preserve">intrinsèquement </w:t>
      </w:r>
      <w:r w:rsidRPr="00016AD6">
        <w:rPr>
          <w:rFonts w:asciiTheme="majorBidi" w:eastAsia="Calibri" w:hAnsiTheme="majorBidi"/>
          <w:lang w:val="fr-FR"/>
        </w:rPr>
        <w:t>spéculatif puisqu</w:t>
      </w:r>
      <w:r w:rsidR="004C5E26">
        <w:rPr>
          <w:rFonts w:asciiTheme="majorBidi" w:eastAsia="Calibri" w:hAnsiTheme="majorBidi"/>
          <w:lang w:val="fr-FR"/>
        </w:rPr>
        <w:t>’</w:t>
      </w:r>
      <w:r w:rsidRPr="00016AD6">
        <w:rPr>
          <w:rFonts w:asciiTheme="majorBidi" w:eastAsia="Calibri" w:hAnsiTheme="majorBidi"/>
          <w:lang w:val="fr-FR"/>
        </w:rPr>
        <w:t>il n</w:t>
      </w:r>
      <w:r w:rsidR="004C5E26">
        <w:rPr>
          <w:rFonts w:asciiTheme="majorBidi" w:eastAsia="Calibri" w:hAnsiTheme="majorBidi"/>
          <w:lang w:val="fr-FR"/>
        </w:rPr>
        <w:t>’</w:t>
      </w:r>
      <w:r w:rsidRPr="00016AD6">
        <w:rPr>
          <w:rFonts w:asciiTheme="majorBidi" w:eastAsia="Calibri" w:hAnsiTheme="majorBidi"/>
          <w:lang w:val="fr-FR"/>
        </w:rPr>
        <w:t xml:space="preserve">était pas possible de proposer une solution unique adaptée à toutes les situations. </w:t>
      </w:r>
    </w:p>
    <w:p w14:paraId="28DD2A8A" w14:textId="54420AEF" w:rsidR="00737BD1" w:rsidRPr="00016AD6" w:rsidRDefault="00737BD1" w:rsidP="00737BD1">
      <w:pPr>
        <w:pStyle w:val="SingleTxtG"/>
        <w:keepNext/>
        <w:rPr>
          <w:rFonts w:asciiTheme="majorBidi" w:eastAsia="Calibri" w:hAnsiTheme="majorBidi"/>
          <w:lang w:val="fr-FR"/>
        </w:rPr>
      </w:pPr>
      <w:r>
        <w:rPr>
          <w:rFonts w:asciiTheme="majorBidi" w:eastAsia="Calibri" w:hAnsiTheme="majorBidi"/>
          <w:lang w:val="fr-FR"/>
        </w:rPr>
        <w:t>392.</w:t>
      </w:r>
      <w:r>
        <w:rPr>
          <w:rFonts w:asciiTheme="majorBidi" w:eastAsia="Calibri" w:hAnsiTheme="majorBidi"/>
          <w:lang w:val="fr-FR"/>
        </w:rPr>
        <w:tab/>
      </w:r>
      <w:r w:rsidRPr="00016AD6">
        <w:rPr>
          <w:rFonts w:asciiTheme="majorBidi" w:eastAsia="Calibri" w:hAnsiTheme="majorBidi"/>
          <w:lang w:val="fr-FR"/>
        </w:rPr>
        <w:t>On a proposé que la Commission mette plutôt l</w:t>
      </w:r>
      <w:r w:rsidR="004C5E26">
        <w:rPr>
          <w:rFonts w:asciiTheme="majorBidi" w:eastAsia="Calibri" w:hAnsiTheme="majorBidi"/>
          <w:lang w:val="fr-FR"/>
        </w:rPr>
        <w:t>’</w:t>
      </w:r>
      <w:r w:rsidRPr="00016AD6">
        <w:rPr>
          <w:rFonts w:asciiTheme="majorBidi" w:eastAsia="Calibri" w:hAnsiTheme="majorBidi"/>
          <w:lang w:val="fr-FR"/>
        </w:rPr>
        <w:t>accent sur certains paramètres fondamentaux, notamment la nécessité d</w:t>
      </w:r>
      <w:r w:rsidR="004C5E26">
        <w:rPr>
          <w:rFonts w:asciiTheme="majorBidi" w:eastAsia="Calibri" w:hAnsiTheme="majorBidi"/>
          <w:lang w:val="fr-FR"/>
        </w:rPr>
        <w:t>’</w:t>
      </w:r>
      <w:r w:rsidRPr="00016AD6">
        <w:rPr>
          <w:rFonts w:asciiTheme="majorBidi" w:eastAsia="Calibri" w:hAnsiTheme="majorBidi"/>
          <w:lang w:val="fr-FR"/>
        </w:rPr>
        <w:t>obtenir le consentement d</w:t>
      </w:r>
      <w:r>
        <w:rPr>
          <w:rFonts w:asciiTheme="majorBidi" w:eastAsia="Calibri" w:hAnsiTheme="majorBidi"/>
          <w:lang w:val="fr-FR"/>
        </w:rPr>
        <w:t xml:space="preserve">es peuples </w:t>
      </w:r>
      <w:r w:rsidRPr="00016AD6">
        <w:rPr>
          <w:rFonts w:asciiTheme="majorBidi" w:eastAsia="Calibri" w:hAnsiTheme="majorBidi"/>
          <w:lang w:val="fr-FR"/>
        </w:rPr>
        <w:t>touché</w:t>
      </w:r>
      <w:r>
        <w:rPr>
          <w:rFonts w:asciiTheme="majorBidi" w:eastAsia="Calibri" w:hAnsiTheme="majorBidi"/>
          <w:lang w:val="fr-FR"/>
        </w:rPr>
        <w:t>s</w:t>
      </w:r>
      <w:r w:rsidRPr="00016AD6">
        <w:rPr>
          <w:rFonts w:asciiTheme="majorBidi" w:eastAsia="Calibri" w:hAnsiTheme="majorBidi"/>
          <w:lang w:val="fr-FR"/>
        </w:rPr>
        <w:t xml:space="preserve">, </w:t>
      </w:r>
      <w:r>
        <w:rPr>
          <w:rFonts w:asciiTheme="majorBidi" w:eastAsia="Calibri" w:hAnsiTheme="majorBidi"/>
          <w:lang w:val="fr-FR"/>
        </w:rPr>
        <w:t xml:space="preserve">en proposant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adoption d</w:t>
      </w:r>
      <w:r w:rsidR="004C5E26">
        <w:rPr>
          <w:rFonts w:asciiTheme="majorBidi" w:eastAsia="Calibri" w:hAnsiTheme="majorBidi"/>
          <w:lang w:val="fr-FR"/>
        </w:rPr>
        <w:t>’</w:t>
      </w:r>
      <w:r w:rsidRPr="00016AD6">
        <w:rPr>
          <w:rFonts w:asciiTheme="majorBidi" w:eastAsia="Calibri" w:hAnsiTheme="majorBidi"/>
          <w:lang w:val="fr-FR"/>
        </w:rPr>
        <w:t xml:space="preserve">accords bilatéraux, régionaux ou multilatéraux et </w:t>
      </w:r>
      <w:r>
        <w:rPr>
          <w:rFonts w:asciiTheme="majorBidi" w:eastAsia="Calibri" w:hAnsiTheme="majorBidi"/>
          <w:lang w:val="fr-FR"/>
        </w:rPr>
        <w:t xml:space="preserve">en insistant sur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 xml:space="preserve">obligation de coopérer. </w:t>
      </w:r>
      <w:r>
        <w:rPr>
          <w:rFonts w:asciiTheme="majorBidi" w:eastAsia="Calibri" w:hAnsiTheme="majorBidi"/>
          <w:lang w:val="fr-FR"/>
        </w:rPr>
        <w:t>Dans le cadre du débat, des membres du Groupe d</w:t>
      </w:r>
      <w:r w:rsidR="004C5E26">
        <w:rPr>
          <w:rFonts w:asciiTheme="majorBidi" w:eastAsia="Calibri" w:hAnsiTheme="majorBidi"/>
          <w:lang w:val="fr-FR"/>
        </w:rPr>
        <w:t>’</w:t>
      </w:r>
      <w:r>
        <w:rPr>
          <w:rFonts w:asciiTheme="majorBidi" w:eastAsia="Calibri" w:hAnsiTheme="majorBidi"/>
          <w:lang w:val="fr-FR"/>
        </w:rPr>
        <w:t>étude ont aussi proposé l</w:t>
      </w:r>
      <w:r w:rsidRPr="00016AD6">
        <w:rPr>
          <w:rFonts w:asciiTheme="majorBidi" w:eastAsia="Calibri" w:hAnsiTheme="majorBidi"/>
          <w:lang w:val="fr-FR"/>
        </w:rPr>
        <w:t xml:space="preserve">es paramètres </w:t>
      </w:r>
      <w:r>
        <w:rPr>
          <w:rFonts w:asciiTheme="majorBidi" w:eastAsia="Calibri" w:hAnsiTheme="majorBidi"/>
          <w:lang w:val="fr-FR"/>
        </w:rPr>
        <w:t>suivants</w:t>
      </w:r>
      <w:r w:rsidRPr="00016AD6">
        <w:rPr>
          <w:rFonts w:asciiTheme="majorBidi" w:eastAsia="Calibri" w:hAnsiTheme="majorBidi"/>
          <w:lang w:val="fr-FR"/>
        </w:rPr>
        <w:t xml:space="preserve"> : </w:t>
      </w:r>
    </w:p>
    <w:p w14:paraId="47B5BB96" w14:textId="6B898F3C"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 xml:space="preserve">La souveraineté et les droits souverains </w:t>
      </w:r>
      <w:r>
        <w:rPr>
          <w:lang w:val="fr-FR"/>
        </w:rPr>
        <w:t>de l</w:t>
      </w:r>
      <w:r w:rsidR="004C5E26">
        <w:rPr>
          <w:lang w:val="fr-FR"/>
        </w:rPr>
        <w:t>’</w:t>
      </w:r>
      <w:r w:rsidRPr="00016AD6">
        <w:rPr>
          <w:lang w:val="fr-FR"/>
        </w:rPr>
        <w:t xml:space="preserve">État </w:t>
      </w:r>
      <w:r>
        <w:rPr>
          <w:lang w:val="fr-FR"/>
        </w:rPr>
        <w:t xml:space="preserve">touché </w:t>
      </w:r>
      <w:r w:rsidRPr="00016AD6">
        <w:rPr>
          <w:lang w:val="fr-FR"/>
        </w:rPr>
        <w:t xml:space="preserve">sur son territoire </w:t>
      </w:r>
      <w:r>
        <w:rPr>
          <w:lang w:val="fr-FR"/>
        </w:rPr>
        <w:t>et sur les zones maritimes qui l</w:t>
      </w:r>
      <w:r w:rsidR="004C5E26">
        <w:rPr>
          <w:lang w:val="fr-FR"/>
        </w:rPr>
        <w:t>’</w:t>
      </w:r>
      <w:r>
        <w:rPr>
          <w:lang w:val="fr-FR"/>
        </w:rPr>
        <w:t xml:space="preserve">entourent </w:t>
      </w:r>
      <w:r w:rsidRPr="00016AD6">
        <w:rPr>
          <w:lang w:val="fr-FR"/>
        </w:rPr>
        <w:t>dev</w:t>
      </w:r>
      <w:r>
        <w:rPr>
          <w:lang w:val="fr-FR"/>
        </w:rPr>
        <w:t>r</w:t>
      </w:r>
      <w:r w:rsidRPr="00016AD6">
        <w:rPr>
          <w:lang w:val="fr-FR"/>
        </w:rPr>
        <w:t>aient être préservés</w:t>
      </w:r>
      <w:r>
        <w:rPr>
          <w:lang w:val="fr-FR"/>
        </w:rPr>
        <w:t>, c</w:t>
      </w:r>
      <w:r w:rsidR="004C5E26">
        <w:rPr>
          <w:lang w:val="fr-FR"/>
        </w:rPr>
        <w:t>’</w:t>
      </w:r>
      <w:r>
        <w:rPr>
          <w:lang w:val="fr-FR"/>
        </w:rPr>
        <w:t xml:space="preserve">est-à-dire sur le </w:t>
      </w:r>
      <w:r w:rsidRPr="00016AD6">
        <w:rPr>
          <w:lang w:val="fr-FR"/>
        </w:rPr>
        <w:t xml:space="preserve">territoire terrestre, </w:t>
      </w:r>
      <w:r>
        <w:rPr>
          <w:lang w:val="fr-FR"/>
        </w:rPr>
        <w:t xml:space="preserve">sur </w:t>
      </w:r>
      <w:r w:rsidRPr="00016AD6">
        <w:rPr>
          <w:lang w:val="fr-FR"/>
        </w:rPr>
        <w:t>tout</w:t>
      </w:r>
      <w:r>
        <w:rPr>
          <w:lang w:val="fr-FR"/>
        </w:rPr>
        <w:t>e</w:t>
      </w:r>
      <w:r w:rsidRPr="00016AD6">
        <w:rPr>
          <w:lang w:val="fr-FR"/>
        </w:rPr>
        <w:t xml:space="preserve"> </w:t>
      </w:r>
      <w:r>
        <w:rPr>
          <w:lang w:val="fr-FR"/>
        </w:rPr>
        <w:t xml:space="preserve">partie du </w:t>
      </w:r>
      <w:r w:rsidRPr="00016AD6">
        <w:rPr>
          <w:lang w:val="fr-FR"/>
        </w:rPr>
        <w:t xml:space="preserve">territoire </w:t>
      </w:r>
      <w:r>
        <w:rPr>
          <w:lang w:val="fr-FR"/>
        </w:rPr>
        <w:t xml:space="preserve">terrestre </w:t>
      </w:r>
      <w:r w:rsidRPr="00016AD6">
        <w:rPr>
          <w:lang w:val="fr-FR"/>
        </w:rPr>
        <w:t>submergé</w:t>
      </w:r>
      <w:r>
        <w:rPr>
          <w:lang w:val="fr-FR"/>
        </w:rPr>
        <w:t>e</w:t>
      </w:r>
      <w:r w:rsidRPr="00016AD6">
        <w:rPr>
          <w:lang w:val="fr-FR"/>
        </w:rPr>
        <w:t xml:space="preserve"> en raison de l</w:t>
      </w:r>
      <w:r w:rsidR="004C5E26">
        <w:rPr>
          <w:lang w:val="fr-FR"/>
        </w:rPr>
        <w:t>’</w:t>
      </w:r>
      <w:r w:rsidRPr="00016AD6">
        <w:rPr>
          <w:lang w:val="fr-FR"/>
        </w:rPr>
        <w:t xml:space="preserve">élévation du niveau de la mer </w:t>
      </w:r>
      <w:r>
        <w:rPr>
          <w:lang w:val="fr-FR"/>
        </w:rPr>
        <w:t xml:space="preserve">demeurant sous sa </w:t>
      </w:r>
      <w:r w:rsidRPr="00016AD6">
        <w:rPr>
          <w:lang w:val="fr-FR"/>
        </w:rPr>
        <w:t xml:space="preserve">souveraineté et </w:t>
      </w:r>
      <w:r>
        <w:rPr>
          <w:lang w:val="fr-FR"/>
        </w:rPr>
        <w:t>sur l</w:t>
      </w:r>
      <w:r w:rsidRPr="00016AD6">
        <w:rPr>
          <w:lang w:val="fr-FR"/>
        </w:rPr>
        <w:t>es espaces maritimes relevant de sa juridiction ;</w:t>
      </w:r>
    </w:p>
    <w:p w14:paraId="21EA3FF6" w14:textId="27BD6FA3"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 droit à l</w:t>
      </w:r>
      <w:r w:rsidR="004C5E26">
        <w:rPr>
          <w:lang w:val="fr-FR"/>
        </w:rPr>
        <w:t>’</w:t>
      </w:r>
      <w:proofErr w:type="spellStart"/>
      <w:r w:rsidRPr="00016AD6">
        <w:rPr>
          <w:lang w:val="fr-FR"/>
        </w:rPr>
        <w:t>autodétermination</w:t>
      </w:r>
      <w:proofErr w:type="spellEnd"/>
      <w:r w:rsidRPr="00016AD6">
        <w:rPr>
          <w:lang w:val="fr-FR"/>
        </w:rPr>
        <w:t xml:space="preserve"> </w:t>
      </w:r>
      <w:r>
        <w:rPr>
          <w:lang w:val="fr-FR"/>
        </w:rPr>
        <w:t xml:space="preserve">des peuples touchés devrait être </w:t>
      </w:r>
      <w:r w:rsidRPr="00016AD6">
        <w:rPr>
          <w:lang w:val="fr-FR"/>
        </w:rPr>
        <w:t xml:space="preserve">préservé, </w:t>
      </w:r>
      <w:r>
        <w:rPr>
          <w:lang w:val="fr-FR"/>
        </w:rPr>
        <w:t>dans le respect de</w:t>
      </w:r>
      <w:r w:rsidRPr="00016AD6">
        <w:rPr>
          <w:lang w:val="fr-FR"/>
        </w:rPr>
        <w:t xml:space="preserve"> l</w:t>
      </w:r>
      <w:r w:rsidR="004C5E26">
        <w:rPr>
          <w:lang w:val="fr-FR"/>
        </w:rPr>
        <w:t>’</w:t>
      </w:r>
      <w:r w:rsidRPr="00016AD6">
        <w:rPr>
          <w:lang w:val="fr-FR"/>
        </w:rPr>
        <w:t xml:space="preserve">unité et </w:t>
      </w:r>
      <w:r>
        <w:rPr>
          <w:lang w:val="fr-FR"/>
        </w:rPr>
        <w:t xml:space="preserve">de </w:t>
      </w:r>
      <w:r w:rsidRPr="00016AD6">
        <w:rPr>
          <w:lang w:val="fr-FR"/>
        </w:rPr>
        <w:t>l</w:t>
      </w:r>
      <w:r w:rsidR="004C5E26">
        <w:rPr>
          <w:lang w:val="fr-FR"/>
        </w:rPr>
        <w:t>’</w:t>
      </w:r>
      <w:r w:rsidRPr="00016AD6">
        <w:rPr>
          <w:lang w:val="fr-FR"/>
        </w:rPr>
        <w:t>intégrité territoriale de l</w:t>
      </w:r>
      <w:r w:rsidR="004C5E26">
        <w:rPr>
          <w:lang w:val="fr-FR"/>
        </w:rPr>
        <w:t>’</w:t>
      </w:r>
      <w:r w:rsidRPr="00016AD6">
        <w:rPr>
          <w:lang w:val="fr-FR"/>
        </w:rPr>
        <w:t>État concerné ;</w:t>
      </w:r>
    </w:p>
    <w:p w14:paraId="32A48B5F" w14:textId="75EC6B95"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 droit à l</w:t>
      </w:r>
      <w:r w:rsidR="004C5E26">
        <w:rPr>
          <w:lang w:val="fr-FR"/>
        </w:rPr>
        <w:t>’</w:t>
      </w:r>
      <w:proofErr w:type="spellStart"/>
      <w:r w:rsidRPr="00016AD6">
        <w:rPr>
          <w:lang w:val="fr-FR"/>
        </w:rPr>
        <w:t>autodétermination</w:t>
      </w:r>
      <w:proofErr w:type="spellEnd"/>
      <w:r w:rsidRPr="00016AD6">
        <w:rPr>
          <w:lang w:val="fr-FR"/>
        </w:rPr>
        <w:t xml:space="preserve"> </w:t>
      </w:r>
      <w:r>
        <w:rPr>
          <w:lang w:val="fr-FR"/>
        </w:rPr>
        <w:t xml:space="preserve">des peuples touchés </w:t>
      </w:r>
      <w:r w:rsidRPr="0029088C">
        <w:rPr>
          <w:lang w:val="fr-FR"/>
        </w:rPr>
        <w:t>s</w:t>
      </w:r>
      <w:r w:rsidR="004C5E26">
        <w:rPr>
          <w:lang w:val="fr-FR"/>
        </w:rPr>
        <w:t>’</w:t>
      </w:r>
      <w:r w:rsidRPr="0029088C">
        <w:rPr>
          <w:lang w:val="fr-FR"/>
        </w:rPr>
        <w:t>étendait</w:t>
      </w:r>
      <w:r w:rsidRPr="00016AD6">
        <w:rPr>
          <w:lang w:val="fr-FR"/>
        </w:rPr>
        <w:t xml:space="preserve"> aux droits des peuples autochtones dans le contexte de l</w:t>
      </w:r>
      <w:r w:rsidR="004C5E26">
        <w:rPr>
          <w:lang w:val="fr-FR"/>
        </w:rPr>
        <w:t>’</w:t>
      </w:r>
      <w:r w:rsidRPr="00016AD6">
        <w:rPr>
          <w:lang w:val="fr-FR"/>
        </w:rPr>
        <w:t>élévation du niveau de la mer, et comprenait le droit de ces peuples de s</w:t>
      </w:r>
      <w:r w:rsidR="004C5E26">
        <w:rPr>
          <w:lang w:val="fr-FR"/>
        </w:rPr>
        <w:t>’</w:t>
      </w:r>
      <w:r w:rsidRPr="00016AD6">
        <w:rPr>
          <w:lang w:val="fr-FR"/>
        </w:rPr>
        <w:t>organiser et de s</w:t>
      </w:r>
      <w:r w:rsidR="004C5E26">
        <w:rPr>
          <w:lang w:val="fr-FR"/>
        </w:rPr>
        <w:t>’</w:t>
      </w:r>
      <w:r w:rsidRPr="00016AD6">
        <w:rPr>
          <w:lang w:val="fr-FR"/>
        </w:rPr>
        <w:t>administrer</w:t>
      </w:r>
      <w:r>
        <w:rPr>
          <w:lang w:val="fr-FR"/>
        </w:rPr>
        <w:t xml:space="preserve"> eux-mêmes</w:t>
      </w:r>
      <w:r w:rsidRPr="00016AD6">
        <w:rPr>
          <w:lang w:val="fr-FR"/>
        </w:rPr>
        <w:t>, ainsi que le droit de participer à la prise des décisions ;</w:t>
      </w:r>
    </w:p>
    <w:p w14:paraId="6D838E88" w14:textId="77777777"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Des consultations avec les personnes concernées, notamment les peuples autochtones, étaient essentielles, puisque les intérêts et besoins des personnes touchées constituaient une considération fondamentale à prendre en compte dans le cadre de tout accord futur ;</w:t>
      </w:r>
    </w:p>
    <w:p w14:paraId="6AFFDB22" w14:textId="6C5BC196"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Les États touchés par l</w:t>
      </w:r>
      <w:r w:rsidR="004C5E26">
        <w:rPr>
          <w:lang w:val="fr-FR"/>
        </w:rPr>
        <w:t>’</w:t>
      </w:r>
      <w:r w:rsidRPr="00016AD6">
        <w:rPr>
          <w:lang w:val="fr-FR"/>
        </w:rPr>
        <w:t xml:space="preserve">élévation du niveau de la mer demeuraient responsables de la protection de leur population touchée par </w:t>
      </w:r>
      <w:r>
        <w:rPr>
          <w:lang w:val="fr-FR"/>
        </w:rPr>
        <w:t>l</w:t>
      </w:r>
      <w:r w:rsidR="004C5E26">
        <w:rPr>
          <w:lang w:val="fr-FR"/>
        </w:rPr>
        <w:t>’</w:t>
      </w:r>
      <w:r>
        <w:rPr>
          <w:lang w:val="fr-FR"/>
        </w:rPr>
        <w:t>élévation du niveau de la mer</w:t>
      </w:r>
      <w:r w:rsidRPr="00016AD6">
        <w:rPr>
          <w:lang w:val="fr-FR"/>
        </w:rPr>
        <w:t>, y compris en matière d</w:t>
      </w:r>
      <w:r w:rsidR="004C5E26">
        <w:rPr>
          <w:lang w:val="fr-FR"/>
        </w:rPr>
        <w:t>’</w:t>
      </w:r>
      <w:r w:rsidRPr="00016AD6">
        <w:rPr>
          <w:lang w:val="fr-FR"/>
        </w:rPr>
        <w:t xml:space="preserve">obligations </w:t>
      </w:r>
      <w:r>
        <w:rPr>
          <w:lang w:val="fr-FR"/>
        </w:rPr>
        <w:t xml:space="preserve">relatives aux </w:t>
      </w:r>
      <w:r w:rsidRPr="00016AD6">
        <w:rPr>
          <w:lang w:val="fr-FR"/>
        </w:rPr>
        <w:t>droits de l</w:t>
      </w:r>
      <w:r w:rsidR="004C5E26">
        <w:rPr>
          <w:lang w:val="fr-FR"/>
        </w:rPr>
        <w:t>’</w:t>
      </w:r>
      <w:r w:rsidRPr="00016AD6">
        <w:rPr>
          <w:lang w:val="fr-FR"/>
        </w:rPr>
        <w:t>homme, de statut politique, de culture, de patrimoine culturel, d</w:t>
      </w:r>
      <w:r w:rsidR="004C5E26">
        <w:rPr>
          <w:lang w:val="fr-FR"/>
        </w:rPr>
        <w:t>’</w:t>
      </w:r>
      <w:r w:rsidRPr="00016AD6">
        <w:rPr>
          <w:lang w:val="fr-FR"/>
        </w:rPr>
        <w:t>identité et de dignité et de satisfaction des besoins essentiels ;</w:t>
      </w:r>
    </w:p>
    <w:p w14:paraId="74869E8F" w14:textId="7FB5BF2A"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Pour préserver l</w:t>
      </w:r>
      <w:r w:rsidR="004C5E26">
        <w:rPr>
          <w:lang w:val="fr-FR"/>
        </w:rPr>
        <w:t>’</w:t>
      </w:r>
      <w:r w:rsidRPr="00016AD6">
        <w:rPr>
          <w:lang w:val="fr-FR"/>
        </w:rPr>
        <w:t>identité culturelle, sociale et politique, l</w:t>
      </w:r>
      <w:r w:rsidR="004C5E26">
        <w:rPr>
          <w:lang w:val="fr-FR"/>
        </w:rPr>
        <w:t>’</w:t>
      </w:r>
      <w:r w:rsidRPr="00016AD6">
        <w:rPr>
          <w:lang w:val="fr-FR"/>
        </w:rPr>
        <w:t>État devait consulter sa population sur tou</w:t>
      </w:r>
      <w:r>
        <w:rPr>
          <w:lang w:val="fr-FR"/>
        </w:rPr>
        <w:t>s</w:t>
      </w:r>
      <w:r w:rsidRPr="00016AD6">
        <w:rPr>
          <w:lang w:val="fr-FR"/>
        </w:rPr>
        <w:t xml:space="preserve"> accord</w:t>
      </w:r>
      <w:r>
        <w:rPr>
          <w:lang w:val="fr-FR"/>
        </w:rPr>
        <w:t>s</w:t>
      </w:r>
      <w:r w:rsidRPr="00016AD6">
        <w:rPr>
          <w:lang w:val="fr-FR"/>
        </w:rPr>
        <w:t xml:space="preserve"> futur</w:t>
      </w:r>
      <w:r>
        <w:rPr>
          <w:lang w:val="fr-FR"/>
        </w:rPr>
        <w:t>s</w:t>
      </w:r>
      <w:r w:rsidRPr="00016AD6">
        <w:rPr>
          <w:lang w:val="fr-FR"/>
        </w:rPr>
        <w:t xml:space="preserve">, y compris les personnes demeurant sur le territoire et celles </w:t>
      </w:r>
      <w:r>
        <w:rPr>
          <w:lang w:val="fr-FR"/>
        </w:rPr>
        <w:t xml:space="preserve">ayant dû se </w:t>
      </w:r>
      <w:r w:rsidRPr="00016AD6">
        <w:rPr>
          <w:lang w:val="fr-FR"/>
        </w:rPr>
        <w:t>réinstall</w:t>
      </w:r>
      <w:r>
        <w:rPr>
          <w:lang w:val="fr-FR"/>
        </w:rPr>
        <w:t>er</w:t>
      </w:r>
      <w:r w:rsidRPr="00016AD6">
        <w:rPr>
          <w:lang w:val="fr-FR"/>
        </w:rPr>
        <w:t xml:space="preserve"> ailleurs ;</w:t>
      </w:r>
    </w:p>
    <w:p w14:paraId="6B7DD3D9" w14:textId="36AF0F87" w:rsidR="00737BD1" w:rsidRPr="00016AD6" w:rsidRDefault="00737BD1" w:rsidP="00737BD1">
      <w:pPr>
        <w:pStyle w:val="Bullet1G"/>
        <w:numPr>
          <w:ilvl w:val="0"/>
          <w:numId w:val="0"/>
        </w:numPr>
        <w:tabs>
          <w:tab w:val="left" w:pos="1701"/>
        </w:tabs>
        <w:ind w:left="1701" w:hanging="170"/>
        <w:rPr>
          <w:lang w:val="fr-FR"/>
        </w:rPr>
      </w:pPr>
      <w:r w:rsidRPr="00016AD6">
        <w:rPr>
          <w:lang w:val="fr-FR"/>
        </w:rPr>
        <w:t>•</w:t>
      </w:r>
      <w:r w:rsidRPr="00016AD6">
        <w:rPr>
          <w:lang w:val="fr-FR"/>
        </w:rPr>
        <w:tab/>
        <w:t>Tou</w:t>
      </w:r>
      <w:r>
        <w:rPr>
          <w:lang w:val="fr-FR"/>
        </w:rPr>
        <w:t>te</w:t>
      </w:r>
      <w:r w:rsidRPr="00016AD6">
        <w:rPr>
          <w:lang w:val="fr-FR"/>
        </w:rPr>
        <w:t xml:space="preserve">s </w:t>
      </w:r>
      <w:r>
        <w:rPr>
          <w:lang w:val="fr-FR"/>
        </w:rPr>
        <w:t xml:space="preserve">dispositions </w:t>
      </w:r>
      <w:r w:rsidRPr="00016AD6">
        <w:rPr>
          <w:lang w:val="fr-FR"/>
        </w:rPr>
        <w:t>concernant la réinstallation d</w:t>
      </w:r>
      <w:r w:rsidR="004C5E26">
        <w:rPr>
          <w:lang w:val="fr-FR"/>
        </w:rPr>
        <w:t>’</w:t>
      </w:r>
      <w:r w:rsidRPr="00016AD6">
        <w:rPr>
          <w:lang w:val="fr-FR"/>
        </w:rPr>
        <w:t xml:space="preserve">un gouvernement dans un autre État </w:t>
      </w:r>
      <w:r>
        <w:rPr>
          <w:lang w:val="fr-FR"/>
        </w:rPr>
        <w:t>ou</w:t>
      </w:r>
      <w:r w:rsidRPr="00016AD6">
        <w:rPr>
          <w:lang w:val="fr-FR"/>
        </w:rPr>
        <w:t xml:space="preserve"> le statut politique des personnes réinstallées devai</w:t>
      </w:r>
      <w:r>
        <w:rPr>
          <w:lang w:val="fr-FR"/>
        </w:rPr>
        <w:t>en</w:t>
      </w:r>
      <w:r w:rsidRPr="00016AD6">
        <w:rPr>
          <w:lang w:val="fr-FR"/>
        </w:rPr>
        <w:t>t être défini</w:t>
      </w:r>
      <w:r>
        <w:rPr>
          <w:lang w:val="fr-FR"/>
        </w:rPr>
        <w:t>es</w:t>
      </w:r>
      <w:r w:rsidRPr="00016AD6">
        <w:rPr>
          <w:lang w:val="fr-FR"/>
        </w:rPr>
        <w:t xml:space="preserve"> dans un accord portant sur des questions telles que l</w:t>
      </w:r>
      <w:r w:rsidR="004C5E26">
        <w:rPr>
          <w:lang w:val="fr-FR"/>
        </w:rPr>
        <w:t>’</w:t>
      </w:r>
      <w:r w:rsidRPr="00016AD6">
        <w:rPr>
          <w:lang w:val="fr-FR"/>
        </w:rPr>
        <w:t xml:space="preserve">établissement </w:t>
      </w:r>
      <w:r>
        <w:rPr>
          <w:lang w:val="fr-FR"/>
        </w:rPr>
        <w:t xml:space="preserve">et le fonctionnement </w:t>
      </w:r>
      <w:r w:rsidRPr="00016AD6">
        <w:rPr>
          <w:lang w:val="fr-FR"/>
        </w:rPr>
        <w:t>du gouvernement, son indépendance, la manière dont il opér</w:t>
      </w:r>
      <w:r>
        <w:rPr>
          <w:lang w:val="fr-FR"/>
        </w:rPr>
        <w:t>er</w:t>
      </w:r>
      <w:r w:rsidRPr="00016AD6">
        <w:rPr>
          <w:lang w:val="fr-FR"/>
        </w:rPr>
        <w:t>a</w:t>
      </w:r>
      <w:r>
        <w:rPr>
          <w:lang w:val="fr-FR"/>
        </w:rPr>
        <w:t>it</w:t>
      </w:r>
      <w:r w:rsidRPr="00016AD6">
        <w:rPr>
          <w:lang w:val="fr-FR"/>
        </w:rPr>
        <w:t>, l</w:t>
      </w:r>
      <w:r w:rsidR="004C5E26">
        <w:rPr>
          <w:lang w:val="fr-FR"/>
        </w:rPr>
        <w:t>’</w:t>
      </w:r>
      <w:r w:rsidRPr="00016AD6">
        <w:rPr>
          <w:lang w:val="fr-FR"/>
        </w:rPr>
        <w:t>étendu</w:t>
      </w:r>
      <w:r>
        <w:rPr>
          <w:lang w:val="fr-FR"/>
        </w:rPr>
        <w:t>e</w:t>
      </w:r>
      <w:r w:rsidRPr="00016AD6">
        <w:rPr>
          <w:lang w:val="fr-FR"/>
        </w:rPr>
        <w:t xml:space="preserve"> de ses fonctions ou compétences, les modalités de consultation de ses nationaux, l</w:t>
      </w:r>
      <w:r w:rsidR="004C5E26">
        <w:rPr>
          <w:lang w:val="fr-FR"/>
        </w:rPr>
        <w:t>’</w:t>
      </w:r>
      <w:r w:rsidRPr="00016AD6">
        <w:rPr>
          <w:lang w:val="fr-FR"/>
        </w:rPr>
        <w:t>administration des zones maritimes relevant de sa juridiction, les arrangements financiers, la protection et la préservation du patrimoine culture</w:t>
      </w:r>
      <w:r>
        <w:rPr>
          <w:lang w:val="fr-FR"/>
        </w:rPr>
        <w:t>l</w:t>
      </w:r>
      <w:r w:rsidRPr="00016AD6">
        <w:rPr>
          <w:lang w:val="fr-FR"/>
        </w:rPr>
        <w:t xml:space="preserve"> et la conduite des relations internationales ;</w:t>
      </w:r>
    </w:p>
    <w:p w14:paraId="55352E6E" w14:textId="3BE4CF77" w:rsidR="00737BD1" w:rsidRPr="00016AD6" w:rsidRDefault="00737BD1" w:rsidP="00737BD1">
      <w:pPr>
        <w:pStyle w:val="Bullet1G"/>
        <w:numPr>
          <w:ilvl w:val="0"/>
          <w:numId w:val="0"/>
        </w:numPr>
        <w:tabs>
          <w:tab w:val="left" w:pos="1701"/>
        </w:tabs>
        <w:ind w:left="1701" w:hanging="170"/>
        <w:rPr>
          <w:rFonts w:asciiTheme="majorBidi" w:eastAsia="Calibri" w:hAnsiTheme="majorBidi"/>
          <w:lang w:val="fr-FR"/>
        </w:rPr>
      </w:pPr>
      <w:r w:rsidRPr="00016AD6">
        <w:rPr>
          <w:rFonts w:eastAsia="Calibri"/>
          <w:lang w:val="fr-FR"/>
        </w:rPr>
        <w:t>•</w:t>
      </w:r>
      <w:r w:rsidRPr="00016AD6">
        <w:rPr>
          <w:rFonts w:eastAsia="Calibri"/>
          <w:lang w:val="fr-FR"/>
        </w:rPr>
        <w:tab/>
      </w:r>
      <w:r w:rsidRPr="00016AD6">
        <w:rPr>
          <w:rFonts w:asciiTheme="majorBidi" w:eastAsia="Calibri" w:hAnsiTheme="majorBidi"/>
          <w:lang w:val="fr-FR"/>
        </w:rPr>
        <w:t>Tou</w:t>
      </w:r>
      <w:r>
        <w:rPr>
          <w:rFonts w:asciiTheme="majorBidi" w:eastAsia="Calibri" w:hAnsiTheme="majorBidi"/>
          <w:lang w:val="fr-FR"/>
        </w:rPr>
        <w:t>tes</w:t>
      </w:r>
      <w:r w:rsidRPr="00016AD6">
        <w:rPr>
          <w:rFonts w:asciiTheme="majorBidi" w:eastAsia="Calibri" w:hAnsiTheme="majorBidi"/>
          <w:lang w:val="fr-FR"/>
        </w:rPr>
        <w:t xml:space="preserve"> </w:t>
      </w:r>
      <w:r>
        <w:rPr>
          <w:rFonts w:asciiTheme="majorBidi" w:eastAsia="Calibri" w:hAnsiTheme="majorBidi"/>
          <w:lang w:val="fr-FR"/>
        </w:rPr>
        <w:t xml:space="preserve">dispositions </w:t>
      </w:r>
      <w:r w:rsidRPr="00016AD6">
        <w:rPr>
          <w:rFonts w:asciiTheme="majorBidi" w:eastAsia="Calibri" w:hAnsiTheme="majorBidi"/>
          <w:lang w:val="fr-FR"/>
        </w:rPr>
        <w:t>de cette nature d</w:t>
      </w:r>
      <w:r>
        <w:rPr>
          <w:rFonts w:asciiTheme="majorBidi" w:eastAsia="Calibri" w:hAnsiTheme="majorBidi"/>
          <w:lang w:val="fr-FR"/>
        </w:rPr>
        <w:t xml:space="preserve">evaient </w:t>
      </w:r>
      <w:r w:rsidRPr="00016AD6">
        <w:rPr>
          <w:rFonts w:asciiTheme="majorBidi" w:eastAsia="Calibri" w:hAnsiTheme="majorBidi"/>
          <w:lang w:val="fr-FR"/>
        </w:rPr>
        <w:t xml:space="preserve">respecter les droits </w:t>
      </w:r>
      <w:r>
        <w:rPr>
          <w:rFonts w:asciiTheme="majorBidi" w:eastAsia="Calibri" w:hAnsiTheme="majorBidi"/>
          <w:lang w:val="fr-FR"/>
        </w:rPr>
        <w:t>humains</w:t>
      </w:r>
      <w:r w:rsidRPr="00016AD6">
        <w:rPr>
          <w:rFonts w:asciiTheme="majorBidi" w:eastAsia="Calibri" w:hAnsiTheme="majorBidi"/>
          <w:lang w:val="fr-FR"/>
        </w:rPr>
        <w:t xml:space="preserve"> des p</w:t>
      </w:r>
      <w:r>
        <w:rPr>
          <w:rFonts w:asciiTheme="majorBidi" w:eastAsia="Calibri" w:hAnsiTheme="majorBidi"/>
          <w:lang w:val="fr-FR"/>
        </w:rPr>
        <w:t xml:space="preserve">ersonnes </w:t>
      </w:r>
      <w:r w:rsidRPr="00016AD6">
        <w:rPr>
          <w:rFonts w:asciiTheme="majorBidi" w:eastAsia="Calibri" w:hAnsiTheme="majorBidi"/>
          <w:lang w:val="fr-FR"/>
        </w:rPr>
        <w:t xml:space="preserve">touchées et préserver </w:t>
      </w:r>
      <w:r>
        <w:rPr>
          <w:rFonts w:asciiTheme="majorBidi" w:eastAsia="Calibri" w:hAnsiTheme="majorBidi"/>
          <w:lang w:val="fr-FR"/>
        </w:rPr>
        <w:t xml:space="preserve">la </w:t>
      </w:r>
      <w:r w:rsidRPr="00016AD6">
        <w:rPr>
          <w:rFonts w:asciiTheme="majorBidi" w:eastAsia="Calibri" w:hAnsiTheme="majorBidi"/>
          <w:lang w:val="fr-FR"/>
        </w:rPr>
        <w:t>culture, le patrimoine culturel, l</w:t>
      </w:r>
      <w:r w:rsidR="004C5E26">
        <w:rPr>
          <w:rFonts w:asciiTheme="majorBidi" w:eastAsia="Calibri" w:hAnsiTheme="majorBidi"/>
          <w:lang w:val="fr-FR"/>
        </w:rPr>
        <w:t>’</w:t>
      </w:r>
      <w:r w:rsidRPr="00016AD6">
        <w:rPr>
          <w:rFonts w:asciiTheme="majorBidi" w:eastAsia="Calibri" w:hAnsiTheme="majorBidi"/>
          <w:lang w:val="fr-FR"/>
        </w:rPr>
        <w:t>identité et l</w:t>
      </w:r>
      <w:r>
        <w:rPr>
          <w:rFonts w:asciiTheme="majorBidi" w:eastAsia="Calibri" w:hAnsiTheme="majorBidi"/>
          <w:lang w:val="fr-FR"/>
        </w:rPr>
        <w:t>a</w:t>
      </w:r>
      <w:r w:rsidRPr="00016AD6">
        <w:rPr>
          <w:rFonts w:asciiTheme="majorBidi" w:eastAsia="Calibri" w:hAnsiTheme="majorBidi"/>
          <w:lang w:val="fr-FR"/>
        </w:rPr>
        <w:t xml:space="preserve"> langue</w:t>
      </w:r>
      <w:r>
        <w:rPr>
          <w:rFonts w:asciiTheme="majorBidi" w:eastAsia="Calibri" w:hAnsiTheme="majorBidi"/>
          <w:lang w:val="fr-FR"/>
        </w:rPr>
        <w:t xml:space="preserve"> des populations touchées</w:t>
      </w:r>
      <w:r w:rsidRPr="00016AD6">
        <w:rPr>
          <w:rFonts w:asciiTheme="majorBidi" w:eastAsia="Calibri" w:hAnsiTheme="majorBidi"/>
          <w:lang w:val="fr-FR"/>
        </w:rPr>
        <w:t> ;</w:t>
      </w:r>
    </w:p>
    <w:p w14:paraId="744322E0" w14:textId="62D98322" w:rsidR="00737BD1" w:rsidRPr="00016AD6" w:rsidRDefault="00737BD1" w:rsidP="00737BD1">
      <w:pPr>
        <w:pStyle w:val="Bullet1G"/>
        <w:numPr>
          <w:ilvl w:val="0"/>
          <w:numId w:val="0"/>
        </w:numPr>
        <w:tabs>
          <w:tab w:val="left" w:pos="1701"/>
        </w:tabs>
        <w:ind w:left="1701" w:hanging="170"/>
        <w:rPr>
          <w:rFonts w:asciiTheme="majorBidi" w:eastAsia="Calibri" w:hAnsiTheme="majorBidi"/>
          <w:lang w:val="fr-FR"/>
        </w:rPr>
      </w:pPr>
      <w:r w:rsidRPr="00016AD6">
        <w:rPr>
          <w:rFonts w:eastAsia="Calibri"/>
          <w:lang w:val="fr-FR"/>
        </w:rPr>
        <w:t>•</w:t>
      </w:r>
      <w:r w:rsidRPr="00016AD6">
        <w:rPr>
          <w:rFonts w:eastAsia="Calibri"/>
          <w:lang w:val="fr-FR"/>
        </w:rPr>
        <w:tab/>
      </w:r>
      <w:r w:rsidRPr="00016AD6">
        <w:rPr>
          <w:rFonts w:asciiTheme="majorBidi" w:eastAsia="Calibri" w:hAnsiTheme="majorBidi"/>
          <w:lang w:val="fr-FR"/>
        </w:rPr>
        <w:t>Tou</w:t>
      </w:r>
      <w:r>
        <w:rPr>
          <w:rFonts w:asciiTheme="majorBidi" w:eastAsia="Calibri" w:hAnsiTheme="majorBidi"/>
          <w:lang w:val="fr-FR"/>
        </w:rPr>
        <w:t xml:space="preserve">tes dispositions de </w:t>
      </w:r>
      <w:r w:rsidRPr="00016AD6">
        <w:rPr>
          <w:rFonts w:asciiTheme="majorBidi" w:eastAsia="Calibri" w:hAnsiTheme="majorBidi"/>
          <w:lang w:val="fr-FR"/>
        </w:rPr>
        <w:t>cette nature dev</w:t>
      </w:r>
      <w:r>
        <w:rPr>
          <w:rFonts w:asciiTheme="majorBidi" w:eastAsia="Calibri" w:hAnsiTheme="majorBidi"/>
          <w:lang w:val="fr-FR"/>
        </w:rPr>
        <w:t xml:space="preserve">aient </w:t>
      </w:r>
      <w:r w:rsidRPr="00016AD6">
        <w:rPr>
          <w:rFonts w:asciiTheme="majorBidi" w:eastAsia="Calibri" w:hAnsiTheme="majorBidi"/>
          <w:lang w:val="fr-FR"/>
        </w:rPr>
        <w:t>prendre en considération la nationalité des personnes touchées, le statut des personnes qui ne résid</w:t>
      </w:r>
      <w:r>
        <w:rPr>
          <w:rFonts w:asciiTheme="majorBidi" w:eastAsia="Calibri" w:hAnsiTheme="majorBidi"/>
          <w:lang w:val="fr-FR"/>
        </w:rPr>
        <w:t>ai</w:t>
      </w:r>
      <w:r w:rsidRPr="00016AD6">
        <w:rPr>
          <w:rFonts w:asciiTheme="majorBidi" w:eastAsia="Calibri" w:hAnsiTheme="majorBidi"/>
          <w:lang w:val="fr-FR"/>
        </w:rPr>
        <w:t>ent plus dans l</w:t>
      </w:r>
      <w:r w:rsidR="004C5E26">
        <w:rPr>
          <w:rFonts w:asciiTheme="majorBidi" w:eastAsia="Calibri" w:hAnsiTheme="majorBidi"/>
          <w:lang w:val="fr-FR"/>
        </w:rPr>
        <w:t>’</w:t>
      </w:r>
      <w:r w:rsidRPr="00016AD6">
        <w:rPr>
          <w:rFonts w:asciiTheme="majorBidi" w:eastAsia="Calibri" w:hAnsiTheme="majorBidi"/>
          <w:lang w:val="fr-FR"/>
        </w:rPr>
        <w:t>État touché par l</w:t>
      </w:r>
      <w:r w:rsidR="004C5E26">
        <w:rPr>
          <w:rFonts w:asciiTheme="majorBidi" w:eastAsia="Calibri" w:hAnsiTheme="majorBidi"/>
          <w:lang w:val="fr-FR"/>
        </w:rPr>
        <w:t>’</w:t>
      </w:r>
      <w:r w:rsidRPr="00016AD6">
        <w:rPr>
          <w:rFonts w:asciiTheme="majorBidi" w:eastAsia="Calibri" w:hAnsiTheme="majorBidi"/>
          <w:lang w:val="fr-FR"/>
        </w:rPr>
        <w:t>élévation du niveau de la mer et l</w:t>
      </w:r>
      <w:r w:rsidR="004C5E26">
        <w:rPr>
          <w:rFonts w:asciiTheme="majorBidi" w:eastAsia="Calibri" w:hAnsiTheme="majorBidi"/>
          <w:lang w:val="fr-FR"/>
        </w:rPr>
        <w:t>’</w:t>
      </w:r>
      <w:r w:rsidRPr="00016AD6">
        <w:rPr>
          <w:rFonts w:asciiTheme="majorBidi" w:eastAsia="Calibri" w:hAnsiTheme="majorBidi"/>
          <w:lang w:val="fr-FR"/>
        </w:rPr>
        <w:t>assistance consulaire et la protection diplomatique des populations touchées ;</w:t>
      </w:r>
    </w:p>
    <w:p w14:paraId="4E9DE150" w14:textId="41308F2B" w:rsidR="00737BD1" w:rsidRPr="00016AD6" w:rsidRDefault="00737BD1" w:rsidP="00737BD1">
      <w:pPr>
        <w:pStyle w:val="Bullet1G"/>
        <w:numPr>
          <w:ilvl w:val="0"/>
          <w:numId w:val="0"/>
        </w:numPr>
        <w:tabs>
          <w:tab w:val="left" w:pos="1701"/>
        </w:tabs>
        <w:ind w:left="1701" w:hanging="170"/>
        <w:rPr>
          <w:rFonts w:asciiTheme="majorBidi" w:eastAsia="Calibri" w:hAnsiTheme="majorBidi"/>
          <w:lang w:val="fr-FR"/>
        </w:rPr>
      </w:pPr>
      <w:r w:rsidRPr="00016AD6">
        <w:rPr>
          <w:rFonts w:eastAsia="Calibri"/>
          <w:lang w:val="fr-FR"/>
        </w:rPr>
        <w:t>•</w:t>
      </w:r>
      <w:r w:rsidRPr="00016AD6">
        <w:rPr>
          <w:rFonts w:eastAsia="Calibri"/>
          <w:lang w:val="fr-FR"/>
        </w:rPr>
        <w:tab/>
      </w:r>
      <w:r w:rsidRPr="00016AD6">
        <w:rPr>
          <w:rFonts w:asciiTheme="majorBidi" w:eastAsia="Calibri" w:hAnsiTheme="majorBidi"/>
          <w:lang w:val="fr-FR"/>
        </w:rPr>
        <w:t>Face aux effets de l</w:t>
      </w:r>
      <w:r w:rsidR="004C5E26">
        <w:rPr>
          <w:rFonts w:asciiTheme="majorBidi" w:eastAsia="Calibri" w:hAnsiTheme="majorBidi"/>
          <w:lang w:val="fr-FR"/>
        </w:rPr>
        <w:t>’</w:t>
      </w:r>
      <w:r w:rsidRPr="00016AD6">
        <w:rPr>
          <w:rFonts w:asciiTheme="majorBidi" w:eastAsia="Calibri" w:hAnsiTheme="majorBidi"/>
          <w:lang w:val="fr-FR"/>
        </w:rPr>
        <w:t xml:space="preserve">élévation du niveau de la mer, une coopération internationale </w:t>
      </w:r>
      <w:r>
        <w:rPr>
          <w:rFonts w:asciiTheme="majorBidi" w:eastAsia="Calibri" w:hAnsiTheme="majorBidi"/>
          <w:lang w:val="fr-FR"/>
        </w:rPr>
        <w:t xml:space="preserve">était </w:t>
      </w:r>
      <w:r w:rsidRPr="00016AD6">
        <w:rPr>
          <w:rFonts w:asciiTheme="majorBidi" w:eastAsia="Calibri" w:hAnsiTheme="majorBidi"/>
          <w:lang w:val="fr-FR"/>
        </w:rPr>
        <w:t>requise entre les États touchés et les autres membres de la communauté internationale</w:t>
      </w:r>
      <w:r>
        <w:rPr>
          <w:rFonts w:asciiTheme="majorBidi" w:eastAsia="Calibri" w:hAnsiTheme="majorBidi"/>
          <w:lang w:val="fr-FR"/>
        </w:rPr>
        <w:t> ;</w:t>
      </w:r>
      <w:r w:rsidRPr="00016AD6">
        <w:rPr>
          <w:rFonts w:asciiTheme="majorBidi" w:eastAsia="Calibri" w:hAnsiTheme="majorBidi"/>
          <w:lang w:val="fr-FR"/>
        </w:rPr>
        <w:t xml:space="preserve"> </w:t>
      </w:r>
      <w:r>
        <w:rPr>
          <w:rFonts w:asciiTheme="majorBidi" w:eastAsia="Calibri" w:hAnsiTheme="majorBidi"/>
          <w:lang w:val="fr-FR"/>
        </w:rPr>
        <w:t>c</w:t>
      </w:r>
      <w:r w:rsidRPr="00016AD6">
        <w:rPr>
          <w:rFonts w:asciiTheme="majorBidi" w:eastAsia="Calibri" w:hAnsiTheme="majorBidi"/>
          <w:lang w:val="fr-FR"/>
        </w:rPr>
        <w:t xml:space="preserve">ette coopération </w:t>
      </w:r>
      <w:r>
        <w:rPr>
          <w:rFonts w:asciiTheme="majorBidi" w:eastAsia="Calibri" w:hAnsiTheme="majorBidi"/>
          <w:lang w:val="fr-FR"/>
        </w:rPr>
        <w:t xml:space="preserve">devait </w:t>
      </w:r>
      <w:r w:rsidRPr="00016AD6">
        <w:rPr>
          <w:rFonts w:asciiTheme="majorBidi" w:eastAsia="Calibri" w:hAnsiTheme="majorBidi"/>
          <w:lang w:val="fr-FR"/>
        </w:rPr>
        <w:t>reposer sur l</w:t>
      </w:r>
      <w:r w:rsidR="004C5E26">
        <w:rPr>
          <w:rFonts w:asciiTheme="majorBidi" w:eastAsia="Calibri" w:hAnsiTheme="majorBidi"/>
          <w:lang w:val="fr-FR"/>
        </w:rPr>
        <w:t>’</w:t>
      </w:r>
      <w:r w:rsidRPr="00016AD6">
        <w:rPr>
          <w:rFonts w:asciiTheme="majorBidi" w:eastAsia="Calibri" w:hAnsiTheme="majorBidi"/>
          <w:lang w:val="fr-FR"/>
        </w:rPr>
        <w:t>égalité souveraine des États ainsi que sur des considérations d</w:t>
      </w:r>
      <w:r w:rsidR="004C5E26">
        <w:rPr>
          <w:rFonts w:asciiTheme="majorBidi" w:eastAsia="Calibri" w:hAnsiTheme="majorBidi"/>
          <w:lang w:val="fr-FR"/>
        </w:rPr>
        <w:t>’</w:t>
      </w:r>
      <w:r w:rsidRPr="00016AD6">
        <w:rPr>
          <w:rFonts w:asciiTheme="majorBidi" w:eastAsia="Calibri" w:hAnsiTheme="majorBidi"/>
          <w:lang w:val="fr-FR"/>
        </w:rPr>
        <w:t xml:space="preserve">équité et de justice ; </w:t>
      </w:r>
    </w:p>
    <w:p w14:paraId="19D9904F" w14:textId="146B5137" w:rsidR="00737BD1" w:rsidRPr="00016AD6" w:rsidRDefault="00737BD1" w:rsidP="00737BD1">
      <w:pPr>
        <w:pStyle w:val="Bullet1G"/>
        <w:numPr>
          <w:ilvl w:val="0"/>
          <w:numId w:val="0"/>
        </w:numPr>
        <w:tabs>
          <w:tab w:val="left" w:pos="1701"/>
        </w:tabs>
        <w:ind w:left="1701" w:hanging="170"/>
        <w:rPr>
          <w:rFonts w:asciiTheme="majorBidi" w:eastAsia="Calibri" w:hAnsiTheme="majorBidi"/>
          <w:lang w:val="fr-FR"/>
        </w:rPr>
      </w:pPr>
      <w:r w:rsidRPr="00016AD6">
        <w:rPr>
          <w:rFonts w:eastAsia="Calibri"/>
          <w:lang w:val="fr-FR"/>
        </w:rPr>
        <w:lastRenderedPageBreak/>
        <w:t>•</w:t>
      </w:r>
      <w:r w:rsidRPr="00016AD6">
        <w:rPr>
          <w:rFonts w:eastAsia="Calibri"/>
          <w:lang w:val="fr-FR"/>
        </w:rPr>
        <w:tab/>
      </w:r>
      <w:r w:rsidRPr="00016AD6">
        <w:rPr>
          <w:rFonts w:asciiTheme="majorBidi" w:eastAsia="Calibri" w:hAnsiTheme="majorBidi"/>
          <w:lang w:val="fr-FR"/>
        </w:rPr>
        <w:t xml:space="preserve">Les accords et modalités adoptés par les États </w:t>
      </w:r>
      <w:r>
        <w:rPr>
          <w:rFonts w:asciiTheme="majorBidi" w:eastAsia="Calibri" w:hAnsiTheme="majorBidi"/>
          <w:lang w:val="fr-FR"/>
        </w:rPr>
        <w:t xml:space="preserve">devaient </w:t>
      </w:r>
      <w:r w:rsidRPr="00016AD6">
        <w:rPr>
          <w:rFonts w:asciiTheme="majorBidi" w:eastAsia="Calibri" w:hAnsiTheme="majorBidi"/>
          <w:lang w:val="fr-FR"/>
        </w:rPr>
        <w:t>tenir compte de l</w:t>
      </w:r>
      <w:r w:rsidR="004C5E26">
        <w:rPr>
          <w:rFonts w:asciiTheme="majorBidi" w:eastAsia="Calibri" w:hAnsiTheme="majorBidi"/>
          <w:lang w:val="fr-FR"/>
        </w:rPr>
        <w:t>’</w:t>
      </w:r>
      <w:r w:rsidRPr="00016AD6">
        <w:rPr>
          <w:rFonts w:asciiTheme="majorBidi" w:eastAsia="Calibri" w:hAnsiTheme="majorBidi"/>
          <w:lang w:val="fr-FR"/>
        </w:rPr>
        <w:t>importance de la stabilité, la sécurité, la certitude et la prévisibilité juridiques dans les relations internationales et respecter la dignité humaine des personnes directement touchées par les effets de l</w:t>
      </w:r>
      <w:r w:rsidR="004C5E26">
        <w:rPr>
          <w:rFonts w:asciiTheme="majorBidi" w:eastAsia="Calibri" w:hAnsiTheme="majorBidi"/>
          <w:lang w:val="fr-FR"/>
        </w:rPr>
        <w:t>’</w:t>
      </w:r>
      <w:r w:rsidRPr="00016AD6">
        <w:rPr>
          <w:rFonts w:asciiTheme="majorBidi" w:eastAsia="Calibri" w:hAnsiTheme="majorBidi"/>
          <w:lang w:val="fr-FR"/>
        </w:rPr>
        <w:t>élévation du niveau de la mer.</w:t>
      </w:r>
    </w:p>
    <w:p w14:paraId="4A81DCCC" w14:textId="1D16A479" w:rsidR="00737BD1" w:rsidRPr="00016AD6" w:rsidRDefault="00737BD1" w:rsidP="00737BD1">
      <w:pPr>
        <w:pStyle w:val="SingleTxtG"/>
        <w:rPr>
          <w:lang w:val="fr-FR"/>
        </w:rPr>
      </w:pPr>
      <w:r>
        <w:rPr>
          <w:lang w:val="fr-FR"/>
        </w:rPr>
        <w:t>393.</w:t>
      </w:r>
      <w:r>
        <w:rPr>
          <w:lang w:val="fr-FR"/>
        </w:rPr>
        <w:tab/>
      </w:r>
      <w:r w:rsidRPr="00016AD6">
        <w:rPr>
          <w:lang w:val="fr-FR"/>
        </w:rPr>
        <w:t>En ce qui concerne le droit à l</w:t>
      </w:r>
      <w:r w:rsidR="004C5E26">
        <w:rPr>
          <w:lang w:val="fr-FR"/>
        </w:rPr>
        <w:t>’</w:t>
      </w:r>
      <w:proofErr w:type="spellStart"/>
      <w:r w:rsidRPr="00016AD6">
        <w:rPr>
          <w:lang w:val="fr-FR"/>
        </w:rPr>
        <w:t>autodétermination</w:t>
      </w:r>
      <w:proofErr w:type="spellEnd"/>
      <w:r w:rsidRPr="00016AD6">
        <w:rPr>
          <w:lang w:val="fr-FR"/>
        </w:rPr>
        <w:t xml:space="preserve"> des peuples autochtones</w:t>
      </w:r>
      <w:r>
        <w:rPr>
          <w:lang w:val="fr-FR"/>
        </w:rPr>
        <w:t xml:space="preserve"> en particulier</w:t>
      </w:r>
      <w:r w:rsidRPr="00016AD6">
        <w:rPr>
          <w:lang w:val="fr-FR"/>
        </w:rPr>
        <w:t xml:space="preserve">, </w:t>
      </w:r>
      <w:r>
        <w:rPr>
          <w:lang w:val="fr-FR"/>
        </w:rPr>
        <w:t xml:space="preserve">on </w:t>
      </w:r>
      <w:r w:rsidRPr="00016AD6">
        <w:rPr>
          <w:lang w:val="fr-FR"/>
        </w:rPr>
        <w:t>a invoqué l</w:t>
      </w:r>
      <w:r w:rsidR="004C5E26">
        <w:rPr>
          <w:lang w:val="fr-FR"/>
        </w:rPr>
        <w:t>’</w:t>
      </w:r>
      <w:r w:rsidRPr="00016AD6">
        <w:rPr>
          <w:lang w:val="fr-FR"/>
        </w:rPr>
        <w:t>article 4 de la Déclaration des Nations Unies sur les droits des peuples autochtones</w:t>
      </w:r>
      <w:r w:rsidRPr="00E9227E">
        <w:rPr>
          <w:rStyle w:val="Appelnotedebasdep"/>
        </w:rPr>
        <w:footnoteReference w:id="267"/>
      </w:r>
      <w:r>
        <w:rPr>
          <w:lang w:val="fr-FR"/>
        </w:rPr>
        <w:t>,</w:t>
      </w:r>
      <w:r w:rsidRPr="002657E6">
        <w:rPr>
          <w:lang w:val="fr-FR"/>
        </w:rPr>
        <w:t xml:space="preserve"> </w:t>
      </w:r>
      <w:r w:rsidRPr="00016AD6">
        <w:rPr>
          <w:lang w:val="fr-FR"/>
        </w:rPr>
        <w:t>qui mentionn</w:t>
      </w:r>
      <w:r>
        <w:rPr>
          <w:lang w:val="fr-FR"/>
        </w:rPr>
        <w:t>ait</w:t>
      </w:r>
      <w:r w:rsidRPr="00016AD6">
        <w:rPr>
          <w:lang w:val="fr-FR"/>
        </w:rPr>
        <w:t xml:space="preserve"> le droit de ces peuples de s</w:t>
      </w:r>
      <w:r w:rsidR="004C5E26">
        <w:rPr>
          <w:lang w:val="fr-FR"/>
        </w:rPr>
        <w:t>’</w:t>
      </w:r>
      <w:r w:rsidRPr="00016AD6">
        <w:rPr>
          <w:lang w:val="fr-FR"/>
        </w:rPr>
        <w:t>administrer eux-mêmes et d</w:t>
      </w:r>
      <w:r w:rsidR="004C5E26">
        <w:rPr>
          <w:lang w:val="fr-FR"/>
        </w:rPr>
        <w:t>’</w:t>
      </w:r>
      <w:r w:rsidRPr="00016AD6">
        <w:rPr>
          <w:lang w:val="fr-FR"/>
        </w:rPr>
        <w:t>être autonomes en tant qu</w:t>
      </w:r>
      <w:r w:rsidR="004C5E26">
        <w:rPr>
          <w:lang w:val="fr-FR"/>
        </w:rPr>
        <w:t>’</w:t>
      </w:r>
      <w:r w:rsidRPr="00016AD6">
        <w:rPr>
          <w:lang w:val="fr-FR"/>
        </w:rPr>
        <w:t xml:space="preserve">élément </w:t>
      </w:r>
      <w:r>
        <w:rPr>
          <w:lang w:val="fr-FR"/>
        </w:rPr>
        <w:t xml:space="preserve">central </w:t>
      </w:r>
      <w:r w:rsidRPr="00016AD6">
        <w:rPr>
          <w:lang w:val="fr-FR"/>
        </w:rPr>
        <w:t>de l</w:t>
      </w:r>
      <w:r w:rsidR="004C5E26">
        <w:rPr>
          <w:lang w:val="fr-FR"/>
        </w:rPr>
        <w:t>’</w:t>
      </w:r>
      <w:proofErr w:type="spellStart"/>
      <w:r w:rsidRPr="00016AD6">
        <w:rPr>
          <w:lang w:val="fr-FR"/>
        </w:rPr>
        <w:t>autodétermination</w:t>
      </w:r>
      <w:proofErr w:type="spellEnd"/>
      <w:r w:rsidRPr="00016AD6">
        <w:rPr>
          <w:lang w:val="fr-FR"/>
        </w:rPr>
        <w:t>. La question se pos</w:t>
      </w:r>
      <w:r>
        <w:rPr>
          <w:lang w:val="fr-FR"/>
        </w:rPr>
        <w:t xml:space="preserve">ait donc </w:t>
      </w:r>
      <w:r w:rsidRPr="00016AD6">
        <w:rPr>
          <w:lang w:val="fr-FR"/>
        </w:rPr>
        <w:t>de savoir comment garantir cette autonomie face aux effets dommageables de l</w:t>
      </w:r>
      <w:r w:rsidR="004C5E26">
        <w:rPr>
          <w:lang w:val="fr-FR"/>
        </w:rPr>
        <w:t>’</w:t>
      </w:r>
      <w:r w:rsidRPr="00016AD6">
        <w:rPr>
          <w:lang w:val="fr-FR"/>
        </w:rPr>
        <w:t xml:space="preserve">élévation du niveau de la mer et comment </w:t>
      </w:r>
      <w:r>
        <w:rPr>
          <w:lang w:val="fr-FR"/>
        </w:rPr>
        <w:t xml:space="preserve">transférer </w:t>
      </w:r>
      <w:r w:rsidRPr="00016AD6">
        <w:rPr>
          <w:lang w:val="fr-FR"/>
        </w:rPr>
        <w:t xml:space="preserve">ces droits </w:t>
      </w:r>
      <w:r>
        <w:rPr>
          <w:lang w:val="fr-FR"/>
        </w:rPr>
        <w:t xml:space="preserve">vers les </w:t>
      </w:r>
      <w:r w:rsidRPr="00016AD6">
        <w:rPr>
          <w:lang w:val="fr-FR"/>
        </w:rPr>
        <w:t xml:space="preserve">nouveaux États </w:t>
      </w:r>
      <w:r>
        <w:rPr>
          <w:lang w:val="fr-FR"/>
        </w:rPr>
        <w:t xml:space="preserve">dans lesquels </w:t>
      </w:r>
      <w:r w:rsidRPr="00016AD6">
        <w:rPr>
          <w:lang w:val="fr-FR"/>
        </w:rPr>
        <w:t xml:space="preserve">les personnes touchées </w:t>
      </w:r>
      <w:r>
        <w:rPr>
          <w:lang w:val="fr-FR"/>
        </w:rPr>
        <w:t xml:space="preserve">pouvaient </w:t>
      </w:r>
      <w:r w:rsidRPr="00016AD6">
        <w:rPr>
          <w:lang w:val="fr-FR"/>
        </w:rPr>
        <w:t>se trouver. De plus, on a rappelé que le droit à l</w:t>
      </w:r>
      <w:r w:rsidR="004C5E26">
        <w:rPr>
          <w:lang w:val="fr-FR"/>
        </w:rPr>
        <w:t>’</w:t>
      </w:r>
      <w:proofErr w:type="spellStart"/>
      <w:r w:rsidRPr="00016AD6">
        <w:rPr>
          <w:lang w:val="fr-FR"/>
        </w:rPr>
        <w:t>autodétermination</w:t>
      </w:r>
      <w:proofErr w:type="spellEnd"/>
      <w:r w:rsidRPr="00016AD6">
        <w:rPr>
          <w:lang w:val="fr-FR"/>
        </w:rPr>
        <w:t xml:space="preserve"> avait été principalement associé à la décolonisation et que son applicabilité devait être liée à l</w:t>
      </w:r>
      <w:r w:rsidR="004C5E26">
        <w:rPr>
          <w:lang w:val="fr-FR"/>
        </w:rPr>
        <w:t>’</w:t>
      </w:r>
      <w:r w:rsidRPr="00016AD6">
        <w:rPr>
          <w:lang w:val="fr-FR"/>
        </w:rPr>
        <w:t>application d</w:t>
      </w:r>
      <w:r w:rsidR="004C5E26">
        <w:rPr>
          <w:lang w:val="fr-FR"/>
        </w:rPr>
        <w:t>’</w:t>
      </w:r>
      <w:r w:rsidRPr="00016AD6">
        <w:rPr>
          <w:lang w:val="fr-FR"/>
        </w:rPr>
        <w:t xml:space="preserve">autres principes du droit international, comme </w:t>
      </w:r>
      <w:r>
        <w:rPr>
          <w:lang w:val="fr-FR"/>
        </w:rPr>
        <w:t>ceux de l</w:t>
      </w:r>
      <w:r w:rsidR="004C5E26">
        <w:rPr>
          <w:lang w:val="fr-FR"/>
        </w:rPr>
        <w:t>’</w:t>
      </w:r>
      <w:r>
        <w:rPr>
          <w:lang w:val="fr-FR"/>
        </w:rPr>
        <w:t xml:space="preserve">intégrité territoriale et </w:t>
      </w:r>
      <w:r w:rsidRPr="00016AD6">
        <w:rPr>
          <w:lang w:val="fr-FR"/>
        </w:rPr>
        <w:t xml:space="preserve">de la non-ingérence dans les affaires intérieures des autres États, puisque </w:t>
      </w:r>
      <w:r>
        <w:rPr>
          <w:lang w:val="fr-FR"/>
        </w:rPr>
        <w:t>l</w:t>
      </w:r>
      <w:r w:rsidR="004C5E26">
        <w:rPr>
          <w:lang w:val="fr-FR"/>
        </w:rPr>
        <w:t>’</w:t>
      </w:r>
      <w:r w:rsidRPr="00016AD6">
        <w:rPr>
          <w:lang w:val="fr-FR"/>
        </w:rPr>
        <w:t xml:space="preserve">application </w:t>
      </w:r>
      <w:r>
        <w:rPr>
          <w:lang w:val="fr-FR"/>
        </w:rPr>
        <w:t xml:space="preserve">du </w:t>
      </w:r>
      <w:r w:rsidRPr="00016AD6">
        <w:rPr>
          <w:lang w:val="fr-FR"/>
        </w:rPr>
        <w:t>droit à l</w:t>
      </w:r>
      <w:r w:rsidR="004C5E26">
        <w:rPr>
          <w:lang w:val="fr-FR"/>
        </w:rPr>
        <w:t>’</w:t>
      </w:r>
      <w:proofErr w:type="spellStart"/>
      <w:r w:rsidRPr="00016AD6">
        <w:rPr>
          <w:lang w:val="fr-FR"/>
        </w:rPr>
        <w:t>autodétermination</w:t>
      </w:r>
      <w:proofErr w:type="spellEnd"/>
      <w:r w:rsidRPr="00016AD6">
        <w:rPr>
          <w:lang w:val="fr-FR"/>
        </w:rPr>
        <w:t xml:space="preserve"> hors du contexte de la décolonisation avait en pratique suscité des différends.</w:t>
      </w:r>
    </w:p>
    <w:p w14:paraId="73005D7E" w14:textId="45B7C050"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w:t>
      </w:r>
      <w:r w:rsidRPr="00FF1CA2">
        <w:rPr>
          <w:rFonts w:asciiTheme="majorBidi" w:eastAsia="Calibri" w:hAnsiTheme="majorBidi"/>
          <w:lang w:val="fr-FR"/>
        </w:rPr>
        <w:t>4.</w:t>
      </w:r>
      <w:r>
        <w:rPr>
          <w:rFonts w:asciiTheme="majorBidi" w:eastAsia="Calibri" w:hAnsiTheme="majorBidi"/>
          <w:lang w:val="fr-FR"/>
        </w:rPr>
        <w:tab/>
      </w:r>
      <w:r w:rsidRPr="00016AD6">
        <w:rPr>
          <w:rFonts w:asciiTheme="majorBidi" w:eastAsia="Calibri" w:hAnsiTheme="majorBidi"/>
          <w:lang w:val="fr-FR"/>
        </w:rPr>
        <w:t>En ce qui concerne la question de la nationalité, on a suggéré que</w:t>
      </w:r>
      <w:r>
        <w:rPr>
          <w:rFonts w:asciiTheme="majorBidi" w:eastAsia="Calibri" w:hAnsiTheme="majorBidi"/>
          <w:lang w:val="fr-FR"/>
        </w:rPr>
        <w:t>, par contraste avec un éventuel examen des expériences de citoyenneté commune comme dans l</w:t>
      </w:r>
      <w:r w:rsidR="004C5E26">
        <w:rPr>
          <w:rFonts w:asciiTheme="majorBidi" w:eastAsia="Calibri" w:hAnsiTheme="majorBidi"/>
          <w:lang w:val="fr-FR"/>
        </w:rPr>
        <w:t>’</w:t>
      </w:r>
      <w:r>
        <w:rPr>
          <w:rFonts w:asciiTheme="majorBidi" w:eastAsia="Calibri" w:hAnsiTheme="majorBidi"/>
          <w:lang w:val="fr-FR"/>
        </w:rPr>
        <w:t>Union européenne,</w:t>
      </w:r>
      <w:r w:rsidRPr="00016AD6">
        <w:rPr>
          <w:rFonts w:asciiTheme="majorBidi" w:eastAsia="Calibri" w:hAnsiTheme="majorBidi"/>
          <w:lang w:val="fr-FR"/>
        </w:rPr>
        <w:t xml:space="preserve"> la Commission </w:t>
      </w:r>
      <w:r>
        <w:rPr>
          <w:rFonts w:asciiTheme="majorBidi" w:eastAsia="Calibri" w:hAnsiTheme="majorBidi"/>
          <w:lang w:val="fr-FR"/>
        </w:rPr>
        <w:t>prenne en</w:t>
      </w:r>
      <w:r w:rsidRPr="00016AD6">
        <w:rPr>
          <w:rFonts w:asciiTheme="majorBidi" w:eastAsia="Calibri" w:hAnsiTheme="majorBidi"/>
          <w:lang w:val="fr-FR"/>
        </w:rPr>
        <w:t xml:space="preserve"> compte </w:t>
      </w:r>
      <w:r>
        <w:rPr>
          <w:rFonts w:asciiTheme="majorBidi" w:eastAsia="Calibri" w:hAnsiTheme="majorBidi"/>
          <w:lang w:val="fr-FR"/>
        </w:rPr>
        <w:t>l</w:t>
      </w:r>
      <w:r w:rsidRPr="00016AD6">
        <w:rPr>
          <w:rFonts w:asciiTheme="majorBidi" w:eastAsia="Calibri" w:hAnsiTheme="majorBidi"/>
          <w:lang w:val="fr-FR"/>
        </w:rPr>
        <w:t xml:space="preserve">es travaux antérieurs </w:t>
      </w:r>
      <w:r>
        <w:rPr>
          <w:rFonts w:asciiTheme="majorBidi" w:eastAsia="Calibri" w:hAnsiTheme="majorBidi"/>
          <w:lang w:val="fr-FR"/>
        </w:rPr>
        <w:t>qu</w:t>
      </w:r>
      <w:r w:rsidR="004C5E26">
        <w:rPr>
          <w:rFonts w:asciiTheme="majorBidi" w:eastAsia="Calibri" w:hAnsiTheme="majorBidi"/>
          <w:lang w:val="fr-FR"/>
        </w:rPr>
        <w:t>’</w:t>
      </w:r>
      <w:r>
        <w:rPr>
          <w:rFonts w:asciiTheme="majorBidi" w:eastAsia="Calibri" w:hAnsiTheme="majorBidi"/>
          <w:lang w:val="fr-FR"/>
        </w:rPr>
        <w:t xml:space="preserve">elle a menés </w:t>
      </w:r>
      <w:r w:rsidRPr="00016AD6">
        <w:rPr>
          <w:rFonts w:asciiTheme="majorBidi" w:eastAsia="Calibri" w:hAnsiTheme="majorBidi"/>
          <w:lang w:val="fr-FR"/>
        </w:rPr>
        <w:t>dans le contexte des articles sur la nationalité des personnes physiques en relation avec la succession d</w:t>
      </w:r>
      <w:r w:rsidR="004C5E26">
        <w:rPr>
          <w:rFonts w:asciiTheme="majorBidi" w:eastAsia="Calibri" w:hAnsiTheme="majorBidi"/>
          <w:lang w:val="fr-FR"/>
        </w:rPr>
        <w:t>’</w:t>
      </w:r>
      <w:r w:rsidRPr="00016AD6">
        <w:rPr>
          <w:rFonts w:asciiTheme="majorBidi" w:eastAsia="Calibri" w:hAnsiTheme="majorBidi"/>
          <w:lang w:val="fr-FR"/>
        </w:rPr>
        <w:t>États</w:t>
      </w:r>
      <w:r w:rsidRPr="00E9227E">
        <w:rPr>
          <w:rStyle w:val="Appelnotedebasdep"/>
        </w:rPr>
        <w:footnoteReference w:id="268"/>
      </w:r>
      <w:r w:rsidRPr="00016AD6">
        <w:rPr>
          <w:rFonts w:asciiTheme="majorBidi" w:eastAsia="Calibri" w:hAnsiTheme="majorBidi"/>
          <w:lang w:val="fr-FR"/>
        </w:rPr>
        <w:t>. On a rappelé qu</w:t>
      </w:r>
      <w:r w:rsidR="004C5E26">
        <w:rPr>
          <w:rFonts w:asciiTheme="majorBidi" w:eastAsia="Calibri" w:hAnsiTheme="majorBidi"/>
          <w:lang w:val="fr-FR"/>
        </w:rPr>
        <w:t>’</w:t>
      </w:r>
      <w:r w:rsidRPr="00016AD6">
        <w:rPr>
          <w:rFonts w:asciiTheme="majorBidi" w:eastAsia="Calibri" w:hAnsiTheme="majorBidi"/>
          <w:lang w:val="fr-FR"/>
        </w:rPr>
        <w:t>aux termes de ces articles</w:t>
      </w:r>
      <w:r>
        <w:rPr>
          <w:rFonts w:asciiTheme="majorBidi" w:eastAsia="Calibri" w:hAnsiTheme="majorBidi"/>
          <w:lang w:val="fr-FR"/>
        </w:rPr>
        <w:t>,</w:t>
      </w:r>
      <w:r w:rsidRPr="00016AD6">
        <w:rPr>
          <w:rFonts w:asciiTheme="majorBidi" w:eastAsia="Calibri" w:hAnsiTheme="majorBidi"/>
          <w:lang w:val="fr-FR"/>
        </w:rPr>
        <w:t xml:space="preserve"> </w:t>
      </w:r>
      <w:r>
        <w:rPr>
          <w:rFonts w:asciiTheme="majorBidi" w:eastAsia="Calibri" w:hAnsiTheme="majorBidi"/>
          <w:lang w:val="fr-FR"/>
        </w:rPr>
        <w:t>certes applicables dans un contexte différent de celui de l</w:t>
      </w:r>
      <w:r w:rsidR="004C5E26">
        <w:rPr>
          <w:rFonts w:asciiTheme="majorBidi" w:eastAsia="Calibri" w:hAnsiTheme="majorBidi"/>
          <w:lang w:val="fr-FR"/>
        </w:rPr>
        <w:t>’</w:t>
      </w:r>
      <w:r>
        <w:rPr>
          <w:rFonts w:asciiTheme="majorBidi" w:eastAsia="Calibri" w:hAnsiTheme="majorBidi"/>
          <w:lang w:val="fr-FR"/>
        </w:rPr>
        <w:t xml:space="preserve">élévation du niveau de la mer où </w:t>
      </w:r>
      <w:r w:rsidRPr="001D4D4F">
        <w:rPr>
          <w:rFonts w:asciiTheme="majorBidi" w:hAnsiTheme="majorBidi"/>
          <w:lang w:val="fr-FR"/>
        </w:rPr>
        <w:t>il existait une forte présomption de continuité de la condition étatique</w:t>
      </w:r>
      <w:r>
        <w:rPr>
          <w:rFonts w:asciiTheme="majorBidi" w:hAnsiTheme="majorBidi"/>
          <w:lang w:val="fr-FR"/>
        </w:rPr>
        <w:t xml:space="preserve">, </w:t>
      </w:r>
      <w:r w:rsidRPr="00016AD6">
        <w:rPr>
          <w:rFonts w:asciiTheme="majorBidi" w:eastAsia="Calibri" w:hAnsiTheme="majorBidi"/>
          <w:lang w:val="fr-FR"/>
        </w:rPr>
        <w:t>il était impératif d</w:t>
      </w:r>
      <w:r w:rsidR="004C5E26">
        <w:rPr>
          <w:rFonts w:asciiTheme="majorBidi" w:eastAsia="Calibri" w:hAnsiTheme="majorBidi"/>
          <w:lang w:val="fr-FR"/>
        </w:rPr>
        <w:t>’</w:t>
      </w:r>
      <w:r w:rsidRPr="00016AD6">
        <w:rPr>
          <w:rFonts w:asciiTheme="majorBidi" w:eastAsia="Calibri" w:hAnsiTheme="majorBidi"/>
          <w:lang w:val="fr-FR"/>
        </w:rPr>
        <w:t>éviter l</w:t>
      </w:r>
      <w:r w:rsidR="004C5E26">
        <w:rPr>
          <w:rFonts w:asciiTheme="majorBidi" w:eastAsia="Calibri" w:hAnsiTheme="majorBidi"/>
          <w:lang w:val="fr-FR"/>
        </w:rPr>
        <w:t>’</w:t>
      </w:r>
      <w:r w:rsidRPr="00016AD6">
        <w:rPr>
          <w:rFonts w:asciiTheme="majorBidi" w:eastAsia="Calibri" w:hAnsiTheme="majorBidi"/>
          <w:lang w:val="fr-FR"/>
        </w:rPr>
        <w:t>apatridie, et que le</w:t>
      </w:r>
      <w:r>
        <w:rPr>
          <w:rFonts w:asciiTheme="majorBidi" w:eastAsia="Calibri" w:hAnsiTheme="majorBidi"/>
          <w:lang w:val="fr-FR"/>
        </w:rPr>
        <w:t>s</w:t>
      </w:r>
      <w:r w:rsidRPr="00016AD6">
        <w:rPr>
          <w:rFonts w:asciiTheme="majorBidi" w:eastAsia="Calibri" w:hAnsiTheme="majorBidi"/>
          <w:lang w:val="fr-FR"/>
        </w:rPr>
        <w:t xml:space="preserve"> commentaire</w:t>
      </w:r>
      <w:r>
        <w:rPr>
          <w:rFonts w:asciiTheme="majorBidi" w:eastAsia="Calibri" w:hAnsiTheme="majorBidi"/>
          <w:lang w:val="fr-FR"/>
        </w:rPr>
        <w:t>s</w:t>
      </w:r>
      <w:r w:rsidRPr="00016AD6">
        <w:rPr>
          <w:rFonts w:asciiTheme="majorBidi" w:eastAsia="Calibri" w:hAnsiTheme="majorBidi"/>
          <w:lang w:val="fr-FR"/>
        </w:rPr>
        <w:t xml:space="preserve"> y </w:t>
      </w:r>
      <w:r>
        <w:rPr>
          <w:rFonts w:asciiTheme="majorBidi" w:eastAsia="Calibri" w:hAnsiTheme="majorBidi"/>
          <w:lang w:val="fr-FR"/>
        </w:rPr>
        <w:t xml:space="preserve">relatifs </w:t>
      </w:r>
      <w:r w:rsidRPr="00016AD6">
        <w:rPr>
          <w:rFonts w:asciiTheme="majorBidi" w:eastAsia="Calibri" w:hAnsiTheme="majorBidi"/>
          <w:lang w:val="fr-FR"/>
        </w:rPr>
        <w:t>proposai</w:t>
      </w:r>
      <w:r>
        <w:rPr>
          <w:rFonts w:asciiTheme="majorBidi" w:eastAsia="Calibri" w:hAnsiTheme="majorBidi"/>
          <w:lang w:val="fr-FR"/>
        </w:rPr>
        <w:t>en</w:t>
      </w:r>
      <w:r w:rsidRPr="00016AD6">
        <w:rPr>
          <w:rFonts w:asciiTheme="majorBidi" w:eastAsia="Calibri" w:hAnsiTheme="majorBidi"/>
          <w:lang w:val="fr-FR"/>
        </w:rPr>
        <w:t>t d</w:t>
      </w:r>
      <w:r w:rsidR="004C5E26">
        <w:rPr>
          <w:rFonts w:asciiTheme="majorBidi" w:eastAsia="Calibri" w:hAnsiTheme="majorBidi"/>
          <w:lang w:val="fr-FR"/>
        </w:rPr>
        <w:t>’</w:t>
      </w:r>
      <w:r w:rsidRPr="00016AD6">
        <w:rPr>
          <w:rFonts w:asciiTheme="majorBidi" w:eastAsia="Calibri" w:hAnsiTheme="majorBidi"/>
          <w:lang w:val="fr-FR"/>
        </w:rPr>
        <w:t>intéressantes solutions pratiques</w:t>
      </w:r>
      <w:r>
        <w:rPr>
          <w:rFonts w:asciiTheme="majorBidi" w:eastAsia="Calibri" w:hAnsiTheme="majorBidi"/>
          <w:lang w:val="fr-FR"/>
        </w:rPr>
        <w:t>,</w:t>
      </w:r>
      <w:r w:rsidRPr="00016AD6">
        <w:rPr>
          <w:rFonts w:asciiTheme="majorBidi" w:eastAsia="Calibri" w:hAnsiTheme="majorBidi"/>
          <w:lang w:val="fr-FR"/>
        </w:rPr>
        <w:t xml:space="preserve"> y compris le droit de choisir la nationalité de l</w:t>
      </w:r>
      <w:r w:rsidR="004C5E26">
        <w:rPr>
          <w:rFonts w:asciiTheme="majorBidi" w:eastAsia="Calibri" w:hAnsiTheme="majorBidi"/>
          <w:lang w:val="fr-FR"/>
        </w:rPr>
        <w:t>’</w:t>
      </w:r>
      <w:r w:rsidRPr="00016AD6">
        <w:rPr>
          <w:rFonts w:asciiTheme="majorBidi" w:eastAsia="Calibri" w:hAnsiTheme="majorBidi"/>
          <w:lang w:val="fr-FR"/>
        </w:rPr>
        <w:t xml:space="preserve">État prédécesseur </w:t>
      </w:r>
      <w:r>
        <w:rPr>
          <w:rFonts w:asciiTheme="majorBidi" w:eastAsia="Calibri" w:hAnsiTheme="majorBidi"/>
          <w:lang w:val="fr-FR"/>
        </w:rPr>
        <w:t>ou</w:t>
      </w:r>
      <w:r w:rsidRPr="00016AD6">
        <w:rPr>
          <w:rFonts w:asciiTheme="majorBidi" w:eastAsia="Calibri" w:hAnsiTheme="majorBidi"/>
          <w:lang w:val="fr-FR"/>
        </w:rPr>
        <w:t xml:space="preserve"> celle de l</w:t>
      </w:r>
      <w:r w:rsidR="004C5E26">
        <w:rPr>
          <w:rFonts w:asciiTheme="majorBidi" w:eastAsia="Calibri" w:hAnsiTheme="majorBidi"/>
          <w:lang w:val="fr-FR"/>
        </w:rPr>
        <w:t>’</w:t>
      </w:r>
      <w:r w:rsidRPr="00016AD6">
        <w:rPr>
          <w:rFonts w:asciiTheme="majorBidi" w:eastAsia="Calibri" w:hAnsiTheme="majorBidi"/>
          <w:lang w:val="fr-FR"/>
        </w:rPr>
        <w:t>État successeur ainsi que la conclusion d</w:t>
      </w:r>
      <w:r w:rsidR="004C5E26">
        <w:rPr>
          <w:rFonts w:asciiTheme="majorBidi" w:eastAsia="Calibri" w:hAnsiTheme="majorBidi"/>
          <w:lang w:val="fr-FR"/>
        </w:rPr>
        <w:t>’</w:t>
      </w:r>
      <w:r w:rsidRPr="00016AD6">
        <w:rPr>
          <w:rFonts w:asciiTheme="majorBidi" w:eastAsia="Calibri" w:hAnsiTheme="majorBidi"/>
          <w:lang w:val="fr-FR"/>
        </w:rPr>
        <w:t>accords internationaux pour régler la question de la nationalité en vue de prévenir l</w:t>
      </w:r>
      <w:r w:rsidR="004C5E26">
        <w:rPr>
          <w:rFonts w:asciiTheme="majorBidi" w:eastAsia="Calibri" w:hAnsiTheme="majorBidi"/>
          <w:lang w:val="fr-FR"/>
        </w:rPr>
        <w:t>’</w:t>
      </w:r>
      <w:r w:rsidRPr="00016AD6">
        <w:rPr>
          <w:rFonts w:asciiTheme="majorBidi" w:eastAsia="Calibri" w:hAnsiTheme="majorBidi"/>
          <w:lang w:val="fr-FR"/>
        </w:rPr>
        <w:t>apatridie</w:t>
      </w:r>
      <w:r w:rsidRPr="00EE7077">
        <w:rPr>
          <w:rFonts w:asciiTheme="majorBidi" w:eastAsia="Calibri" w:hAnsiTheme="majorBidi"/>
          <w:lang w:val="fr-FR"/>
        </w:rPr>
        <w:t xml:space="preserve">. De plus, </w:t>
      </w:r>
      <w:r>
        <w:rPr>
          <w:rFonts w:asciiTheme="majorBidi" w:eastAsia="Calibri" w:hAnsiTheme="majorBidi"/>
          <w:lang w:val="fr-FR"/>
        </w:rPr>
        <w:t>l</w:t>
      </w:r>
      <w:r w:rsidR="004C5E26">
        <w:rPr>
          <w:rFonts w:asciiTheme="majorBidi" w:eastAsia="Calibri" w:hAnsiTheme="majorBidi"/>
          <w:lang w:val="fr-FR"/>
        </w:rPr>
        <w:t>’</w:t>
      </w:r>
      <w:r>
        <w:rPr>
          <w:rFonts w:asciiTheme="majorBidi" w:eastAsia="Calibri" w:hAnsiTheme="majorBidi"/>
          <w:lang w:val="fr-FR"/>
        </w:rPr>
        <w:t xml:space="preserve">attention a été appelée en particulier sur </w:t>
      </w:r>
      <w:r w:rsidRPr="00EE7077">
        <w:rPr>
          <w:rFonts w:asciiTheme="majorBidi" w:eastAsia="Calibri" w:hAnsiTheme="majorBidi"/>
          <w:lang w:val="fr-FR"/>
        </w:rPr>
        <w:t>l</w:t>
      </w:r>
      <w:r w:rsidR="004C5E26">
        <w:rPr>
          <w:rFonts w:asciiTheme="majorBidi" w:eastAsia="Calibri" w:hAnsiTheme="majorBidi"/>
          <w:lang w:val="fr-FR"/>
        </w:rPr>
        <w:t>’</w:t>
      </w:r>
      <w:r w:rsidRPr="00EE7077">
        <w:rPr>
          <w:rFonts w:asciiTheme="majorBidi" w:eastAsia="Calibri" w:hAnsiTheme="majorBidi"/>
          <w:lang w:val="fr-FR"/>
        </w:rPr>
        <w:t xml:space="preserve">article 5 </w:t>
      </w:r>
      <w:r>
        <w:rPr>
          <w:rFonts w:asciiTheme="majorBidi" w:eastAsia="Calibri" w:hAnsiTheme="majorBidi"/>
          <w:lang w:val="fr-FR"/>
        </w:rPr>
        <w:t xml:space="preserve">et les commentaires y relatifs, ainsi que sur les </w:t>
      </w:r>
      <w:r w:rsidRPr="00016AD6">
        <w:rPr>
          <w:rFonts w:asciiTheme="majorBidi" w:eastAsia="Calibri" w:hAnsiTheme="majorBidi"/>
          <w:lang w:val="fr-FR"/>
        </w:rPr>
        <w:t>articles 12 et</w:t>
      </w:r>
      <w:r>
        <w:rPr>
          <w:rFonts w:asciiTheme="majorBidi" w:eastAsia="Calibri" w:hAnsiTheme="majorBidi"/>
          <w:lang w:val="fr-FR"/>
        </w:rPr>
        <w:t xml:space="preserve"> </w:t>
      </w:r>
      <w:r w:rsidRPr="00016AD6">
        <w:rPr>
          <w:rFonts w:asciiTheme="majorBidi" w:eastAsia="Calibri" w:hAnsiTheme="majorBidi"/>
          <w:lang w:val="fr-FR"/>
        </w:rPr>
        <w:t xml:space="preserve">13. Selon une autre opinion, </w:t>
      </w:r>
      <w:r>
        <w:rPr>
          <w:rFonts w:asciiTheme="majorBidi" w:eastAsia="Calibri" w:hAnsiTheme="majorBidi"/>
          <w:lang w:val="fr-FR"/>
        </w:rPr>
        <w:t>c</w:t>
      </w:r>
      <w:r w:rsidRPr="00016AD6">
        <w:rPr>
          <w:rFonts w:asciiTheme="majorBidi" w:eastAsia="Calibri" w:hAnsiTheme="majorBidi"/>
          <w:lang w:val="fr-FR"/>
        </w:rPr>
        <w:t>es articles n</w:t>
      </w:r>
      <w:r w:rsidR="004C5E26">
        <w:rPr>
          <w:rFonts w:asciiTheme="majorBidi" w:eastAsia="Calibri" w:hAnsiTheme="majorBidi"/>
          <w:lang w:val="fr-FR"/>
        </w:rPr>
        <w:t>’</w:t>
      </w:r>
      <w:r w:rsidRPr="00016AD6">
        <w:rPr>
          <w:rFonts w:asciiTheme="majorBidi" w:eastAsia="Calibri" w:hAnsiTheme="majorBidi"/>
          <w:lang w:val="fr-FR"/>
        </w:rPr>
        <w:t>étaient pas directement pertinents étant donné qu</w:t>
      </w:r>
      <w:r w:rsidR="004C5E26">
        <w:rPr>
          <w:rFonts w:asciiTheme="majorBidi" w:eastAsia="Calibri" w:hAnsiTheme="majorBidi"/>
          <w:lang w:val="fr-FR"/>
        </w:rPr>
        <w:t>’</w:t>
      </w:r>
      <w:r w:rsidRPr="00016AD6">
        <w:rPr>
          <w:rFonts w:asciiTheme="majorBidi" w:eastAsia="Calibri" w:hAnsiTheme="majorBidi"/>
          <w:lang w:val="fr-FR"/>
        </w:rPr>
        <w:t>aux termes mêmes de leurs dispositions, ils n</w:t>
      </w:r>
      <w:r w:rsidR="004C5E26">
        <w:rPr>
          <w:rFonts w:asciiTheme="majorBidi" w:eastAsia="Calibri" w:hAnsiTheme="majorBidi"/>
          <w:lang w:val="fr-FR"/>
        </w:rPr>
        <w:t>’</w:t>
      </w:r>
      <w:r w:rsidRPr="00016AD6">
        <w:rPr>
          <w:rFonts w:asciiTheme="majorBidi" w:eastAsia="Calibri" w:hAnsiTheme="majorBidi"/>
          <w:lang w:val="fr-FR"/>
        </w:rPr>
        <w:t xml:space="preserve">étaient applicables que dans les situations de succession, </w:t>
      </w:r>
      <w:r>
        <w:rPr>
          <w:rFonts w:asciiTheme="majorBidi" w:eastAsia="Calibri" w:hAnsiTheme="majorBidi"/>
          <w:lang w:val="fr-FR"/>
        </w:rPr>
        <w:t xml:space="preserve">une notion </w:t>
      </w:r>
      <w:r w:rsidRPr="00016AD6">
        <w:rPr>
          <w:rFonts w:asciiTheme="majorBidi" w:eastAsia="Calibri" w:hAnsiTheme="majorBidi"/>
          <w:lang w:val="fr-FR"/>
        </w:rPr>
        <w:t xml:space="preserve">conceptuellement opposée à </w:t>
      </w:r>
      <w:r>
        <w:rPr>
          <w:rFonts w:asciiTheme="majorBidi" w:eastAsia="Calibri" w:hAnsiTheme="majorBidi"/>
          <w:lang w:val="fr-FR"/>
        </w:rPr>
        <w:t xml:space="preserve">celle </w:t>
      </w:r>
      <w:r w:rsidRPr="00016AD6">
        <w:rPr>
          <w:rFonts w:asciiTheme="majorBidi" w:eastAsia="Calibri" w:hAnsiTheme="majorBidi"/>
          <w:lang w:val="fr-FR"/>
        </w:rPr>
        <w:t>de continuité de la condition étatique.</w:t>
      </w:r>
    </w:p>
    <w:p w14:paraId="700F8D60" w14:textId="47BA1C34" w:rsidR="00737BD1" w:rsidRPr="00016AD6" w:rsidRDefault="00737BD1" w:rsidP="00737BD1">
      <w:pPr>
        <w:pStyle w:val="H23G"/>
        <w:rPr>
          <w:lang w:val="fr-FR"/>
        </w:rPr>
      </w:pPr>
      <w:r w:rsidRPr="00016AD6">
        <w:rPr>
          <w:lang w:val="fr-FR"/>
        </w:rPr>
        <w:tab/>
        <w:t>c)</w:t>
      </w:r>
      <w:r w:rsidRPr="00016AD6">
        <w:rPr>
          <w:lang w:val="fr-FR"/>
        </w:rPr>
        <w:tab/>
        <w:t xml:space="preserve">Protection </w:t>
      </w:r>
      <w:bookmarkStart w:id="141" w:name="_Hlk172116464"/>
      <w:r w:rsidRPr="00016AD6">
        <w:rPr>
          <w:lang w:val="fr-FR"/>
        </w:rPr>
        <w:t>des personnes touchées par l</w:t>
      </w:r>
      <w:r w:rsidR="004C5E26">
        <w:rPr>
          <w:lang w:val="fr-FR"/>
        </w:rPr>
        <w:t>’</w:t>
      </w:r>
      <w:r w:rsidRPr="00016AD6">
        <w:rPr>
          <w:lang w:val="fr-FR"/>
        </w:rPr>
        <w:t>élévation du niveau de la mer</w:t>
      </w:r>
      <w:bookmarkEnd w:id="141"/>
    </w:p>
    <w:p w14:paraId="1FAF9D94" w14:textId="4EFCC46F"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395.</w:t>
      </w:r>
      <w:r>
        <w:rPr>
          <w:rFonts w:asciiTheme="majorBidi" w:eastAsia="Calibri" w:hAnsiTheme="majorBidi"/>
          <w:lang w:val="fr-FR"/>
        </w:rPr>
        <w:tab/>
      </w:r>
      <w:r w:rsidRPr="00016AD6">
        <w:rPr>
          <w:rFonts w:asciiTheme="majorBidi" w:eastAsia="Calibri" w:hAnsiTheme="majorBidi"/>
          <w:lang w:val="fr-FR"/>
        </w:rPr>
        <w:t>Le Groupe d</w:t>
      </w:r>
      <w:r w:rsidR="004C5E26">
        <w:rPr>
          <w:rFonts w:asciiTheme="majorBidi" w:eastAsia="Calibri" w:hAnsiTheme="majorBidi"/>
          <w:lang w:val="fr-FR"/>
        </w:rPr>
        <w:t>’</w:t>
      </w:r>
      <w:r w:rsidRPr="00016AD6">
        <w:rPr>
          <w:rFonts w:asciiTheme="majorBidi" w:eastAsia="Calibri" w:hAnsiTheme="majorBidi"/>
          <w:lang w:val="fr-FR"/>
        </w:rPr>
        <w:t>étude a examiné la deuxième partie de la note complémentaire, intitulée « La protection des personnes touchées par l</w:t>
      </w:r>
      <w:r w:rsidR="004C5E26">
        <w:rPr>
          <w:rFonts w:asciiTheme="majorBidi" w:eastAsia="Calibri" w:hAnsiTheme="majorBidi"/>
          <w:lang w:val="fr-FR"/>
        </w:rPr>
        <w:t>’</w:t>
      </w:r>
      <w:r w:rsidRPr="00016AD6">
        <w:rPr>
          <w:rFonts w:asciiTheme="majorBidi" w:eastAsia="Calibri" w:hAnsiTheme="majorBidi"/>
          <w:lang w:val="fr-FR"/>
        </w:rPr>
        <w:t>élévation du niveau de la mer »</w:t>
      </w:r>
      <w:r>
        <w:rPr>
          <w:rFonts w:asciiTheme="majorBidi" w:eastAsia="Calibri" w:hAnsiTheme="majorBidi"/>
          <w:lang w:val="fr-FR"/>
        </w:rPr>
        <w:t>,</w:t>
      </w:r>
      <w:r w:rsidRPr="00016AD6">
        <w:rPr>
          <w:rFonts w:asciiTheme="majorBidi" w:eastAsia="Calibri" w:hAnsiTheme="majorBidi"/>
          <w:lang w:val="fr-FR"/>
        </w:rPr>
        <w:t xml:space="preserve"> à ses quatrième et cinquième réunions, les 7 et 8 mai</w:t>
      </w:r>
      <w:r>
        <w:rPr>
          <w:rFonts w:asciiTheme="majorBidi" w:eastAsia="Calibri" w:hAnsiTheme="majorBidi"/>
          <w:lang w:val="fr-FR"/>
        </w:rPr>
        <w:t xml:space="preserve"> </w:t>
      </w:r>
      <w:r w:rsidRPr="00016AD6">
        <w:rPr>
          <w:rFonts w:asciiTheme="majorBidi" w:eastAsia="Calibri" w:hAnsiTheme="majorBidi"/>
          <w:lang w:val="fr-FR"/>
        </w:rPr>
        <w:t xml:space="preserve">2024. </w:t>
      </w:r>
    </w:p>
    <w:p w14:paraId="2F3CFA6D" w14:textId="77777777" w:rsidR="00737BD1" w:rsidRPr="00016AD6" w:rsidRDefault="00737BD1" w:rsidP="00737BD1">
      <w:pPr>
        <w:pStyle w:val="H4G"/>
        <w:rPr>
          <w:b/>
          <w:lang w:val="fr-FR"/>
        </w:rPr>
      </w:pPr>
      <w:bookmarkStart w:id="142" w:name="_Hlk167278421"/>
      <w:bookmarkEnd w:id="137"/>
      <w:r w:rsidRPr="00016AD6">
        <w:rPr>
          <w:lang w:val="fr-FR"/>
        </w:rPr>
        <w:tab/>
        <w:t>i)</w:t>
      </w:r>
      <w:r w:rsidRPr="00016AD6">
        <w:rPr>
          <w:lang w:val="fr-FR"/>
        </w:rPr>
        <w:tab/>
        <w:t>Présentation par la Coprésidente</w:t>
      </w:r>
    </w:p>
    <w:p w14:paraId="51600243" w14:textId="314C3AD8" w:rsidR="00737BD1" w:rsidRPr="00016AD6" w:rsidRDefault="00737BD1" w:rsidP="00737BD1">
      <w:pPr>
        <w:pStyle w:val="SingleTxtG"/>
        <w:rPr>
          <w:rFonts w:asciiTheme="majorBidi" w:eastAsia="Calibri" w:hAnsiTheme="majorBidi"/>
          <w:lang w:val="fr-FR"/>
        </w:rPr>
      </w:pPr>
      <w:bookmarkStart w:id="143" w:name="_Hlk167278436"/>
      <w:bookmarkEnd w:id="142"/>
      <w:r>
        <w:rPr>
          <w:rFonts w:asciiTheme="majorBidi" w:eastAsia="Calibri" w:hAnsiTheme="majorBidi"/>
          <w:lang w:val="fr-FR"/>
        </w:rPr>
        <w:t>396.</w:t>
      </w:r>
      <w:r>
        <w:rPr>
          <w:rFonts w:asciiTheme="majorBidi" w:eastAsia="Calibri" w:hAnsiTheme="majorBidi"/>
          <w:lang w:val="fr-FR"/>
        </w:rPr>
        <w:tab/>
      </w:r>
      <w:r w:rsidRPr="00016AD6">
        <w:rPr>
          <w:rFonts w:asciiTheme="majorBidi" w:eastAsia="Calibri" w:hAnsiTheme="majorBidi"/>
          <w:lang w:val="fr-FR"/>
        </w:rPr>
        <w:t>D</w:t>
      </w:r>
      <w:r>
        <w:rPr>
          <w:rFonts w:asciiTheme="majorBidi" w:eastAsia="Calibri" w:hAnsiTheme="majorBidi"/>
          <w:lang w:val="fr-FR"/>
        </w:rPr>
        <w:t xml:space="preserve">ans le cadre de </w:t>
      </w:r>
      <w:r w:rsidRPr="00016AD6">
        <w:rPr>
          <w:rFonts w:asciiTheme="majorBidi" w:eastAsia="Calibri" w:hAnsiTheme="majorBidi"/>
          <w:lang w:val="fr-FR"/>
        </w:rPr>
        <w:t>sa présentation générale de la deuxième partie à la première séance du Groupe d</w:t>
      </w:r>
      <w:r w:rsidR="004C5E26">
        <w:rPr>
          <w:rFonts w:asciiTheme="majorBidi" w:eastAsia="Calibri" w:hAnsiTheme="majorBidi"/>
          <w:lang w:val="fr-FR"/>
        </w:rPr>
        <w:t>’</w:t>
      </w:r>
      <w:r w:rsidRPr="00016AD6">
        <w:rPr>
          <w:rFonts w:asciiTheme="majorBidi" w:eastAsia="Calibri" w:hAnsiTheme="majorBidi"/>
          <w:lang w:val="fr-FR"/>
        </w:rPr>
        <w:t xml:space="preserve">étude, </w:t>
      </w:r>
      <w:bookmarkEnd w:id="143"/>
      <w:r w:rsidRPr="00016AD6">
        <w:rPr>
          <w:rFonts w:asciiTheme="majorBidi" w:eastAsia="Calibri" w:hAnsiTheme="majorBidi"/>
          <w:lang w:val="fr-FR"/>
        </w:rPr>
        <w:t>la Coprésidente (M</w:t>
      </w:r>
      <w:r w:rsidRPr="00016AD6">
        <w:rPr>
          <w:rFonts w:asciiTheme="majorBidi" w:eastAsia="Calibri" w:hAnsiTheme="majorBidi"/>
          <w:vertAlign w:val="superscript"/>
          <w:lang w:val="fr-FR"/>
        </w:rPr>
        <w:t>me</w:t>
      </w:r>
      <w:r w:rsidRPr="00016AD6">
        <w:rPr>
          <w:rFonts w:asciiTheme="majorBidi" w:eastAsia="Calibri" w:hAnsiTheme="majorBidi"/>
          <w:lang w:val="fr-FR"/>
        </w:rPr>
        <w:t> </w:t>
      </w:r>
      <w:proofErr w:type="spellStart"/>
      <w:r w:rsidRPr="00016AD6">
        <w:rPr>
          <w:rFonts w:asciiTheme="majorBidi" w:eastAsia="Calibri" w:hAnsiTheme="majorBidi"/>
          <w:lang w:val="fr-FR"/>
        </w:rPr>
        <w:t>Galvão</w:t>
      </w:r>
      <w:proofErr w:type="spellEnd"/>
      <w:r w:rsidR="005F612B">
        <w:rPr>
          <w:rFonts w:asciiTheme="majorBidi" w:eastAsia="Calibri" w:hAnsiTheme="majorBidi"/>
          <w:lang w:val="fr-FR"/>
        </w:rPr>
        <w:t> </w:t>
      </w:r>
      <w:proofErr w:type="spellStart"/>
      <w:r w:rsidRPr="00016AD6">
        <w:rPr>
          <w:rFonts w:asciiTheme="majorBidi" w:eastAsia="Calibri" w:hAnsiTheme="majorBidi"/>
          <w:lang w:val="fr-FR"/>
        </w:rPr>
        <w:t>Teles</w:t>
      </w:r>
      <w:proofErr w:type="spellEnd"/>
      <w:r w:rsidRPr="00016AD6">
        <w:rPr>
          <w:rFonts w:asciiTheme="majorBidi" w:eastAsia="Calibri" w:hAnsiTheme="majorBidi"/>
          <w:lang w:val="fr-FR"/>
        </w:rPr>
        <w:t>) a expliqué que la note complémentaire examinait une sélection d</w:t>
      </w:r>
      <w:r w:rsidR="004C5E26">
        <w:rPr>
          <w:rFonts w:asciiTheme="majorBidi" w:eastAsia="Calibri" w:hAnsiTheme="majorBidi"/>
          <w:lang w:val="fr-FR"/>
        </w:rPr>
        <w:t>’</w:t>
      </w:r>
      <w:r w:rsidRPr="00016AD6">
        <w:rPr>
          <w:rFonts w:asciiTheme="majorBidi" w:eastAsia="Calibri" w:hAnsiTheme="majorBidi"/>
          <w:lang w:val="fr-FR"/>
        </w:rPr>
        <w:t xml:space="preserve">éléments nouveaux de la pratique des États et </w:t>
      </w:r>
      <w:r>
        <w:rPr>
          <w:rFonts w:asciiTheme="majorBidi" w:eastAsia="Calibri" w:hAnsiTheme="majorBidi"/>
          <w:lang w:val="fr-FR"/>
        </w:rPr>
        <w:t xml:space="preserve">de </w:t>
      </w:r>
      <w:r w:rsidRPr="00016AD6">
        <w:rPr>
          <w:rFonts w:asciiTheme="majorBidi" w:eastAsia="Calibri" w:hAnsiTheme="majorBidi"/>
          <w:lang w:val="fr-FR"/>
        </w:rPr>
        <w:t>celle des organisations internationales ainsi que les questions juridiques pertinentes recensées dans la seconde note thématique pouvant constituer des éléments susceptibles d</w:t>
      </w:r>
      <w:r w:rsidR="004C5E26">
        <w:rPr>
          <w:rFonts w:asciiTheme="majorBidi" w:eastAsia="Calibri" w:hAnsiTheme="majorBidi"/>
          <w:lang w:val="fr-FR"/>
        </w:rPr>
        <w:t>’</w:t>
      </w:r>
      <w:r w:rsidRPr="00016AD6">
        <w:rPr>
          <w:rFonts w:asciiTheme="majorBidi" w:eastAsia="Calibri" w:hAnsiTheme="majorBidi"/>
          <w:lang w:val="fr-FR"/>
        </w:rPr>
        <w:t>être pris en compte dans l</w:t>
      </w:r>
      <w:r w:rsidR="004C5E26">
        <w:rPr>
          <w:rFonts w:asciiTheme="majorBidi" w:eastAsia="Calibri" w:hAnsiTheme="majorBidi"/>
          <w:lang w:val="fr-FR"/>
        </w:rPr>
        <w:t>’</w:t>
      </w:r>
      <w:r w:rsidRPr="00016AD6">
        <w:rPr>
          <w:rFonts w:asciiTheme="majorBidi" w:eastAsia="Calibri" w:hAnsiTheme="majorBidi"/>
          <w:lang w:val="fr-FR"/>
        </w:rPr>
        <w:t>établissement d</w:t>
      </w:r>
      <w:r w:rsidR="004C5E26">
        <w:rPr>
          <w:rFonts w:asciiTheme="majorBidi" w:eastAsia="Calibri" w:hAnsiTheme="majorBidi"/>
          <w:lang w:val="fr-FR"/>
        </w:rPr>
        <w:t>’</w:t>
      </w:r>
      <w:r w:rsidRPr="00016AD6">
        <w:rPr>
          <w:rFonts w:asciiTheme="majorBidi" w:eastAsia="Calibri" w:hAnsiTheme="majorBidi"/>
          <w:lang w:val="fr-FR"/>
        </w:rPr>
        <w:t xml:space="preserve">une protection juridique des </w:t>
      </w:r>
      <w:r w:rsidRPr="00016AD6">
        <w:rPr>
          <w:rFonts w:asciiTheme="majorBidi" w:hAnsiTheme="majorBidi"/>
          <w:lang w:val="fr-FR"/>
        </w:rPr>
        <w:t xml:space="preserve">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 Elle a indiqué que la note complémentaire analysait les éléments susceptibles d</w:t>
      </w:r>
      <w:r w:rsidR="004C5E26">
        <w:rPr>
          <w:rFonts w:asciiTheme="majorBidi" w:eastAsia="Calibri" w:hAnsiTheme="majorBidi"/>
          <w:lang w:val="fr-FR"/>
        </w:rPr>
        <w:t>’</w:t>
      </w:r>
      <w:r w:rsidRPr="00016AD6">
        <w:rPr>
          <w:rFonts w:asciiTheme="majorBidi" w:eastAsia="Calibri" w:hAnsiTheme="majorBidi"/>
          <w:lang w:val="fr-FR"/>
        </w:rPr>
        <w:t>être pris en compte dans l</w:t>
      </w:r>
      <w:r w:rsidR="004C5E26">
        <w:rPr>
          <w:rFonts w:asciiTheme="majorBidi" w:eastAsia="Calibri" w:hAnsiTheme="majorBidi"/>
          <w:lang w:val="fr-FR"/>
        </w:rPr>
        <w:t>’</w:t>
      </w:r>
      <w:r w:rsidRPr="00016AD6">
        <w:rPr>
          <w:rFonts w:asciiTheme="majorBidi" w:eastAsia="Calibri" w:hAnsiTheme="majorBidi"/>
          <w:lang w:val="fr-FR"/>
        </w:rPr>
        <w:t>établissement d</w:t>
      </w:r>
      <w:r w:rsidR="004C5E26">
        <w:rPr>
          <w:rFonts w:asciiTheme="majorBidi" w:eastAsia="Calibri" w:hAnsiTheme="majorBidi"/>
          <w:lang w:val="fr-FR"/>
        </w:rPr>
        <w:t>’</w:t>
      </w:r>
      <w:r w:rsidRPr="00016AD6">
        <w:rPr>
          <w:rFonts w:asciiTheme="majorBidi" w:eastAsia="Calibri" w:hAnsiTheme="majorBidi"/>
          <w:lang w:val="fr-FR"/>
        </w:rPr>
        <w:t xml:space="preserve">une protection juridique des </w:t>
      </w:r>
      <w:r w:rsidRPr="00016AD6">
        <w:rPr>
          <w:rFonts w:asciiTheme="majorBidi" w:hAnsiTheme="majorBidi"/>
          <w:lang w:val="fr-FR"/>
        </w:rPr>
        <w:t xml:space="preserve">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w:t>
      </w:r>
      <w:r w:rsidRPr="00016AD6">
        <w:rPr>
          <w:rFonts w:asciiTheme="majorBidi" w:hAnsiTheme="majorBidi"/>
          <w:lang w:val="fr-FR"/>
        </w:rPr>
        <w:t xml:space="preserve">, </w:t>
      </w:r>
      <w:r w:rsidRPr="00016AD6">
        <w:rPr>
          <w:rFonts w:asciiTheme="majorBidi" w:hAnsiTheme="majorBidi"/>
          <w:i/>
          <w:iCs/>
          <w:lang w:val="fr-FR"/>
        </w:rPr>
        <w:t>inter alia</w:t>
      </w:r>
      <w:r w:rsidRPr="00016AD6">
        <w:rPr>
          <w:rFonts w:asciiTheme="majorBidi" w:hAnsiTheme="majorBidi"/>
          <w:lang w:val="fr-FR"/>
        </w:rPr>
        <w:t xml:space="preserve">, </w:t>
      </w:r>
      <w:r>
        <w:rPr>
          <w:rFonts w:asciiTheme="majorBidi" w:hAnsiTheme="majorBidi"/>
          <w:lang w:val="fr-FR"/>
        </w:rPr>
        <w:t xml:space="preserve">en </w:t>
      </w:r>
      <w:r w:rsidRPr="00016AD6">
        <w:rPr>
          <w:rFonts w:asciiTheme="majorBidi" w:hAnsiTheme="majorBidi"/>
          <w:lang w:val="fr-FR"/>
        </w:rPr>
        <w:t>soulignant les différentes obligations de débiteurs d</w:t>
      </w:r>
      <w:r w:rsidR="004C5E26">
        <w:rPr>
          <w:rFonts w:asciiTheme="majorBidi" w:hAnsiTheme="majorBidi"/>
          <w:lang w:val="fr-FR"/>
        </w:rPr>
        <w:t>’</w:t>
      </w:r>
      <w:r w:rsidRPr="00016AD6">
        <w:rPr>
          <w:rFonts w:asciiTheme="majorBidi" w:hAnsiTheme="majorBidi"/>
          <w:lang w:val="fr-FR"/>
        </w:rPr>
        <w:t>obligations</w:t>
      </w:r>
      <w:r>
        <w:rPr>
          <w:rFonts w:asciiTheme="majorBidi" w:hAnsiTheme="majorBidi"/>
          <w:lang w:val="fr-FR"/>
        </w:rPr>
        <w:t xml:space="preserve"> distincts</w:t>
      </w:r>
      <w:r w:rsidRPr="00016AD6">
        <w:rPr>
          <w:rFonts w:asciiTheme="majorBidi" w:hAnsiTheme="majorBidi"/>
          <w:lang w:val="fr-FR"/>
        </w:rPr>
        <w:t>, l</w:t>
      </w:r>
      <w:r w:rsidR="004C5E26">
        <w:rPr>
          <w:rFonts w:asciiTheme="majorBidi" w:hAnsiTheme="majorBidi"/>
          <w:lang w:val="fr-FR"/>
        </w:rPr>
        <w:t>’</w:t>
      </w:r>
      <w:r w:rsidRPr="00016AD6">
        <w:rPr>
          <w:rFonts w:asciiTheme="majorBidi" w:hAnsiTheme="majorBidi"/>
          <w:lang w:val="fr-FR"/>
        </w:rPr>
        <w:t xml:space="preserve">importance de combiner une approche fondée sur les besoins et une approche fondée sur les droits ainsi que </w:t>
      </w:r>
      <w:r>
        <w:rPr>
          <w:rFonts w:asciiTheme="majorBidi" w:hAnsiTheme="majorBidi"/>
          <w:lang w:val="fr-FR"/>
        </w:rPr>
        <w:t>l</w:t>
      </w:r>
      <w:r w:rsidR="004C5E26">
        <w:rPr>
          <w:rFonts w:asciiTheme="majorBidi" w:hAnsiTheme="majorBidi"/>
          <w:lang w:val="fr-FR"/>
        </w:rPr>
        <w:t>’</w:t>
      </w:r>
      <w:r>
        <w:rPr>
          <w:rFonts w:asciiTheme="majorBidi" w:hAnsiTheme="majorBidi"/>
          <w:lang w:val="fr-FR"/>
        </w:rPr>
        <w:t>importance</w:t>
      </w:r>
      <w:r w:rsidRPr="00016AD6">
        <w:rPr>
          <w:rFonts w:asciiTheme="majorBidi" w:hAnsiTheme="majorBidi"/>
          <w:lang w:val="fr-FR"/>
        </w:rPr>
        <w:t xml:space="preserve"> de la coopération internationale. S</w:t>
      </w:r>
      <w:r w:rsidR="004C5E26">
        <w:rPr>
          <w:rFonts w:asciiTheme="majorBidi" w:hAnsiTheme="majorBidi"/>
          <w:lang w:val="fr-FR"/>
        </w:rPr>
        <w:t>’</w:t>
      </w:r>
      <w:r w:rsidRPr="00016AD6">
        <w:rPr>
          <w:rFonts w:asciiTheme="majorBidi" w:hAnsiTheme="majorBidi"/>
          <w:lang w:val="fr-FR"/>
        </w:rPr>
        <w:t>agissant des résultats possibles des travaux sur le sous</w:t>
      </w:r>
      <w:r>
        <w:rPr>
          <w:rFonts w:asciiTheme="majorBidi" w:hAnsiTheme="majorBidi"/>
          <w:lang w:val="fr-FR"/>
        </w:rPr>
        <w:noBreakHyphen/>
      </w:r>
      <w:r w:rsidRPr="00016AD6">
        <w:rPr>
          <w:rFonts w:asciiTheme="majorBidi" w:hAnsiTheme="majorBidi"/>
          <w:lang w:val="fr-FR"/>
        </w:rPr>
        <w:t xml:space="preserve">sujet, la </w:t>
      </w:r>
      <w:r w:rsidRPr="00016AD6">
        <w:rPr>
          <w:rFonts w:asciiTheme="majorBidi" w:eastAsia="Calibri" w:hAnsiTheme="majorBidi"/>
          <w:lang w:val="fr-FR"/>
        </w:rPr>
        <w:t xml:space="preserve">Coprésidente a fait observer que les éléments recensés dans la note complémentaire pouvaient être utilisés pour interpréter et appliquer les instruments </w:t>
      </w:r>
      <w:r w:rsidRPr="00016AD6">
        <w:rPr>
          <w:rFonts w:asciiTheme="majorBidi" w:eastAsia="Calibri" w:hAnsiTheme="majorBidi"/>
          <w:lang w:val="fr-FR"/>
        </w:rPr>
        <w:lastRenderedPageBreak/>
        <w:t xml:space="preserve">juridiques, y compris de droit souple, qui étaient applicables </w:t>
      </w:r>
      <w:r w:rsidRPr="007B70E0">
        <w:rPr>
          <w:rFonts w:asciiTheme="majorBidi" w:eastAsia="Calibri" w:hAnsiTheme="majorBidi"/>
          <w:i/>
          <w:iCs/>
          <w:lang w:val="fr-FR"/>
        </w:rPr>
        <w:t>mutatis mutandis</w:t>
      </w:r>
      <w:r w:rsidRPr="00016AD6">
        <w:rPr>
          <w:rFonts w:asciiTheme="majorBidi" w:eastAsia="Calibri" w:hAnsiTheme="majorBidi"/>
          <w:lang w:val="fr-FR"/>
        </w:rPr>
        <w:t xml:space="preserve"> à la </w:t>
      </w:r>
      <w:r w:rsidRPr="00016AD6">
        <w:rPr>
          <w:rFonts w:asciiTheme="majorBidi" w:hAnsiTheme="majorBidi"/>
          <w:lang w:val="fr-FR"/>
        </w:rPr>
        <w:t xml:space="preserve">protection des 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 et/ou être incorporés dans de no</w:t>
      </w:r>
      <w:r>
        <w:rPr>
          <w:rFonts w:asciiTheme="majorBidi" w:eastAsia="Calibri" w:hAnsiTheme="majorBidi"/>
          <w:lang w:val="fr-FR"/>
        </w:rPr>
        <w:t xml:space="preserve">uveaux </w:t>
      </w:r>
      <w:r w:rsidRPr="00016AD6">
        <w:rPr>
          <w:rFonts w:asciiTheme="majorBidi" w:eastAsia="Calibri" w:hAnsiTheme="majorBidi"/>
          <w:lang w:val="fr-FR"/>
        </w:rPr>
        <w:t>instruments de cette nature conclus aux niveaux régional et international.</w:t>
      </w:r>
    </w:p>
    <w:p w14:paraId="6B4395EF" w14:textId="706997B3"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397.</w:t>
      </w:r>
      <w:r>
        <w:rPr>
          <w:rFonts w:asciiTheme="majorBidi" w:eastAsia="Calibri" w:hAnsiTheme="majorBidi"/>
          <w:lang w:val="fr-FR"/>
        </w:rPr>
        <w:tab/>
      </w:r>
      <w:r w:rsidRPr="00016AD6">
        <w:rPr>
          <w:rFonts w:asciiTheme="majorBidi" w:eastAsia="Calibri" w:hAnsiTheme="majorBidi"/>
          <w:lang w:val="fr-FR"/>
        </w:rPr>
        <w:t xml:space="preserve">À la quatrième </w:t>
      </w:r>
      <w:r>
        <w:rPr>
          <w:rFonts w:asciiTheme="majorBidi" w:eastAsia="Calibri" w:hAnsiTheme="majorBidi"/>
          <w:lang w:val="fr-FR"/>
        </w:rPr>
        <w:t>réunion</w:t>
      </w:r>
      <w:r w:rsidRPr="00016AD6">
        <w:rPr>
          <w:rFonts w:asciiTheme="majorBidi" w:eastAsia="Calibri" w:hAnsiTheme="majorBidi"/>
          <w:lang w:val="fr-FR"/>
        </w:rPr>
        <w:t>, la Coprésidente (</w:t>
      </w:r>
      <w:bookmarkStart w:id="144" w:name="_Hlk167278592"/>
      <w:r w:rsidRPr="00016AD6">
        <w:rPr>
          <w:rFonts w:asciiTheme="majorBidi" w:eastAsia="Calibri" w:hAnsiTheme="majorBidi"/>
          <w:lang w:val="fr-FR"/>
        </w:rPr>
        <w:t>M</w:t>
      </w:r>
      <w:r w:rsidRPr="00016AD6">
        <w:rPr>
          <w:rFonts w:asciiTheme="majorBidi" w:eastAsia="Calibri" w:hAnsiTheme="majorBidi"/>
          <w:vertAlign w:val="superscript"/>
          <w:lang w:val="fr-FR"/>
        </w:rPr>
        <w:t>me</w:t>
      </w:r>
      <w:r w:rsidRPr="00016AD6">
        <w:rPr>
          <w:rFonts w:asciiTheme="majorBidi" w:eastAsia="Calibri" w:hAnsiTheme="majorBidi"/>
          <w:lang w:val="fr-FR"/>
        </w:rPr>
        <w:t> </w:t>
      </w:r>
      <w:proofErr w:type="spellStart"/>
      <w:r w:rsidRPr="00016AD6">
        <w:rPr>
          <w:rFonts w:asciiTheme="majorBidi" w:eastAsia="Calibri" w:hAnsiTheme="majorBidi"/>
          <w:lang w:val="fr-FR"/>
        </w:rPr>
        <w:t>Galvão</w:t>
      </w:r>
      <w:proofErr w:type="spellEnd"/>
      <w:r w:rsidRPr="00016AD6">
        <w:rPr>
          <w:rFonts w:asciiTheme="majorBidi" w:eastAsia="Calibri" w:hAnsiTheme="majorBidi"/>
          <w:lang w:val="fr-FR"/>
        </w:rPr>
        <w:t xml:space="preserve"> </w:t>
      </w:r>
      <w:proofErr w:type="spellStart"/>
      <w:r w:rsidRPr="00016AD6">
        <w:rPr>
          <w:rFonts w:asciiTheme="majorBidi" w:eastAsia="Calibri" w:hAnsiTheme="majorBidi"/>
          <w:lang w:val="fr-FR"/>
        </w:rPr>
        <w:t>Teles</w:t>
      </w:r>
      <w:bookmarkEnd w:id="144"/>
      <w:proofErr w:type="spellEnd"/>
      <w:r w:rsidRPr="00016AD6">
        <w:rPr>
          <w:rFonts w:asciiTheme="majorBidi" w:eastAsia="Calibri" w:hAnsiTheme="majorBidi"/>
          <w:lang w:val="fr-FR"/>
        </w:rPr>
        <w:t xml:space="preserve">) </w:t>
      </w:r>
      <w:r>
        <w:rPr>
          <w:rFonts w:asciiTheme="majorBidi" w:eastAsia="Calibri" w:hAnsiTheme="majorBidi"/>
          <w:lang w:val="fr-FR"/>
        </w:rPr>
        <w:t xml:space="preserve">a aussi </w:t>
      </w:r>
      <w:r w:rsidRPr="00016AD6">
        <w:rPr>
          <w:rFonts w:asciiTheme="majorBidi" w:eastAsia="Calibri" w:hAnsiTheme="majorBidi"/>
          <w:lang w:val="fr-FR"/>
        </w:rPr>
        <w:t xml:space="preserve">fait observer que les 12 éléments </w:t>
      </w:r>
      <w:r>
        <w:rPr>
          <w:rFonts w:asciiTheme="majorBidi" w:eastAsia="Calibri" w:hAnsiTheme="majorBidi"/>
          <w:lang w:val="fr-FR"/>
        </w:rPr>
        <w:t>susceptibles de contribuer à</w:t>
      </w:r>
      <w:r w:rsidRPr="00016AD6">
        <w:rPr>
          <w:rFonts w:asciiTheme="majorBidi" w:eastAsia="Calibri" w:hAnsiTheme="majorBidi"/>
          <w:lang w:val="fr-FR"/>
        </w:rPr>
        <w:t xml:space="preserve"> </w:t>
      </w:r>
      <w:r>
        <w:rPr>
          <w:rFonts w:asciiTheme="majorBidi" w:eastAsia="Calibri" w:hAnsiTheme="majorBidi"/>
          <w:lang w:val="fr-FR"/>
        </w:rPr>
        <w:t>une</w:t>
      </w:r>
      <w:r w:rsidRPr="00016AD6">
        <w:rPr>
          <w:rFonts w:asciiTheme="majorBidi" w:eastAsia="Calibri" w:hAnsiTheme="majorBidi"/>
          <w:lang w:val="fr-FR"/>
        </w:rPr>
        <w:t xml:space="preserve"> protection juridique des personnes</w:t>
      </w:r>
      <w:r>
        <w:rPr>
          <w:rFonts w:asciiTheme="majorBidi" w:eastAsia="Calibri" w:hAnsiTheme="majorBidi"/>
          <w:lang w:val="fr-FR"/>
        </w:rPr>
        <w:t xml:space="preserve">, </w:t>
      </w:r>
      <w:r w:rsidRPr="00016AD6">
        <w:rPr>
          <w:rFonts w:asciiTheme="majorBidi" w:eastAsia="Calibri" w:hAnsiTheme="majorBidi"/>
          <w:lang w:val="fr-FR"/>
        </w:rPr>
        <w:t xml:space="preserve">proposés </w:t>
      </w:r>
      <w:r>
        <w:rPr>
          <w:rFonts w:asciiTheme="majorBidi" w:eastAsia="Calibri" w:hAnsiTheme="majorBidi"/>
          <w:lang w:val="fr-FR"/>
        </w:rPr>
        <w:t xml:space="preserve">dans la </w:t>
      </w:r>
      <w:r w:rsidRPr="00016AD6">
        <w:rPr>
          <w:lang w:val="fr-FR"/>
        </w:rPr>
        <w:t xml:space="preserve">note complémentaire </w:t>
      </w:r>
      <w:r w:rsidRPr="00016AD6">
        <w:rPr>
          <w:rFonts w:eastAsia="Calibri"/>
          <w:lang w:val="fr-FR"/>
        </w:rPr>
        <w:t>à la seconde note thématique</w:t>
      </w:r>
      <w:r>
        <w:rPr>
          <w:rFonts w:eastAsia="Calibri"/>
          <w:lang w:val="fr-FR"/>
        </w:rPr>
        <w:t>,</w:t>
      </w:r>
      <w:r w:rsidRPr="00016AD6">
        <w:rPr>
          <w:rFonts w:eastAsia="Calibri"/>
          <w:lang w:val="fr-FR"/>
        </w:rPr>
        <w:t xml:space="preserve"> </w:t>
      </w:r>
      <w:r w:rsidRPr="00016AD6">
        <w:rPr>
          <w:rFonts w:asciiTheme="majorBidi" w:eastAsia="Calibri" w:hAnsiTheme="majorBidi"/>
          <w:lang w:val="fr-FR"/>
        </w:rPr>
        <w:t>étaient pour la plupart fondés sur les conclusions de la seconde note thématique et sur l</w:t>
      </w:r>
      <w:r w:rsidR="004C5E26">
        <w:rPr>
          <w:rFonts w:asciiTheme="majorBidi" w:eastAsia="Calibri" w:hAnsiTheme="majorBidi"/>
          <w:lang w:val="fr-FR"/>
        </w:rPr>
        <w:t>’</w:t>
      </w:r>
      <w:r w:rsidRPr="00016AD6">
        <w:rPr>
          <w:rFonts w:asciiTheme="majorBidi" w:eastAsia="Calibri" w:hAnsiTheme="majorBidi"/>
          <w:lang w:val="fr-FR"/>
        </w:rPr>
        <w:t>examen de celles-ci par le Groupe d</w:t>
      </w:r>
      <w:r w:rsidR="004C5E26">
        <w:rPr>
          <w:rFonts w:asciiTheme="majorBidi" w:eastAsia="Calibri" w:hAnsiTheme="majorBidi"/>
          <w:lang w:val="fr-FR"/>
        </w:rPr>
        <w:t>’</w:t>
      </w:r>
      <w:r w:rsidRPr="00016AD6">
        <w:rPr>
          <w:rFonts w:asciiTheme="majorBidi" w:eastAsia="Calibri" w:hAnsiTheme="majorBidi"/>
          <w:lang w:val="fr-FR"/>
        </w:rPr>
        <w:t xml:space="preserve">étude. Elle a </w:t>
      </w:r>
      <w:r>
        <w:rPr>
          <w:rFonts w:asciiTheme="majorBidi" w:eastAsia="Calibri" w:hAnsiTheme="majorBidi"/>
          <w:lang w:val="fr-FR"/>
        </w:rPr>
        <w:t>dit</w:t>
      </w:r>
      <w:r w:rsidRPr="00016AD6">
        <w:rPr>
          <w:rFonts w:asciiTheme="majorBidi" w:eastAsia="Calibri" w:hAnsiTheme="majorBidi"/>
          <w:lang w:val="fr-FR"/>
        </w:rPr>
        <w:t xml:space="preserve"> qu</w:t>
      </w:r>
      <w:r w:rsidR="004C5E26">
        <w:rPr>
          <w:rFonts w:asciiTheme="majorBidi" w:eastAsia="Calibri" w:hAnsiTheme="majorBidi"/>
          <w:lang w:val="fr-FR"/>
        </w:rPr>
        <w:t>’</w:t>
      </w:r>
      <w:r w:rsidRPr="00016AD6">
        <w:rPr>
          <w:rFonts w:asciiTheme="majorBidi" w:eastAsia="Calibri" w:hAnsiTheme="majorBidi"/>
          <w:lang w:val="fr-FR"/>
        </w:rPr>
        <w:t>un élément supplémentaire, à savoir la protection du patrimoine culturel, avait été ajouté ultérieurement eu égard à l</w:t>
      </w:r>
      <w:r w:rsidR="004C5E26">
        <w:rPr>
          <w:rFonts w:asciiTheme="majorBidi" w:eastAsia="Calibri" w:hAnsiTheme="majorBidi"/>
          <w:lang w:val="fr-FR"/>
        </w:rPr>
        <w:t>’</w:t>
      </w:r>
      <w:r w:rsidRPr="00016AD6">
        <w:rPr>
          <w:rFonts w:asciiTheme="majorBidi" w:eastAsia="Calibri" w:hAnsiTheme="majorBidi"/>
          <w:lang w:val="fr-FR"/>
        </w:rPr>
        <w:t xml:space="preserve">importance accordée aux droits culturels et au patrimoine culturel dans la Déclaration du </w:t>
      </w:r>
      <w:r w:rsidRPr="00016AD6">
        <w:rPr>
          <w:lang w:val="fr-FR"/>
        </w:rPr>
        <w:t xml:space="preserve">Forum des îles du Pacifique de </w:t>
      </w:r>
      <w:r w:rsidRPr="00016AD6">
        <w:rPr>
          <w:rFonts w:asciiTheme="majorBidi" w:eastAsia="Calibri" w:hAnsiTheme="majorBidi"/>
          <w:lang w:val="fr-FR"/>
        </w:rPr>
        <w:t>2023. Elle a de plus rappelé que les travaux antérieurs de la Commission étaient pertinents</w:t>
      </w:r>
      <w:r>
        <w:rPr>
          <w:rFonts w:asciiTheme="majorBidi" w:eastAsia="Calibri" w:hAnsiTheme="majorBidi"/>
          <w:lang w:val="fr-FR"/>
        </w:rPr>
        <w:t xml:space="preserve"> et </w:t>
      </w:r>
      <w:r w:rsidRPr="00016AD6">
        <w:rPr>
          <w:rFonts w:asciiTheme="majorBidi" w:eastAsia="Calibri" w:hAnsiTheme="majorBidi"/>
          <w:lang w:val="fr-FR"/>
        </w:rPr>
        <w:t>que la note complémentaire devrait être lue conjointement avec l</w:t>
      </w:r>
      <w:r w:rsidR="004C5E26">
        <w:rPr>
          <w:rFonts w:asciiTheme="majorBidi" w:eastAsia="Calibri" w:hAnsiTheme="majorBidi"/>
          <w:lang w:val="fr-FR"/>
        </w:rPr>
        <w:t>’</w:t>
      </w:r>
      <w:r w:rsidRPr="00016AD6">
        <w:rPr>
          <w:rFonts w:asciiTheme="majorBidi" w:eastAsia="Calibri" w:hAnsiTheme="majorBidi"/>
          <w:lang w:val="fr-FR"/>
        </w:rPr>
        <w:t>étude du Secrétariat sur les deux sous</w:t>
      </w:r>
      <w:r w:rsidR="005F612B">
        <w:rPr>
          <w:rFonts w:asciiTheme="majorBidi" w:eastAsia="Calibri" w:hAnsiTheme="majorBidi"/>
          <w:lang w:val="fr-FR"/>
        </w:rPr>
        <w:noBreakHyphen/>
      </w:r>
      <w:r w:rsidRPr="00016AD6">
        <w:rPr>
          <w:rFonts w:asciiTheme="majorBidi" w:eastAsia="Calibri" w:hAnsiTheme="majorBidi"/>
          <w:lang w:val="fr-FR"/>
        </w:rPr>
        <w:t>sujets</w:t>
      </w:r>
      <w:r w:rsidRPr="00AF5C3F">
        <w:rPr>
          <w:rFonts w:asciiTheme="majorBidi" w:hAnsiTheme="majorBidi"/>
          <w:lang w:val="fr-FR"/>
        </w:rPr>
        <w:t xml:space="preserve"> </w:t>
      </w:r>
      <w:r>
        <w:rPr>
          <w:rFonts w:asciiTheme="majorBidi" w:hAnsiTheme="majorBidi"/>
          <w:lang w:val="fr-FR"/>
        </w:rPr>
        <w:t>(</w:t>
      </w:r>
      <w:hyperlink r:id="rId78" w:history="1">
        <w:r w:rsidRPr="00FF7CB2">
          <w:rPr>
            <w:rStyle w:val="Lienhypertexte"/>
            <w:rFonts w:asciiTheme="majorBidi" w:hAnsiTheme="majorBidi"/>
            <w:lang w:val="fr-FR"/>
          </w:rPr>
          <w:t>A/CN.4/768</w:t>
        </w:r>
      </w:hyperlink>
      <w:r>
        <w:rPr>
          <w:rFonts w:asciiTheme="majorBidi" w:hAnsiTheme="majorBidi"/>
          <w:lang w:val="fr-FR"/>
        </w:rPr>
        <w:t>)</w:t>
      </w:r>
      <w:r w:rsidRPr="00016AD6">
        <w:rPr>
          <w:rFonts w:asciiTheme="majorBidi" w:eastAsia="Calibri" w:hAnsiTheme="majorBidi"/>
          <w:lang w:val="fr-FR"/>
        </w:rPr>
        <w:t>.</w:t>
      </w:r>
      <w:r w:rsidRPr="00016AD6">
        <w:rPr>
          <w:rFonts w:asciiTheme="majorBidi" w:hAnsiTheme="majorBidi"/>
          <w:lang w:val="fr-FR"/>
        </w:rPr>
        <w:t xml:space="preserve"> La </w:t>
      </w:r>
      <w:r w:rsidRPr="00016AD6">
        <w:rPr>
          <w:rFonts w:asciiTheme="majorBidi" w:eastAsia="Calibri" w:hAnsiTheme="majorBidi"/>
          <w:lang w:val="fr-FR"/>
        </w:rPr>
        <w:t>Coprésidente a également évoqué les travaux du Comité de l</w:t>
      </w:r>
      <w:r w:rsidR="004C5E26">
        <w:rPr>
          <w:rFonts w:asciiTheme="majorBidi" w:eastAsia="Calibri" w:hAnsiTheme="majorBidi"/>
          <w:lang w:val="fr-FR"/>
        </w:rPr>
        <w:t>’</w:t>
      </w:r>
      <w:r w:rsidRPr="00016AD6">
        <w:rPr>
          <w:rFonts w:asciiTheme="majorBidi" w:eastAsia="Calibri" w:hAnsiTheme="majorBidi"/>
          <w:lang w:val="fr-FR"/>
        </w:rPr>
        <w:t>Association de droit international chargé de la question de l</w:t>
      </w:r>
      <w:r w:rsidR="004C5E26">
        <w:rPr>
          <w:rFonts w:asciiTheme="majorBidi" w:eastAsia="Calibri" w:hAnsiTheme="majorBidi"/>
          <w:lang w:val="fr-FR"/>
        </w:rPr>
        <w:t>’</w:t>
      </w:r>
      <w:r w:rsidRPr="00016AD6">
        <w:rPr>
          <w:rFonts w:asciiTheme="majorBidi" w:eastAsia="Calibri" w:hAnsiTheme="majorBidi"/>
          <w:lang w:val="fr-FR"/>
        </w:rPr>
        <w:t xml:space="preserve">élévation du niveau de la mer au regard du droit international, soulignant la synergie naturelle entre </w:t>
      </w:r>
      <w:r>
        <w:rPr>
          <w:rFonts w:asciiTheme="majorBidi" w:eastAsia="Calibri" w:hAnsiTheme="majorBidi"/>
          <w:lang w:val="fr-FR"/>
        </w:rPr>
        <w:t>c</w:t>
      </w:r>
      <w:r w:rsidRPr="00016AD6">
        <w:rPr>
          <w:rFonts w:asciiTheme="majorBidi" w:eastAsia="Calibri" w:hAnsiTheme="majorBidi"/>
          <w:lang w:val="fr-FR"/>
        </w:rPr>
        <w:t xml:space="preserve">es travaux et ceux du </w:t>
      </w:r>
      <w:r w:rsidRPr="00016AD6">
        <w:rPr>
          <w:rFonts w:asciiTheme="majorBidi" w:hAnsiTheme="majorBidi"/>
          <w:lang w:val="fr-FR"/>
        </w:rPr>
        <w:t>Groupe d</w:t>
      </w:r>
      <w:r w:rsidR="004C5E26">
        <w:rPr>
          <w:rFonts w:asciiTheme="majorBidi" w:hAnsiTheme="majorBidi"/>
          <w:lang w:val="fr-FR"/>
        </w:rPr>
        <w:t>’</w:t>
      </w:r>
      <w:r w:rsidRPr="00016AD6">
        <w:rPr>
          <w:rFonts w:asciiTheme="majorBidi" w:hAnsiTheme="majorBidi"/>
          <w:lang w:val="fr-FR"/>
        </w:rPr>
        <w:t>étude. Elle a ensuite rappelé l</w:t>
      </w:r>
      <w:r w:rsidR="004C5E26">
        <w:rPr>
          <w:rFonts w:asciiTheme="majorBidi" w:hAnsiTheme="majorBidi"/>
          <w:lang w:val="fr-FR"/>
        </w:rPr>
        <w:t>’</w:t>
      </w:r>
      <w:r w:rsidRPr="00016AD6">
        <w:rPr>
          <w:rFonts w:asciiTheme="majorBidi" w:hAnsiTheme="majorBidi"/>
          <w:lang w:val="fr-FR"/>
        </w:rPr>
        <w:t>importance d</w:t>
      </w:r>
      <w:r w:rsidR="004C5E26">
        <w:rPr>
          <w:rFonts w:asciiTheme="majorBidi" w:hAnsiTheme="majorBidi"/>
          <w:lang w:val="fr-FR"/>
        </w:rPr>
        <w:t>’</w:t>
      </w:r>
      <w:r w:rsidRPr="00016AD6">
        <w:rPr>
          <w:rFonts w:asciiTheme="majorBidi" w:hAnsiTheme="majorBidi"/>
          <w:lang w:val="fr-FR"/>
        </w:rPr>
        <w:t xml:space="preserve">arrêts et </w:t>
      </w:r>
      <w:r>
        <w:rPr>
          <w:rFonts w:asciiTheme="majorBidi" w:hAnsiTheme="majorBidi"/>
          <w:lang w:val="fr-FR"/>
        </w:rPr>
        <w:t xml:space="preserve">de </w:t>
      </w:r>
      <w:r w:rsidRPr="00016AD6">
        <w:rPr>
          <w:rFonts w:asciiTheme="majorBidi" w:hAnsiTheme="majorBidi"/>
          <w:lang w:val="fr-FR"/>
        </w:rPr>
        <w:t xml:space="preserve">décisions </w:t>
      </w:r>
      <w:r>
        <w:rPr>
          <w:rFonts w:asciiTheme="majorBidi" w:hAnsiTheme="majorBidi"/>
          <w:lang w:val="fr-FR"/>
        </w:rPr>
        <w:t xml:space="preserve">rendus récemment par </w:t>
      </w:r>
      <w:r w:rsidRPr="00016AD6">
        <w:rPr>
          <w:rFonts w:asciiTheme="majorBidi" w:hAnsiTheme="majorBidi"/>
          <w:lang w:val="fr-FR"/>
        </w:rPr>
        <w:t>la Cour européenne des droits de l</w:t>
      </w:r>
      <w:r w:rsidR="004C5E26">
        <w:rPr>
          <w:rFonts w:asciiTheme="majorBidi" w:hAnsiTheme="majorBidi"/>
          <w:lang w:val="fr-FR"/>
        </w:rPr>
        <w:t>’</w:t>
      </w:r>
      <w:r w:rsidRPr="00016AD6">
        <w:rPr>
          <w:rFonts w:asciiTheme="majorBidi" w:hAnsiTheme="majorBidi"/>
          <w:lang w:val="fr-FR"/>
        </w:rPr>
        <w:t xml:space="preserve">homme et </w:t>
      </w:r>
      <w:r>
        <w:rPr>
          <w:rFonts w:asciiTheme="majorBidi" w:hAnsiTheme="majorBidi"/>
          <w:lang w:val="fr-FR"/>
        </w:rPr>
        <w:t>l</w:t>
      </w:r>
      <w:r w:rsidRPr="00016AD6">
        <w:rPr>
          <w:rFonts w:asciiTheme="majorBidi" w:hAnsiTheme="majorBidi"/>
          <w:lang w:val="fr-FR"/>
        </w:rPr>
        <w:t xml:space="preserve">es avis consultatifs que </w:t>
      </w:r>
      <w:r>
        <w:rPr>
          <w:rFonts w:asciiTheme="majorBidi" w:hAnsiTheme="majorBidi"/>
          <w:lang w:val="fr-FR"/>
        </w:rPr>
        <w:t xml:space="preserve">devaient donner </w:t>
      </w:r>
      <w:r w:rsidRPr="00016AD6">
        <w:rPr>
          <w:rFonts w:asciiTheme="majorBidi" w:hAnsiTheme="majorBidi"/>
          <w:lang w:val="fr-FR"/>
        </w:rPr>
        <w:t>la Cour internationale de Justice, le Tribunal international du droit de la mer et la Cour interaméricaine des droits de l</w:t>
      </w:r>
      <w:r w:rsidR="004C5E26">
        <w:rPr>
          <w:rFonts w:asciiTheme="majorBidi" w:hAnsiTheme="majorBidi"/>
          <w:lang w:val="fr-FR"/>
        </w:rPr>
        <w:t>’</w:t>
      </w:r>
      <w:r w:rsidRPr="00016AD6">
        <w:rPr>
          <w:rFonts w:asciiTheme="majorBidi" w:hAnsiTheme="majorBidi"/>
          <w:lang w:val="fr-FR"/>
        </w:rPr>
        <w:t xml:space="preserve">homme. La Coprésidente a ensuite brièvement présenté chacun des éléments susceptibles de contribuer à la protection juridique des 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 xml:space="preserve">élévation du niveau de la mer en renvoyant aux parties pertinentes de la </w:t>
      </w:r>
      <w:r w:rsidRPr="00016AD6">
        <w:rPr>
          <w:rFonts w:asciiTheme="majorBidi" w:hAnsiTheme="majorBidi"/>
          <w:lang w:val="fr-FR"/>
        </w:rPr>
        <w:t xml:space="preserve">note complémentaire. </w:t>
      </w:r>
    </w:p>
    <w:p w14:paraId="1ADBEA9C" w14:textId="70B68A49" w:rsidR="00737BD1" w:rsidRPr="003F1933" w:rsidRDefault="00737BD1" w:rsidP="00737BD1">
      <w:pPr>
        <w:pStyle w:val="H4G"/>
      </w:pPr>
      <w:r w:rsidRPr="00016AD6">
        <w:rPr>
          <w:lang w:val="fr-FR"/>
        </w:rPr>
        <w:tab/>
        <w:t>ii)</w:t>
      </w:r>
      <w:r w:rsidRPr="00016AD6">
        <w:rPr>
          <w:lang w:val="fr-FR"/>
        </w:rPr>
        <w:tab/>
      </w:r>
      <w:r w:rsidRPr="00FD5130">
        <w:t>Résumé du débat sur les éléments susceptibles d</w:t>
      </w:r>
      <w:r w:rsidR="004C5E26">
        <w:t>’</w:t>
      </w:r>
      <w:r w:rsidRPr="00FD5130">
        <w:t>être pris en compte dans l</w:t>
      </w:r>
      <w:r w:rsidR="004C5E26">
        <w:t>’</w:t>
      </w:r>
      <w:r w:rsidRPr="00FD5130">
        <w:t>établissement d</w:t>
      </w:r>
      <w:r w:rsidR="004C5E26">
        <w:t>’</w:t>
      </w:r>
      <w:r w:rsidRPr="00FD5130">
        <w:t>une protection juridique des personnes touchées par l</w:t>
      </w:r>
      <w:r w:rsidR="004C5E26">
        <w:t>’</w:t>
      </w:r>
      <w:r w:rsidRPr="00FD5130">
        <w:t>élévation du niveau de la mer</w:t>
      </w:r>
      <w:r w:rsidRPr="003F1933">
        <w:t xml:space="preserve"> </w:t>
      </w:r>
    </w:p>
    <w:p w14:paraId="01C43506" w14:textId="77777777" w:rsidR="00737BD1" w:rsidRPr="00016AD6" w:rsidRDefault="00737BD1" w:rsidP="00737BD1">
      <w:pPr>
        <w:pStyle w:val="H56G"/>
        <w:rPr>
          <w:i/>
          <w:lang w:val="fr-FR"/>
        </w:rPr>
      </w:pPr>
      <w:r w:rsidRPr="00016AD6">
        <w:rPr>
          <w:lang w:val="fr-FR"/>
        </w:rPr>
        <w:tab/>
        <w:t>a.</w:t>
      </w:r>
      <w:r w:rsidRPr="00016AD6">
        <w:rPr>
          <w:lang w:val="fr-FR"/>
        </w:rPr>
        <w:tab/>
      </w:r>
      <w:r w:rsidRPr="00016AD6">
        <w:rPr>
          <w:lang w:val="fr-FR"/>
        </w:rPr>
        <w:tab/>
        <w:t>Observations générales</w:t>
      </w:r>
    </w:p>
    <w:p w14:paraId="5F32CC31" w14:textId="686F9DFC" w:rsidR="00737BD1" w:rsidRPr="00CF7546" w:rsidRDefault="00737BD1" w:rsidP="00737BD1">
      <w:pPr>
        <w:pStyle w:val="SingleTxtG"/>
        <w:rPr>
          <w:rFonts w:asciiTheme="majorBidi" w:hAnsiTheme="majorBidi"/>
          <w:lang w:val="fr-FR"/>
        </w:rPr>
      </w:pPr>
      <w:r>
        <w:rPr>
          <w:rFonts w:asciiTheme="majorBidi" w:eastAsia="Calibri" w:hAnsiTheme="majorBidi"/>
          <w:lang w:val="fr-FR"/>
        </w:rPr>
        <w:t>398.</w:t>
      </w:r>
      <w:r>
        <w:rPr>
          <w:rFonts w:asciiTheme="majorBidi" w:eastAsia="Calibri" w:hAnsiTheme="majorBidi"/>
          <w:lang w:val="fr-FR"/>
        </w:rPr>
        <w:tab/>
      </w:r>
      <w:r w:rsidRPr="00CF7546">
        <w:rPr>
          <w:rFonts w:asciiTheme="majorBidi" w:eastAsia="Calibri" w:hAnsiTheme="majorBidi"/>
          <w:lang w:val="fr-FR"/>
        </w:rPr>
        <w:t>Les membres du Groupe d</w:t>
      </w:r>
      <w:r w:rsidR="004C5E26">
        <w:rPr>
          <w:rFonts w:asciiTheme="majorBidi" w:eastAsia="Calibri" w:hAnsiTheme="majorBidi"/>
          <w:lang w:val="fr-FR"/>
        </w:rPr>
        <w:t>’</w:t>
      </w:r>
      <w:r w:rsidRPr="00CF7546">
        <w:rPr>
          <w:rFonts w:asciiTheme="majorBidi" w:eastAsia="Calibri" w:hAnsiTheme="majorBidi"/>
          <w:lang w:val="fr-FR"/>
        </w:rPr>
        <w:t xml:space="preserve">étude ont souscrit à la conclusion figurant dans la note complémentaire selon laquelle les cadres juridiques internationaux existants potentiellement applicables à la protection des </w:t>
      </w:r>
      <w:r w:rsidRPr="00CF7546">
        <w:rPr>
          <w:rFonts w:asciiTheme="majorBidi" w:hAnsiTheme="majorBidi"/>
          <w:lang w:val="fr-FR"/>
        </w:rPr>
        <w:t xml:space="preserve">personnes touchées par </w:t>
      </w:r>
      <w:r w:rsidRPr="00CF7546">
        <w:rPr>
          <w:rFonts w:asciiTheme="majorBidi" w:eastAsia="Calibri" w:hAnsiTheme="majorBidi"/>
          <w:lang w:val="fr-FR"/>
        </w:rPr>
        <w:t>l</w:t>
      </w:r>
      <w:r w:rsidR="004C5E26">
        <w:rPr>
          <w:rFonts w:asciiTheme="majorBidi" w:eastAsia="Calibri" w:hAnsiTheme="majorBidi"/>
          <w:lang w:val="fr-FR"/>
        </w:rPr>
        <w:t>’</w:t>
      </w:r>
      <w:r w:rsidRPr="00CF7546">
        <w:rPr>
          <w:rFonts w:asciiTheme="majorBidi" w:eastAsia="Calibri" w:hAnsiTheme="majorBidi"/>
          <w:lang w:val="fr-FR"/>
        </w:rPr>
        <w:t>élévation du niveau de la mer étaient fragmentés et n</w:t>
      </w:r>
      <w:r w:rsidR="004C5E26">
        <w:rPr>
          <w:rFonts w:asciiTheme="majorBidi" w:eastAsia="Calibri" w:hAnsiTheme="majorBidi"/>
          <w:lang w:val="fr-FR"/>
        </w:rPr>
        <w:t>’</w:t>
      </w:r>
      <w:r w:rsidRPr="00CF7546">
        <w:rPr>
          <w:rFonts w:asciiTheme="majorBidi" w:eastAsia="Calibri" w:hAnsiTheme="majorBidi"/>
          <w:lang w:val="fr-FR"/>
        </w:rPr>
        <w:t>étaient pas, pour la plupart, propres à la problématique en question. On a de plus fait observer que l</w:t>
      </w:r>
      <w:r w:rsidR="004C5E26">
        <w:rPr>
          <w:rFonts w:asciiTheme="majorBidi" w:eastAsia="Calibri" w:hAnsiTheme="majorBidi"/>
          <w:lang w:val="fr-FR"/>
        </w:rPr>
        <w:t>’</w:t>
      </w:r>
      <w:r w:rsidRPr="00CF7546">
        <w:rPr>
          <w:rFonts w:asciiTheme="majorBidi" w:eastAsia="Calibri" w:hAnsiTheme="majorBidi"/>
          <w:lang w:val="fr-FR"/>
        </w:rPr>
        <w:t xml:space="preserve">élévation du niveau de la mer </w:t>
      </w:r>
      <w:r w:rsidRPr="00FD5130">
        <w:rPr>
          <w:rFonts w:asciiTheme="majorBidi" w:eastAsia="Calibri" w:hAnsiTheme="majorBidi"/>
          <w:lang w:val="fr-FR"/>
        </w:rPr>
        <w:t>présentait des problèmes nouveaux que les cadres juridiques actuels n</w:t>
      </w:r>
      <w:r w:rsidR="004C5E26">
        <w:rPr>
          <w:rFonts w:asciiTheme="majorBidi" w:eastAsia="Calibri" w:hAnsiTheme="majorBidi"/>
          <w:lang w:val="fr-FR"/>
        </w:rPr>
        <w:t>’</w:t>
      </w:r>
      <w:r w:rsidRPr="00FD5130">
        <w:rPr>
          <w:rFonts w:asciiTheme="majorBidi" w:eastAsia="Calibri" w:hAnsiTheme="majorBidi"/>
          <w:lang w:val="fr-FR"/>
        </w:rPr>
        <w:t>étaient pas totalement en mesure de résoudre. L</w:t>
      </w:r>
      <w:r w:rsidR="004C5E26">
        <w:rPr>
          <w:rFonts w:asciiTheme="majorBidi" w:eastAsia="Calibri" w:hAnsiTheme="majorBidi"/>
          <w:lang w:val="fr-FR"/>
        </w:rPr>
        <w:t>’</w:t>
      </w:r>
      <w:r w:rsidRPr="00FD5130">
        <w:rPr>
          <w:rFonts w:asciiTheme="majorBidi" w:eastAsia="Calibri" w:hAnsiTheme="majorBidi"/>
          <w:lang w:val="fr-FR"/>
        </w:rPr>
        <w:t>absence en droit international de mécanismes de protection spécialisés pour les personnes</w:t>
      </w:r>
      <w:r w:rsidRPr="00CF7546">
        <w:rPr>
          <w:rFonts w:asciiTheme="majorBidi" w:eastAsia="Calibri" w:hAnsiTheme="majorBidi"/>
          <w:lang w:val="fr-FR"/>
        </w:rPr>
        <w:t xml:space="preserve"> déplacées à l</w:t>
      </w:r>
      <w:r w:rsidR="004C5E26">
        <w:rPr>
          <w:rFonts w:asciiTheme="majorBidi" w:eastAsia="Calibri" w:hAnsiTheme="majorBidi"/>
          <w:lang w:val="fr-FR"/>
        </w:rPr>
        <w:t>’</w:t>
      </w:r>
      <w:r w:rsidRPr="00CF7546">
        <w:rPr>
          <w:rFonts w:asciiTheme="majorBidi" w:eastAsia="Calibri" w:hAnsiTheme="majorBidi"/>
          <w:lang w:val="fr-FR"/>
        </w:rPr>
        <w:t>intérieur de leur propre pays en raison de l</w:t>
      </w:r>
      <w:r w:rsidR="004C5E26">
        <w:rPr>
          <w:rFonts w:asciiTheme="majorBidi" w:eastAsia="Calibri" w:hAnsiTheme="majorBidi"/>
          <w:lang w:val="fr-FR"/>
        </w:rPr>
        <w:t>’</w:t>
      </w:r>
      <w:r w:rsidRPr="00CF7546">
        <w:rPr>
          <w:rFonts w:asciiTheme="majorBidi" w:eastAsia="Calibri" w:hAnsiTheme="majorBidi"/>
          <w:lang w:val="fr-FR"/>
        </w:rPr>
        <w:t xml:space="preserve">élévation du niveau de la mer ou </w:t>
      </w:r>
      <w:r>
        <w:rPr>
          <w:rFonts w:asciiTheme="majorBidi" w:eastAsia="Calibri" w:hAnsiTheme="majorBidi"/>
          <w:lang w:val="fr-FR"/>
        </w:rPr>
        <w:t>pour l</w:t>
      </w:r>
      <w:r w:rsidRPr="00CF7546">
        <w:rPr>
          <w:rFonts w:asciiTheme="majorBidi" w:eastAsia="Calibri" w:hAnsiTheme="majorBidi"/>
          <w:lang w:val="fr-FR"/>
        </w:rPr>
        <w:t>es migrants environnementaux a été soulignée. Selon une opinion, l</w:t>
      </w:r>
      <w:r w:rsidR="004C5E26">
        <w:rPr>
          <w:rFonts w:asciiTheme="majorBidi" w:eastAsia="Calibri" w:hAnsiTheme="majorBidi"/>
          <w:lang w:val="fr-FR"/>
        </w:rPr>
        <w:t>’</w:t>
      </w:r>
      <w:r w:rsidRPr="00CF7546">
        <w:rPr>
          <w:rFonts w:asciiTheme="majorBidi" w:eastAsia="Calibri" w:hAnsiTheme="majorBidi"/>
          <w:lang w:val="fr-FR"/>
        </w:rPr>
        <w:t>analyse devrait être centrée sur l</w:t>
      </w:r>
      <w:r w:rsidR="004C5E26">
        <w:rPr>
          <w:rFonts w:asciiTheme="majorBidi" w:eastAsia="Calibri" w:hAnsiTheme="majorBidi"/>
          <w:lang w:val="fr-FR"/>
        </w:rPr>
        <w:t>’</w:t>
      </w:r>
      <w:r w:rsidRPr="00CF7546">
        <w:rPr>
          <w:rFonts w:asciiTheme="majorBidi" w:eastAsia="Calibri" w:hAnsiTheme="majorBidi"/>
          <w:lang w:val="fr-FR"/>
        </w:rPr>
        <w:t>écologie pour refléter la nécessité de remédier aux dommages causés aux écosystèmes par l</w:t>
      </w:r>
      <w:r w:rsidR="004C5E26">
        <w:rPr>
          <w:rFonts w:asciiTheme="majorBidi" w:eastAsia="Calibri" w:hAnsiTheme="majorBidi"/>
          <w:lang w:val="fr-FR"/>
        </w:rPr>
        <w:t>’</w:t>
      </w:r>
      <w:r w:rsidRPr="00CF7546">
        <w:rPr>
          <w:rFonts w:asciiTheme="majorBidi" w:eastAsia="Calibri" w:hAnsiTheme="majorBidi"/>
          <w:lang w:val="fr-FR"/>
        </w:rPr>
        <w:t xml:space="preserve">élévation du niveau de la mer. </w:t>
      </w:r>
    </w:p>
    <w:p w14:paraId="3AD069AA" w14:textId="62ED4B71"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399.</w:t>
      </w:r>
      <w:r>
        <w:rPr>
          <w:rFonts w:asciiTheme="majorBidi" w:eastAsia="Calibri" w:hAnsiTheme="majorBidi"/>
          <w:lang w:val="fr-FR"/>
        </w:rPr>
        <w:tab/>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analyse des éléments susceptibles d</w:t>
      </w:r>
      <w:r w:rsidR="004C5E26">
        <w:rPr>
          <w:rFonts w:asciiTheme="majorBidi" w:eastAsia="Calibri" w:hAnsiTheme="majorBidi"/>
          <w:lang w:val="fr-FR"/>
        </w:rPr>
        <w:t>’</w:t>
      </w:r>
      <w:r w:rsidRPr="00016AD6">
        <w:rPr>
          <w:rFonts w:asciiTheme="majorBidi" w:eastAsia="Calibri" w:hAnsiTheme="majorBidi"/>
          <w:lang w:val="fr-FR"/>
        </w:rPr>
        <w:t xml:space="preserve">être pris en compte </w:t>
      </w:r>
      <w:r>
        <w:rPr>
          <w:rFonts w:asciiTheme="majorBidi" w:eastAsia="Calibri" w:hAnsiTheme="majorBidi"/>
          <w:lang w:val="fr-FR"/>
        </w:rPr>
        <w:t>dans l</w:t>
      </w:r>
      <w:r w:rsidR="004C5E26">
        <w:rPr>
          <w:rFonts w:asciiTheme="majorBidi" w:eastAsia="Calibri" w:hAnsiTheme="majorBidi"/>
          <w:lang w:val="fr-FR"/>
        </w:rPr>
        <w:t>’</w:t>
      </w:r>
      <w:r>
        <w:rPr>
          <w:rFonts w:asciiTheme="majorBidi" w:eastAsia="Calibri" w:hAnsiTheme="majorBidi"/>
          <w:lang w:val="fr-FR"/>
        </w:rPr>
        <w:t>établissement d</w:t>
      </w:r>
      <w:r w:rsidR="004C5E26">
        <w:rPr>
          <w:rFonts w:asciiTheme="majorBidi" w:eastAsia="Calibri" w:hAnsiTheme="majorBidi"/>
          <w:lang w:val="fr-FR"/>
        </w:rPr>
        <w:t>’</w:t>
      </w:r>
      <w:r>
        <w:rPr>
          <w:rFonts w:asciiTheme="majorBidi" w:eastAsia="Calibri" w:hAnsiTheme="majorBidi"/>
          <w:lang w:val="fr-FR"/>
        </w:rPr>
        <w:t xml:space="preserve">une </w:t>
      </w:r>
      <w:r w:rsidRPr="00016AD6">
        <w:rPr>
          <w:rFonts w:asciiTheme="majorBidi" w:eastAsia="Calibri" w:hAnsiTheme="majorBidi"/>
          <w:lang w:val="fr-FR"/>
        </w:rPr>
        <w:t xml:space="preserve">protection juridique des </w:t>
      </w:r>
      <w:r w:rsidRPr="00016AD6">
        <w:rPr>
          <w:rFonts w:asciiTheme="majorBidi" w:hAnsiTheme="majorBidi"/>
          <w:lang w:val="fr-FR"/>
        </w:rPr>
        <w:t xml:space="preserve">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w:t>
      </w:r>
      <w:r w:rsidRPr="00016AD6">
        <w:rPr>
          <w:rFonts w:asciiTheme="majorBidi" w:hAnsiTheme="majorBidi"/>
          <w:lang w:val="fr-FR"/>
        </w:rPr>
        <w:t xml:space="preserve"> figurant dans la note complémentaire a été bien accueillie. Certains membres ont fait observer que la liste des éléments était très longue et qu</w:t>
      </w:r>
      <w:r w:rsidR="004C5E26">
        <w:rPr>
          <w:rFonts w:asciiTheme="majorBidi" w:hAnsiTheme="majorBidi"/>
          <w:lang w:val="fr-FR"/>
        </w:rPr>
        <w:t>’</w:t>
      </w:r>
      <w:r w:rsidRPr="00016AD6">
        <w:rPr>
          <w:rFonts w:asciiTheme="majorBidi" w:hAnsiTheme="majorBidi"/>
          <w:lang w:val="fr-FR"/>
        </w:rPr>
        <w:t>il n</w:t>
      </w:r>
      <w:r w:rsidR="004C5E26">
        <w:rPr>
          <w:rFonts w:asciiTheme="majorBidi" w:hAnsiTheme="majorBidi"/>
          <w:lang w:val="fr-FR"/>
        </w:rPr>
        <w:t>’</w:t>
      </w:r>
      <w:r w:rsidRPr="00016AD6">
        <w:rPr>
          <w:rFonts w:asciiTheme="majorBidi" w:hAnsiTheme="majorBidi"/>
          <w:lang w:val="fr-FR"/>
        </w:rPr>
        <w:t>était pas possible pour le Groupe d</w:t>
      </w:r>
      <w:r w:rsidR="004C5E26">
        <w:rPr>
          <w:rFonts w:asciiTheme="majorBidi" w:hAnsiTheme="majorBidi"/>
          <w:lang w:val="fr-FR"/>
        </w:rPr>
        <w:t>’</w:t>
      </w:r>
      <w:r w:rsidRPr="00016AD6">
        <w:rPr>
          <w:rFonts w:asciiTheme="majorBidi" w:hAnsiTheme="majorBidi"/>
          <w:lang w:val="fr-FR"/>
        </w:rPr>
        <w:t xml:space="preserve">étude de les examiner en profondeur. On a aussi </w:t>
      </w:r>
      <w:r>
        <w:rPr>
          <w:rFonts w:asciiTheme="majorBidi" w:hAnsiTheme="majorBidi"/>
          <w:lang w:val="fr-FR"/>
        </w:rPr>
        <w:t>fait valoir qu</w:t>
      </w:r>
      <w:r w:rsidR="004C5E26">
        <w:rPr>
          <w:rFonts w:asciiTheme="majorBidi" w:hAnsiTheme="majorBidi"/>
          <w:lang w:val="fr-FR"/>
        </w:rPr>
        <w:t>’</w:t>
      </w:r>
      <w:r>
        <w:rPr>
          <w:rFonts w:asciiTheme="majorBidi" w:hAnsiTheme="majorBidi"/>
          <w:lang w:val="fr-FR"/>
        </w:rPr>
        <w:t xml:space="preserve">ils </w:t>
      </w:r>
      <w:r w:rsidRPr="00016AD6">
        <w:rPr>
          <w:rFonts w:asciiTheme="majorBidi" w:hAnsiTheme="majorBidi"/>
          <w:lang w:val="fr-FR"/>
        </w:rPr>
        <w:t>devaient être développés et précisés, car ils n</w:t>
      </w:r>
      <w:r w:rsidR="004C5E26">
        <w:rPr>
          <w:rFonts w:asciiTheme="majorBidi" w:hAnsiTheme="majorBidi"/>
          <w:lang w:val="fr-FR"/>
        </w:rPr>
        <w:t>’</w:t>
      </w:r>
      <w:r w:rsidRPr="00016AD6">
        <w:rPr>
          <w:rFonts w:asciiTheme="majorBidi" w:hAnsiTheme="majorBidi"/>
          <w:lang w:val="fr-FR"/>
        </w:rPr>
        <w:t xml:space="preserve">avaient pas tous la même pertinence juridique et pouvaient à cet égard être restructurés. </w:t>
      </w:r>
    </w:p>
    <w:p w14:paraId="687284E2" w14:textId="713EC37E" w:rsidR="00737BD1" w:rsidRPr="00016AD6" w:rsidRDefault="00737BD1" w:rsidP="00737BD1">
      <w:pPr>
        <w:pStyle w:val="SingleTxtG"/>
        <w:rPr>
          <w:lang w:val="fr-FR"/>
        </w:rPr>
      </w:pPr>
      <w:r>
        <w:rPr>
          <w:lang w:val="fr-FR"/>
        </w:rPr>
        <w:t>400.</w:t>
      </w:r>
      <w:r>
        <w:rPr>
          <w:lang w:val="fr-FR"/>
        </w:rPr>
        <w:tab/>
      </w:r>
      <w:r w:rsidRPr="00016AD6">
        <w:rPr>
          <w:lang w:val="fr-FR"/>
        </w:rPr>
        <w:t xml:space="preserve">Certains membres </w:t>
      </w:r>
      <w:r>
        <w:rPr>
          <w:lang w:val="fr-FR"/>
        </w:rPr>
        <w:t xml:space="preserve">considéraient </w:t>
      </w:r>
      <w:r w:rsidRPr="00016AD6">
        <w:rPr>
          <w:lang w:val="fr-FR"/>
        </w:rPr>
        <w:t>crucial que le Groupe d</w:t>
      </w:r>
      <w:r w:rsidR="004C5E26">
        <w:rPr>
          <w:lang w:val="fr-FR"/>
        </w:rPr>
        <w:t>’</w:t>
      </w:r>
      <w:r w:rsidRPr="00016AD6">
        <w:rPr>
          <w:lang w:val="fr-FR"/>
        </w:rPr>
        <w:t xml:space="preserve">étude examine de près les positions des États Membres ainsi que la pratique des organisations internationales pertinentes. On a regretté que </w:t>
      </w:r>
      <w:r>
        <w:rPr>
          <w:lang w:val="fr-FR"/>
        </w:rPr>
        <w:t xml:space="preserve">quelques </w:t>
      </w:r>
      <w:r w:rsidRPr="00016AD6">
        <w:rPr>
          <w:lang w:val="fr-FR"/>
        </w:rPr>
        <w:t xml:space="preserve">États </w:t>
      </w:r>
      <w:r>
        <w:rPr>
          <w:lang w:val="fr-FR"/>
        </w:rPr>
        <w:t xml:space="preserve">seulement </w:t>
      </w:r>
      <w:r w:rsidRPr="00016AD6">
        <w:rPr>
          <w:lang w:val="fr-FR"/>
        </w:rPr>
        <w:t>aient soumis des informations en réponse aux demandes de la Commission. On a aussi souligné qu</w:t>
      </w:r>
      <w:r w:rsidR="004C5E26">
        <w:rPr>
          <w:lang w:val="fr-FR"/>
        </w:rPr>
        <w:t>’</w:t>
      </w:r>
      <w:r w:rsidRPr="00016AD6">
        <w:rPr>
          <w:lang w:val="fr-FR"/>
        </w:rPr>
        <w:t xml:space="preserve">il importait de suivre les procédures en cours devant diverses juridictions internationales et régionales. La pertinence éventuelle des décisions des juridictions nationales a </w:t>
      </w:r>
      <w:r>
        <w:rPr>
          <w:lang w:val="fr-FR"/>
        </w:rPr>
        <w:t xml:space="preserve">aussi </w:t>
      </w:r>
      <w:r w:rsidRPr="00016AD6">
        <w:rPr>
          <w:lang w:val="fr-FR"/>
        </w:rPr>
        <w:t>été mentionnée</w:t>
      </w:r>
      <w:r w:rsidRPr="00016AD6">
        <w:rPr>
          <w:bCs/>
          <w:lang w:val="fr-FR"/>
        </w:rPr>
        <w:t xml:space="preserve">. </w:t>
      </w:r>
    </w:p>
    <w:p w14:paraId="0C60C20C" w14:textId="09E77249" w:rsidR="00737BD1" w:rsidRPr="00016AD6" w:rsidRDefault="00737BD1" w:rsidP="005F612B">
      <w:pPr>
        <w:pStyle w:val="SingleTxtG"/>
        <w:rPr>
          <w:lang w:val="fr-FR"/>
        </w:rPr>
      </w:pPr>
      <w:r>
        <w:rPr>
          <w:lang w:val="fr-FR"/>
        </w:rPr>
        <w:t>401.</w:t>
      </w:r>
      <w:r>
        <w:rPr>
          <w:lang w:val="fr-FR"/>
        </w:rPr>
        <w:tab/>
      </w:r>
      <w:r w:rsidRPr="00016AD6">
        <w:rPr>
          <w:lang w:val="fr-FR"/>
        </w:rPr>
        <w:t>Des opinions divergentes ont été exprimées sur le point de savoir si le projet d</w:t>
      </w:r>
      <w:r w:rsidR="004C5E26">
        <w:rPr>
          <w:lang w:val="fr-FR"/>
        </w:rPr>
        <w:t>’</w:t>
      </w:r>
      <w:r w:rsidRPr="00016AD6">
        <w:rPr>
          <w:lang w:val="fr-FR"/>
        </w:rPr>
        <w:t>articles sur la protection des personnes en cas de catastrophe</w:t>
      </w:r>
      <w:r w:rsidRPr="00E9227E">
        <w:rPr>
          <w:rStyle w:val="Appelnotedebasdep"/>
        </w:rPr>
        <w:footnoteReference w:id="269"/>
      </w:r>
      <w:r>
        <w:rPr>
          <w:lang w:val="fr-FR"/>
        </w:rPr>
        <w:t>,</w:t>
      </w:r>
      <w:r w:rsidRPr="00016AD6">
        <w:rPr>
          <w:lang w:val="fr-FR"/>
        </w:rPr>
        <w:t xml:space="preserve"> adopté par la Commission en</w:t>
      </w:r>
      <w:r>
        <w:rPr>
          <w:lang w:val="fr-FR"/>
        </w:rPr>
        <w:t xml:space="preserve"> </w:t>
      </w:r>
      <w:r w:rsidRPr="00016AD6">
        <w:rPr>
          <w:lang w:val="fr-FR"/>
        </w:rPr>
        <w:t>2016</w:t>
      </w:r>
      <w:r>
        <w:rPr>
          <w:lang w:val="fr-FR"/>
        </w:rPr>
        <w:t>,</w:t>
      </w:r>
      <w:r w:rsidRPr="00016AD6">
        <w:rPr>
          <w:lang w:val="fr-FR"/>
        </w:rPr>
        <w:t xml:space="preserve"> constituait une bonne base pour les travaux de la Commission sur le sous-sujet</w:t>
      </w:r>
      <w:r>
        <w:rPr>
          <w:lang w:val="fr-FR"/>
        </w:rPr>
        <w:t xml:space="preserve"> de la </w:t>
      </w:r>
      <w:r>
        <w:rPr>
          <w:lang w:val="fr-FR"/>
        </w:rPr>
        <w:lastRenderedPageBreak/>
        <w:t xml:space="preserve">protection </w:t>
      </w:r>
      <w:r w:rsidRPr="00F3507A">
        <w:rPr>
          <w:lang w:val="fr-FR"/>
        </w:rPr>
        <w:t>des personnes touchées par l</w:t>
      </w:r>
      <w:r w:rsidR="004C5E26">
        <w:rPr>
          <w:lang w:val="fr-FR"/>
        </w:rPr>
        <w:t>’</w:t>
      </w:r>
      <w:r w:rsidRPr="00F3507A">
        <w:rPr>
          <w:lang w:val="fr-FR"/>
        </w:rPr>
        <w:t>élévation du niveau de la mer</w:t>
      </w:r>
      <w:r w:rsidRPr="00016AD6">
        <w:rPr>
          <w:lang w:val="fr-FR"/>
        </w:rPr>
        <w:t xml:space="preserve">. </w:t>
      </w:r>
      <w:r w:rsidRPr="002656AD">
        <w:t>L</w:t>
      </w:r>
      <w:r w:rsidR="004C5E26">
        <w:t>’</w:t>
      </w:r>
      <w:r w:rsidRPr="002656AD">
        <w:t>idée d</w:t>
      </w:r>
      <w:r w:rsidR="004C5E26">
        <w:t>’</w:t>
      </w:r>
      <w:r w:rsidRPr="002656AD">
        <w:t xml:space="preserve">utiliser </w:t>
      </w:r>
      <w:r>
        <w:t>c</w:t>
      </w:r>
      <w:r w:rsidRPr="002656AD">
        <w:t>e projet d</w:t>
      </w:r>
      <w:r w:rsidR="004C5E26">
        <w:t>’</w:t>
      </w:r>
      <w:r w:rsidRPr="002656AD">
        <w:t xml:space="preserve">articles comme base pour les travaux futurs de la Commission a reçu un certain appui, étant donné </w:t>
      </w:r>
      <w:r>
        <w:t>qu</w:t>
      </w:r>
      <w:r w:rsidR="004C5E26">
        <w:t>’</w:t>
      </w:r>
      <w:r>
        <w:t>il</w:t>
      </w:r>
      <w:r w:rsidRPr="002656AD">
        <w:t xml:space="preserve"> pourrait s</w:t>
      </w:r>
      <w:r w:rsidR="004C5E26">
        <w:t>’</w:t>
      </w:r>
      <w:r w:rsidRPr="002656AD">
        <w:t>appliquer à l</w:t>
      </w:r>
      <w:r w:rsidR="004C5E26">
        <w:t>’</w:t>
      </w:r>
      <w:r w:rsidRPr="002656AD">
        <w:t>élévation du niveau de la mer, une catastrophe à évolution lente, et qu</w:t>
      </w:r>
      <w:r w:rsidR="004C5E26">
        <w:t>’</w:t>
      </w:r>
      <w:r w:rsidRPr="002656AD">
        <w:t>il serait donc plus efficace de s</w:t>
      </w:r>
      <w:r w:rsidR="004C5E26">
        <w:t>’</w:t>
      </w:r>
      <w:r w:rsidRPr="002656AD">
        <w:t>appuyer sur le cadre plus large de la protection des personnes en cas de catastrophe</w:t>
      </w:r>
      <w:r>
        <w:t>.</w:t>
      </w:r>
      <w:r w:rsidRPr="002656AD">
        <w:rPr>
          <w:lang w:val="fr-FR"/>
        </w:rPr>
        <w:t xml:space="preserve"> </w:t>
      </w:r>
      <w:r w:rsidRPr="00016AD6">
        <w:rPr>
          <w:lang w:val="fr-FR"/>
        </w:rPr>
        <w:t xml:space="preserve">Selon une </w:t>
      </w:r>
      <w:r>
        <w:rPr>
          <w:lang w:val="fr-FR"/>
        </w:rPr>
        <w:t xml:space="preserve">autre </w:t>
      </w:r>
      <w:r w:rsidRPr="00016AD6">
        <w:rPr>
          <w:lang w:val="fr-FR"/>
        </w:rPr>
        <w:t>opinion, ce projet d</w:t>
      </w:r>
      <w:r w:rsidR="004C5E26">
        <w:rPr>
          <w:lang w:val="fr-FR"/>
        </w:rPr>
        <w:t>’</w:t>
      </w:r>
      <w:r w:rsidRPr="00016AD6">
        <w:rPr>
          <w:lang w:val="fr-FR"/>
        </w:rPr>
        <w:t>articles ne devrait pas constituer une référence pour le Groupe d</w:t>
      </w:r>
      <w:r w:rsidR="004C5E26">
        <w:rPr>
          <w:lang w:val="fr-FR"/>
        </w:rPr>
        <w:t>’</w:t>
      </w:r>
      <w:r w:rsidRPr="00016AD6">
        <w:rPr>
          <w:lang w:val="fr-FR"/>
        </w:rPr>
        <w:t xml:space="preserve">étude, car les </w:t>
      </w:r>
      <w:r>
        <w:rPr>
          <w:lang w:val="fr-FR"/>
        </w:rPr>
        <w:t xml:space="preserve">cadres </w:t>
      </w:r>
      <w:r w:rsidRPr="00016AD6">
        <w:rPr>
          <w:lang w:val="fr-FR"/>
        </w:rPr>
        <w:t>juridiques applicables aux catastrophes accordaient généralement la priorité à l</w:t>
      </w:r>
      <w:r w:rsidR="004C5E26">
        <w:rPr>
          <w:lang w:val="fr-FR"/>
        </w:rPr>
        <w:t>’</w:t>
      </w:r>
      <w:r w:rsidRPr="00016AD6">
        <w:rPr>
          <w:lang w:val="fr-FR"/>
        </w:rPr>
        <w:t xml:space="preserve">obligation des États touchés de rechercher une assistance et </w:t>
      </w:r>
      <w:r>
        <w:rPr>
          <w:lang w:val="fr-FR"/>
        </w:rPr>
        <w:t xml:space="preserve">ne mettaient </w:t>
      </w:r>
      <w:r w:rsidRPr="00016AD6">
        <w:rPr>
          <w:lang w:val="fr-FR"/>
        </w:rPr>
        <w:t>qu</w:t>
      </w:r>
      <w:r w:rsidR="004C5E26">
        <w:rPr>
          <w:lang w:val="fr-FR"/>
        </w:rPr>
        <w:t>’</w:t>
      </w:r>
      <w:r w:rsidRPr="00016AD6">
        <w:rPr>
          <w:lang w:val="fr-FR"/>
        </w:rPr>
        <w:t>un</w:t>
      </w:r>
      <w:r>
        <w:rPr>
          <w:lang w:val="fr-FR"/>
        </w:rPr>
        <w:t xml:space="preserve">e série limitée </w:t>
      </w:r>
      <w:r w:rsidRPr="00016AD6">
        <w:rPr>
          <w:lang w:val="fr-FR"/>
        </w:rPr>
        <w:t>d</w:t>
      </w:r>
      <w:r w:rsidR="004C5E26">
        <w:rPr>
          <w:lang w:val="fr-FR"/>
        </w:rPr>
        <w:t>’</w:t>
      </w:r>
      <w:r w:rsidRPr="00016AD6">
        <w:rPr>
          <w:lang w:val="fr-FR"/>
        </w:rPr>
        <w:t xml:space="preserve">obligations à la charge des États tiers, alors </w:t>
      </w:r>
      <w:r>
        <w:rPr>
          <w:lang w:val="fr-FR"/>
        </w:rPr>
        <w:t xml:space="preserve">que dans le contexte de </w:t>
      </w:r>
      <w:r w:rsidRPr="00016AD6">
        <w:rPr>
          <w:lang w:val="fr-FR"/>
        </w:rPr>
        <w:t>l</w:t>
      </w:r>
      <w:r w:rsidR="004C5E26">
        <w:rPr>
          <w:lang w:val="fr-FR"/>
        </w:rPr>
        <w:t>’</w:t>
      </w:r>
      <w:r w:rsidRPr="00016AD6">
        <w:rPr>
          <w:lang w:val="fr-FR"/>
        </w:rPr>
        <w:t>élévation du niveau de la mer due aux changements climatiques</w:t>
      </w:r>
      <w:r>
        <w:rPr>
          <w:lang w:val="fr-FR"/>
        </w:rPr>
        <w:t>,</w:t>
      </w:r>
      <w:r w:rsidRPr="00016AD6">
        <w:rPr>
          <w:lang w:val="fr-FR"/>
        </w:rPr>
        <w:t xml:space="preserve"> </w:t>
      </w:r>
      <w:r>
        <w:rPr>
          <w:lang w:val="fr-FR"/>
        </w:rPr>
        <w:t xml:space="preserve">il était probable que les États touchés demanderaient </w:t>
      </w:r>
      <w:r w:rsidRPr="00016AD6">
        <w:rPr>
          <w:lang w:val="fr-FR"/>
        </w:rPr>
        <w:t>une assistance</w:t>
      </w:r>
      <w:r>
        <w:rPr>
          <w:lang w:val="fr-FR"/>
        </w:rPr>
        <w:t>,</w:t>
      </w:r>
      <w:r w:rsidRPr="00016AD6">
        <w:rPr>
          <w:lang w:val="fr-FR"/>
        </w:rPr>
        <w:t xml:space="preserve"> </w:t>
      </w:r>
      <w:r>
        <w:rPr>
          <w:lang w:val="fr-FR"/>
        </w:rPr>
        <w:t xml:space="preserve">les </w:t>
      </w:r>
      <w:r w:rsidRPr="00016AD6">
        <w:rPr>
          <w:lang w:val="fr-FR"/>
        </w:rPr>
        <w:t xml:space="preserve">États tiers </w:t>
      </w:r>
      <w:r>
        <w:rPr>
          <w:lang w:val="fr-FR"/>
        </w:rPr>
        <w:t xml:space="preserve">ayant </w:t>
      </w:r>
      <w:r w:rsidRPr="00016AD6">
        <w:rPr>
          <w:lang w:val="fr-FR"/>
        </w:rPr>
        <w:t xml:space="preserve">un éventail de responsabilités </w:t>
      </w:r>
      <w:r>
        <w:rPr>
          <w:lang w:val="fr-FR"/>
        </w:rPr>
        <w:t xml:space="preserve">plus large </w:t>
      </w:r>
      <w:r w:rsidRPr="00016AD6">
        <w:rPr>
          <w:lang w:val="fr-FR"/>
        </w:rPr>
        <w:t xml:space="preserve">en droit international. </w:t>
      </w:r>
      <w:r>
        <w:rPr>
          <w:lang w:val="fr-FR"/>
        </w:rPr>
        <w:t xml:space="preserve">On a </w:t>
      </w:r>
      <w:r w:rsidRPr="00016AD6">
        <w:rPr>
          <w:lang w:val="fr-FR"/>
        </w:rPr>
        <w:t xml:space="preserve">suggéré, </w:t>
      </w:r>
      <w:r>
        <w:rPr>
          <w:lang w:val="fr-FR"/>
        </w:rPr>
        <w:t>pour trouver un terrain d</w:t>
      </w:r>
      <w:r w:rsidR="004C5E26">
        <w:rPr>
          <w:lang w:val="fr-FR"/>
        </w:rPr>
        <w:t>’</w:t>
      </w:r>
      <w:r>
        <w:rPr>
          <w:lang w:val="fr-FR"/>
        </w:rPr>
        <w:t xml:space="preserve">entente, </w:t>
      </w:r>
      <w:r w:rsidRPr="00016AD6">
        <w:rPr>
          <w:lang w:val="fr-FR"/>
        </w:rPr>
        <w:t>que si l</w:t>
      </w:r>
      <w:r w:rsidR="004C5E26">
        <w:rPr>
          <w:lang w:val="fr-FR"/>
        </w:rPr>
        <w:t>’</w:t>
      </w:r>
      <w:r w:rsidRPr="00016AD6">
        <w:rPr>
          <w:lang w:val="fr-FR"/>
        </w:rPr>
        <w:t xml:space="preserve">élévation du niveau de la mer pouvait </w:t>
      </w:r>
      <w:r>
        <w:rPr>
          <w:lang w:val="fr-FR"/>
        </w:rPr>
        <w:t xml:space="preserve">ne </w:t>
      </w:r>
      <w:r w:rsidRPr="00016AD6">
        <w:rPr>
          <w:lang w:val="fr-FR"/>
        </w:rPr>
        <w:t>pas être pleinement considérée comme une catastrophe au sens du projet d</w:t>
      </w:r>
      <w:r w:rsidR="004C5E26">
        <w:rPr>
          <w:lang w:val="fr-FR"/>
        </w:rPr>
        <w:t>’</w:t>
      </w:r>
      <w:r w:rsidRPr="00016AD6">
        <w:rPr>
          <w:lang w:val="fr-FR"/>
        </w:rPr>
        <w:t xml:space="preserve">articles, nombre de ses manifestations entraient bien dans cette catégorie. En conséquence, </w:t>
      </w:r>
      <w:r>
        <w:rPr>
          <w:lang w:val="fr-FR"/>
        </w:rPr>
        <w:t xml:space="preserve">ces </w:t>
      </w:r>
      <w:r w:rsidRPr="00016AD6">
        <w:rPr>
          <w:lang w:val="fr-FR"/>
        </w:rPr>
        <w:t xml:space="preserve">manifestations, y compris </w:t>
      </w:r>
      <w:r>
        <w:rPr>
          <w:lang w:val="fr-FR"/>
        </w:rPr>
        <w:t xml:space="preserve">les </w:t>
      </w:r>
      <w:r w:rsidRPr="00016AD6">
        <w:rPr>
          <w:lang w:val="fr-FR"/>
        </w:rPr>
        <w:t>conséquences de l</w:t>
      </w:r>
      <w:r w:rsidR="004C5E26">
        <w:rPr>
          <w:lang w:val="fr-FR"/>
        </w:rPr>
        <w:t>’</w:t>
      </w:r>
      <w:r w:rsidRPr="00016AD6">
        <w:rPr>
          <w:lang w:val="fr-FR"/>
        </w:rPr>
        <w:t>élévation du niveau de la mer, pouvai</w:t>
      </w:r>
      <w:r>
        <w:rPr>
          <w:lang w:val="fr-FR"/>
        </w:rPr>
        <w:t>en</w:t>
      </w:r>
      <w:r w:rsidRPr="00016AD6">
        <w:rPr>
          <w:lang w:val="fr-FR"/>
        </w:rPr>
        <w:t>t être considérée</w:t>
      </w:r>
      <w:r>
        <w:rPr>
          <w:lang w:val="fr-FR"/>
        </w:rPr>
        <w:t>s</w:t>
      </w:r>
      <w:r w:rsidRPr="00016AD6">
        <w:rPr>
          <w:lang w:val="fr-FR"/>
        </w:rPr>
        <w:t xml:space="preserve"> comme une </w:t>
      </w:r>
      <w:r w:rsidRPr="00DA3B77">
        <w:rPr>
          <w:lang w:val="fr-FR"/>
        </w:rPr>
        <w:t>catastrophe au cas par cas.</w:t>
      </w:r>
    </w:p>
    <w:p w14:paraId="77010812" w14:textId="77777777" w:rsidR="00737BD1" w:rsidRPr="00016AD6" w:rsidRDefault="00737BD1" w:rsidP="00737BD1">
      <w:pPr>
        <w:pStyle w:val="H56G"/>
        <w:rPr>
          <w:i/>
          <w:lang w:val="fr-FR"/>
        </w:rPr>
      </w:pPr>
      <w:r w:rsidRPr="00016AD6">
        <w:rPr>
          <w:lang w:val="fr-FR"/>
        </w:rPr>
        <w:tab/>
      </w:r>
      <w:r w:rsidRPr="00F05213">
        <w:rPr>
          <w:lang w:val="fr-FR"/>
        </w:rPr>
        <w:t>b.</w:t>
      </w:r>
      <w:r w:rsidRPr="00F05213">
        <w:rPr>
          <w:lang w:val="fr-FR"/>
        </w:rPr>
        <w:tab/>
        <w:t>La dignité humaine comme principe cardinal</w:t>
      </w:r>
    </w:p>
    <w:p w14:paraId="7D9F7FD7" w14:textId="432A0366"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402.</w:t>
      </w:r>
      <w:r>
        <w:rPr>
          <w:rFonts w:asciiTheme="majorBidi" w:eastAsia="Calibri" w:hAnsiTheme="majorBidi"/>
          <w:lang w:val="fr-FR"/>
        </w:rPr>
        <w:tab/>
      </w:r>
      <w:r w:rsidRPr="00016AD6">
        <w:rPr>
          <w:rFonts w:asciiTheme="majorBidi" w:eastAsia="Calibri" w:hAnsiTheme="majorBidi"/>
          <w:lang w:val="fr-FR"/>
        </w:rPr>
        <w:t>Les membres du Groupe d</w:t>
      </w:r>
      <w:r w:rsidR="004C5E26">
        <w:rPr>
          <w:rFonts w:asciiTheme="majorBidi" w:eastAsia="Calibri" w:hAnsiTheme="majorBidi"/>
          <w:lang w:val="fr-FR"/>
        </w:rPr>
        <w:t>’</w:t>
      </w:r>
      <w:r w:rsidRPr="00016AD6">
        <w:rPr>
          <w:rFonts w:asciiTheme="majorBidi" w:eastAsia="Calibri" w:hAnsiTheme="majorBidi"/>
          <w:lang w:val="fr-FR"/>
        </w:rPr>
        <w:t>étude ont souscrit à la conclusion figurant dans la note complémentaire selon laquelle le respect de la dignité humaine devait servir de principe directeur dans toute mesure à prendre face à l</w:t>
      </w:r>
      <w:r w:rsidR="004C5E26">
        <w:rPr>
          <w:rFonts w:asciiTheme="majorBidi" w:eastAsia="Calibri" w:hAnsiTheme="majorBidi"/>
          <w:lang w:val="fr-FR"/>
        </w:rPr>
        <w:t>’</w:t>
      </w:r>
      <w:r w:rsidRPr="00016AD6">
        <w:rPr>
          <w:rFonts w:asciiTheme="majorBidi" w:eastAsia="Calibri" w:hAnsiTheme="majorBidi"/>
          <w:lang w:val="fr-FR"/>
        </w:rPr>
        <w:t>élévation du niveau de la mer. L</w:t>
      </w:r>
      <w:r w:rsidR="004C5E26">
        <w:rPr>
          <w:rFonts w:asciiTheme="majorBidi" w:eastAsia="Calibri" w:hAnsiTheme="majorBidi"/>
          <w:lang w:val="fr-FR"/>
        </w:rPr>
        <w:t>’</w:t>
      </w:r>
      <w:r w:rsidRPr="00016AD6">
        <w:rPr>
          <w:rFonts w:asciiTheme="majorBidi" w:eastAsia="Calibri" w:hAnsiTheme="majorBidi"/>
          <w:lang w:val="fr-FR"/>
        </w:rPr>
        <w:t>a</w:t>
      </w:r>
      <w:r>
        <w:rPr>
          <w:rFonts w:asciiTheme="majorBidi" w:eastAsia="Calibri" w:hAnsiTheme="majorBidi"/>
          <w:lang w:val="fr-FR"/>
        </w:rPr>
        <w:t>djectif</w:t>
      </w:r>
      <w:r w:rsidRPr="00016AD6">
        <w:rPr>
          <w:rFonts w:asciiTheme="majorBidi" w:eastAsia="Calibri" w:hAnsiTheme="majorBidi"/>
          <w:lang w:val="fr-FR"/>
        </w:rPr>
        <w:t xml:space="preserve"> « supérieur » </w:t>
      </w:r>
      <w:r>
        <w:rPr>
          <w:rFonts w:asciiTheme="majorBidi" w:eastAsia="Calibri" w:hAnsiTheme="majorBidi"/>
          <w:lang w:val="fr-FR"/>
        </w:rPr>
        <w:t xml:space="preserve">employé dans </w:t>
      </w:r>
      <w:r w:rsidRPr="00016AD6">
        <w:rPr>
          <w:rFonts w:asciiTheme="majorBidi" w:eastAsia="Calibri" w:hAnsiTheme="majorBidi"/>
          <w:lang w:val="fr-FR"/>
        </w:rPr>
        <w:t xml:space="preserve">la note complémentaire </w:t>
      </w:r>
      <w:r>
        <w:rPr>
          <w:rFonts w:asciiTheme="majorBidi" w:eastAsia="Calibri" w:hAnsiTheme="majorBidi"/>
          <w:lang w:val="fr-FR"/>
        </w:rPr>
        <w:t xml:space="preserve">pour qualifier ce principe </w:t>
      </w:r>
      <w:r w:rsidRPr="00016AD6">
        <w:rPr>
          <w:rFonts w:asciiTheme="majorBidi" w:eastAsia="Calibri" w:hAnsiTheme="majorBidi"/>
          <w:lang w:val="fr-FR"/>
        </w:rPr>
        <w:t xml:space="preserve">devait </w:t>
      </w:r>
      <w:r>
        <w:rPr>
          <w:rFonts w:asciiTheme="majorBidi" w:eastAsia="Calibri" w:hAnsiTheme="majorBidi"/>
          <w:lang w:val="fr-FR"/>
        </w:rPr>
        <w:t>s</w:t>
      </w:r>
      <w:r w:rsidR="004C5E26">
        <w:rPr>
          <w:rFonts w:asciiTheme="majorBidi" w:eastAsia="Calibri" w:hAnsiTheme="majorBidi"/>
          <w:lang w:val="fr-FR"/>
        </w:rPr>
        <w:t>’</w:t>
      </w:r>
      <w:r>
        <w:rPr>
          <w:rFonts w:asciiTheme="majorBidi" w:eastAsia="Calibri" w:hAnsiTheme="majorBidi"/>
          <w:lang w:val="fr-FR"/>
        </w:rPr>
        <w:t xml:space="preserve">entendre </w:t>
      </w:r>
      <w:r w:rsidRPr="00016AD6">
        <w:rPr>
          <w:rFonts w:asciiTheme="majorBidi" w:eastAsia="Calibri" w:hAnsiTheme="majorBidi"/>
          <w:lang w:val="fr-FR"/>
        </w:rPr>
        <w:t>comme signifiant qu</w:t>
      </w:r>
      <w:r w:rsidR="004C5E26">
        <w:rPr>
          <w:rFonts w:asciiTheme="majorBidi" w:eastAsia="Calibri" w:hAnsiTheme="majorBidi"/>
          <w:lang w:val="fr-FR"/>
        </w:rPr>
        <w:t>’</w:t>
      </w:r>
      <w:r>
        <w:rPr>
          <w:rFonts w:asciiTheme="majorBidi" w:eastAsia="Calibri" w:hAnsiTheme="majorBidi"/>
          <w:lang w:val="fr-FR"/>
        </w:rPr>
        <w:t xml:space="preserve">il </w:t>
      </w:r>
      <w:r w:rsidRPr="0053665C">
        <w:rPr>
          <w:rFonts w:asciiTheme="majorBidi" w:eastAsia="Calibri" w:hAnsiTheme="majorBidi"/>
          <w:lang w:val="fr-FR"/>
        </w:rPr>
        <w:t>avait influencé voire fondé divers instruments internationaux. On a donné des exemples tirés d</w:t>
      </w:r>
      <w:r w:rsidR="004C5E26">
        <w:rPr>
          <w:rFonts w:asciiTheme="majorBidi" w:eastAsia="Calibri" w:hAnsiTheme="majorBidi"/>
          <w:lang w:val="fr-FR"/>
        </w:rPr>
        <w:t>’</w:t>
      </w:r>
      <w:r w:rsidRPr="0053665C">
        <w:rPr>
          <w:rFonts w:asciiTheme="majorBidi" w:eastAsia="Calibri" w:hAnsiTheme="majorBidi"/>
          <w:lang w:val="fr-FR"/>
        </w:rPr>
        <w:t>accords</w:t>
      </w:r>
      <w:r w:rsidRPr="00016AD6">
        <w:rPr>
          <w:rFonts w:asciiTheme="majorBidi" w:eastAsia="Calibri" w:hAnsiTheme="majorBidi"/>
          <w:lang w:val="fr-FR"/>
        </w:rPr>
        <w:t xml:space="preserve"> internationaux et de la jurisprudence internationale reflétant les principes de la dignité humaine et d</w:t>
      </w:r>
      <w:r w:rsidR="004C5E26">
        <w:rPr>
          <w:rFonts w:asciiTheme="majorBidi" w:eastAsia="Calibri" w:hAnsiTheme="majorBidi"/>
          <w:lang w:val="fr-FR"/>
        </w:rPr>
        <w:t>’</w:t>
      </w:r>
      <w:r w:rsidRPr="00016AD6">
        <w:rPr>
          <w:rFonts w:asciiTheme="majorBidi" w:eastAsia="Calibri" w:hAnsiTheme="majorBidi"/>
          <w:lang w:val="fr-FR"/>
        </w:rPr>
        <w:t xml:space="preserve">humanité. Certains membres ont fait valoir que la dignité humaine était un concept </w:t>
      </w:r>
      <w:r>
        <w:rPr>
          <w:rFonts w:asciiTheme="majorBidi" w:eastAsia="Calibri" w:hAnsiTheme="majorBidi"/>
          <w:lang w:val="fr-FR"/>
        </w:rPr>
        <w:t xml:space="preserve">trop </w:t>
      </w:r>
      <w:r w:rsidRPr="00016AD6">
        <w:rPr>
          <w:rFonts w:asciiTheme="majorBidi" w:eastAsia="Calibri" w:hAnsiTheme="majorBidi"/>
          <w:lang w:val="fr-FR"/>
        </w:rPr>
        <w:t>général et se sont demandé s</w:t>
      </w:r>
      <w:r w:rsidR="004C5E26">
        <w:rPr>
          <w:rFonts w:asciiTheme="majorBidi" w:eastAsia="Calibri" w:hAnsiTheme="majorBidi"/>
          <w:lang w:val="fr-FR"/>
        </w:rPr>
        <w:t>’</w:t>
      </w:r>
      <w:r w:rsidRPr="00016AD6">
        <w:rPr>
          <w:rFonts w:asciiTheme="majorBidi" w:eastAsia="Calibri" w:hAnsiTheme="majorBidi"/>
          <w:lang w:val="fr-FR"/>
        </w:rPr>
        <w:t>il pouvait être utile en pratique. On a suggéré que le Groupe d</w:t>
      </w:r>
      <w:r w:rsidR="004C5E26">
        <w:rPr>
          <w:rFonts w:asciiTheme="majorBidi" w:eastAsia="Calibri" w:hAnsiTheme="majorBidi"/>
          <w:lang w:val="fr-FR"/>
        </w:rPr>
        <w:t>’</w:t>
      </w:r>
      <w:r w:rsidRPr="00016AD6">
        <w:rPr>
          <w:rFonts w:asciiTheme="majorBidi" w:eastAsia="Calibri" w:hAnsiTheme="majorBidi"/>
          <w:lang w:val="fr-FR"/>
        </w:rPr>
        <w:t xml:space="preserve">étude détermine la valeur normative et les fonctions de ce principe pour le rendre opérationnel. Certains membres ont aussi </w:t>
      </w:r>
      <w:r>
        <w:rPr>
          <w:rFonts w:asciiTheme="majorBidi" w:eastAsia="Calibri" w:hAnsiTheme="majorBidi"/>
          <w:lang w:val="fr-FR"/>
        </w:rPr>
        <w:t>fait observer</w:t>
      </w:r>
      <w:r w:rsidRPr="00016AD6">
        <w:rPr>
          <w:rFonts w:asciiTheme="majorBidi" w:eastAsia="Calibri" w:hAnsiTheme="majorBidi"/>
          <w:lang w:val="fr-FR"/>
        </w:rPr>
        <w:t xml:space="preserve"> que le principe de la dignité humaine soulevait la question de l</w:t>
      </w:r>
      <w:r w:rsidR="004C5E26">
        <w:rPr>
          <w:rFonts w:asciiTheme="majorBidi" w:eastAsia="Calibri" w:hAnsiTheme="majorBidi"/>
          <w:lang w:val="fr-FR"/>
        </w:rPr>
        <w:t>’</w:t>
      </w:r>
      <w:r w:rsidRPr="00016AD6">
        <w:rPr>
          <w:rFonts w:asciiTheme="majorBidi" w:eastAsia="Calibri" w:hAnsiTheme="majorBidi"/>
          <w:lang w:val="fr-FR"/>
        </w:rPr>
        <w:t>application extraterritoriale des droits de l</w:t>
      </w:r>
      <w:r w:rsidR="004C5E26">
        <w:rPr>
          <w:rFonts w:asciiTheme="majorBidi" w:eastAsia="Calibri" w:hAnsiTheme="majorBidi"/>
          <w:lang w:val="fr-FR"/>
        </w:rPr>
        <w:t>’</w:t>
      </w:r>
      <w:r w:rsidRPr="00016AD6">
        <w:rPr>
          <w:rFonts w:asciiTheme="majorBidi" w:eastAsia="Calibri" w:hAnsiTheme="majorBidi"/>
          <w:lang w:val="fr-FR"/>
        </w:rPr>
        <w:t>homme</w:t>
      </w:r>
      <w:r w:rsidRPr="00016AD6">
        <w:rPr>
          <w:rFonts w:asciiTheme="majorBidi" w:hAnsiTheme="majorBidi"/>
          <w:lang w:val="fr-FR"/>
        </w:rPr>
        <w:t xml:space="preserve">. </w:t>
      </w:r>
    </w:p>
    <w:p w14:paraId="6AF84B1F" w14:textId="50960AC0" w:rsidR="00737BD1" w:rsidRPr="00016AD6" w:rsidRDefault="00737BD1" w:rsidP="00737BD1">
      <w:pPr>
        <w:pStyle w:val="H56G"/>
        <w:rPr>
          <w:i/>
          <w:lang w:val="fr-FR"/>
        </w:rPr>
      </w:pPr>
      <w:r w:rsidRPr="00016AD6">
        <w:rPr>
          <w:lang w:val="fr-FR"/>
        </w:rPr>
        <w:tab/>
        <w:t>c.</w:t>
      </w:r>
      <w:r w:rsidRPr="00016AD6">
        <w:rPr>
          <w:lang w:val="fr-FR"/>
        </w:rPr>
        <w:tab/>
      </w:r>
      <w:r w:rsidRPr="007B70E0">
        <w:t>Combinaison</w:t>
      </w:r>
      <w:r w:rsidRPr="00016AD6">
        <w:rPr>
          <w:lang w:val="fr-FR"/>
        </w:rPr>
        <w:t xml:space="preserve"> </w:t>
      </w:r>
      <w:r>
        <w:rPr>
          <w:lang w:val="fr-FR"/>
        </w:rPr>
        <w:t>d</w:t>
      </w:r>
      <w:r w:rsidR="004C5E26">
        <w:rPr>
          <w:lang w:val="fr-FR"/>
        </w:rPr>
        <w:t>’</w:t>
      </w:r>
      <w:r>
        <w:rPr>
          <w:lang w:val="fr-FR"/>
        </w:rPr>
        <w:t>une</w:t>
      </w:r>
      <w:r w:rsidRPr="00016AD6">
        <w:rPr>
          <w:lang w:val="fr-FR"/>
        </w:rPr>
        <w:t xml:space="preserve"> approche fondée sur les besoins et </w:t>
      </w:r>
      <w:r>
        <w:rPr>
          <w:lang w:val="fr-FR"/>
        </w:rPr>
        <w:t>d</w:t>
      </w:r>
      <w:r w:rsidR="004C5E26">
        <w:rPr>
          <w:lang w:val="fr-FR"/>
        </w:rPr>
        <w:t>’</w:t>
      </w:r>
      <w:r>
        <w:rPr>
          <w:lang w:val="fr-FR"/>
        </w:rPr>
        <w:t>une</w:t>
      </w:r>
      <w:r w:rsidRPr="00016AD6">
        <w:rPr>
          <w:lang w:val="fr-FR"/>
        </w:rPr>
        <w:t xml:space="preserve"> approche fondée sur les droits </w:t>
      </w:r>
    </w:p>
    <w:p w14:paraId="5266D361" w14:textId="0F1E3B41"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403.</w:t>
      </w:r>
      <w:r>
        <w:rPr>
          <w:rFonts w:asciiTheme="majorBidi" w:eastAsia="Calibri" w:hAnsiTheme="majorBidi"/>
          <w:lang w:val="fr-FR"/>
        </w:rPr>
        <w:tab/>
        <w:t xml:space="preserve">On a souscrit </w:t>
      </w:r>
      <w:r w:rsidRPr="00016AD6">
        <w:rPr>
          <w:rFonts w:asciiTheme="majorBidi" w:eastAsia="Calibri" w:hAnsiTheme="majorBidi"/>
          <w:lang w:val="fr-FR"/>
        </w:rPr>
        <w:t>aux conclusions figurant dans la note complémentaire sur la combinaison d</w:t>
      </w:r>
      <w:r w:rsidR="004C5E26">
        <w:rPr>
          <w:rFonts w:asciiTheme="majorBidi" w:eastAsia="Calibri" w:hAnsiTheme="majorBidi"/>
          <w:lang w:val="fr-FR"/>
        </w:rPr>
        <w:t>’</w:t>
      </w:r>
      <w:r w:rsidRPr="00016AD6">
        <w:rPr>
          <w:rFonts w:asciiTheme="majorBidi" w:eastAsia="Calibri" w:hAnsiTheme="majorBidi"/>
          <w:lang w:val="fr-FR"/>
        </w:rPr>
        <w:t>une approche fondée sur les besoins et d</w:t>
      </w:r>
      <w:r w:rsidR="004C5E26">
        <w:rPr>
          <w:rFonts w:asciiTheme="majorBidi" w:eastAsia="Calibri" w:hAnsiTheme="majorBidi"/>
          <w:lang w:val="fr-FR"/>
        </w:rPr>
        <w:t>’</w:t>
      </w:r>
      <w:r w:rsidRPr="00016AD6">
        <w:rPr>
          <w:rFonts w:asciiTheme="majorBidi" w:eastAsia="Calibri" w:hAnsiTheme="majorBidi"/>
          <w:lang w:val="fr-FR"/>
        </w:rPr>
        <w:t>une approche fondée sur le</w:t>
      </w:r>
      <w:r>
        <w:rPr>
          <w:rFonts w:asciiTheme="majorBidi" w:eastAsia="Calibri" w:hAnsiTheme="majorBidi"/>
          <w:lang w:val="fr-FR"/>
        </w:rPr>
        <w:t>s</w:t>
      </w:r>
      <w:r w:rsidRPr="00016AD6">
        <w:rPr>
          <w:rFonts w:asciiTheme="majorBidi" w:eastAsia="Calibri" w:hAnsiTheme="majorBidi"/>
          <w:lang w:val="fr-FR"/>
        </w:rPr>
        <w:t xml:space="preserve"> droit</w:t>
      </w:r>
      <w:r>
        <w:rPr>
          <w:rFonts w:asciiTheme="majorBidi" w:eastAsia="Calibri" w:hAnsiTheme="majorBidi"/>
          <w:lang w:val="fr-FR"/>
        </w:rPr>
        <w:t>s</w:t>
      </w:r>
      <w:r w:rsidRPr="00016AD6">
        <w:rPr>
          <w:rFonts w:asciiTheme="majorBidi" w:eastAsia="Calibri" w:hAnsiTheme="majorBidi"/>
          <w:lang w:val="fr-FR"/>
        </w:rPr>
        <w:t xml:space="preserve"> comme fondement de la </w:t>
      </w:r>
      <w:r w:rsidRPr="00016AD6">
        <w:rPr>
          <w:rFonts w:asciiTheme="majorBidi" w:hAnsiTheme="majorBidi"/>
          <w:lang w:val="fr-FR"/>
        </w:rPr>
        <w:t xml:space="preserve">protection des personnes touchées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w:t>
      </w:r>
      <w:r w:rsidRPr="00016AD6">
        <w:rPr>
          <w:rFonts w:asciiTheme="majorBidi" w:hAnsiTheme="majorBidi"/>
          <w:lang w:val="fr-FR"/>
        </w:rPr>
        <w:t>. Plusieurs membres ont souligné que ces approches ne s</w:t>
      </w:r>
      <w:r w:rsidR="004C5E26">
        <w:rPr>
          <w:rFonts w:asciiTheme="majorBidi" w:hAnsiTheme="majorBidi"/>
          <w:lang w:val="fr-FR"/>
        </w:rPr>
        <w:t>’</w:t>
      </w:r>
      <w:r w:rsidRPr="00016AD6">
        <w:rPr>
          <w:rFonts w:asciiTheme="majorBidi" w:hAnsiTheme="majorBidi"/>
          <w:lang w:val="fr-FR"/>
        </w:rPr>
        <w:t>excluaient pas mutuellement et qu</w:t>
      </w:r>
      <w:r w:rsidR="004C5E26">
        <w:rPr>
          <w:rFonts w:asciiTheme="majorBidi" w:hAnsiTheme="majorBidi"/>
          <w:lang w:val="fr-FR"/>
        </w:rPr>
        <w:t>’</w:t>
      </w:r>
      <w:r w:rsidRPr="00016AD6">
        <w:rPr>
          <w:rFonts w:asciiTheme="majorBidi" w:hAnsiTheme="majorBidi"/>
          <w:lang w:val="fr-FR"/>
        </w:rPr>
        <w:t>il n</w:t>
      </w:r>
      <w:r w:rsidR="004C5E26">
        <w:rPr>
          <w:rFonts w:asciiTheme="majorBidi" w:hAnsiTheme="majorBidi"/>
          <w:lang w:val="fr-FR"/>
        </w:rPr>
        <w:t>’</w:t>
      </w:r>
      <w:r w:rsidRPr="00016AD6">
        <w:rPr>
          <w:rFonts w:asciiTheme="majorBidi" w:hAnsiTheme="majorBidi"/>
          <w:lang w:val="fr-FR"/>
        </w:rPr>
        <w:t xml:space="preserve">était donc pas nécessaire de </w:t>
      </w:r>
      <w:r>
        <w:rPr>
          <w:rFonts w:asciiTheme="majorBidi" w:hAnsiTheme="majorBidi"/>
          <w:lang w:val="fr-FR"/>
        </w:rPr>
        <w:t xml:space="preserve">rechercher </w:t>
      </w:r>
      <w:r w:rsidRPr="00016AD6">
        <w:rPr>
          <w:rFonts w:asciiTheme="majorBidi" w:hAnsiTheme="majorBidi"/>
          <w:lang w:val="fr-FR"/>
        </w:rPr>
        <w:t>un compromis en la matière. On a toutefois demandé comment l</w:t>
      </w:r>
      <w:r w:rsidR="004C5E26">
        <w:rPr>
          <w:rFonts w:asciiTheme="majorBidi" w:hAnsiTheme="majorBidi"/>
          <w:lang w:val="fr-FR"/>
        </w:rPr>
        <w:t>’</w:t>
      </w:r>
      <w:r w:rsidRPr="00016AD6">
        <w:rPr>
          <w:rFonts w:asciiTheme="majorBidi" w:hAnsiTheme="majorBidi"/>
          <w:lang w:val="fr-FR"/>
        </w:rPr>
        <w:t>approche fondée sur les besoins pouvait être quantifiée. On a fait observer que les origines du statut juridique de l</w:t>
      </w:r>
      <w:r w:rsidR="004C5E26">
        <w:rPr>
          <w:rFonts w:asciiTheme="majorBidi" w:hAnsiTheme="majorBidi"/>
          <w:lang w:val="fr-FR"/>
        </w:rPr>
        <w:t>’</w:t>
      </w:r>
      <w:r w:rsidRPr="00016AD6">
        <w:rPr>
          <w:rFonts w:asciiTheme="majorBidi" w:hAnsiTheme="majorBidi"/>
          <w:lang w:val="fr-FR"/>
        </w:rPr>
        <w:t>approche fondée sur les besoins et sa relation avec les droits de l</w:t>
      </w:r>
      <w:r w:rsidR="004C5E26">
        <w:rPr>
          <w:rFonts w:asciiTheme="majorBidi" w:hAnsiTheme="majorBidi"/>
          <w:lang w:val="fr-FR"/>
        </w:rPr>
        <w:t>’</w:t>
      </w:r>
      <w:r w:rsidRPr="00016AD6">
        <w:rPr>
          <w:rFonts w:asciiTheme="majorBidi" w:hAnsiTheme="majorBidi"/>
          <w:lang w:val="fr-FR"/>
        </w:rPr>
        <w:t>homme n</w:t>
      </w:r>
      <w:r w:rsidR="004C5E26">
        <w:rPr>
          <w:rFonts w:asciiTheme="majorBidi" w:hAnsiTheme="majorBidi"/>
          <w:lang w:val="fr-FR"/>
        </w:rPr>
        <w:t>’</w:t>
      </w:r>
      <w:r w:rsidRPr="00016AD6">
        <w:rPr>
          <w:rFonts w:asciiTheme="majorBidi" w:hAnsiTheme="majorBidi"/>
          <w:lang w:val="fr-FR"/>
        </w:rPr>
        <w:t xml:space="preserve">étaient pas totalement claires et devaient être examinées plus avant. On a aussi fait </w:t>
      </w:r>
      <w:r>
        <w:rPr>
          <w:rFonts w:asciiTheme="majorBidi" w:hAnsiTheme="majorBidi"/>
          <w:lang w:val="fr-FR"/>
        </w:rPr>
        <w:t>observer</w:t>
      </w:r>
      <w:r w:rsidRPr="00016AD6">
        <w:rPr>
          <w:rFonts w:asciiTheme="majorBidi" w:hAnsiTheme="majorBidi"/>
          <w:lang w:val="fr-FR"/>
        </w:rPr>
        <w:t xml:space="preserve"> qu</w:t>
      </w:r>
      <w:r w:rsidR="004C5E26">
        <w:rPr>
          <w:rFonts w:asciiTheme="majorBidi" w:hAnsiTheme="majorBidi"/>
          <w:lang w:val="fr-FR"/>
        </w:rPr>
        <w:t>’</w:t>
      </w:r>
      <w:r w:rsidRPr="00016AD6">
        <w:rPr>
          <w:rFonts w:asciiTheme="majorBidi" w:hAnsiTheme="majorBidi"/>
          <w:lang w:val="fr-FR"/>
        </w:rPr>
        <w:t>il existait un risque d</w:t>
      </w:r>
      <w:r w:rsidR="004C5E26">
        <w:rPr>
          <w:rFonts w:asciiTheme="majorBidi" w:hAnsiTheme="majorBidi"/>
          <w:lang w:val="fr-FR"/>
        </w:rPr>
        <w:t>’</w:t>
      </w:r>
      <w:r w:rsidRPr="00016AD6">
        <w:rPr>
          <w:rFonts w:asciiTheme="majorBidi" w:hAnsiTheme="majorBidi"/>
          <w:lang w:val="fr-FR"/>
        </w:rPr>
        <w:t xml:space="preserve">amalgame entre les questions politiques complexes concernant les besoins et les droits et obligations juridiques. On a </w:t>
      </w:r>
      <w:r>
        <w:rPr>
          <w:rFonts w:asciiTheme="majorBidi" w:hAnsiTheme="majorBidi"/>
          <w:lang w:val="fr-FR"/>
        </w:rPr>
        <w:t>fait remarquer</w:t>
      </w:r>
      <w:r w:rsidRPr="00016AD6">
        <w:rPr>
          <w:rFonts w:asciiTheme="majorBidi" w:hAnsiTheme="majorBidi"/>
          <w:lang w:val="fr-FR"/>
        </w:rPr>
        <w:t xml:space="preserve"> que </w:t>
      </w:r>
      <w:r>
        <w:rPr>
          <w:rFonts w:asciiTheme="majorBidi" w:hAnsiTheme="majorBidi"/>
          <w:lang w:val="fr-FR"/>
        </w:rPr>
        <w:t xml:space="preserve">brouiller la distinction </w:t>
      </w:r>
      <w:r w:rsidRPr="00016AD6">
        <w:rPr>
          <w:rFonts w:asciiTheme="majorBidi" w:hAnsiTheme="majorBidi"/>
          <w:lang w:val="fr-FR"/>
        </w:rPr>
        <w:t xml:space="preserve">entre droits et obligations juridiques et </w:t>
      </w:r>
      <w:r w:rsidRPr="00457632">
        <w:rPr>
          <w:rFonts w:asciiTheme="majorBidi" w:hAnsiTheme="majorBidi"/>
          <w:lang w:val="fr-FR"/>
        </w:rPr>
        <w:t>questions politiques</w:t>
      </w:r>
      <w:r w:rsidRPr="00016AD6">
        <w:rPr>
          <w:rFonts w:asciiTheme="majorBidi" w:hAnsiTheme="majorBidi"/>
          <w:lang w:val="fr-FR"/>
        </w:rPr>
        <w:t xml:space="preserve"> </w:t>
      </w:r>
      <w:r>
        <w:rPr>
          <w:rFonts w:asciiTheme="majorBidi" w:hAnsiTheme="majorBidi"/>
          <w:lang w:val="fr-FR"/>
        </w:rPr>
        <w:t>risquait d</w:t>
      </w:r>
      <w:r w:rsidR="004C5E26">
        <w:rPr>
          <w:rFonts w:asciiTheme="majorBidi" w:hAnsiTheme="majorBidi"/>
          <w:lang w:val="fr-FR"/>
        </w:rPr>
        <w:t>’</w:t>
      </w:r>
      <w:r w:rsidRPr="00016AD6">
        <w:rPr>
          <w:rFonts w:asciiTheme="majorBidi" w:hAnsiTheme="majorBidi"/>
          <w:lang w:val="fr-FR"/>
        </w:rPr>
        <w:t xml:space="preserve">affaiblir </w:t>
      </w:r>
      <w:r>
        <w:rPr>
          <w:rFonts w:asciiTheme="majorBidi" w:hAnsiTheme="majorBidi"/>
          <w:lang w:val="fr-FR"/>
        </w:rPr>
        <w:t>ces droits et obligations</w:t>
      </w:r>
      <w:r w:rsidRPr="00016AD6">
        <w:rPr>
          <w:rFonts w:asciiTheme="majorBidi" w:hAnsiTheme="majorBidi"/>
          <w:lang w:val="fr-FR"/>
        </w:rPr>
        <w:t xml:space="preserve">. Il a été proposé de suivre une approche </w:t>
      </w:r>
      <w:r>
        <w:rPr>
          <w:rFonts w:asciiTheme="majorBidi" w:hAnsiTheme="majorBidi"/>
          <w:lang w:val="fr-FR"/>
        </w:rPr>
        <w:t xml:space="preserve">axée </w:t>
      </w:r>
      <w:r w:rsidRPr="00016AD6">
        <w:rPr>
          <w:rFonts w:asciiTheme="majorBidi" w:hAnsiTheme="majorBidi"/>
          <w:lang w:val="fr-FR"/>
        </w:rPr>
        <w:t xml:space="preserve">sur les capacités pour tenir compte des ressources et capacités des États </w:t>
      </w:r>
      <w:r>
        <w:rPr>
          <w:rFonts w:asciiTheme="majorBidi" w:hAnsiTheme="majorBidi"/>
          <w:lang w:val="fr-FR"/>
        </w:rPr>
        <w:t xml:space="preserve">touchés </w:t>
      </w:r>
      <w:r w:rsidRPr="00016AD6">
        <w:rPr>
          <w:rFonts w:asciiTheme="majorBidi" w:hAnsiTheme="majorBidi"/>
          <w:lang w:val="fr-FR"/>
        </w:rPr>
        <w:t>comme des États prêtant assistance.</w:t>
      </w:r>
    </w:p>
    <w:p w14:paraId="4DC81877" w14:textId="7CC71E55" w:rsidR="00737BD1" w:rsidRPr="00016AD6" w:rsidRDefault="00737BD1" w:rsidP="00737BD1">
      <w:pPr>
        <w:pStyle w:val="H56G"/>
        <w:rPr>
          <w:i/>
          <w:lang w:val="fr-FR"/>
        </w:rPr>
      </w:pPr>
      <w:r w:rsidRPr="00016AD6">
        <w:rPr>
          <w:lang w:val="fr-FR"/>
        </w:rPr>
        <w:tab/>
        <w:t>d.</w:t>
      </w:r>
      <w:r w:rsidRPr="00016AD6">
        <w:rPr>
          <w:lang w:val="fr-FR"/>
        </w:rPr>
        <w:tab/>
        <w:t xml:space="preserve">Obligations générales en matière de droits de </w:t>
      </w:r>
      <w:r>
        <w:rPr>
          <w:lang w:val="fr-FR"/>
        </w:rPr>
        <w:t>l</w:t>
      </w:r>
      <w:r w:rsidR="004C5E26">
        <w:rPr>
          <w:lang w:val="fr-FR"/>
        </w:rPr>
        <w:t>’</w:t>
      </w:r>
      <w:r w:rsidRPr="00016AD6">
        <w:rPr>
          <w:lang w:val="fr-FR"/>
        </w:rPr>
        <w:t>homme</w:t>
      </w:r>
    </w:p>
    <w:p w14:paraId="105F5A1C" w14:textId="2A76E036" w:rsidR="00737BD1" w:rsidRPr="00016AD6" w:rsidRDefault="00737BD1" w:rsidP="00546FC9">
      <w:pPr>
        <w:pStyle w:val="SingleTxtG"/>
        <w:rPr>
          <w:rFonts w:asciiTheme="majorBidi" w:eastAsia="Calibri" w:hAnsiTheme="majorBidi"/>
          <w:lang w:val="fr-FR"/>
        </w:rPr>
      </w:pPr>
      <w:r>
        <w:rPr>
          <w:rFonts w:asciiTheme="majorBidi" w:eastAsia="Calibri" w:hAnsiTheme="majorBidi"/>
          <w:lang w:val="fr-FR"/>
        </w:rPr>
        <w:t>40</w:t>
      </w:r>
      <w:r w:rsidRPr="0053665C">
        <w:rPr>
          <w:rFonts w:asciiTheme="majorBidi" w:eastAsia="Calibri" w:hAnsiTheme="majorBidi"/>
          <w:lang w:val="fr-FR"/>
        </w:rPr>
        <w:t>4.</w:t>
      </w:r>
      <w:r w:rsidRPr="0053665C">
        <w:rPr>
          <w:rFonts w:asciiTheme="majorBidi" w:eastAsia="Calibri" w:hAnsiTheme="majorBidi"/>
          <w:lang w:val="fr-FR"/>
        </w:rPr>
        <w:tab/>
        <w:t>Les membres du Groupe d</w:t>
      </w:r>
      <w:r w:rsidR="004C5E26">
        <w:rPr>
          <w:rFonts w:asciiTheme="majorBidi" w:eastAsia="Calibri" w:hAnsiTheme="majorBidi"/>
          <w:lang w:val="fr-FR"/>
        </w:rPr>
        <w:t>’</w:t>
      </w:r>
      <w:r w:rsidRPr="0053665C">
        <w:rPr>
          <w:rFonts w:asciiTheme="majorBidi" w:eastAsia="Calibri" w:hAnsiTheme="majorBidi"/>
          <w:lang w:val="fr-FR"/>
        </w:rPr>
        <w:t>étude ont relevé l</w:t>
      </w:r>
      <w:r w:rsidR="004C5E26">
        <w:rPr>
          <w:rFonts w:asciiTheme="majorBidi" w:eastAsia="Calibri" w:hAnsiTheme="majorBidi"/>
          <w:lang w:val="fr-FR"/>
        </w:rPr>
        <w:t>’</w:t>
      </w:r>
      <w:r w:rsidRPr="0053665C">
        <w:rPr>
          <w:rFonts w:asciiTheme="majorBidi" w:eastAsia="Calibri" w:hAnsiTheme="majorBidi"/>
          <w:lang w:val="fr-FR"/>
        </w:rPr>
        <w:t>importance des obligations générales en matière de droits de l</w:t>
      </w:r>
      <w:r w:rsidR="004C5E26">
        <w:rPr>
          <w:rFonts w:asciiTheme="majorBidi" w:eastAsia="Calibri" w:hAnsiTheme="majorBidi"/>
          <w:lang w:val="fr-FR"/>
        </w:rPr>
        <w:t>’</w:t>
      </w:r>
      <w:r w:rsidRPr="0053665C">
        <w:rPr>
          <w:rFonts w:asciiTheme="majorBidi" w:eastAsia="Calibri" w:hAnsiTheme="majorBidi"/>
          <w:lang w:val="fr-FR"/>
        </w:rPr>
        <w:t>homme dans le contexte de la protection des personnes touchées, y compris par l</w:t>
      </w:r>
      <w:r w:rsidR="004C5E26">
        <w:rPr>
          <w:rFonts w:asciiTheme="majorBidi" w:eastAsia="Calibri" w:hAnsiTheme="majorBidi"/>
          <w:lang w:val="fr-FR"/>
        </w:rPr>
        <w:t>’</w:t>
      </w:r>
      <w:r w:rsidRPr="0053665C">
        <w:rPr>
          <w:rFonts w:asciiTheme="majorBidi" w:eastAsia="Calibri" w:hAnsiTheme="majorBidi"/>
          <w:lang w:val="fr-FR"/>
        </w:rPr>
        <w:t>élévation du niveau de la mer. Certains membres ont souligné que les droits civils et politiques étaient applicables, notamment le droit à la vie, le droit de ne pas être soumis à la torture ou à d</w:t>
      </w:r>
      <w:r w:rsidR="004C5E26">
        <w:rPr>
          <w:rFonts w:asciiTheme="majorBidi" w:eastAsia="Calibri" w:hAnsiTheme="majorBidi"/>
          <w:lang w:val="fr-FR"/>
        </w:rPr>
        <w:t>’</w:t>
      </w:r>
      <w:r w:rsidRPr="0053665C">
        <w:rPr>
          <w:rFonts w:asciiTheme="majorBidi" w:eastAsia="Calibri" w:hAnsiTheme="majorBidi"/>
          <w:lang w:val="fr-FR"/>
        </w:rPr>
        <w:t>autres peines ou traitements cruels, inhumains ou dégradants</w:t>
      </w:r>
      <w:r w:rsidRPr="00016AD6">
        <w:rPr>
          <w:rFonts w:asciiTheme="majorBidi" w:eastAsia="Calibri" w:hAnsiTheme="majorBidi"/>
          <w:lang w:val="fr-FR"/>
        </w:rPr>
        <w:t xml:space="preserve"> et le droit de propriété. Selon une opinion, le Groupe d</w:t>
      </w:r>
      <w:r w:rsidR="004C5E26">
        <w:rPr>
          <w:rFonts w:asciiTheme="majorBidi" w:eastAsia="Calibri" w:hAnsiTheme="majorBidi"/>
          <w:lang w:val="fr-FR"/>
        </w:rPr>
        <w:t>’</w:t>
      </w:r>
      <w:r w:rsidRPr="00016AD6">
        <w:rPr>
          <w:rFonts w:asciiTheme="majorBidi" w:eastAsia="Calibri" w:hAnsiTheme="majorBidi"/>
          <w:lang w:val="fr-FR"/>
        </w:rPr>
        <w:t xml:space="preserve">étude devait tenir compte en priorité des droits économiques, sociaux et culturels, </w:t>
      </w:r>
      <w:r>
        <w:rPr>
          <w:rFonts w:asciiTheme="majorBidi" w:eastAsia="Calibri" w:hAnsiTheme="majorBidi"/>
          <w:lang w:val="fr-FR"/>
        </w:rPr>
        <w:t xml:space="preserve">car ils </w:t>
      </w:r>
      <w:r w:rsidRPr="00016AD6">
        <w:rPr>
          <w:rFonts w:asciiTheme="majorBidi" w:eastAsia="Calibri" w:hAnsiTheme="majorBidi"/>
          <w:lang w:val="fr-FR"/>
        </w:rPr>
        <w:t>étaient le plus susceptibles d</w:t>
      </w:r>
      <w:r w:rsidR="004C5E26">
        <w:rPr>
          <w:rFonts w:asciiTheme="majorBidi" w:eastAsia="Calibri" w:hAnsiTheme="majorBidi"/>
          <w:lang w:val="fr-FR"/>
        </w:rPr>
        <w:t>’</w:t>
      </w:r>
      <w:r w:rsidRPr="00016AD6">
        <w:rPr>
          <w:rFonts w:asciiTheme="majorBidi" w:eastAsia="Calibri" w:hAnsiTheme="majorBidi"/>
          <w:lang w:val="fr-FR"/>
        </w:rPr>
        <w:t xml:space="preserve">être touchés. Selon une autre opinion, il était préférable </w:t>
      </w:r>
      <w:r>
        <w:rPr>
          <w:rFonts w:asciiTheme="majorBidi" w:eastAsia="Calibri" w:hAnsiTheme="majorBidi"/>
          <w:lang w:val="fr-FR"/>
        </w:rPr>
        <w:t xml:space="preserve">de ne pas </w:t>
      </w:r>
      <w:r w:rsidRPr="00016AD6">
        <w:rPr>
          <w:rFonts w:asciiTheme="majorBidi" w:eastAsia="Calibri" w:hAnsiTheme="majorBidi"/>
          <w:lang w:val="fr-FR"/>
        </w:rPr>
        <w:t xml:space="preserve">établir </w:t>
      </w:r>
      <w:r>
        <w:rPr>
          <w:rFonts w:asciiTheme="majorBidi" w:eastAsia="Calibri" w:hAnsiTheme="majorBidi"/>
          <w:lang w:val="fr-FR"/>
        </w:rPr>
        <w:t>de</w:t>
      </w:r>
      <w:r w:rsidRPr="00016AD6">
        <w:rPr>
          <w:rFonts w:asciiTheme="majorBidi" w:eastAsia="Calibri" w:hAnsiTheme="majorBidi"/>
          <w:lang w:val="fr-FR"/>
        </w:rPr>
        <w:t xml:space="preserve"> hiérarchie entre droits civils et politiques et droits économiques, sociaux et culturels, car </w:t>
      </w:r>
      <w:r>
        <w:rPr>
          <w:rFonts w:asciiTheme="majorBidi" w:eastAsia="Calibri" w:hAnsiTheme="majorBidi"/>
          <w:lang w:val="fr-FR"/>
        </w:rPr>
        <w:t>l</w:t>
      </w:r>
      <w:r w:rsidR="004C5E26">
        <w:rPr>
          <w:rFonts w:asciiTheme="majorBidi" w:eastAsia="Calibri" w:hAnsiTheme="majorBidi"/>
          <w:lang w:val="fr-FR"/>
        </w:rPr>
        <w:t>’</w:t>
      </w:r>
      <w:r>
        <w:rPr>
          <w:rFonts w:asciiTheme="majorBidi" w:eastAsia="Calibri" w:hAnsiTheme="majorBidi"/>
          <w:lang w:val="fr-FR"/>
        </w:rPr>
        <w:t>on risquait ce faisant de nuire à leur application</w:t>
      </w:r>
      <w:r w:rsidRPr="00016AD6">
        <w:rPr>
          <w:rFonts w:asciiTheme="majorBidi" w:eastAsia="Calibri" w:hAnsiTheme="majorBidi"/>
          <w:lang w:val="fr-FR"/>
        </w:rPr>
        <w:t>. On a aussi souligné qu</w:t>
      </w:r>
      <w:r w:rsidR="004C5E26">
        <w:rPr>
          <w:rFonts w:asciiTheme="majorBidi" w:eastAsia="Calibri" w:hAnsiTheme="majorBidi"/>
          <w:lang w:val="fr-FR"/>
        </w:rPr>
        <w:t>’</w:t>
      </w:r>
      <w:r w:rsidRPr="00016AD6">
        <w:rPr>
          <w:rFonts w:asciiTheme="majorBidi" w:eastAsia="Calibri" w:hAnsiTheme="majorBidi"/>
          <w:lang w:val="fr-FR"/>
        </w:rPr>
        <w:t>il fallait insister sur l</w:t>
      </w:r>
      <w:r w:rsidR="004C5E26">
        <w:rPr>
          <w:rFonts w:asciiTheme="majorBidi" w:eastAsia="Calibri" w:hAnsiTheme="majorBidi"/>
          <w:lang w:val="fr-FR"/>
        </w:rPr>
        <w:t>’</w:t>
      </w:r>
      <w:r w:rsidRPr="00016AD6">
        <w:rPr>
          <w:rFonts w:asciiTheme="majorBidi" w:eastAsia="Calibri" w:hAnsiTheme="majorBidi"/>
          <w:lang w:val="fr-FR"/>
        </w:rPr>
        <w:t xml:space="preserve">indivisibilité des droits de </w:t>
      </w:r>
      <w:r w:rsidRPr="00016AD6">
        <w:rPr>
          <w:rFonts w:asciiTheme="majorBidi" w:eastAsia="Calibri" w:hAnsiTheme="majorBidi"/>
          <w:lang w:val="fr-FR"/>
        </w:rPr>
        <w:lastRenderedPageBreak/>
        <w:t>l</w:t>
      </w:r>
      <w:r w:rsidR="004C5E26">
        <w:rPr>
          <w:rFonts w:asciiTheme="majorBidi" w:eastAsia="Calibri" w:hAnsiTheme="majorBidi"/>
          <w:lang w:val="fr-FR"/>
        </w:rPr>
        <w:t>’</w:t>
      </w:r>
      <w:r w:rsidRPr="00016AD6">
        <w:rPr>
          <w:rFonts w:asciiTheme="majorBidi" w:eastAsia="Calibri" w:hAnsiTheme="majorBidi"/>
          <w:lang w:val="fr-FR"/>
        </w:rPr>
        <w:t xml:space="preserve">homme. On a proposé que le </w:t>
      </w:r>
      <w:r w:rsidRPr="00016AD6">
        <w:rPr>
          <w:rFonts w:asciiTheme="majorBidi" w:hAnsiTheme="majorBidi"/>
          <w:lang w:val="fr-FR"/>
        </w:rPr>
        <w:t>Groupe d</w:t>
      </w:r>
      <w:r w:rsidR="004C5E26">
        <w:rPr>
          <w:rFonts w:asciiTheme="majorBidi" w:hAnsiTheme="majorBidi"/>
          <w:lang w:val="fr-FR"/>
        </w:rPr>
        <w:t>’</w:t>
      </w:r>
      <w:r w:rsidRPr="00016AD6">
        <w:rPr>
          <w:rFonts w:asciiTheme="majorBidi" w:hAnsiTheme="majorBidi"/>
          <w:lang w:val="fr-FR"/>
        </w:rPr>
        <w:t>étude, au lieu d</w:t>
      </w:r>
      <w:r w:rsidR="004C5E26">
        <w:rPr>
          <w:rFonts w:asciiTheme="majorBidi" w:hAnsiTheme="majorBidi"/>
          <w:lang w:val="fr-FR"/>
        </w:rPr>
        <w:t>’</w:t>
      </w:r>
      <w:r w:rsidRPr="00016AD6">
        <w:rPr>
          <w:rFonts w:asciiTheme="majorBidi" w:hAnsiTheme="majorBidi"/>
          <w:lang w:val="fr-FR"/>
        </w:rPr>
        <w:t xml:space="preserve">examiner les obligations </w:t>
      </w:r>
      <w:r>
        <w:rPr>
          <w:rFonts w:asciiTheme="majorBidi" w:hAnsiTheme="majorBidi"/>
          <w:lang w:val="fr-FR"/>
        </w:rPr>
        <w:t xml:space="preserve">générales </w:t>
      </w:r>
      <w:r w:rsidRPr="00016AD6">
        <w:rPr>
          <w:rFonts w:asciiTheme="majorBidi" w:hAnsiTheme="majorBidi"/>
          <w:lang w:val="fr-FR"/>
        </w:rPr>
        <w:t>en matière de droits de l</w:t>
      </w:r>
      <w:r w:rsidR="004C5E26">
        <w:rPr>
          <w:rFonts w:asciiTheme="majorBidi" w:hAnsiTheme="majorBidi"/>
          <w:lang w:val="fr-FR"/>
        </w:rPr>
        <w:t>’</w:t>
      </w:r>
      <w:r w:rsidRPr="00016AD6">
        <w:rPr>
          <w:rFonts w:asciiTheme="majorBidi" w:hAnsiTheme="majorBidi"/>
          <w:lang w:val="fr-FR"/>
        </w:rPr>
        <w:t xml:space="preserve">homme, </w:t>
      </w:r>
      <w:r>
        <w:rPr>
          <w:rFonts w:asciiTheme="majorBidi" w:hAnsiTheme="majorBidi"/>
          <w:lang w:val="fr-FR"/>
        </w:rPr>
        <w:t xml:space="preserve">étudie </w:t>
      </w:r>
      <w:r w:rsidRPr="00016AD6">
        <w:rPr>
          <w:rFonts w:asciiTheme="majorBidi" w:hAnsiTheme="majorBidi"/>
          <w:lang w:val="fr-FR"/>
        </w:rPr>
        <w:t xml:space="preserve">de plus près les travaux des institutions spécialisées des Nations Unies et </w:t>
      </w:r>
      <w:r>
        <w:rPr>
          <w:rFonts w:asciiTheme="majorBidi" w:hAnsiTheme="majorBidi"/>
          <w:lang w:val="fr-FR"/>
        </w:rPr>
        <w:t>d</w:t>
      </w:r>
      <w:r w:rsidR="004C5E26">
        <w:rPr>
          <w:rFonts w:asciiTheme="majorBidi" w:hAnsiTheme="majorBidi"/>
          <w:lang w:val="fr-FR"/>
        </w:rPr>
        <w:t>’</w:t>
      </w:r>
      <w:r w:rsidRPr="00016AD6">
        <w:rPr>
          <w:rFonts w:asciiTheme="majorBidi" w:hAnsiTheme="majorBidi"/>
          <w:lang w:val="fr-FR"/>
        </w:rPr>
        <w:t xml:space="preserve">autres institutions spécialisées compétentes. On a souligné que les États touchés par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 étaient responsables au premier chef de protéger proactivement les droits des personnes relevant de leur juridiction. On a suggéré d</w:t>
      </w:r>
      <w:r w:rsidR="004C5E26">
        <w:rPr>
          <w:rFonts w:asciiTheme="majorBidi" w:eastAsia="Calibri" w:hAnsiTheme="majorBidi"/>
          <w:lang w:val="fr-FR"/>
        </w:rPr>
        <w:t>’</w:t>
      </w:r>
      <w:r w:rsidRPr="00016AD6">
        <w:rPr>
          <w:rFonts w:asciiTheme="majorBidi" w:eastAsia="Calibri" w:hAnsiTheme="majorBidi"/>
          <w:lang w:val="fr-FR"/>
        </w:rPr>
        <w:t>énumérer séparément les obligations en matière de droits de l</w:t>
      </w:r>
      <w:r w:rsidR="004C5E26">
        <w:rPr>
          <w:rFonts w:asciiTheme="majorBidi" w:eastAsia="Calibri" w:hAnsiTheme="majorBidi"/>
          <w:lang w:val="fr-FR"/>
        </w:rPr>
        <w:t>’</w:t>
      </w:r>
      <w:r w:rsidRPr="00016AD6">
        <w:rPr>
          <w:rFonts w:asciiTheme="majorBidi" w:eastAsia="Calibri" w:hAnsiTheme="majorBidi"/>
          <w:lang w:val="fr-FR"/>
        </w:rPr>
        <w:t xml:space="preserve">homme </w:t>
      </w:r>
      <w:r>
        <w:rPr>
          <w:rFonts w:asciiTheme="majorBidi" w:eastAsia="Calibri" w:hAnsiTheme="majorBidi"/>
          <w:lang w:val="fr-FR"/>
        </w:rPr>
        <w:t>qui s</w:t>
      </w:r>
      <w:r w:rsidR="004C5E26">
        <w:rPr>
          <w:rFonts w:asciiTheme="majorBidi" w:eastAsia="Calibri" w:hAnsiTheme="majorBidi"/>
          <w:lang w:val="fr-FR"/>
        </w:rPr>
        <w:t>’</w:t>
      </w:r>
      <w:r>
        <w:rPr>
          <w:rFonts w:asciiTheme="majorBidi" w:eastAsia="Calibri" w:hAnsiTheme="majorBidi"/>
          <w:lang w:val="fr-FR"/>
        </w:rPr>
        <w:t xml:space="preserve">imposaient aux </w:t>
      </w:r>
      <w:r w:rsidRPr="00016AD6">
        <w:rPr>
          <w:rFonts w:asciiTheme="majorBidi" w:eastAsia="Calibri" w:hAnsiTheme="majorBidi"/>
          <w:lang w:val="fr-FR"/>
        </w:rPr>
        <w:t xml:space="preserve">États sur leur territoire et celles qui existaient </w:t>
      </w:r>
      <w:r>
        <w:rPr>
          <w:rFonts w:asciiTheme="majorBidi" w:eastAsia="Calibri" w:hAnsiTheme="majorBidi"/>
          <w:lang w:val="fr-FR"/>
        </w:rPr>
        <w:t xml:space="preserve">aussi </w:t>
      </w:r>
      <w:r w:rsidRPr="00016AD6">
        <w:rPr>
          <w:rFonts w:asciiTheme="majorBidi" w:eastAsia="Calibri" w:hAnsiTheme="majorBidi"/>
          <w:lang w:val="fr-FR"/>
        </w:rPr>
        <w:t xml:space="preserve">au niveau extraterritorial. Certains membres ont </w:t>
      </w:r>
      <w:r>
        <w:rPr>
          <w:rFonts w:asciiTheme="majorBidi" w:eastAsia="Calibri" w:hAnsiTheme="majorBidi"/>
          <w:lang w:val="fr-FR"/>
        </w:rPr>
        <w:t>dit</w:t>
      </w:r>
      <w:r w:rsidRPr="00016AD6">
        <w:rPr>
          <w:rFonts w:asciiTheme="majorBidi" w:eastAsia="Calibri" w:hAnsiTheme="majorBidi"/>
          <w:lang w:val="fr-FR"/>
        </w:rPr>
        <w:t xml:space="preserve"> qu</w:t>
      </w:r>
      <w:r w:rsidR="004C5E26">
        <w:rPr>
          <w:rFonts w:asciiTheme="majorBidi" w:eastAsia="Calibri" w:hAnsiTheme="majorBidi"/>
          <w:lang w:val="fr-FR"/>
        </w:rPr>
        <w:t>’</w:t>
      </w:r>
      <w:r w:rsidRPr="00016AD6">
        <w:rPr>
          <w:rFonts w:asciiTheme="majorBidi" w:eastAsia="Calibri" w:hAnsiTheme="majorBidi"/>
          <w:lang w:val="fr-FR"/>
        </w:rPr>
        <w:t>il importait d</w:t>
      </w:r>
      <w:r w:rsidR="004C5E26">
        <w:rPr>
          <w:rFonts w:asciiTheme="majorBidi" w:eastAsia="Calibri" w:hAnsiTheme="majorBidi"/>
          <w:lang w:val="fr-FR"/>
        </w:rPr>
        <w:t>’</w:t>
      </w:r>
      <w:r>
        <w:rPr>
          <w:rFonts w:asciiTheme="majorBidi" w:eastAsia="Calibri" w:hAnsiTheme="majorBidi"/>
          <w:lang w:val="fr-FR"/>
        </w:rPr>
        <w:t xml:space="preserve">envisager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applicabilité des droits collectifs. Il a également été proposé d</w:t>
      </w:r>
      <w:r w:rsidR="004C5E26">
        <w:rPr>
          <w:rFonts w:asciiTheme="majorBidi" w:eastAsia="Calibri" w:hAnsiTheme="majorBidi"/>
          <w:lang w:val="fr-FR"/>
        </w:rPr>
        <w:t>’</w:t>
      </w:r>
      <w:r w:rsidRPr="00016AD6">
        <w:rPr>
          <w:rFonts w:asciiTheme="majorBidi" w:eastAsia="Calibri" w:hAnsiTheme="majorBidi"/>
          <w:lang w:val="fr-FR"/>
        </w:rPr>
        <w:t xml:space="preserve">examiner plus avant la pertinence du droit de </w:t>
      </w:r>
      <w:r w:rsidRPr="00FD5130">
        <w:rPr>
          <w:rFonts w:asciiTheme="majorBidi" w:eastAsia="Calibri" w:hAnsiTheme="majorBidi"/>
          <w:lang w:val="fr-FR"/>
        </w:rPr>
        <w:t>participation. Certains membres ont fait référence à des arrêts et décisions de juridictions internationales et régionales des droits de l</w:t>
      </w:r>
      <w:r w:rsidR="004C5E26">
        <w:rPr>
          <w:rFonts w:asciiTheme="majorBidi" w:eastAsia="Calibri" w:hAnsiTheme="majorBidi"/>
          <w:lang w:val="fr-FR"/>
        </w:rPr>
        <w:t>’</w:t>
      </w:r>
      <w:r w:rsidRPr="00FD5130">
        <w:rPr>
          <w:rFonts w:asciiTheme="majorBidi" w:eastAsia="Calibri" w:hAnsiTheme="majorBidi"/>
          <w:lang w:val="fr-FR"/>
        </w:rPr>
        <w:t>homme portant sur les obligations générales des États en matière des droits</w:t>
      </w:r>
      <w:r w:rsidRPr="00016AD6">
        <w:rPr>
          <w:rFonts w:asciiTheme="majorBidi" w:eastAsia="Calibri" w:hAnsiTheme="majorBidi"/>
          <w:lang w:val="fr-FR"/>
        </w:rPr>
        <w:t xml:space="preserve"> de l</w:t>
      </w:r>
      <w:r w:rsidR="004C5E26">
        <w:rPr>
          <w:rFonts w:asciiTheme="majorBidi" w:eastAsia="Calibri" w:hAnsiTheme="majorBidi"/>
          <w:lang w:val="fr-FR"/>
        </w:rPr>
        <w:t>’</w:t>
      </w:r>
      <w:r w:rsidRPr="00016AD6">
        <w:rPr>
          <w:rFonts w:asciiTheme="majorBidi" w:eastAsia="Calibri" w:hAnsiTheme="majorBidi"/>
          <w:lang w:val="fr-FR"/>
        </w:rPr>
        <w:t xml:space="preserve">homme. </w:t>
      </w:r>
      <w:r>
        <w:rPr>
          <w:rFonts w:asciiTheme="majorBidi" w:eastAsia="Calibri" w:hAnsiTheme="majorBidi"/>
          <w:lang w:val="fr-FR"/>
        </w:rPr>
        <w:t>Il a aussi été dit que la Commission devrait étudier le lien entre l</w:t>
      </w:r>
      <w:r w:rsidR="004C5E26">
        <w:rPr>
          <w:rFonts w:asciiTheme="majorBidi" w:eastAsia="Calibri" w:hAnsiTheme="majorBidi"/>
          <w:lang w:val="fr-FR"/>
        </w:rPr>
        <w:t>’</w:t>
      </w:r>
      <w:r>
        <w:rPr>
          <w:rFonts w:asciiTheme="majorBidi" w:eastAsia="Calibri" w:hAnsiTheme="majorBidi"/>
          <w:lang w:val="fr-FR"/>
        </w:rPr>
        <w:t>élévation du niveau de la mer et la pauvreté.</w:t>
      </w:r>
    </w:p>
    <w:p w14:paraId="3510A596" w14:textId="5F5490C6" w:rsidR="00737BD1" w:rsidRPr="0053665C" w:rsidRDefault="00737BD1" w:rsidP="00737BD1">
      <w:pPr>
        <w:pStyle w:val="H56G"/>
        <w:rPr>
          <w:lang w:val="fr-FR"/>
        </w:rPr>
      </w:pPr>
      <w:r w:rsidRPr="00016AD6">
        <w:rPr>
          <w:lang w:val="fr-FR"/>
        </w:rPr>
        <w:tab/>
        <w:t>e.</w:t>
      </w:r>
      <w:r w:rsidRPr="00016AD6">
        <w:rPr>
          <w:lang w:val="fr-FR"/>
        </w:rPr>
        <w:tab/>
      </w:r>
      <w:r w:rsidRPr="0053665C">
        <w:rPr>
          <w:lang w:val="fr-FR"/>
        </w:rPr>
        <w:t>Différentes obligations en matière de droits de l</w:t>
      </w:r>
      <w:r w:rsidR="004C5E26">
        <w:rPr>
          <w:lang w:val="fr-FR"/>
        </w:rPr>
        <w:t>’</w:t>
      </w:r>
      <w:r w:rsidRPr="0053665C">
        <w:rPr>
          <w:lang w:val="fr-FR"/>
        </w:rPr>
        <w:t>homme et différents débiteurs d</w:t>
      </w:r>
      <w:r w:rsidR="004C5E26">
        <w:rPr>
          <w:lang w:val="fr-FR"/>
        </w:rPr>
        <w:t>’</w:t>
      </w:r>
      <w:r w:rsidRPr="0053665C">
        <w:rPr>
          <w:lang w:val="fr-FR"/>
        </w:rPr>
        <w:t>obligations en matière des droits de l</w:t>
      </w:r>
      <w:r w:rsidR="004C5E26">
        <w:rPr>
          <w:lang w:val="fr-FR"/>
        </w:rPr>
        <w:t>’</w:t>
      </w:r>
      <w:r w:rsidRPr="0053665C">
        <w:rPr>
          <w:lang w:val="fr-FR"/>
        </w:rPr>
        <w:t>homme</w:t>
      </w:r>
    </w:p>
    <w:p w14:paraId="5AAD34EC" w14:textId="37D87FA6"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405.</w:t>
      </w:r>
      <w:r>
        <w:rPr>
          <w:rFonts w:asciiTheme="majorBidi" w:eastAsia="Calibri" w:hAnsiTheme="majorBidi"/>
          <w:lang w:val="fr-FR"/>
        </w:rPr>
        <w:tab/>
      </w:r>
      <w:r w:rsidRPr="00016AD6">
        <w:rPr>
          <w:rFonts w:asciiTheme="majorBidi" w:eastAsia="Calibri" w:hAnsiTheme="majorBidi"/>
          <w:lang w:val="fr-FR"/>
        </w:rPr>
        <w:t>S</w:t>
      </w:r>
      <w:r w:rsidR="004C5E26">
        <w:rPr>
          <w:rFonts w:asciiTheme="majorBidi" w:eastAsia="Calibri" w:hAnsiTheme="majorBidi"/>
          <w:lang w:val="fr-FR"/>
        </w:rPr>
        <w:t>’</w:t>
      </w:r>
      <w:r w:rsidRPr="00016AD6">
        <w:rPr>
          <w:rFonts w:asciiTheme="majorBidi" w:eastAsia="Calibri" w:hAnsiTheme="majorBidi"/>
          <w:lang w:val="fr-FR"/>
        </w:rPr>
        <w:t>agissant de</w:t>
      </w:r>
      <w:r>
        <w:rPr>
          <w:rFonts w:asciiTheme="majorBidi" w:eastAsia="Calibri" w:hAnsiTheme="majorBidi"/>
          <w:lang w:val="fr-FR"/>
        </w:rPr>
        <w:t xml:space="preserve"> la section de la note complémentaire consacrée aux </w:t>
      </w:r>
      <w:r w:rsidRPr="00016AD6">
        <w:rPr>
          <w:rFonts w:asciiTheme="majorBidi" w:eastAsia="Calibri" w:hAnsiTheme="majorBidi"/>
          <w:lang w:val="fr-FR"/>
        </w:rPr>
        <w:t>différentes obligations en matière des droits de l</w:t>
      </w:r>
      <w:r w:rsidR="004C5E26">
        <w:rPr>
          <w:rFonts w:asciiTheme="majorBidi" w:eastAsia="Calibri" w:hAnsiTheme="majorBidi"/>
          <w:lang w:val="fr-FR"/>
        </w:rPr>
        <w:t>’</w:t>
      </w:r>
      <w:r w:rsidRPr="00016AD6">
        <w:rPr>
          <w:rFonts w:asciiTheme="majorBidi" w:eastAsia="Calibri" w:hAnsiTheme="majorBidi"/>
          <w:lang w:val="fr-FR"/>
        </w:rPr>
        <w:t xml:space="preserve">homme et </w:t>
      </w:r>
      <w:r>
        <w:rPr>
          <w:rFonts w:asciiTheme="majorBidi" w:eastAsia="Calibri" w:hAnsiTheme="majorBidi"/>
          <w:lang w:val="fr-FR"/>
        </w:rPr>
        <w:t xml:space="preserve">aux </w:t>
      </w:r>
      <w:r w:rsidRPr="00016AD6">
        <w:rPr>
          <w:rFonts w:asciiTheme="majorBidi" w:eastAsia="Calibri" w:hAnsiTheme="majorBidi"/>
          <w:lang w:val="fr-FR"/>
        </w:rPr>
        <w:t>différents débiteurs d</w:t>
      </w:r>
      <w:r w:rsidR="004C5E26">
        <w:rPr>
          <w:rFonts w:asciiTheme="majorBidi" w:eastAsia="Calibri" w:hAnsiTheme="majorBidi"/>
          <w:lang w:val="fr-FR"/>
        </w:rPr>
        <w:t>’</w:t>
      </w:r>
      <w:r w:rsidRPr="00016AD6">
        <w:rPr>
          <w:rFonts w:asciiTheme="majorBidi" w:eastAsia="Calibri" w:hAnsiTheme="majorBidi"/>
          <w:lang w:val="fr-FR"/>
        </w:rPr>
        <w:t>obligations en matière de droits de l</w:t>
      </w:r>
      <w:r w:rsidR="004C5E26">
        <w:rPr>
          <w:rFonts w:asciiTheme="majorBidi" w:eastAsia="Calibri" w:hAnsiTheme="majorBidi"/>
          <w:lang w:val="fr-FR"/>
        </w:rPr>
        <w:t>’</w:t>
      </w:r>
      <w:r w:rsidRPr="00016AD6">
        <w:rPr>
          <w:rFonts w:asciiTheme="majorBidi" w:eastAsia="Calibri" w:hAnsiTheme="majorBidi"/>
          <w:lang w:val="fr-FR"/>
        </w:rPr>
        <w:t>homme, certains membres du Groupe d</w:t>
      </w:r>
      <w:r w:rsidR="004C5E26">
        <w:rPr>
          <w:rFonts w:asciiTheme="majorBidi" w:eastAsia="Calibri" w:hAnsiTheme="majorBidi"/>
          <w:lang w:val="fr-FR"/>
        </w:rPr>
        <w:t>’</w:t>
      </w:r>
      <w:r w:rsidRPr="00016AD6">
        <w:rPr>
          <w:rFonts w:asciiTheme="majorBidi" w:eastAsia="Calibri" w:hAnsiTheme="majorBidi"/>
          <w:lang w:val="fr-FR"/>
        </w:rPr>
        <w:t>étude ont souligné qu</w:t>
      </w:r>
      <w:r w:rsidR="004C5E26">
        <w:rPr>
          <w:rFonts w:asciiTheme="majorBidi" w:eastAsia="Calibri" w:hAnsiTheme="majorBidi"/>
          <w:lang w:val="fr-FR"/>
        </w:rPr>
        <w:t>’</w:t>
      </w:r>
      <w:r w:rsidRPr="00016AD6">
        <w:rPr>
          <w:rFonts w:asciiTheme="majorBidi" w:eastAsia="Calibri" w:hAnsiTheme="majorBidi"/>
          <w:lang w:val="fr-FR"/>
        </w:rPr>
        <w:t xml:space="preserve">il fallait analyser la répartition des obligations entre les États et le contenu substantiel de ces obligations. En particulier, on a </w:t>
      </w:r>
      <w:r>
        <w:rPr>
          <w:rFonts w:asciiTheme="majorBidi" w:eastAsia="Calibri" w:hAnsiTheme="majorBidi"/>
          <w:lang w:val="fr-FR"/>
        </w:rPr>
        <w:t>fait observer</w:t>
      </w:r>
      <w:r w:rsidRPr="00016AD6">
        <w:rPr>
          <w:rFonts w:asciiTheme="majorBidi" w:eastAsia="Calibri" w:hAnsiTheme="majorBidi"/>
          <w:lang w:val="fr-FR"/>
        </w:rPr>
        <w:t xml:space="preserve"> que dans le contexte des migrations causées par l</w:t>
      </w:r>
      <w:r w:rsidR="004C5E26">
        <w:rPr>
          <w:rFonts w:asciiTheme="majorBidi" w:eastAsia="Calibri" w:hAnsiTheme="majorBidi"/>
          <w:lang w:val="fr-FR"/>
        </w:rPr>
        <w:t>’</w:t>
      </w:r>
      <w:r w:rsidRPr="00016AD6">
        <w:rPr>
          <w:rFonts w:asciiTheme="majorBidi" w:eastAsia="Calibri" w:hAnsiTheme="majorBidi"/>
          <w:lang w:val="fr-FR"/>
        </w:rPr>
        <w:t>élévation du niveau de la mer, il était nécessaire de déterminer et de définir les obligations des États d</w:t>
      </w:r>
      <w:r w:rsidR="004C5E26">
        <w:rPr>
          <w:rFonts w:asciiTheme="majorBidi" w:eastAsia="Calibri" w:hAnsiTheme="majorBidi"/>
          <w:lang w:val="fr-FR"/>
        </w:rPr>
        <w:t>’</w:t>
      </w:r>
      <w:r w:rsidRPr="00016AD6">
        <w:rPr>
          <w:rFonts w:asciiTheme="majorBidi" w:eastAsia="Calibri" w:hAnsiTheme="majorBidi"/>
          <w:lang w:val="fr-FR"/>
        </w:rPr>
        <w:t>origine et de transit ainsi que celles des États d</w:t>
      </w:r>
      <w:r w:rsidR="004C5E26">
        <w:rPr>
          <w:rFonts w:asciiTheme="majorBidi" w:eastAsia="Calibri" w:hAnsiTheme="majorBidi"/>
          <w:lang w:val="fr-FR"/>
        </w:rPr>
        <w:t>’</w:t>
      </w:r>
      <w:r w:rsidRPr="00016AD6">
        <w:rPr>
          <w:rFonts w:asciiTheme="majorBidi" w:eastAsia="Calibri" w:hAnsiTheme="majorBidi"/>
          <w:lang w:val="fr-FR"/>
        </w:rPr>
        <w:t>accueil. La question de l</w:t>
      </w:r>
      <w:r w:rsidR="004C5E26">
        <w:rPr>
          <w:rFonts w:asciiTheme="majorBidi" w:eastAsia="Calibri" w:hAnsiTheme="majorBidi"/>
          <w:lang w:val="fr-FR"/>
        </w:rPr>
        <w:t>’</w:t>
      </w:r>
      <w:r w:rsidRPr="00016AD6">
        <w:rPr>
          <w:rFonts w:asciiTheme="majorBidi" w:eastAsia="Calibri" w:hAnsiTheme="majorBidi"/>
          <w:lang w:val="fr-FR"/>
        </w:rPr>
        <w:t>applicabilité extrater</w:t>
      </w:r>
      <w:r>
        <w:rPr>
          <w:rFonts w:asciiTheme="majorBidi" w:eastAsia="Calibri" w:hAnsiTheme="majorBidi"/>
          <w:lang w:val="fr-FR"/>
        </w:rPr>
        <w:t>rit</w:t>
      </w:r>
      <w:r w:rsidRPr="00016AD6">
        <w:rPr>
          <w:rFonts w:asciiTheme="majorBidi" w:eastAsia="Calibri" w:hAnsiTheme="majorBidi"/>
          <w:lang w:val="fr-FR"/>
        </w:rPr>
        <w:t>oriale des droits de l</w:t>
      </w:r>
      <w:r w:rsidR="004C5E26">
        <w:rPr>
          <w:rFonts w:asciiTheme="majorBidi" w:eastAsia="Calibri" w:hAnsiTheme="majorBidi"/>
          <w:lang w:val="fr-FR"/>
        </w:rPr>
        <w:t>’</w:t>
      </w:r>
      <w:r w:rsidRPr="00016AD6">
        <w:rPr>
          <w:rFonts w:asciiTheme="majorBidi" w:eastAsia="Calibri" w:hAnsiTheme="majorBidi"/>
          <w:lang w:val="fr-FR"/>
        </w:rPr>
        <w:t xml:space="preserve">homme a de nouveau été </w:t>
      </w:r>
      <w:r>
        <w:rPr>
          <w:rFonts w:asciiTheme="majorBidi" w:eastAsia="Calibri" w:hAnsiTheme="majorBidi"/>
          <w:lang w:val="fr-FR"/>
        </w:rPr>
        <w:t xml:space="preserve">évoquée </w:t>
      </w:r>
      <w:r w:rsidRPr="00016AD6">
        <w:rPr>
          <w:rFonts w:asciiTheme="majorBidi" w:eastAsia="Calibri" w:hAnsiTheme="majorBidi"/>
          <w:lang w:val="fr-FR"/>
        </w:rPr>
        <w:t xml:space="preserve">comme extrêmement pertinente. On a </w:t>
      </w:r>
      <w:r>
        <w:rPr>
          <w:rFonts w:asciiTheme="majorBidi" w:eastAsia="Calibri" w:hAnsiTheme="majorBidi"/>
          <w:lang w:val="fr-FR"/>
        </w:rPr>
        <w:t>fait remarquer</w:t>
      </w:r>
      <w:r w:rsidRPr="00016AD6">
        <w:rPr>
          <w:rFonts w:asciiTheme="majorBidi" w:eastAsia="Calibri" w:hAnsiTheme="majorBidi"/>
          <w:lang w:val="fr-FR"/>
        </w:rPr>
        <w:t xml:space="preserve"> que la conclusion figurant au paragraphe 215 de la note complémentaire selon laquelle l</w:t>
      </w:r>
      <w:r w:rsidR="004C5E26">
        <w:rPr>
          <w:rFonts w:asciiTheme="majorBidi" w:eastAsia="Calibri" w:hAnsiTheme="majorBidi"/>
          <w:lang w:val="fr-FR"/>
        </w:rPr>
        <w:t>’</w:t>
      </w:r>
      <w:r w:rsidRPr="00016AD6">
        <w:rPr>
          <w:rFonts w:asciiTheme="majorBidi" w:eastAsia="Calibri" w:hAnsiTheme="majorBidi"/>
          <w:lang w:val="fr-FR"/>
        </w:rPr>
        <w:t>exercice de la juridiction à l</w:t>
      </w:r>
      <w:r w:rsidR="004C5E26">
        <w:rPr>
          <w:rFonts w:asciiTheme="majorBidi" w:eastAsia="Calibri" w:hAnsiTheme="majorBidi"/>
          <w:lang w:val="fr-FR"/>
        </w:rPr>
        <w:t>’</w:t>
      </w:r>
      <w:r w:rsidRPr="00016AD6">
        <w:rPr>
          <w:rFonts w:asciiTheme="majorBidi" w:eastAsia="Calibri" w:hAnsiTheme="majorBidi"/>
          <w:lang w:val="fr-FR"/>
        </w:rPr>
        <w:t>égard d</w:t>
      </w:r>
      <w:r w:rsidR="004C5E26">
        <w:rPr>
          <w:rFonts w:asciiTheme="majorBidi" w:eastAsia="Calibri" w:hAnsiTheme="majorBidi"/>
          <w:lang w:val="fr-FR"/>
        </w:rPr>
        <w:t>’</w:t>
      </w:r>
      <w:r w:rsidRPr="00016AD6">
        <w:rPr>
          <w:rFonts w:asciiTheme="majorBidi" w:eastAsia="Calibri" w:hAnsiTheme="majorBidi"/>
          <w:lang w:val="fr-FR"/>
        </w:rPr>
        <w:t>une personne, qu</w:t>
      </w:r>
      <w:r w:rsidR="004C5E26">
        <w:rPr>
          <w:rFonts w:asciiTheme="majorBidi" w:eastAsia="Calibri" w:hAnsiTheme="majorBidi"/>
          <w:lang w:val="fr-FR"/>
        </w:rPr>
        <w:t>’</w:t>
      </w:r>
      <w:r w:rsidRPr="00016AD6">
        <w:rPr>
          <w:rFonts w:asciiTheme="majorBidi" w:eastAsia="Calibri" w:hAnsiTheme="majorBidi"/>
          <w:lang w:val="fr-FR"/>
        </w:rPr>
        <w:t>elle soit exercée de manière territoriale ou extraterritoriale, était le critère permettant de déterminer qui était le débiteur de l</w:t>
      </w:r>
      <w:r w:rsidR="004C5E26">
        <w:rPr>
          <w:rFonts w:asciiTheme="majorBidi" w:eastAsia="Calibri" w:hAnsiTheme="majorBidi"/>
          <w:lang w:val="fr-FR"/>
        </w:rPr>
        <w:t>’</w:t>
      </w:r>
      <w:r w:rsidRPr="00016AD6">
        <w:rPr>
          <w:rFonts w:asciiTheme="majorBidi" w:eastAsia="Calibri" w:hAnsiTheme="majorBidi"/>
          <w:lang w:val="fr-FR"/>
        </w:rPr>
        <w:t>obligation, si elle était généralement valide, pouvait n</w:t>
      </w:r>
      <w:r w:rsidR="004C5E26">
        <w:rPr>
          <w:rFonts w:asciiTheme="majorBidi" w:eastAsia="Calibri" w:hAnsiTheme="majorBidi"/>
          <w:lang w:val="fr-FR"/>
        </w:rPr>
        <w:t>’</w:t>
      </w:r>
      <w:r w:rsidRPr="00016AD6">
        <w:rPr>
          <w:rFonts w:asciiTheme="majorBidi" w:eastAsia="Calibri" w:hAnsiTheme="majorBidi"/>
          <w:lang w:val="fr-FR"/>
        </w:rPr>
        <w:t>être pas applicable à certains régimes conventionnels en matière de droits de l</w:t>
      </w:r>
      <w:r w:rsidR="004C5E26">
        <w:rPr>
          <w:rFonts w:asciiTheme="majorBidi" w:eastAsia="Calibri" w:hAnsiTheme="majorBidi"/>
          <w:lang w:val="fr-FR"/>
        </w:rPr>
        <w:t>’</w:t>
      </w:r>
      <w:r w:rsidRPr="00016AD6">
        <w:rPr>
          <w:rFonts w:asciiTheme="majorBidi" w:eastAsia="Calibri" w:hAnsiTheme="majorBidi"/>
          <w:lang w:val="fr-FR"/>
        </w:rPr>
        <w:t xml:space="preserve">homme et devait être examinée plus avant. On a également </w:t>
      </w:r>
      <w:r>
        <w:rPr>
          <w:rFonts w:asciiTheme="majorBidi" w:eastAsia="Calibri" w:hAnsiTheme="majorBidi"/>
          <w:lang w:val="fr-FR"/>
        </w:rPr>
        <w:t xml:space="preserve">fait valoir </w:t>
      </w:r>
      <w:r w:rsidRPr="00016AD6">
        <w:rPr>
          <w:rFonts w:asciiTheme="majorBidi" w:eastAsia="Calibri" w:hAnsiTheme="majorBidi"/>
          <w:lang w:val="fr-FR"/>
        </w:rPr>
        <w:t>que les dérogations aux droits de l</w:t>
      </w:r>
      <w:r w:rsidR="004C5E26">
        <w:rPr>
          <w:rFonts w:asciiTheme="majorBidi" w:eastAsia="Calibri" w:hAnsiTheme="majorBidi"/>
          <w:lang w:val="fr-FR"/>
        </w:rPr>
        <w:t>’</w:t>
      </w:r>
      <w:r w:rsidRPr="00016AD6">
        <w:rPr>
          <w:rFonts w:asciiTheme="majorBidi" w:eastAsia="Calibri" w:hAnsiTheme="majorBidi"/>
          <w:lang w:val="fr-FR"/>
        </w:rPr>
        <w:t>homme et les limitations de ces droits ne devaient pas s</w:t>
      </w:r>
      <w:r w:rsidR="004C5E26">
        <w:rPr>
          <w:rFonts w:asciiTheme="majorBidi" w:eastAsia="Calibri" w:hAnsiTheme="majorBidi"/>
          <w:lang w:val="fr-FR"/>
        </w:rPr>
        <w:t>’</w:t>
      </w:r>
      <w:r w:rsidRPr="00016AD6">
        <w:rPr>
          <w:rFonts w:asciiTheme="majorBidi" w:eastAsia="Calibri" w:hAnsiTheme="majorBidi"/>
          <w:lang w:val="fr-FR"/>
        </w:rPr>
        <w:t xml:space="preserve">appliquer dans le contexte de </w:t>
      </w:r>
      <w:r w:rsidRPr="00016AD6">
        <w:rPr>
          <w:rFonts w:asciiTheme="majorBidi" w:hAnsiTheme="majorBidi"/>
          <w:lang w:val="fr-FR"/>
        </w:rPr>
        <w:t>l</w:t>
      </w:r>
      <w:r w:rsidR="004C5E26">
        <w:rPr>
          <w:rFonts w:asciiTheme="majorBidi" w:hAnsiTheme="majorBidi"/>
          <w:lang w:val="fr-FR"/>
        </w:rPr>
        <w:t>’</w:t>
      </w:r>
      <w:r w:rsidRPr="00016AD6">
        <w:rPr>
          <w:rFonts w:asciiTheme="majorBidi" w:hAnsiTheme="majorBidi"/>
          <w:lang w:val="fr-FR"/>
        </w:rPr>
        <w:t>élévation du niveau de la mer puisque, à la différence des autres situations d</w:t>
      </w:r>
      <w:r w:rsidR="004C5E26">
        <w:rPr>
          <w:rFonts w:asciiTheme="majorBidi" w:hAnsiTheme="majorBidi"/>
          <w:lang w:val="fr-FR"/>
        </w:rPr>
        <w:t>’</w:t>
      </w:r>
      <w:r w:rsidRPr="00016AD6">
        <w:rPr>
          <w:rFonts w:asciiTheme="majorBidi" w:hAnsiTheme="majorBidi"/>
          <w:lang w:val="fr-FR"/>
        </w:rPr>
        <w:t>urgence, l</w:t>
      </w:r>
      <w:r w:rsidR="004C5E26">
        <w:rPr>
          <w:rFonts w:asciiTheme="majorBidi" w:hAnsiTheme="majorBidi"/>
          <w:lang w:val="fr-FR"/>
        </w:rPr>
        <w:t>’</w:t>
      </w:r>
      <w:r w:rsidRPr="00016AD6">
        <w:rPr>
          <w:rFonts w:asciiTheme="majorBidi" w:hAnsiTheme="majorBidi"/>
          <w:lang w:val="fr-FR"/>
        </w:rPr>
        <w:t>élévation du niveau de la mer constituait une menace permanente. La nécessité d</w:t>
      </w:r>
      <w:r w:rsidR="004C5E26">
        <w:rPr>
          <w:rFonts w:asciiTheme="majorBidi" w:hAnsiTheme="majorBidi"/>
          <w:lang w:val="fr-FR"/>
        </w:rPr>
        <w:t>’</w:t>
      </w:r>
      <w:r w:rsidRPr="00016AD6">
        <w:rPr>
          <w:rFonts w:asciiTheme="majorBidi" w:hAnsiTheme="majorBidi"/>
          <w:lang w:val="fr-FR"/>
        </w:rPr>
        <w:t>une action positive dans le contexte de l</w:t>
      </w:r>
      <w:r w:rsidR="004C5E26">
        <w:rPr>
          <w:rFonts w:asciiTheme="majorBidi" w:hAnsiTheme="majorBidi"/>
          <w:lang w:val="fr-FR"/>
        </w:rPr>
        <w:t>’</w:t>
      </w:r>
      <w:r w:rsidRPr="00016AD6">
        <w:rPr>
          <w:rFonts w:asciiTheme="majorBidi" w:hAnsiTheme="majorBidi"/>
          <w:lang w:val="fr-FR"/>
        </w:rPr>
        <w:t xml:space="preserve">élévation du niveau de la mer </w:t>
      </w:r>
      <w:r>
        <w:rPr>
          <w:rFonts w:asciiTheme="majorBidi" w:hAnsiTheme="majorBidi"/>
          <w:lang w:val="fr-FR"/>
        </w:rPr>
        <w:t xml:space="preserve">a été </w:t>
      </w:r>
      <w:r w:rsidRPr="00016AD6">
        <w:rPr>
          <w:rFonts w:asciiTheme="majorBidi" w:hAnsiTheme="majorBidi"/>
          <w:lang w:val="fr-FR"/>
        </w:rPr>
        <w:t xml:space="preserve">soulignée. La décision du </w:t>
      </w:r>
      <w:r w:rsidRPr="00016AD6">
        <w:rPr>
          <w:rFonts w:asciiTheme="majorBidi" w:eastAsia="Calibri" w:hAnsiTheme="majorBidi"/>
          <w:lang w:val="fr-FR"/>
        </w:rPr>
        <w:t>Comité des droits de l</w:t>
      </w:r>
      <w:r w:rsidR="004C5E26">
        <w:rPr>
          <w:rFonts w:asciiTheme="majorBidi" w:eastAsia="Calibri" w:hAnsiTheme="majorBidi"/>
          <w:lang w:val="fr-FR"/>
        </w:rPr>
        <w:t>’</w:t>
      </w:r>
      <w:r w:rsidRPr="00016AD6">
        <w:rPr>
          <w:rFonts w:asciiTheme="majorBidi" w:eastAsia="Calibri" w:hAnsiTheme="majorBidi"/>
          <w:lang w:val="fr-FR"/>
        </w:rPr>
        <w:t>homme dans l</w:t>
      </w:r>
      <w:r w:rsidR="004C5E26">
        <w:rPr>
          <w:rFonts w:asciiTheme="majorBidi" w:eastAsia="Calibri" w:hAnsiTheme="majorBidi"/>
          <w:lang w:val="fr-FR"/>
        </w:rPr>
        <w:t>’</w:t>
      </w:r>
      <w:r w:rsidRPr="00016AD6">
        <w:rPr>
          <w:rFonts w:asciiTheme="majorBidi" w:eastAsia="Calibri" w:hAnsiTheme="majorBidi"/>
          <w:lang w:val="fr-FR"/>
        </w:rPr>
        <w:t xml:space="preserve">affaire </w:t>
      </w:r>
      <w:r w:rsidRPr="00016AD6">
        <w:rPr>
          <w:rFonts w:asciiTheme="majorBidi" w:hAnsiTheme="majorBidi"/>
          <w:i/>
          <w:iCs/>
          <w:lang w:val="fr-FR"/>
        </w:rPr>
        <w:t>Billy et consorts c. Australie</w:t>
      </w:r>
      <w:r w:rsidRPr="00E9227E">
        <w:rPr>
          <w:rStyle w:val="Appelnotedebasdep"/>
        </w:rPr>
        <w:footnoteReference w:id="270"/>
      </w:r>
      <w:r w:rsidRPr="00016AD6">
        <w:rPr>
          <w:rFonts w:asciiTheme="majorBidi" w:hAnsiTheme="majorBidi"/>
          <w:lang w:val="fr-FR"/>
        </w:rPr>
        <w:t xml:space="preserve"> a été </w:t>
      </w:r>
      <w:r>
        <w:rPr>
          <w:rFonts w:asciiTheme="majorBidi" w:hAnsiTheme="majorBidi"/>
          <w:lang w:val="fr-FR"/>
        </w:rPr>
        <w:t xml:space="preserve">rappelée </w:t>
      </w:r>
      <w:r w:rsidRPr="00016AD6">
        <w:rPr>
          <w:rFonts w:asciiTheme="majorBidi" w:hAnsiTheme="majorBidi"/>
          <w:lang w:val="fr-FR"/>
        </w:rPr>
        <w:t>et mise en exergue en tant qu</w:t>
      </w:r>
      <w:r w:rsidR="004C5E26">
        <w:rPr>
          <w:rFonts w:asciiTheme="majorBidi" w:hAnsiTheme="majorBidi"/>
          <w:lang w:val="fr-FR"/>
        </w:rPr>
        <w:t>’</w:t>
      </w:r>
      <w:r w:rsidRPr="00016AD6">
        <w:rPr>
          <w:rFonts w:asciiTheme="majorBidi" w:hAnsiTheme="majorBidi"/>
          <w:lang w:val="fr-FR"/>
        </w:rPr>
        <w:t>étape importante dans l</w:t>
      </w:r>
      <w:r w:rsidR="004C5E26">
        <w:rPr>
          <w:rFonts w:asciiTheme="majorBidi" w:hAnsiTheme="majorBidi"/>
          <w:lang w:val="fr-FR"/>
        </w:rPr>
        <w:t>’</w:t>
      </w:r>
      <w:r w:rsidRPr="00016AD6">
        <w:rPr>
          <w:rFonts w:asciiTheme="majorBidi" w:hAnsiTheme="majorBidi"/>
          <w:lang w:val="fr-FR"/>
        </w:rPr>
        <w:t>élaboration de cadres juridiques portant spécifiquement sur les problèmes que soulevait l</w:t>
      </w:r>
      <w:r w:rsidR="004C5E26">
        <w:rPr>
          <w:rFonts w:asciiTheme="majorBidi" w:hAnsiTheme="majorBidi"/>
          <w:lang w:val="fr-FR"/>
        </w:rPr>
        <w:t>’</w:t>
      </w:r>
      <w:r w:rsidRPr="00016AD6">
        <w:rPr>
          <w:rFonts w:asciiTheme="majorBidi" w:hAnsiTheme="majorBidi"/>
          <w:lang w:val="fr-FR"/>
        </w:rPr>
        <w:t>élévation du niveau de la mer</w:t>
      </w:r>
      <w:r w:rsidRPr="008A6D5B">
        <w:rPr>
          <w:rFonts w:asciiTheme="majorBidi" w:hAnsiTheme="majorBidi"/>
          <w:lang w:val="fr-FR"/>
        </w:rPr>
        <w:t xml:space="preserve"> </w:t>
      </w:r>
      <w:r w:rsidRPr="00016AD6">
        <w:rPr>
          <w:rFonts w:asciiTheme="majorBidi" w:hAnsiTheme="majorBidi"/>
          <w:lang w:val="fr-FR"/>
        </w:rPr>
        <w:t>en matière des droits de l</w:t>
      </w:r>
      <w:r w:rsidR="004C5E26">
        <w:rPr>
          <w:rFonts w:asciiTheme="majorBidi" w:hAnsiTheme="majorBidi"/>
          <w:lang w:val="fr-FR"/>
        </w:rPr>
        <w:t>’</w:t>
      </w:r>
      <w:r w:rsidRPr="00016AD6">
        <w:rPr>
          <w:rFonts w:asciiTheme="majorBidi" w:hAnsiTheme="majorBidi"/>
          <w:lang w:val="fr-FR"/>
        </w:rPr>
        <w:t xml:space="preserve">homme. </w:t>
      </w:r>
    </w:p>
    <w:p w14:paraId="41D41BE0" w14:textId="77777777" w:rsidR="00737BD1" w:rsidRPr="00016AD6" w:rsidRDefault="00737BD1" w:rsidP="00737BD1">
      <w:pPr>
        <w:pStyle w:val="H56G"/>
        <w:rPr>
          <w:i/>
          <w:lang w:val="fr-FR"/>
        </w:rPr>
      </w:pPr>
      <w:r w:rsidRPr="00016AD6">
        <w:rPr>
          <w:lang w:val="fr-FR"/>
        </w:rPr>
        <w:tab/>
        <w:t>f.</w:t>
      </w:r>
      <w:r w:rsidRPr="00016AD6">
        <w:rPr>
          <w:lang w:val="fr-FR"/>
        </w:rPr>
        <w:tab/>
        <w:t>Protection des personnes en situation de vulnérabilité</w:t>
      </w:r>
    </w:p>
    <w:p w14:paraId="013E2790" w14:textId="5519012E"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406.</w:t>
      </w:r>
      <w:r>
        <w:rPr>
          <w:rFonts w:asciiTheme="majorBidi" w:eastAsia="Calibri" w:hAnsiTheme="majorBidi"/>
          <w:lang w:val="fr-FR"/>
        </w:rPr>
        <w:tab/>
      </w:r>
      <w:r w:rsidRPr="00016AD6">
        <w:rPr>
          <w:rFonts w:asciiTheme="majorBidi" w:eastAsia="Calibri" w:hAnsiTheme="majorBidi"/>
          <w:lang w:val="fr-FR"/>
        </w:rPr>
        <w:t>S</w:t>
      </w:r>
      <w:r w:rsidR="004C5E26">
        <w:rPr>
          <w:rFonts w:asciiTheme="majorBidi" w:eastAsia="Calibri" w:hAnsiTheme="majorBidi"/>
          <w:lang w:val="fr-FR"/>
        </w:rPr>
        <w:t>’</w:t>
      </w:r>
      <w:r w:rsidRPr="00016AD6">
        <w:rPr>
          <w:rFonts w:asciiTheme="majorBidi" w:eastAsia="Calibri" w:hAnsiTheme="majorBidi"/>
          <w:lang w:val="fr-FR"/>
        </w:rPr>
        <w:t>agissant de la protection des personnes en situation de vulnérabilité, on a exhorté le Groupe d</w:t>
      </w:r>
      <w:r w:rsidR="004C5E26">
        <w:rPr>
          <w:rFonts w:asciiTheme="majorBidi" w:eastAsia="Calibri" w:hAnsiTheme="majorBidi"/>
          <w:lang w:val="fr-FR"/>
        </w:rPr>
        <w:t>’</w:t>
      </w:r>
      <w:r w:rsidRPr="00016AD6">
        <w:rPr>
          <w:rFonts w:asciiTheme="majorBidi" w:eastAsia="Calibri" w:hAnsiTheme="majorBidi"/>
          <w:lang w:val="fr-FR"/>
        </w:rPr>
        <w:t>étude à adopter une approche différenciée en distinguant la vulnérabilité des régions potentiellement exposées aux dangers liés au climat, la vulnérabilité de certains groupes ou régions et la vulnérabilité individuelle des personnes. Il a été proposé d</w:t>
      </w:r>
      <w:r w:rsidR="004C5E26">
        <w:rPr>
          <w:rFonts w:asciiTheme="majorBidi" w:eastAsia="Calibri" w:hAnsiTheme="majorBidi"/>
          <w:lang w:val="fr-FR"/>
        </w:rPr>
        <w:t>’</w:t>
      </w:r>
      <w:r w:rsidRPr="00016AD6">
        <w:rPr>
          <w:rFonts w:asciiTheme="majorBidi" w:eastAsia="Calibri" w:hAnsiTheme="majorBidi"/>
          <w:lang w:val="fr-FR"/>
        </w:rPr>
        <w:t>établir une liste indicative des groupes vulnérables pour ne pas laisser aux décideurs l</w:t>
      </w:r>
      <w:r w:rsidR="004C5E26">
        <w:rPr>
          <w:rFonts w:asciiTheme="majorBidi" w:eastAsia="Calibri" w:hAnsiTheme="majorBidi"/>
          <w:lang w:val="fr-FR"/>
        </w:rPr>
        <w:t>’</w:t>
      </w:r>
      <w:r w:rsidRPr="00016AD6">
        <w:rPr>
          <w:rFonts w:asciiTheme="majorBidi" w:eastAsia="Calibri" w:hAnsiTheme="majorBidi"/>
          <w:lang w:val="fr-FR"/>
        </w:rPr>
        <w:t>interprétation de l</w:t>
      </w:r>
      <w:r w:rsidR="004C5E26">
        <w:rPr>
          <w:rFonts w:asciiTheme="majorBidi" w:eastAsia="Calibri" w:hAnsiTheme="majorBidi"/>
          <w:lang w:val="fr-FR"/>
        </w:rPr>
        <w:t>’</w:t>
      </w:r>
      <w:r w:rsidRPr="00016AD6">
        <w:rPr>
          <w:rFonts w:asciiTheme="majorBidi" w:eastAsia="Calibri" w:hAnsiTheme="majorBidi"/>
          <w:lang w:val="fr-FR"/>
        </w:rPr>
        <w:t xml:space="preserve">expression « personnes vulnérables ». Le </w:t>
      </w:r>
      <w:r>
        <w:rPr>
          <w:rFonts w:asciiTheme="majorBidi" w:eastAsia="Calibri" w:hAnsiTheme="majorBidi"/>
          <w:lang w:val="fr-FR"/>
        </w:rPr>
        <w:t xml:space="preserve">sixième </w:t>
      </w:r>
      <w:r w:rsidRPr="00016AD6">
        <w:rPr>
          <w:rFonts w:asciiTheme="majorBidi" w:eastAsia="Calibri" w:hAnsiTheme="majorBidi"/>
          <w:lang w:val="fr-FR"/>
        </w:rPr>
        <w:t>rapport d</w:t>
      </w:r>
      <w:r w:rsidR="004C5E26">
        <w:rPr>
          <w:rFonts w:asciiTheme="majorBidi" w:eastAsia="Calibri" w:hAnsiTheme="majorBidi"/>
          <w:lang w:val="fr-FR"/>
        </w:rPr>
        <w:t>’</w:t>
      </w:r>
      <w:r w:rsidRPr="00016AD6">
        <w:rPr>
          <w:rFonts w:asciiTheme="majorBidi" w:eastAsia="Calibri" w:hAnsiTheme="majorBidi"/>
          <w:lang w:val="fr-FR"/>
        </w:rPr>
        <w:t>évaluation du Groupe intergouvernemental d</w:t>
      </w:r>
      <w:r w:rsidR="004C5E26">
        <w:rPr>
          <w:rFonts w:asciiTheme="majorBidi" w:eastAsia="Calibri" w:hAnsiTheme="majorBidi"/>
          <w:lang w:val="fr-FR"/>
        </w:rPr>
        <w:t>’</w:t>
      </w:r>
      <w:r w:rsidRPr="00016AD6">
        <w:rPr>
          <w:rFonts w:asciiTheme="majorBidi" w:eastAsia="Calibri" w:hAnsiTheme="majorBidi"/>
          <w:lang w:val="fr-FR"/>
        </w:rPr>
        <w:t>experts sur l</w:t>
      </w:r>
      <w:r w:rsidR="004C5E26">
        <w:rPr>
          <w:rFonts w:asciiTheme="majorBidi" w:eastAsia="Calibri" w:hAnsiTheme="majorBidi"/>
          <w:lang w:val="fr-FR"/>
        </w:rPr>
        <w:t>’</w:t>
      </w:r>
      <w:r w:rsidRPr="00016AD6">
        <w:rPr>
          <w:rFonts w:asciiTheme="majorBidi" w:eastAsia="Calibri" w:hAnsiTheme="majorBidi"/>
          <w:lang w:val="fr-FR"/>
        </w:rPr>
        <w:t>évolution du climat</w:t>
      </w:r>
      <w:r w:rsidRPr="00E9227E">
        <w:rPr>
          <w:rStyle w:val="Appelnotedebasdep"/>
        </w:rPr>
        <w:footnoteReference w:id="271"/>
      </w:r>
      <w:r w:rsidRPr="00016AD6">
        <w:rPr>
          <w:rFonts w:asciiTheme="majorBidi" w:hAnsiTheme="majorBidi"/>
          <w:lang w:val="fr-FR"/>
        </w:rPr>
        <w:t>, qui contient une liste des groupes et personnes exposés aux effets des changements climatiques, a été proposé comme exemple.</w:t>
      </w:r>
    </w:p>
    <w:p w14:paraId="488061DB" w14:textId="77777777" w:rsidR="00737BD1" w:rsidRPr="00016AD6" w:rsidRDefault="00737BD1" w:rsidP="00737BD1">
      <w:pPr>
        <w:pStyle w:val="H56G"/>
        <w:rPr>
          <w:i/>
          <w:lang w:val="fr-FR"/>
        </w:rPr>
      </w:pPr>
      <w:r w:rsidRPr="00016AD6">
        <w:rPr>
          <w:lang w:val="fr-FR"/>
        </w:rPr>
        <w:lastRenderedPageBreak/>
        <w:tab/>
        <w:t>g.</w:t>
      </w:r>
      <w:r w:rsidRPr="00016AD6">
        <w:rPr>
          <w:lang w:val="fr-FR"/>
        </w:rPr>
        <w:tab/>
      </w:r>
      <w:r>
        <w:rPr>
          <w:lang w:val="fr-FR"/>
        </w:rPr>
        <w:t>P</w:t>
      </w:r>
      <w:r w:rsidRPr="00016AD6">
        <w:rPr>
          <w:lang w:val="fr-FR"/>
        </w:rPr>
        <w:t>rincipe d</w:t>
      </w:r>
      <w:r>
        <w:rPr>
          <w:lang w:val="fr-FR"/>
        </w:rPr>
        <w:t>e</w:t>
      </w:r>
      <w:r w:rsidRPr="00016AD6">
        <w:rPr>
          <w:lang w:val="fr-FR"/>
        </w:rPr>
        <w:t xml:space="preserve"> non-refoulement</w:t>
      </w:r>
    </w:p>
    <w:p w14:paraId="0036DE4A" w14:textId="6519DC9B" w:rsidR="00737BD1" w:rsidRDefault="00737BD1" w:rsidP="00737BD1">
      <w:pPr>
        <w:pStyle w:val="SingleTxtG"/>
        <w:rPr>
          <w:rFonts w:asciiTheme="majorBidi" w:eastAsia="Calibri" w:hAnsiTheme="majorBidi"/>
          <w:lang w:val="fr-FR"/>
        </w:rPr>
      </w:pPr>
      <w:r>
        <w:rPr>
          <w:rFonts w:asciiTheme="majorBidi" w:eastAsia="Calibri" w:hAnsiTheme="majorBidi"/>
          <w:lang w:val="fr-FR"/>
        </w:rPr>
        <w:t>407.</w:t>
      </w:r>
      <w:r>
        <w:rPr>
          <w:rFonts w:asciiTheme="majorBidi" w:eastAsia="Calibri" w:hAnsiTheme="majorBidi"/>
          <w:lang w:val="fr-FR"/>
        </w:rPr>
        <w:tab/>
      </w:r>
      <w:r w:rsidRPr="00016AD6">
        <w:rPr>
          <w:rFonts w:asciiTheme="majorBidi" w:eastAsia="Calibri" w:hAnsiTheme="majorBidi"/>
          <w:lang w:val="fr-FR"/>
        </w:rPr>
        <w:t>Les membres sont convenus que le principe d</w:t>
      </w:r>
      <w:r>
        <w:rPr>
          <w:rFonts w:asciiTheme="majorBidi" w:eastAsia="Calibri" w:hAnsiTheme="majorBidi"/>
          <w:lang w:val="fr-FR"/>
        </w:rPr>
        <w:t>e</w:t>
      </w:r>
      <w:r w:rsidRPr="00016AD6">
        <w:rPr>
          <w:rFonts w:asciiTheme="majorBidi" w:eastAsia="Calibri" w:hAnsiTheme="majorBidi"/>
          <w:lang w:val="fr-FR"/>
        </w:rPr>
        <w:t xml:space="preserve"> non-refoulement </w:t>
      </w:r>
      <w:r>
        <w:rPr>
          <w:rFonts w:asciiTheme="majorBidi" w:eastAsia="Calibri" w:hAnsiTheme="majorBidi"/>
          <w:lang w:val="fr-FR"/>
        </w:rPr>
        <w:t xml:space="preserve">était </w:t>
      </w:r>
      <w:r w:rsidRPr="00016AD6">
        <w:rPr>
          <w:rFonts w:asciiTheme="majorBidi" w:eastAsia="Calibri" w:hAnsiTheme="majorBidi"/>
          <w:lang w:val="fr-FR"/>
        </w:rPr>
        <w:t xml:space="preserve">bien établi en droit international et </w:t>
      </w:r>
      <w:r>
        <w:rPr>
          <w:rFonts w:asciiTheme="majorBidi" w:eastAsia="Calibri" w:hAnsiTheme="majorBidi"/>
          <w:lang w:val="fr-FR"/>
        </w:rPr>
        <w:t>pourrait se révéler pertinent pour la protection des personnes touchées par</w:t>
      </w:r>
      <w:r w:rsidRPr="00016AD6">
        <w:rPr>
          <w:rFonts w:asciiTheme="majorBidi" w:eastAsia="Calibri" w:hAnsiTheme="majorBidi"/>
          <w:lang w:val="fr-FR"/>
        </w:rPr>
        <w:t xml:space="preserve"> l</w:t>
      </w:r>
      <w:r w:rsidR="004C5E26">
        <w:rPr>
          <w:rFonts w:asciiTheme="majorBidi" w:eastAsia="Calibri" w:hAnsiTheme="majorBidi"/>
          <w:lang w:val="fr-FR"/>
        </w:rPr>
        <w:t>’</w:t>
      </w:r>
      <w:r w:rsidRPr="00016AD6">
        <w:rPr>
          <w:rFonts w:asciiTheme="majorBidi" w:eastAsia="Calibri" w:hAnsiTheme="majorBidi"/>
          <w:lang w:val="fr-FR"/>
        </w:rPr>
        <w:t>élévation du niveau de la mer. On a rappelé l</w:t>
      </w:r>
      <w:r w:rsidR="004C5E26">
        <w:rPr>
          <w:rFonts w:asciiTheme="majorBidi" w:eastAsia="Calibri" w:hAnsiTheme="majorBidi"/>
          <w:lang w:val="fr-FR"/>
        </w:rPr>
        <w:t>’</w:t>
      </w:r>
      <w:r w:rsidRPr="00016AD6">
        <w:rPr>
          <w:rFonts w:asciiTheme="majorBidi" w:eastAsia="Calibri" w:hAnsiTheme="majorBidi"/>
          <w:lang w:val="fr-FR"/>
        </w:rPr>
        <w:t xml:space="preserve">importance des constatations adoptées par le </w:t>
      </w:r>
      <w:r w:rsidRPr="00016AD6">
        <w:rPr>
          <w:rFonts w:asciiTheme="majorBidi" w:hAnsiTheme="majorBidi"/>
          <w:lang w:val="fr-FR"/>
        </w:rPr>
        <w:t>Comité des droits de l</w:t>
      </w:r>
      <w:r w:rsidR="004C5E26">
        <w:rPr>
          <w:rFonts w:asciiTheme="majorBidi" w:hAnsiTheme="majorBidi"/>
          <w:lang w:val="fr-FR"/>
        </w:rPr>
        <w:t>’</w:t>
      </w:r>
      <w:r w:rsidRPr="00016AD6">
        <w:rPr>
          <w:rFonts w:asciiTheme="majorBidi" w:hAnsiTheme="majorBidi"/>
          <w:lang w:val="fr-FR"/>
        </w:rPr>
        <w:t>homme dans l</w:t>
      </w:r>
      <w:r w:rsidR="004C5E26">
        <w:rPr>
          <w:rFonts w:asciiTheme="majorBidi" w:hAnsiTheme="majorBidi"/>
          <w:lang w:val="fr-FR"/>
        </w:rPr>
        <w:t>’</w:t>
      </w:r>
      <w:r w:rsidRPr="00016AD6">
        <w:rPr>
          <w:rFonts w:asciiTheme="majorBidi" w:hAnsiTheme="majorBidi"/>
          <w:lang w:val="fr-FR"/>
        </w:rPr>
        <w:t xml:space="preserve">affaire </w:t>
      </w:r>
      <w:proofErr w:type="spellStart"/>
      <w:r w:rsidRPr="00016AD6">
        <w:rPr>
          <w:rFonts w:asciiTheme="majorBidi" w:hAnsiTheme="majorBidi"/>
          <w:i/>
          <w:iCs/>
          <w:lang w:val="fr-FR"/>
        </w:rPr>
        <w:t>Teitiota</w:t>
      </w:r>
      <w:proofErr w:type="spellEnd"/>
      <w:r w:rsidRPr="00016AD6">
        <w:rPr>
          <w:rFonts w:asciiTheme="majorBidi" w:hAnsiTheme="majorBidi"/>
          <w:i/>
          <w:iCs/>
          <w:lang w:val="fr-FR"/>
        </w:rPr>
        <w:t xml:space="preserve"> c. Nouvelle-Zélande</w:t>
      </w:r>
      <w:r w:rsidRPr="00E9227E">
        <w:rPr>
          <w:rStyle w:val="Appelnotedebasdep"/>
        </w:rPr>
        <w:footnoteReference w:id="272"/>
      </w:r>
      <w:r w:rsidRPr="00016AD6">
        <w:rPr>
          <w:rFonts w:asciiTheme="majorBidi" w:eastAsia="Calibri" w:hAnsiTheme="majorBidi"/>
          <w:lang w:val="fr-FR"/>
        </w:rPr>
        <w:t>. Dans le même temps, on s</w:t>
      </w:r>
      <w:r w:rsidR="004C5E26">
        <w:rPr>
          <w:rFonts w:asciiTheme="majorBidi" w:eastAsia="Calibri" w:hAnsiTheme="majorBidi"/>
          <w:lang w:val="fr-FR"/>
        </w:rPr>
        <w:t>’</w:t>
      </w:r>
      <w:r w:rsidRPr="00016AD6">
        <w:rPr>
          <w:rFonts w:asciiTheme="majorBidi" w:eastAsia="Calibri" w:hAnsiTheme="majorBidi"/>
          <w:lang w:val="fr-FR"/>
        </w:rPr>
        <w:t>est demandé si ce principe était utile et capable de fournir une solution durable, car il s</w:t>
      </w:r>
      <w:r w:rsidR="004C5E26">
        <w:rPr>
          <w:rFonts w:asciiTheme="majorBidi" w:eastAsia="Calibri" w:hAnsiTheme="majorBidi"/>
          <w:lang w:val="fr-FR"/>
        </w:rPr>
        <w:t>’</w:t>
      </w:r>
      <w:r w:rsidRPr="00016AD6">
        <w:rPr>
          <w:rFonts w:asciiTheme="majorBidi" w:eastAsia="Calibri" w:hAnsiTheme="majorBidi"/>
          <w:lang w:val="fr-FR"/>
        </w:rPr>
        <w:t>appliquait généralement aux cas individuels et non aux migrations de masse. C</w:t>
      </w:r>
      <w:r w:rsidR="004C5E26">
        <w:rPr>
          <w:rFonts w:asciiTheme="majorBidi" w:eastAsia="Calibri" w:hAnsiTheme="majorBidi"/>
          <w:lang w:val="fr-FR"/>
        </w:rPr>
        <w:t>’</w:t>
      </w:r>
      <w:r w:rsidRPr="00016AD6">
        <w:rPr>
          <w:rFonts w:asciiTheme="majorBidi" w:eastAsia="Calibri" w:hAnsiTheme="majorBidi"/>
          <w:lang w:val="fr-FR"/>
        </w:rPr>
        <w:t>est pourquoi, étant donné que le droit était encore en développement, on a suggéré que le Groupe d</w:t>
      </w:r>
      <w:r w:rsidR="004C5E26">
        <w:rPr>
          <w:rFonts w:asciiTheme="majorBidi" w:eastAsia="Calibri" w:hAnsiTheme="majorBidi"/>
          <w:lang w:val="fr-FR"/>
        </w:rPr>
        <w:t>’</w:t>
      </w:r>
      <w:r w:rsidRPr="00016AD6">
        <w:rPr>
          <w:rFonts w:asciiTheme="majorBidi" w:eastAsia="Calibri" w:hAnsiTheme="majorBidi"/>
          <w:lang w:val="fr-FR"/>
        </w:rPr>
        <w:t>étude fasse preuve de prudence lorsqu</w:t>
      </w:r>
      <w:r w:rsidR="004C5E26">
        <w:rPr>
          <w:rFonts w:asciiTheme="majorBidi" w:eastAsia="Calibri" w:hAnsiTheme="majorBidi"/>
          <w:lang w:val="fr-FR"/>
        </w:rPr>
        <w:t>’</w:t>
      </w:r>
      <w:r w:rsidRPr="00016AD6">
        <w:rPr>
          <w:rFonts w:asciiTheme="majorBidi" w:eastAsia="Calibri" w:hAnsiTheme="majorBidi"/>
          <w:lang w:val="fr-FR"/>
        </w:rPr>
        <w:t xml:space="preserve">il </w:t>
      </w:r>
      <w:r>
        <w:rPr>
          <w:rFonts w:asciiTheme="majorBidi" w:eastAsia="Calibri" w:hAnsiTheme="majorBidi"/>
          <w:lang w:val="fr-FR"/>
        </w:rPr>
        <w:t xml:space="preserve">envisageait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applicabilité générale du principe d</w:t>
      </w:r>
      <w:r>
        <w:rPr>
          <w:rFonts w:asciiTheme="majorBidi" w:eastAsia="Calibri" w:hAnsiTheme="majorBidi"/>
          <w:lang w:val="fr-FR"/>
        </w:rPr>
        <w:t>e</w:t>
      </w:r>
      <w:r w:rsidRPr="00016AD6">
        <w:rPr>
          <w:rFonts w:asciiTheme="majorBidi" w:eastAsia="Calibri" w:hAnsiTheme="majorBidi"/>
          <w:lang w:val="fr-FR"/>
        </w:rPr>
        <w:t xml:space="preserve"> non-refoulement aux personnes touchées par les changements climatiques et l</w:t>
      </w:r>
      <w:r w:rsidR="004C5E26">
        <w:rPr>
          <w:rFonts w:asciiTheme="majorBidi" w:eastAsia="Calibri" w:hAnsiTheme="majorBidi"/>
          <w:lang w:val="fr-FR"/>
        </w:rPr>
        <w:t>’</w:t>
      </w:r>
      <w:r w:rsidRPr="00016AD6">
        <w:rPr>
          <w:rFonts w:asciiTheme="majorBidi" w:eastAsia="Calibri" w:hAnsiTheme="majorBidi"/>
          <w:lang w:val="fr-FR"/>
        </w:rPr>
        <w:t>élévation du niveau de la mer.</w:t>
      </w:r>
    </w:p>
    <w:p w14:paraId="53FA5FA6" w14:textId="24E61FE1" w:rsidR="00737BD1" w:rsidRPr="00016AD6" w:rsidRDefault="00737BD1" w:rsidP="00737BD1">
      <w:pPr>
        <w:pStyle w:val="H56G"/>
        <w:rPr>
          <w:i/>
          <w:lang w:val="fr-FR"/>
        </w:rPr>
      </w:pPr>
      <w:r w:rsidRPr="00016AD6">
        <w:rPr>
          <w:lang w:val="fr-FR"/>
        </w:rPr>
        <w:tab/>
        <w:t>h.</w:t>
      </w:r>
      <w:r w:rsidRPr="00016AD6">
        <w:rPr>
          <w:lang w:val="fr-FR"/>
        </w:rPr>
        <w:tab/>
        <w:t xml:space="preserve">Lignes directrices du Pacte mondial pour des migrations sûres, ordonnées et régulières </w:t>
      </w:r>
      <w:r w:rsidR="00546FC9">
        <w:rPr>
          <w:lang w:val="fr-FR"/>
        </w:rPr>
        <w:br/>
      </w:r>
      <w:r w:rsidRPr="00016AD6">
        <w:rPr>
          <w:lang w:val="fr-FR"/>
        </w:rPr>
        <w:t xml:space="preserve">et </w:t>
      </w:r>
      <w:r w:rsidRPr="0053665C">
        <w:t>autres</w:t>
      </w:r>
      <w:r w:rsidRPr="00016AD6">
        <w:rPr>
          <w:lang w:val="fr-FR"/>
        </w:rPr>
        <w:t xml:space="preserve"> instruments juridiques non contraignants</w:t>
      </w:r>
    </w:p>
    <w:p w14:paraId="473447EF" w14:textId="739C0D54" w:rsidR="00737BD1" w:rsidRPr="00016AD6" w:rsidRDefault="00737BD1" w:rsidP="00737BD1">
      <w:pPr>
        <w:pStyle w:val="SingleTxtG"/>
        <w:rPr>
          <w:rFonts w:eastAsia="Calibri"/>
          <w:lang w:val="fr-FR"/>
        </w:rPr>
      </w:pPr>
      <w:r>
        <w:rPr>
          <w:rFonts w:eastAsia="Calibri"/>
          <w:lang w:val="fr-FR"/>
        </w:rPr>
        <w:t>408.</w:t>
      </w:r>
      <w:r>
        <w:rPr>
          <w:rFonts w:eastAsia="Calibri"/>
          <w:lang w:val="fr-FR"/>
        </w:rPr>
        <w:tab/>
        <w:t>On a insisté sur l</w:t>
      </w:r>
      <w:r w:rsidR="004C5E26">
        <w:rPr>
          <w:rFonts w:eastAsia="Calibri"/>
          <w:lang w:val="fr-FR"/>
        </w:rPr>
        <w:t>’</w:t>
      </w:r>
      <w:r w:rsidRPr="00016AD6">
        <w:rPr>
          <w:rFonts w:eastAsia="Calibri"/>
          <w:lang w:val="fr-FR"/>
        </w:rPr>
        <w:t xml:space="preserve">importance des instruments juridiques de droit souple pertinents, notamment les </w:t>
      </w:r>
      <w:r w:rsidRPr="00016AD6">
        <w:rPr>
          <w:lang w:val="fr-FR"/>
        </w:rPr>
        <w:t>Lignes directrices du Pacte mondial pour des migrations sûres, ordonnées et régulières</w:t>
      </w:r>
      <w:r w:rsidRPr="00E9227E">
        <w:rPr>
          <w:rStyle w:val="Appelnotedebasdep"/>
        </w:rPr>
        <w:footnoteReference w:id="273"/>
      </w:r>
      <w:r w:rsidRPr="00016AD6">
        <w:rPr>
          <w:lang w:val="fr-FR"/>
        </w:rPr>
        <w:t>. Dans le même temps, certains membres ont souligné qu</w:t>
      </w:r>
      <w:r w:rsidR="004C5E26">
        <w:rPr>
          <w:lang w:val="fr-FR"/>
        </w:rPr>
        <w:t>’</w:t>
      </w:r>
      <w:r w:rsidRPr="00016AD6">
        <w:rPr>
          <w:lang w:val="fr-FR"/>
        </w:rPr>
        <w:t xml:space="preserve">il était crucial de distinguer clairement la </w:t>
      </w:r>
      <w:proofErr w:type="spellStart"/>
      <w:r w:rsidRPr="00016AD6">
        <w:rPr>
          <w:rFonts w:eastAsia="Calibri"/>
          <w:i/>
          <w:iCs/>
          <w:lang w:val="fr-FR"/>
        </w:rPr>
        <w:t>lex</w:t>
      </w:r>
      <w:proofErr w:type="spellEnd"/>
      <w:r w:rsidRPr="00016AD6">
        <w:rPr>
          <w:rFonts w:eastAsia="Calibri"/>
          <w:i/>
          <w:iCs/>
          <w:lang w:val="fr-FR"/>
        </w:rPr>
        <w:t xml:space="preserve"> </w:t>
      </w:r>
      <w:proofErr w:type="spellStart"/>
      <w:r w:rsidRPr="00016AD6">
        <w:rPr>
          <w:rFonts w:eastAsia="Calibri"/>
          <w:i/>
          <w:iCs/>
          <w:lang w:val="fr-FR"/>
        </w:rPr>
        <w:t>lata</w:t>
      </w:r>
      <w:proofErr w:type="spellEnd"/>
      <w:r w:rsidRPr="00016AD6">
        <w:rPr>
          <w:rFonts w:eastAsia="Calibri"/>
          <w:i/>
          <w:iCs/>
          <w:lang w:val="fr-FR"/>
        </w:rPr>
        <w:t xml:space="preserve"> </w:t>
      </w:r>
      <w:r>
        <w:rPr>
          <w:rFonts w:eastAsia="Calibri"/>
          <w:lang w:val="fr-FR"/>
        </w:rPr>
        <w:t>de</w:t>
      </w:r>
      <w:r w:rsidRPr="00016AD6">
        <w:rPr>
          <w:rFonts w:eastAsia="Calibri"/>
          <w:lang w:val="fr-FR"/>
        </w:rPr>
        <w:t xml:space="preserve"> la </w:t>
      </w:r>
      <w:proofErr w:type="spellStart"/>
      <w:r w:rsidRPr="00016AD6">
        <w:rPr>
          <w:rFonts w:eastAsia="Calibri"/>
          <w:i/>
          <w:iCs/>
          <w:lang w:val="fr-FR"/>
        </w:rPr>
        <w:t>lex</w:t>
      </w:r>
      <w:proofErr w:type="spellEnd"/>
      <w:r w:rsidRPr="00016AD6">
        <w:rPr>
          <w:rFonts w:eastAsia="Calibri"/>
          <w:i/>
          <w:iCs/>
          <w:lang w:val="fr-FR"/>
        </w:rPr>
        <w:t xml:space="preserve"> </w:t>
      </w:r>
      <w:proofErr w:type="spellStart"/>
      <w:r w:rsidRPr="00016AD6">
        <w:rPr>
          <w:rFonts w:eastAsia="Calibri"/>
          <w:i/>
          <w:iCs/>
          <w:lang w:val="fr-FR"/>
        </w:rPr>
        <w:t>ferenda</w:t>
      </w:r>
      <w:proofErr w:type="spellEnd"/>
      <w:r>
        <w:rPr>
          <w:rFonts w:eastAsia="Calibri"/>
          <w:lang w:val="fr-FR"/>
        </w:rPr>
        <w:t> ;</w:t>
      </w:r>
      <w:r w:rsidRPr="00016AD6">
        <w:rPr>
          <w:rFonts w:eastAsia="Calibri"/>
          <w:lang w:val="fr-FR"/>
        </w:rPr>
        <w:t xml:space="preserve"> </w:t>
      </w:r>
      <w:r>
        <w:rPr>
          <w:rFonts w:eastAsia="Calibri"/>
          <w:lang w:val="fr-FR"/>
        </w:rPr>
        <w:t xml:space="preserve">il fallait </w:t>
      </w:r>
      <w:r w:rsidRPr="00016AD6">
        <w:rPr>
          <w:rFonts w:eastAsia="Calibri"/>
          <w:lang w:val="fr-FR"/>
        </w:rPr>
        <w:t>indiquer explicitement que les instruments de droit souple n</w:t>
      </w:r>
      <w:r w:rsidR="004C5E26">
        <w:rPr>
          <w:rFonts w:eastAsia="Calibri"/>
          <w:lang w:val="fr-FR"/>
        </w:rPr>
        <w:t>’</w:t>
      </w:r>
      <w:r w:rsidRPr="00016AD6">
        <w:rPr>
          <w:rFonts w:eastAsia="Calibri"/>
          <w:lang w:val="fr-FR"/>
        </w:rPr>
        <w:t xml:space="preserve">étaient pas juridiquement contraignants et </w:t>
      </w:r>
      <w:r>
        <w:rPr>
          <w:rFonts w:eastAsia="Calibri"/>
          <w:lang w:val="fr-FR"/>
        </w:rPr>
        <w:t xml:space="preserve">étaient de nature </w:t>
      </w:r>
      <w:r w:rsidRPr="00016AD6">
        <w:rPr>
          <w:rFonts w:eastAsia="Calibri"/>
          <w:lang w:val="fr-FR"/>
        </w:rPr>
        <w:t xml:space="preserve">politique. </w:t>
      </w:r>
    </w:p>
    <w:p w14:paraId="3BB881E1" w14:textId="77777777" w:rsidR="00737BD1" w:rsidRPr="00016AD6" w:rsidRDefault="00737BD1" w:rsidP="00737BD1">
      <w:pPr>
        <w:pStyle w:val="H56G"/>
        <w:rPr>
          <w:i/>
          <w:lang w:val="fr-FR"/>
        </w:rPr>
      </w:pPr>
      <w:r w:rsidRPr="00016AD6">
        <w:rPr>
          <w:lang w:val="fr-FR"/>
        </w:rPr>
        <w:tab/>
        <w:t>i.</w:t>
      </w:r>
      <w:r w:rsidRPr="00016AD6">
        <w:rPr>
          <w:lang w:val="fr-FR"/>
        </w:rPr>
        <w:tab/>
        <w:t>Applicabilité de la protection complémentaire</w:t>
      </w:r>
    </w:p>
    <w:p w14:paraId="305B575A" w14:textId="11A60D01"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409.</w:t>
      </w:r>
      <w:r>
        <w:rPr>
          <w:rFonts w:asciiTheme="majorBidi" w:eastAsia="Calibri" w:hAnsiTheme="majorBidi"/>
          <w:lang w:val="fr-FR"/>
        </w:rPr>
        <w:tab/>
      </w:r>
      <w:r w:rsidRPr="00016AD6">
        <w:rPr>
          <w:rFonts w:asciiTheme="majorBidi" w:eastAsia="Calibri" w:hAnsiTheme="majorBidi"/>
          <w:lang w:val="fr-FR"/>
        </w:rPr>
        <w:t>Sur la question de la protection complémentaire, on a rappelé d</w:t>
      </w:r>
      <w:r w:rsidR="004C5E26">
        <w:rPr>
          <w:rFonts w:asciiTheme="majorBidi" w:eastAsia="Calibri" w:hAnsiTheme="majorBidi"/>
          <w:lang w:val="fr-FR"/>
        </w:rPr>
        <w:t>’</w:t>
      </w:r>
      <w:r w:rsidRPr="00016AD6">
        <w:rPr>
          <w:rFonts w:asciiTheme="majorBidi" w:eastAsia="Calibri" w:hAnsiTheme="majorBidi"/>
          <w:lang w:val="fr-FR"/>
        </w:rPr>
        <w:t xml:space="preserve">emblée que la </w:t>
      </w:r>
      <w:r w:rsidRPr="00016AD6">
        <w:rPr>
          <w:rFonts w:asciiTheme="majorBidi" w:hAnsiTheme="majorBidi"/>
          <w:lang w:val="fr-FR"/>
        </w:rPr>
        <w:t>Convention de 1951</w:t>
      </w:r>
      <w:r w:rsidRPr="00016AD6">
        <w:rPr>
          <w:rFonts w:asciiTheme="majorBidi" w:eastAsia="Calibri" w:hAnsiTheme="majorBidi"/>
          <w:lang w:val="fr-FR"/>
        </w:rPr>
        <w:t xml:space="preserve"> </w:t>
      </w:r>
      <w:r w:rsidRPr="00016AD6">
        <w:rPr>
          <w:rFonts w:asciiTheme="majorBidi" w:hAnsiTheme="majorBidi"/>
          <w:lang w:val="fr-FR"/>
        </w:rPr>
        <w:t>relative au statut des réfugiés</w:t>
      </w:r>
      <w:r w:rsidRPr="00E9227E">
        <w:rPr>
          <w:rStyle w:val="Appelnotedebasdep"/>
        </w:rPr>
        <w:footnoteReference w:id="274"/>
      </w:r>
      <w:r w:rsidRPr="00016AD6">
        <w:rPr>
          <w:rFonts w:asciiTheme="majorBidi" w:hAnsiTheme="majorBidi"/>
          <w:lang w:val="fr-FR"/>
        </w:rPr>
        <w:t xml:space="preserve"> limitait l</w:t>
      </w:r>
      <w:r w:rsidR="004C5E26">
        <w:rPr>
          <w:rFonts w:asciiTheme="majorBidi" w:hAnsiTheme="majorBidi"/>
          <w:lang w:val="fr-FR"/>
        </w:rPr>
        <w:t>’</w:t>
      </w:r>
      <w:r w:rsidRPr="00016AD6">
        <w:rPr>
          <w:rFonts w:asciiTheme="majorBidi" w:hAnsiTheme="majorBidi"/>
          <w:lang w:val="fr-FR"/>
        </w:rPr>
        <w:t xml:space="preserve">accès à la protection internationale à cinq motifs de persécution, excluant ainsi nombre des </w:t>
      </w:r>
      <w:r>
        <w:rPr>
          <w:rFonts w:asciiTheme="majorBidi" w:hAnsiTheme="majorBidi"/>
          <w:lang w:val="fr-FR"/>
        </w:rPr>
        <w:t xml:space="preserve">autres </w:t>
      </w:r>
      <w:r w:rsidRPr="00016AD6">
        <w:rPr>
          <w:rFonts w:asciiTheme="majorBidi" w:hAnsiTheme="majorBidi"/>
          <w:lang w:val="fr-FR"/>
        </w:rPr>
        <w:t>facteurs généralement à l</w:t>
      </w:r>
      <w:r w:rsidR="004C5E26">
        <w:rPr>
          <w:rFonts w:asciiTheme="majorBidi" w:hAnsiTheme="majorBidi"/>
          <w:lang w:val="fr-FR"/>
        </w:rPr>
        <w:t>’</w:t>
      </w:r>
      <w:r w:rsidRPr="00016AD6">
        <w:rPr>
          <w:rFonts w:asciiTheme="majorBidi" w:hAnsiTheme="majorBidi"/>
          <w:lang w:val="fr-FR"/>
        </w:rPr>
        <w:t>origine des migrations forcées tel</w:t>
      </w:r>
      <w:r>
        <w:rPr>
          <w:rFonts w:asciiTheme="majorBidi" w:hAnsiTheme="majorBidi"/>
          <w:lang w:val="fr-FR"/>
        </w:rPr>
        <w:t>s</w:t>
      </w:r>
      <w:r w:rsidRPr="00016AD6">
        <w:rPr>
          <w:rFonts w:asciiTheme="majorBidi" w:hAnsiTheme="majorBidi"/>
          <w:lang w:val="fr-FR"/>
        </w:rPr>
        <w:t xml:space="preserve"> que les catastrophes naturelles et </w:t>
      </w:r>
      <w:r w:rsidRPr="00016AD6">
        <w:rPr>
          <w:rFonts w:asciiTheme="majorBidi" w:eastAsia="Calibri" w:hAnsiTheme="majorBidi"/>
          <w:lang w:val="fr-FR"/>
        </w:rPr>
        <w:t>l</w:t>
      </w:r>
      <w:r w:rsidR="004C5E26">
        <w:rPr>
          <w:rFonts w:asciiTheme="majorBidi" w:eastAsia="Calibri" w:hAnsiTheme="majorBidi"/>
          <w:lang w:val="fr-FR"/>
        </w:rPr>
        <w:t>’</w:t>
      </w:r>
      <w:r w:rsidRPr="00016AD6">
        <w:rPr>
          <w:rFonts w:asciiTheme="majorBidi" w:eastAsia="Calibri" w:hAnsiTheme="majorBidi"/>
          <w:lang w:val="fr-FR"/>
        </w:rPr>
        <w:t>élévation du niveau de la mer. On a suggéré que le Groupe d</w:t>
      </w:r>
      <w:r w:rsidR="004C5E26">
        <w:rPr>
          <w:rFonts w:asciiTheme="majorBidi" w:eastAsia="Calibri" w:hAnsiTheme="majorBidi"/>
          <w:lang w:val="fr-FR"/>
        </w:rPr>
        <w:t>’</w:t>
      </w:r>
      <w:r w:rsidRPr="00016AD6">
        <w:rPr>
          <w:rFonts w:asciiTheme="majorBidi" w:eastAsia="Calibri" w:hAnsiTheme="majorBidi"/>
          <w:lang w:val="fr-FR"/>
        </w:rPr>
        <w:t xml:space="preserve">étude envisage des approches adoptées dans </w:t>
      </w:r>
      <w:r>
        <w:rPr>
          <w:rFonts w:asciiTheme="majorBidi" w:eastAsia="Calibri" w:hAnsiTheme="majorBidi"/>
          <w:lang w:val="fr-FR"/>
        </w:rPr>
        <w:t>différents</w:t>
      </w:r>
      <w:r w:rsidRPr="00016AD6">
        <w:rPr>
          <w:rFonts w:asciiTheme="majorBidi" w:eastAsia="Calibri" w:hAnsiTheme="majorBidi"/>
          <w:lang w:val="fr-FR"/>
        </w:rPr>
        <w:t xml:space="preserve"> contextes régionaux et réfléchisse à la manière dont cela pouvait influencer le cadre général de la protection des réfugiés en droit international. Des exemples </w:t>
      </w:r>
      <w:r>
        <w:rPr>
          <w:rFonts w:asciiTheme="majorBidi" w:eastAsia="Calibri" w:hAnsiTheme="majorBidi"/>
          <w:lang w:val="fr-FR"/>
        </w:rPr>
        <w:t xml:space="preserve">tirés </w:t>
      </w:r>
      <w:r w:rsidRPr="00016AD6">
        <w:rPr>
          <w:rFonts w:asciiTheme="majorBidi" w:eastAsia="Calibri" w:hAnsiTheme="majorBidi"/>
          <w:lang w:val="fr-FR"/>
        </w:rPr>
        <w:t xml:space="preserve">de la Convention </w:t>
      </w:r>
      <w:r>
        <w:rPr>
          <w:rFonts w:asciiTheme="majorBidi" w:eastAsia="Calibri" w:hAnsiTheme="majorBidi"/>
          <w:lang w:val="fr-FR"/>
        </w:rPr>
        <w:t>de l</w:t>
      </w:r>
      <w:r w:rsidR="004C5E26">
        <w:rPr>
          <w:rFonts w:asciiTheme="majorBidi" w:eastAsia="Calibri" w:hAnsiTheme="majorBidi"/>
          <w:lang w:val="fr-FR"/>
        </w:rPr>
        <w:t>’</w:t>
      </w:r>
      <w:r>
        <w:rPr>
          <w:rFonts w:asciiTheme="majorBidi" w:eastAsia="Calibri" w:hAnsiTheme="majorBidi"/>
          <w:lang w:val="fr-FR"/>
        </w:rPr>
        <w:t xml:space="preserve">OUA </w:t>
      </w:r>
      <w:r w:rsidRPr="00016AD6">
        <w:rPr>
          <w:rFonts w:asciiTheme="majorBidi" w:eastAsia="Calibri" w:hAnsiTheme="majorBidi"/>
          <w:lang w:val="fr-FR"/>
        </w:rPr>
        <w:t>régissant les aspects propres aux problèmes des réfugiés en Afrique</w:t>
      </w:r>
      <w:r w:rsidRPr="00E9227E">
        <w:rPr>
          <w:rStyle w:val="Appelnotedebasdep"/>
        </w:rPr>
        <w:footnoteReference w:id="275"/>
      </w:r>
      <w:r w:rsidRPr="00016AD6">
        <w:rPr>
          <w:rFonts w:asciiTheme="majorBidi" w:hAnsiTheme="majorBidi"/>
          <w:lang w:val="fr-FR"/>
        </w:rPr>
        <w:t xml:space="preserve"> et de la Déclaration de Carthagène sur les réfugiés</w:t>
      </w:r>
      <w:r w:rsidRPr="00E9227E">
        <w:rPr>
          <w:rStyle w:val="Appelnotedebasdep"/>
        </w:rPr>
        <w:footnoteReference w:id="276"/>
      </w:r>
      <w:r w:rsidRPr="00016AD6">
        <w:rPr>
          <w:rFonts w:asciiTheme="majorBidi" w:hAnsiTheme="majorBidi"/>
          <w:lang w:val="fr-FR"/>
        </w:rPr>
        <w:t xml:space="preserve"> ont été rappelés.</w:t>
      </w:r>
    </w:p>
    <w:p w14:paraId="3B32DD87" w14:textId="77777777" w:rsidR="00737BD1" w:rsidRPr="0015269B" w:rsidRDefault="00737BD1" w:rsidP="00737BD1">
      <w:pPr>
        <w:pStyle w:val="H56G"/>
        <w:rPr>
          <w:i/>
          <w:lang w:val="fr-FR"/>
        </w:rPr>
      </w:pPr>
      <w:r w:rsidRPr="00016AD6">
        <w:rPr>
          <w:lang w:val="fr-FR"/>
        </w:rPr>
        <w:tab/>
      </w:r>
      <w:r w:rsidRPr="0015269B">
        <w:rPr>
          <w:lang w:val="fr-FR"/>
        </w:rPr>
        <w:t>j.</w:t>
      </w:r>
      <w:r w:rsidRPr="0015269B">
        <w:rPr>
          <w:lang w:val="fr-FR"/>
        </w:rPr>
        <w:tab/>
        <w:t xml:space="preserve">Visas humanitaires et mesures administratives analogues </w:t>
      </w:r>
    </w:p>
    <w:p w14:paraId="296968F9" w14:textId="3E3DBB82"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41</w:t>
      </w:r>
      <w:r w:rsidRPr="0015269B">
        <w:rPr>
          <w:rFonts w:asciiTheme="majorBidi" w:eastAsia="Calibri" w:hAnsiTheme="majorBidi"/>
          <w:lang w:val="fr-FR"/>
        </w:rPr>
        <w:t>0.</w:t>
      </w:r>
      <w:r w:rsidRPr="0015269B">
        <w:rPr>
          <w:rFonts w:asciiTheme="majorBidi" w:eastAsia="Calibri" w:hAnsiTheme="majorBidi"/>
          <w:lang w:val="fr-FR"/>
        </w:rPr>
        <w:tab/>
        <w:t>On</w:t>
      </w:r>
      <w:r w:rsidRPr="00016AD6">
        <w:rPr>
          <w:rFonts w:asciiTheme="majorBidi" w:eastAsia="Calibri" w:hAnsiTheme="majorBidi"/>
          <w:lang w:val="fr-FR"/>
        </w:rPr>
        <w:t xml:space="preserve"> a considéré que les questions touchant les visas humanitaires et les mesures administratives analogues relevaient du sous-sujet. À cet égard, on a cité plusieurs exemples de coopération internationale régionale dans le domaine des visas humanitaires</w:t>
      </w:r>
      <w:r>
        <w:rPr>
          <w:rFonts w:asciiTheme="majorBidi" w:eastAsia="Calibri" w:hAnsiTheme="majorBidi"/>
          <w:lang w:val="fr-FR"/>
        </w:rPr>
        <w:t>, concernant surtout l</w:t>
      </w:r>
      <w:r w:rsidR="004C5E26">
        <w:rPr>
          <w:rFonts w:asciiTheme="majorBidi" w:eastAsia="Calibri" w:hAnsiTheme="majorBidi"/>
          <w:lang w:val="fr-FR"/>
        </w:rPr>
        <w:t>’</w:t>
      </w:r>
      <w:r>
        <w:rPr>
          <w:rFonts w:asciiTheme="majorBidi" w:eastAsia="Calibri" w:hAnsiTheme="majorBidi"/>
          <w:lang w:val="fr-FR"/>
        </w:rPr>
        <w:t>Amérique latine, les Caraïbes et la région du Pacifique, où la mobilité humaine liée aux changements climatiques s</w:t>
      </w:r>
      <w:r w:rsidR="004C5E26">
        <w:rPr>
          <w:rFonts w:asciiTheme="majorBidi" w:eastAsia="Calibri" w:hAnsiTheme="majorBidi"/>
          <w:lang w:val="fr-FR"/>
        </w:rPr>
        <w:t>’</w:t>
      </w:r>
      <w:r>
        <w:rPr>
          <w:rFonts w:asciiTheme="majorBidi" w:eastAsia="Calibri" w:hAnsiTheme="majorBidi"/>
          <w:lang w:val="fr-FR"/>
        </w:rPr>
        <w:t>inscrivait maintenant dans des accords internationaux</w:t>
      </w:r>
      <w:r w:rsidRPr="00016AD6">
        <w:rPr>
          <w:rFonts w:asciiTheme="majorBidi" w:eastAsia="Calibri" w:hAnsiTheme="majorBidi"/>
          <w:lang w:val="fr-FR"/>
        </w:rPr>
        <w:t>. Dans le même temps, on a fait valoir que les questions touchant l</w:t>
      </w:r>
      <w:r w:rsidR="004C5E26">
        <w:rPr>
          <w:rFonts w:asciiTheme="majorBidi" w:eastAsia="Calibri" w:hAnsiTheme="majorBidi"/>
          <w:lang w:val="fr-FR"/>
        </w:rPr>
        <w:t>’</w:t>
      </w:r>
      <w:r w:rsidRPr="00016AD6">
        <w:rPr>
          <w:rFonts w:asciiTheme="majorBidi" w:eastAsia="Calibri" w:hAnsiTheme="majorBidi"/>
          <w:lang w:val="fr-FR"/>
        </w:rPr>
        <w:t>admission des ressortissants étrangers relevai</w:t>
      </w:r>
      <w:r>
        <w:rPr>
          <w:rFonts w:asciiTheme="majorBidi" w:eastAsia="Calibri" w:hAnsiTheme="majorBidi"/>
          <w:lang w:val="fr-FR"/>
        </w:rPr>
        <w:t>en</w:t>
      </w:r>
      <w:r w:rsidRPr="00016AD6">
        <w:rPr>
          <w:rFonts w:asciiTheme="majorBidi" w:eastAsia="Calibri" w:hAnsiTheme="majorBidi"/>
          <w:lang w:val="fr-FR"/>
        </w:rPr>
        <w:t xml:space="preserve">t de la compétence des autorités nationales. Le </w:t>
      </w:r>
      <w:r w:rsidRPr="00016AD6">
        <w:rPr>
          <w:rFonts w:asciiTheme="majorBidi" w:hAnsiTheme="majorBidi"/>
          <w:lang w:val="fr-FR"/>
        </w:rPr>
        <w:t>Groupe d</w:t>
      </w:r>
      <w:r w:rsidR="004C5E26">
        <w:rPr>
          <w:rFonts w:asciiTheme="majorBidi" w:hAnsiTheme="majorBidi"/>
          <w:lang w:val="fr-FR"/>
        </w:rPr>
        <w:t>’</w:t>
      </w:r>
      <w:r w:rsidRPr="00016AD6">
        <w:rPr>
          <w:rFonts w:asciiTheme="majorBidi" w:hAnsiTheme="majorBidi"/>
          <w:lang w:val="fr-FR"/>
        </w:rPr>
        <w:t>étude a de plus été engagé à ne pas supposer que les personnes touchées par l</w:t>
      </w:r>
      <w:r w:rsidR="004C5E26">
        <w:rPr>
          <w:rFonts w:asciiTheme="majorBidi" w:hAnsiTheme="majorBidi"/>
          <w:lang w:val="fr-FR"/>
        </w:rPr>
        <w:t>’</w:t>
      </w:r>
      <w:r w:rsidRPr="00016AD6">
        <w:rPr>
          <w:rFonts w:asciiTheme="majorBidi" w:hAnsiTheme="majorBidi"/>
          <w:lang w:val="fr-FR"/>
        </w:rPr>
        <w:t xml:space="preserve">élévation du niveau de la mer voudraient toujours </w:t>
      </w:r>
      <w:r w:rsidRPr="007E7392">
        <w:rPr>
          <w:rFonts w:asciiTheme="majorBidi" w:hAnsiTheme="majorBidi"/>
          <w:lang w:val="fr-FR"/>
        </w:rPr>
        <w:t>émigrer</w:t>
      </w:r>
      <w:r w:rsidRPr="00016AD6">
        <w:rPr>
          <w:rFonts w:asciiTheme="majorBidi" w:hAnsiTheme="majorBidi"/>
          <w:lang w:val="fr-FR"/>
        </w:rPr>
        <w:t xml:space="preserve">. </w:t>
      </w:r>
    </w:p>
    <w:p w14:paraId="4BECE5A2" w14:textId="705A5E62" w:rsidR="00737BD1" w:rsidRPr="0053018A" w:rsidRDefault="00737BD1" w:rsidP="00737BD1">
      <w:pPr>
        <w:pStyle w:val="H56G"/>
      </w:pPr>
      <w:r w:rsidRPr="00016AD6">
        <w:rPr>
          <w:lang w:val="fr-FR"/>
        </w:rPr>
        <w:lastRenderedPageBreak/>
        <w:tab/>
        <w:t>k.</w:t>
      </w:r>
      <w:r w:rsidRPr="00016AD6">
        <w:rPr>
          <w:lang w:val="fr-FR"/>
        </w:rPr>
        <w:tab/>
      </w:r>
      <w:r w:rsidRPr="0053018A">
        <w:t>Outils permettant d</w:t>
      </w:r>
      <w:r w:rsidR="004C5E26">
        <w:t>’</w:t>
      </w:r>
      <w:r w:rsidRPr="0053018A">
        <w:t>éviter l</w:t>
      </w:r>
      <w:r w:rsidR="004C5E26">
        <w:t>’</w:t>
      </w:r>
      <w:r w:rsidRPr="0053018A">
        <w:t>apatridie</w:t>
      </w:r>
    </w:p>
    <w:p w14:paraId="5A325523" w14:textId="3E7EC10D" w:rsidR="00737BD1" w:rsidRPr="00016AD6" w:rsidRDefault="00737BD1" w:rsidP="00737BD1">
      <w:pPr>
        <w:pStyle w:val="SingleTxtG"/>
        <w:rPr>
          <w:rFonts w:asciiTheme="majorBidi" w:eastAsia="Calibri" w:hAnsiTheme="majorBidi"/>
          <w:lang w:val="fr-FR"/>
        </w:rPr>
      </w:pPr>
      <w:r>
        <w:rPr>
          <w:rFonts w:asciiTheme="majorBidi" w:eastAsia="Calibri" w:hAnsiTheme="majorBidi"/>
          <w:lang w:val="fr-FR"/>
        </w:rPr>
        <w:t>411.</w:t>
      </w:r>
      <w:r>
        <w:rPr>
          <w:rFonts w:asciiTheme="majorBidi" w:eastAsia="Calibri" w:hAnsiTheme="majorBidi"/>
          <w:lang w:val="fr-FR"/>
        </w:rPr>
        <w:tab/>
      </w:r>
      <w:r w:rsidRPr="00016AD6">
        <w:rPr>
          <w:rFonts w:asciiTheme="majorBidi" w:eastAsia="Calibri" w:hAnsiTheme="majorBidi"/>
          <w:lang w:val="fr-FR"/>
        </w:rPr>
        <w:t>Certains membres ont indiqué que le principal moyen d</w:t>
      </w:r>
      <w:r w:rsidR="004C5E26">
        <w:rPr>
          <w:rFonts w:asciiTheme="majorBidi" w:eastAsia="Calibri" w:hAnsiTheme="majorBidi"/>
          <w:lang w:val="fr-FR"/>
        </w:rPr>
        <w:t>’</w:t>
      </w:r>
      <w:r w:rsidRPr="00016AD6">
        <w:rPr>
          <w:rFonts w:asciiTheme="majorBidi" w:eastAsia="Calibri" w:hAnsiTheme="majorBidi"/>
          <w:lang w:val="fr-FR"/>
        </w:rPr>
        <w:t>éviter l</w:t>
      </w:r>
      <w:r w:rsidR="004C5E26">
        <w:rPr>
          <w:rFonts w:asciiTheme="majorBidi" w:eastAsia="Calibri" w:hAnsiTheme="majorBidi"/>
          <w:lang w:val="fr-FR"/>
        </w:rPr>
        <w:t>’</w:t>
      </w:r>
      <w:r w:rsidRPr="00016AD6">
        <w:rPr>
          <w:rFonts w:asciiTheme="majorBidi" w:eastAsia="Calibri" w:hAnsiTheme="majorBidi"/>
          <w:lang w:val="fr-FR"/>
        </w:rPr>
        <w:t>apatridie dans le contexte de l</w:t>
      </w:r>
      <w:r w:rsidR="004C5E26">
        <w:rPr>
          <w:rFonts w:asciiTheme="majorBidi" w:eastAsia="Calibri" w:hAnsiTheme="majorBidi"/>
          <w:lang w:val="fr-FR"/>
        </w:rPr>
        <w:t>’</w:t>
      </w:r>
      <w:r w:rsidRPr="00016AD6">
        <w:rPr>
          <w:rFonts w:asciiTheme="majorBidi" w:eastAsia="Calibri" w:hAnsiTheme="majorBidi"/>
          <w:lang w:val="fr-FR"/>
        </w:rPr>
        <w:t xml:space="preserve">élévation du niveau de la mer était de garantir la continuité des États. On a toutefois </w:t>
      </w:r>
      <w:r>
        <w:rPr>
          <w:rFonts w:asciiTheme="majorBidi" w:eastAsia="Calibri" w:hAnsiTheme="majorBidi"/>
          <w:lang w:val="fr-FR"/>
        </w:rPr>
        <w:t>fait remarquer</w:t>
      </w:r>
      <w:r w:rsidRPr="00016AD6">
        <w:rPr>
          <w:rFonts w:asciiTheme="majorBidi" w:eastAsia="Calibri" w:hAnsiTheme="majorBidi"/>
          <w:lang w:val="fr-FR"/>
        </w:rPr>
        <w:t xml:space="preserve"> que lorsqu</w:t>
      </w:r>
      <w:r>
        <w:rPr>
          <w:rFonts w:asciiTheme="majorBidi" w:eastAsia="Calibri" w:hAnsiTheme="majorBidi"/>
          <w:lang w:val="fr-FR"/>
        </w:rPr>
        <w:t>e la surface terrestre d</w:t>
      </w:r>
      <w:r w:rsidR="004C5E26">
        <w:rPr>
          <w:rFonts w:asciiTheme="majorBidi" w:eastAsia="Calibri" w:hAnsiTheme="majorBidi"/>
          <w:lang w:val="fr-FR"/>
        </w:rPr>
        <w:t>’</w:t>
      </w:r>
      <w:r w:rsidRPr="00016AD6">
        <w:rPr>
          <w:rFonts w:asciiTheme="majorBidi" w:eastAsia="Calibri" w:hAnsiTheme="majorBidi"/>
          <w:lang w:val="fr-FR"/>
        </w:rPr>
        <w:t xml:space="preserve">un État </w:t>
      </w:r>
      <w:r>
        <w:rPr>
          <w:rFonts w:asciiTheme="majorBidi" w:eastAsia="Calibri" w:hAnsiTheme="majorBidi"/>
          <w:lang w:val="fr-FR"/>
        </w:rPr>
        <w:t>serait totalement recouverte par la mer</w:t>
      </w:r>
      <w:r w:rsidRPr="00016AD6">
        <w:rPr>
          <w:rFonts w:asciiTheme="majorBidi" w:eastAsia="Calibri" w:hAnsiTheme="majorBidi"/>
          <w:lang w:val="fr-FR"/>
        </w:rPr>
        <w:t xml:space="preserve">, il </w:t>
      </w:r>
      <w:r>
        <w:rPr>
          <w:rFonts w:asciiTheme="majorBidi" w:eastAsia="Calibri" w:hAnsiTheme="majorBidi"/>
          <w:lang w:val="fr-FR"/>
        </w:rPr>
        <w:t>y aurait en tout état de cause</w:t>
      </w:r>
      <w:r w:rsidRPr="00016AD6">
        <w:rPr>
          <w:rFonts w:asciiTheme="majorBidi" w:eastAsia="Calibri" w:hAnsiTheme="majorBidi"/>
          <w:lang w:val="fr-FR"/>
        </w:rPr>
        <w:t xml:space="preserve"> une obligation générale de prévenir l</w:t>
      </w:r>
      <w:r w:rsidR="004C5E26">
        <w:rPr>
          <w:rFonts w:asciiTheme="majorBidi" w:eastAsia="Calibri" w:hAnsiTheme="majorBidi"/>
          <w:lang w:val="fr-FR"/>
        </w:rPr>
        <w:t>’</w:t>
      </w:r>
      <w:r w:rsidRPr="00016AD6">
        <w:rPr>
          <w:rFonts w:asciiTheme="majorBidi" w:eastAsia="Calibri" w:hAnsiTheme="majorBidi"/>
          <w:lang w:val="fr-FR"/>
        </w:rPr>
        <w:t xml:space="preserve">apatridie. La pertinence de la </w:t>
      </w:r>
      <w:r w:rsidRPr="00016AD6">
        <w:rPr>
          <w:rFonts w:asciiTheme="majorBidi" w:hAnsiTheme="majorBidi"/>
          <w:lang w:val="fr-FR"/>
        </w:rPr>
        <w:t>Convention relative au statut des apatrides</w:t>
      </w:r>
      <w:r>
        <w:rPr>
          <w:rFonts w:asciiTheme="majorBidi" w:hAnsiTheme="majorBidi"/>
          <w:lang w:val="fr-FR"/>
        </w:rPr>
        <w:t>,</w:t>
      </w:r>
      <w:r w:rsidRPr="00016AD6">
        <w:rPr>
          <w:rFonts w:asciiTheme="majorBidi" w:hAnsiTheme="majorBidi"/>
          <w:lang w:val="fr-FR"/>
        </w:rPr>
        <w:t xml:space="preserve"> de</w:t>
      </w:r>
      <w:r>
        <w:rPr>
          <w:rFonts w:asciiTheme="majorBidi" w:hAnsiTheme="majorBidi"/>
          <w:lang w:val="fr-FR"/>
        </w:rPr>
        <w:t xml:space="preserve"> </w:t>
      </w:r>
      <w:r w:rsidRPr="00016AD6">
        <w:rPr>
          <w:rFonts w:asciiTheme="majorBidi" w:hAnsiTheme="majorBidi"/>
          <w:lang w:val="fr-FR"/>
        </w:rPr>
        <w:t>1954</w:t>
      </w:r>
      <w:r w:rsidRPr="00E9227E">
        <w:rPr>
          <w:rStyle w:val="Appelnotedebasdep"/>
        </w:rPr>
        <w:footnoteReference w:id="277"/>
      </w:r>
      <w:r w:rsidRPr="00016AD6">
        <w:rPr>
          <w:rFonts w:asciiTheme="majorBidi" w:hAnsiTheme="majorBidi"/>
          <w:lang w:val="fr-FR"/>
        </w:rPr>
        <w:t>, et de la Convention sur la réduction des cas d</w:t>
      </w:r>
      <w:r w:rsidR="004C5E26">
        <w:rPr>
          <w:rFonts w:asciiTheme="majorBidi" w:hAnsiTheme="majorBidi"/>
          <w:lang w:val="fr-FR"/>
        </w:rPr>
        <w:t>’</w:t>
      </w:r>
      <w:r w:rsidRPr="00016AD6">
        <w:rPr>
          <w:rFonts w:asciiTheme="majorBidi" w:hAnsiTheme="majorBidi"/>
          <w:lang w:val="fr-FR"/>
        </w:rPr>
        <w:t>apatridie</w:t>
      </w:r>
      <w:r>
        <w:rPr>
          <w:rFonts w:asciiTheme="majorBidi" w:hAnsiTheme="majorBidi"/>
          <w:lang w:val="fr-FR"/>
        </w:rPr>
        <w:t>,</w:t>
      </w:r>
      <w:r w:rsidRPr="00016AD6">
        <w:rPr>
          <w:rFonts w:asciiTheme="majorBidi" w:hAnsiTheme="majorBidi"/>
          <w:lang w:val="fr-FR"/>
        </w:rPr>
        <w:t xml:space="preserve"> de</w:t>
      </w:r>
      <w:r>
        <w:rPr>
          <w:rFonts w:asciiTheme="majorBidi" w:hAnsiTheme="majorBidi"/>
          <w:lang w:val="fr-FR"/>
        </w:rPr>
        <w:t xml:space="preserve"> </w:t>
      </w:r>
      <w:r w:rsidRPr="00016AD6">
        <w:rPr>
          <w:rFonts w:asciiTheme="majorBidi" w:hAnsiTheme="majorBidi"/>
          <w:lang w:val="fr-FR"/>
        </w:rPr>
        <w:t>1961</w:t>
      </w:r>
      <w:r w:rsidRPr="00E9227E">
        <w:rPr>
          <w:rStyle w:val="Appelnotedebasdep"/>
        </w:rPr>
        <w:footnoteReference w:id="278"/>
      </w:r>
      <w:r w:rsidRPr="00016AD6">
        <w:rPr>
          <w:rFonts w:asciiTheme="majorBidi" w:hAnsiTheme="majorBidi"/>
          <w:lang w:val="fr-FR"/>
        </w:rPr>
        <w:t xml:space="preserve">, a été soulignée. </w:t>
      </w:r>
    </w:p>
    <w:p w14:paraId="57F8FF06" w14:textId="6C3F86D1" w:rsidR="00737BD1" w:rsidRPr="0053018A" w:rsidRDefault="00737BD1" w:rsidP="00737BD1">
      <w:pPr>
        <w:pStyle w:val="H56G"/>
      </w:pPr>
      <w:r w:rsidRPr="0053018A">
        <w:tab/>
      </w:r>
      <w:r w:rsidR="000F61C7">
        <w:t>l</w:t>
      </w:r>
      <w:r w:rsidRPr="0053018A">
        <w:t>.</w:t>
      </w:r>
      <w:r w:rsidRPr="0053018A">
        <w:tab/>
        <w:t xml:space="preserve">Coopération internationale </w:t>
      </w:r>
    </w:p>
    <w:p w14:paraId="065C64D2" w14:textId="54E4A7CB" w:rsidR="00737BD1" w:rsidRPr="00016AD6" w:rsidRDefault="00737BD1" w:rsidP="00737BD1">
      <w:pPr>
        <w:pStyle w:val="SingleTxtG"/>
        <w:rPr>
          <w:lang w:val="fr-FR"/>
        </w:rPr>
      </w:pPr>
      <w:r>
        <w:rPr>
          <w:lang w:val="fr-FR"/>
        </w:rPr>
        <w:t>412.</w:t>
      </w:r>
      <w:r>
        <w:rPr>
          <w:lang w:val="fr-FR"/>
        </w:rPr>
        <w:tab/>
      </w:r>
      <w:r w:rsidRPr="00016AD6">
        <w:rPr>
          <w:lang w:val="fr-FR"/>
        </w:rPr>
        <w:t>Plusieurs membres du Groupe d</w:t>
      </w:r>
      <w:r w:rsidR="004C5E26">
        <w:rPr>
          <w:lang w:val="fr-FR"/>
        </w:rPr>
        <w:t>’</w:t>
      </w:r>
      <w:r w:rsidRPr="00016AD6">
        <w:rPr>
          <w:lang w:val="fr-FR"/>
        </w:rPr>
        <w:t>étude ont rappelé l</w:t>
      </w:r>
      <w:r w:rsidR="004C5E26">
        <w:rPr>
          <w:lang w:val="fr-FR"/>
        </w:rPr>
        <w:t>’</w:t>
      </w:r>
      <w:r w:rsidRPr="00016AD6">
        <w:rPr>
          <w:lang w:val="fr-FR"/>
        </w:rPr>
        <w:t xml:space="preserve">importance, déjà </w:t>
      </w:r>
      <w:r>
        <w:rPr>
          <w:lang w:val="fr-FR"/>
        </w:rPr>
        <w:t>soulign</w:t>
      </w:r>
      <w:r w:rsidRPr="00016AD6">
        <w:rPr>
          <w:lang w:val="fr-FR"/>
        </w:rPr>
        <w:t>ée, de la coopération internationale dans le contexte de l</w:t>
      </w:r>
      <w:r w:rsidR="004C5E26">
        <w:rPr>
          <w:lang w:val="fr-FR"/>
        </w:rPr>
        <w:t>’</w:t>
      </w:r>
      <w:r w:rsidRPr="00016AD6">
        <w:rPr>
          <w:lang w:val="fr-FR"/>
        </w:rPr>
        <w:t>élévation du niveau de la mer. Plusieurs membres estimaient qu</w:t>
      </w:r>
      <w:r w:rsidR="004C5E26">
        <w:rPr>
          <w:lang w:val="fr-FR"/>
        </w:rPr>
        <w:t>’</w:t>
      </w:r>
      <w:r w:rsidRPr="00016AD6">
        <w:rPr>
          <w:lang w:val="fr-FR"/>
        </w:rPr>
        <w:t>il devait exister une obligation générale de prêter assistance et se sont demandé si cette obligation était déjà fondée en droit international. On a fait valoir que le projet d</w:t>
      </w:r>
      <w:r w:rsidR="004C5E26">
        <w:rPr>
          <w:lang w:val="fr-FR"/>
        </w:rPr>
        <w:t>’</w:t>
      </w:r>
      <w:r w:rsidRPr="00016AD6">
        <w:rPr>
          <w:lang w:val="fr-FR"/>
        </w:rPr>
        <w:t xml:space="preserve">articles sur la protection des personnes en cas de catastrophe, en particulier </w:t>
      </w:r>
      <w:r>
        <w:rPr>
          <w:lang w:val="fr-FR"/>
        </w:rPr>
        <w:t xml:space="preserve">son </w:t>
      </w:r>
      <w:r w:rsidRPr="00016AD6">
        <w:rPr>
          <w:lang w:val="fr-FR"/>
        </w:rPr>
        <w:t>article 7, pourrait servir de base à l</w:t>
      </w:r>
      <w:r w:rsidR="004C5E26">
        <w:rPr>
          <w:lang w:val="fr-FR"/>
        </w:rPr>
        <w:t>’</w:t>
      </w:r>
      <w:r w:rsidRPr="00016AD6">
        <w:rPr>
          <w:lang w:val="fr-FR"/>
        </w:rPr>
        <w:t>établissement d</w:t>
      </w:r>
      <w:r w:rsidR="004C5E26">
        <w:rPr>
          <w:lang w:val="fr-FR"/>
        </w:rPr>
        <w:t>’</w:t>
      </w:r>
      <w:r w:rsidRPr="00016AD6">
        <w:rPr>
          <w:lang w:val="fr-FR"/>
        </w:rPr>
        <w:t>une obligation substantielle de coopérer dans le contexte de l</w:t>
      </w:r>
      <w:r w:rsidR="004C5E26">
        <w:rPr>
          <w:lang w:val="fr-FR"/>
        </w:rPr>
        <w:t>’</w:t>
      </w:r>
      <w:r w:rsidRPr="00016AD6">
        <w:rPr>
          <w:lang w:val="fr-FR"/>
        </w:rPr>
        <w:t>élévation du niveau de la mer. Selon une autre opinion, l</w:t>
      </w:r>
      <w:r w:rsidR="004C5E26">
        <w:rPr>
          <w:lang w:val="fr-FR"/>
        </w:rPr>
        <w:t>’</w:t>
      </w:r>
      <w:r w:rsidRPr="00016AD6">
        <w:rPr>
          <w:lang w:val="fr-FR"/>
        </w:rPr>
        <w:t>obligation de coopérer énoncée dans ce projet d</w:t>
      </w:r>
      <w:r w:rsidR="004C5E26">
        <w:rPr>
          <w:lang w:val="fr-FR"/>
        </w:rPr>
        <w:t>’</w:t>
      </w:r>
      <w:r w:rsidRPr="00016AD6">
        <w:rPr>
          <w:lang w:val="fr-FR"/>
        </w:rPr>
        <w:t>articles était limitée et insuffisamment spécifique à l</w:t>
      </w:r>
      <w:r w:rsidR="004C5E26">
        <w:rPr>
          <w:lang w:val="fr-FR"/>
        </w:rPr>
        <w:t>’</w:t>
      </w:r>
      <w:r w:rsidRPr="00016AD6">
        <w:rPr>
          <w:lang w:val="fr-FR"/>
        </w:rPr>
        <w:t>élévation du niveau de la mer. On a suggéré que le Groupe d</w:t>
      </w:r>
      <w:r w:rsidR="004C5E26">
        <w:rPr>
          <w:lang w:val="fr-FR"/>
        </w:rPr>
        <w:t>’</w:t>
      </w:r>
      <w:r w:rsidRPr="00016AD6">
        <w:rPr>
          <w:lang w:val="fr-FR"/>
        </w:rPr>
        <w:t xml:space="preserve">étude </w:t>
      </w:r>
      <w:r>
        <w:rPr>
          <w:lang w:val="fr-FR"/>
        </w:rPr>
        <w:t xml:space="preserve">synthétise </w:t>
      </w:r>
      <w:r w:rsidRPr="00016AD6">
        <w:rPr>
          <w:lang w:val="fr-FR"/>
        </w:rPr>
        <w:t>et développe les règles existant en matière de coopération et prévoi</w:t>
      </w:r>
      <w:r>
        <w:rPr>
          <w:lang w:val="fr-FR"/>
        </w:rPr>
        <w:t>e</w:t>
      </w:r>
      <w:r w:rsidRPr="00016AD6">
        <w:rPr>
          <w:lang w:val="fr-FR"/>
        </w:rPr>
        <w:t xml:space="preserve"> également des mesures procédurales telles que l</w:t>
      </w:r>
      <w:r w:rsidR="004C5E26">
        <w:rPr>
          <w:lang w:val="fr-FR"/>
        </w:rPr>
        <w:t>’</w:t>
      </w:r>
      <w:r w:rsidRPr="00016AD6">
        <w:rPr>
          <w:lang w:val="fr-FR"/>
        </w:rPr>
        <w:t>échange d</w:t>
      </w:r>
      <w:r w:rsidR="004C5E26">
        <w:rPr>
          <w:lang w:val="fr-FR"/>
        </w:rPr>
        <w:t>’</w:t>
      </w:r>
      <w:r w:rsidRPr="00016AD6">
        <w:rPr>
          <w:lang w:val="fr-FR"/>
        </w:rPr>
        <w:t xml:space="preserve">informations. Dans le même temps, </w:t>
      </w:r>
      <w:r>
        <w:rPr>
          <w:lang w:val="fr-FR"/>
        </w:rPr>
        <w:t>on a souligné qu</w:t>
      </w:r>
      <w:r w:rsidR="004C5E26">
        <w:rPr>
          <w:lang w:val="fr-FR"/>
        </w:rPr>
        <w:t>’</w:t>
      </w:r>
      <w:r w:rsidRPr="00016AD6">
        <w:rPr>
          <w:lang w:val="fr-FR"/>
        </w:rPr>
        <w:t xml:space="preserve">eu égard aux importantes divergences de vues quant à la portée et au contenu du principe de coopération, il </w:t>
      </w:r>
      <w:r>
        <w:rPr>
          <w:lang w:val="fr-FR"/>
        </w:rPr>
        <w:t xml:space="preserve">fallait </w:t>
      </w:r>
      <w:r w:rsidRPr="00016AD6">
        <w:rPr>
          <w:lang w:val="fr-FR"/>
        </w:rPr>
        <w:t>se garder d</w:t>
      </w:r>
      <w:r w:rsidR="004C5E26">
        <w:rPr>
          <w:lang w:val="fr-FR"/>
        </w:rPr>
        <w:t>’</w:t>
      </w:r>
      <w:r w:rsidRPr="00016AD6">
        <w:rPr>
          <w:lang w:val="fr-FR"/>
        </w:rPr>
        <w:t xml:space="preserve">en </w:t>
      </w:r>
      <w:r>
        <w:rPr>
          <w:lang w:val="fr-FR"/>
        </w:rPr>
        <w:t xml:space="preserve">déduire </w:t>
      </w:r>
      <w:r w:rsidRPr="00016AD6">
        <w:rPr>
          <w:lang w:val="fr-FR"/>
        </w:rPr>
        <w:t>une règle générale. Plusieurs membres ont souligné la nécessité de se pencher sur la relation entre la coopération et le principe des responsabilités communes mais différenciées. Il a aussi été proposé d</w:t>
      </w:r>
      <w:r w:rsidR="004C5E26">
        <w:rPr>
          <w:lang w:val="fr-FR"/>
        </w:rPr>
        <w:t>’</w:t>
      </w:r>
      <w:r w:rsidRPr="00016AD6">
        <w:rPr>
          <w:lang w:val="fr-FR"/>
        </w:rPr>
        <w:t>examiner la pertinence des principes de solidarité, d</w:t>
      </w:r>
      <w:r w:rsidR="004C5E26">
        <w:rPr>
          <w:lang w:val="fr-FR"/>
        </w:rPr>
        <w:t>’</w:t>
      </w:r>
      <w:r w:rsidRPr="00016AD6">
        <w:rPr>
          <w:lang w:val="fr-FR"/>
        </w:rPr>
        <w:t>équité et de prévention.</w:t>
      </w:r>
    </w:p>
    <w:p w14:paraId="21948563" w14:textId="77777777" w:rsidR="00737BD1" w:rsidRPr="00145464" w:rsidRDefault="00737BD1" w:rsidP="00737BD1">
      <w:pPr>
        <w:pStyle w:val="H56G"/>
      </w:pPr>
      <w:r w:rsidRPr="00016AD6">
        <w:rPr>
          <w:lang w:val="fr-FR"/>
        </w:rPr>
        <w:tab/>
      </w:r>
      <w:r w:rsidRPr="007E4F09">
        <w:t>m.</w:t>
      </w:r>
      <w:r w:rsidRPr="007E4F09">
        <w:tab/>
        <w:t>Protection du patrimoine culturel</w:t>
      </w:r>
    </w:p>
    <w:p w14:paraId="59CDEA2D" w14:textId="04D908EA" w:rsidR="00737BD1" w:rsidRPr="00016AD6" w:rsidRDefault="00737BD1" w:rsidP="00737BD1">
      <w:pPr>
        <w:pStyle w:val="SingleTxtG"/>
        <w:rPr>
          <w:lang w:val="fr-FR"/>
        </w:rPr>
      </w:pPr>
      <w:r>
        <w:rPr>
          <w:lang w:val="fr-FR"/>
        </w:rPr>
        <w:t>41</w:t>
      </w:r>
      <w:r w:rsidRPr="00145464">
        <w:rPr>
          <w:lang w:val="fr-FR"/>
        </w:rPr>
        <w:t>3.</w:t>
      </w:r>
      <w:r w:rsidRPr="00145464">
        <w:rPr>
          <w:lang w:val="fr-FR"/>
        </w:rPr>
        <w:tab/>
        <w:t>On a fait observer que la question de la protection du patrimoine culturel des individus et des groupes susceptibles d</w:t>
      </w:r>
      <w:r w:rsidR="004C5E26">
        <w:rPr>
          <w:lang w:val="fr-FR"/>
        </w:rPr>
        <w:t>’</w:t>
      </w:r>
      <w:r w:rsidRPr="00145464">
        <w:rPr>
          <w:lang w:val="fr-FR"/>
        </w:rPr>
        <w:t>être touchés par l</w:t>
      </w:r>
      <w:r w:rsidR="004C5E26">
        <w:rPr>
          <w:lang w:val="fr-FR"/>
        </w:rPr>
        <w:t>’</w:t>
      </w:r>
      <w:r w:rsidRPr="00145464">
        <w:rPr>
          <w:lang w:val="fr-FR"/>
        </w:rPr>
        <w:t>élévation du niveau de la mer était étroitement liée aux droits des peuples autochtones. On a rappelé que dans sa jurisprudence, la Cour interaméricaine des droits de l</w:t>
      </w:r>
      <w:r w:rsidR="004C5E26">
        <w:rPr>
          <w:lang w:val="fr-FR"/>
        </w:rPr>
        <w:t>’</w:t>
      </w:r>
      <w:r w:rsidRPr="00145464">
        <w:rPr>
          <w:lang w:val="fr-FR"/>
        </w:rPr>
        <w:t>homme avait reconnu l</w:t>
      </w:r>
      <w:r w:rsidR="004C5E26">
        <w:rPr>
          <w:lang w:val="fr-FR"/>
        </w:rPr>
        <w:t>’</w:t>
      </w:r>
      <w:r w:rsidRPr="00145464">
        <w:rPr>
          <w:lang w:val="fr-FR"/>
        </w:rPr>
        <w:t>existence d</w:t>
      </w:r>
      <w:r w:rsidR="004C5E26">
        <w:rPr>
          <w:lang w:val="fr-FR"/>
        </w:rPr>
        <w:t>’</w:t>
      </w:r>
      <w:r w:rsidRPr="00145464">
        <w:rPr>
          <w:lang w:val="fr-FR"/>
        </w:rPr>
        <w:t>un lien entre patrimoine culturel et terres autochtones. La question a été posée de savoir comment il serait possible de transférer les droits culturels des peuples autochtones réinstallés en raison de l</w:t>
      </w:r>
      <w:r w:rsidR="004C5E26">
        <w:rPr>
          <w:lang w:val="fr-FR"/>
        </w:rPr>
        <w:t>’</w:t>
      </w:r>
      <w:r w:rsidRPr="00145464">
        <w:rPr>
          <w:lang w:val="fr-FR"/>
        </w:rPr>
        <w:t>élévation du niveau de la mer</w:t>
      </w:r>
      <w:r w:rsidRPr="00016AD6">
        <w:rPr>
          <w:lang w:val="fr-FR"/>
        </w:rPr>
        <w:t xml:space="preserve">, en particulier dans des États où la protection de ces droits était limitée. </w:t>
      </w:r>
      <w:r>
        <w:rPr>
          <w:lang w:val="fr-FR"/>
        </w:rPr>
        <w:t>On a rappelé la nécessité d</w:t>
      </w:r>
      <w:r w:rsidRPr="00016AD6">
        <w:rPr>
          <w:lang w:val="fr-FR"/>
        </w:rPr>
        <w:t>e consulter les peuples autochtones et de coopérer de bonne foi avec eux</w:t>
      </w:r>
      <w:r>
        <w:rPr>
          <w:lang w:val="fr-FR"/>
        </w:rPr>
        <w:t>,</w:t>
      </w:r>
      <w:r w:rsidRPr="00016AD6">
        <w:rPr>
          <w:lang w:val="fr-FR"/>
        </w:rPr>
        <w:t xml:space="preserve"> énoncée à l</w:t>
      </w:r>
      <w:r w:rsidR="004C5E26">
        <w:rPr>
          <w:lang w:val="fr-FR"/>
        </w:rPr>
        <w:t>’</w:t>
      </w:r>
      <w:r w:rsidRPr="00016AD6">
        <w:rPr>
          <w:lang w:val="fr-FR"/>
        </w:rPr>
        <w:t>article 19 de la Déclaration des Nations Unies sur les droits des peuples autochtones.</w:t>
      </w:r>
    </w:p>
    <w:p w14:paraId="4B9D9790" w14:textId="112C21E4" w:rsidR="00737BD1" w:rsidRDefault="00737BD1" w:rsidP="00737BD1">
      <w:pPr>
        <w:pStyle w:val="H23G"/>
        <w:rPr>
          <w:lang w:val="fr-FR"/>
        </w:rPr>
      </w:pPr>
      <w:r w:rsidRPr="00016AD6">
        <w:rPr>
          <w:lang w:val="fr-FR"/>
        </w:rPr>
        <w:tab/>
        <w:t>d)</w:t>
      </w:r>
      <w:r w:rsidRPr="00016AD6">
        <w:rPr>
          <w:lang w:val="fr-FR"/>
        </w:rPr>
        <w:tab/>
      </w:r>
      <w:r w:rsidRPr="00E4619F">
        <w:t>Méthodes</w:t>
      </w:r>
      <w:r w:rsidRPr="00016AD6">
        <w:rPr>
          <w:lang w:val="fr-FR"/>
        </w:rPr>
        <w:t xml:space="preserve"> de travail </w:t>
      </w:r>
      <w:r>
        <w:rPr>
          <w:lang w:val="fr-FR"/>
        </w:rPr>
        <w:t xml:space="preserve">et travaux futurs </w:t>
      </w:r>
      <w:r w:rsidRPr="00016AD6">
        <w:rPr>
          <w:lang w:val="fr-FR"/>
        </w:rPr>
        <w:t>du Groupe d</w:t>
      </w:r>
      <w:r w:rsidR="004C5E26">
        <w:rPr>
          <w:lang w:val="fr-FR"/>
        </w:rPr>
        <w:t>’</w:t>
      </w:r>
      <w:r w:rsidRPr="00016AD6">
        <w:rPr>
          <w:lang w:val="fr-FR"/>
        </w:rPr>
        <w:t>étude</w:t>
      </w:r>
    </w:p>
    <w:p w14:paraId="77CC59A2" w14:textId="77777777" w:rsidR="00737BD1" w:rsidRPr="00745A01" w:rsidRDefault="00737BD1" w:rsidP="00737BD1">
      <w:pPr>
        <w:pStyle w:val="H4G"/>
        <w:rPr>
          <w:lang w:val="fr-FR"/>
        </w:rPr>
      </w:pPr>
      <w:r>
        <w:rPr>
          <w:lang w:val="fr-FR"/>
        </w:rPr>
        <w:tab/>
      </w:r>
      <w:r w:rsidRPr="00745A01">
        <w:rPr>
          <w:lang w:val="fr-FR"/>
        </w:rPr>
        <w:t>i)</w:t>
      </w:r>
      <w:r w:rsidRPr="00745A01">
        <w:rPr>
          <w:lang w:val="fr-FR"/>
        </w:rPr>
        <w:tab/>
        <w:t>Résumé du débat</w:t>
      </w:r>
    </w:p>
    <w:p w14:paraId="75979263" w14:textId="19502205" w:rsidR="00737BD1" w:rsidRPr="00016AD6" w:rsidRDefault="00737BD1" w:rsidP="00737BD1">
      <w:pPr>
        <w:pStyle w:val="SingleTxtG"/>
        <w:rPr>
          <w:rFonts w:asciiTheme="majorBidi" w:hAnsiTheme="majorBidi"/>
          <w:lang w:val="fr-FR"/>
        </w:rPr>
      </w:pPr>
      <w:r>
        <w:rPr>
          <w:rFonts w:asciiTheme="majorBidi" w:hAnsiTheme="majorBidi"/>
          <w:lang w:val="fr-FR"/>
        </w:rPr>
        <w:t>414.</w:t>
      </w:r>
      <w:r>
        <w:rPr>
          <w:rFonts w:asciiTheme="majorBidi" w:hAnsiTheme="majorBidi"/>
          <w:lang w:val="fr-FR"/>
        </w:rPr>
        <w:tab/>
      </w:r>
      <w:r w:rsidRPr="00016AD6">
        <w:rPr>
          <w:rFonts w:asciiTheme="majorBidi" w:hAnsiTheme="majorBidi"/>
          <w:lang w:val="fr-FR"/>
        </w:rPr>
        <w:t xml:space="preserve">En ce qui concerne les travaux </w:t>
      </w:r>
      <w:r>
        <w:rPr>
          <w:rFonts w:asciiTheme="majorBidi" w:hAnsiTheme="majorBidi"/>
          <w:lang w:val="fr-FR"/>
        </w:rPr>
        <w:t xml:space="preserve">futurs et les </w:t>
      </w:r>
      <w:r w:rsidRPr="00016AD6">
        <w:rPr>
          <w:rFonts w:asciiTheme="majorBidi" w:hAnsiTheme="majorBidi"/>
          <w:lang w:val="fr-FR"/>
        </w:rPr>
        <w:t>méthodes de travail du Groupe d</w:t>
      </w:r>
      <w:r w:rsidR="004C5E26">
        <w:rPr>
          <w:rFonts w:asciiTheme="majorBidi" w:hAnsiTheme="majorBidi"/>
          <w:lang w:val="fr-FR"/>
        </w:rPr>
        <w:t>’</w:t>
      </w:r>
      <w:r w:rsidRPr="00016AD6">
        <w:rPr>
          <w:rFonts w:asciiTheme="majorBidi" w:hAnsiTheme="majorBidi"/>
          <w:lang w:val="fr-FR"/>
        </w:rPr>
        <w:t xml:space="preserve">étude, on a dit craindre que le champ des sous-sujets soit trop large et </w:t>
      </w:r>
      <w:r>
        <w:rPr>
          <w:rFonts w:asciiTheme="majorBidi" w:hAnsiTheme="majorBidi"/>
          <w:lang w:val="fr-FR"/>
        </w:rPr>
        <w:t xml:space="preserve">il a été </w:t>
      </w:r>
      <w:r w:rsidRPr="00016AD6">
        <w:rPr>
          <w:rFonts w:asciiTheme="majorBidi" w:hAnsiTheme="majorBidi"/>
          <w:lang w:val="fr-FR"/>
        </w:rPr>
        <w:t>proposé de réduire le nombre des questions à l</w:t>
      </w:r>
      <w:r w:rsidR="004C5E26">
        <w:rPr>
          <w:rFonts w:asciiTheme="majorBidi" w:hAnsiTheme="majorBidi"/>
          <w:lang w:val="fr-FR"/>
        </w:rPr>
        <w:t>’</w:t>
      </w:r>
      <w:r w:rsidRPr="00016AD6">
        <w:rPr>
          <w:rFonts w:asciiTheme="majorBidi" w:hAnsiTheme="majorBidi"/>
          <w:lang w:val="fr-FR"/>
        </w:rPr>
        <w:t xml:space="preserve">examen. On a rappelé les limites </w:t>
      </w:r>
      <w:r>
        <w:rPr>
          <w:rFonts w:asciiTheme="majorBidi" w:hAnsiTheme="majorBidi"/>
          <w:lang w:val="fr-FR"/>
        </w:rPr>
        <w:t xml:space="preserve">établies pour les </w:t>
      </w:r>
      <w:r w:rsidRPr="00016AD6">
        <w:rPr>
          <w:rFonts w:asciiTheme="majorBidi" w:hAnsiTheme="majorBidi"/>
          <w:lang w:val="fr-FR"/>
        </w:rPr>
        <w:t>travaux sur le sujet dans le plan d</w:t>
      </w:r>
      <w:r w:rsidR="004C5E26">
        <w:rPr>
          <w:rFonts w:asciiTheme="majorBidi" w:hAnsiTheme="majorBidi"/>
          <w:lang w:val="fr-FR"/>
        </w:rPr>
        <w:t>’</w:t>
      </w:r>
      <w:r w:rsidRPr="00016AD6">
        <w:rPr>
          <w:rFonts w:asciiTheme="majorBidi" w:hAnsiTheme="majorBidi"/>
          <w:lang w:val="fr-FR"/>
        </w:rPr>
        <w:t>étude élaboré en</w:t>
      </w:r>
      <w:r>
        <w:rPr>
          <w:rFonts w:asciiTheme="majorBidi" w:hAnsiTheme="majorBidi"/>
          <w:lang w:val="fr-FR"/>
        </w:rPr>
        <w:t xml:space="preserve"> </w:t>
      </w:r>
      <w:r w:rsidRPr="00016AD6">
        <w:rPr>
          <w:rFonts w:asciiTheme="majorBidi" w:hAnsiTheme="majorBidi"/>
          <w:lang w:val="fr-FR"/>
        </w:rPr>
        <w:t>2018. On a aussi fait observer que le Groupe d</w:t>
      </w:r>
      <w:r w:rsidR="004C5E26">
        <w:rPr>
          <w:rFonts w:asciiTheme="majorBidi" w:hAnsiTheme="majorBidi"/>
          <w:lang w:val="fr-FR"/>
        </w:rPr>
        <w:t>’</w:t>
      </w:r>
      <w:r w:rsidRPr="00016AD6">
        <w:rPr>
          <w:rFonts w:asciiTheme="majorBidi" w:hAnsiTheme="majorBidi"/>
          <w:lang w:val="fr-FR"/>
        </w:rPr>
        <w:t>étude avait soulevé un grand nombre de questions pertinentes mais n</w:t>
      </w:r>
      <w:r w:rsidR="004C5E26">
        <w:rPr>
          <w:rFonts w:asciiTheme="majorBidi" w:hAnsiTheme="majorBidi"/>
          <w:lang w:val="fr-FR"/>
        </w:rPr>
        <w:t>’</w:t>
      </w:r>
      <w:r w:rsidRPr="00016AD6">
        <w:rPr>
          <w:rFonts w:asciiTheme="majorBidi" w:hAnsiTheme="majorBidi"/>
          <w:lang w:val="fr-FR"/>
        </w:rPr>
        <w:t>avait pas encore apporté de réponses définitives à la plupart d</w:t>
      </w:r>
      <w:r w:rsidR="004C5E26">
        <w:rPr>
          <w:rFonts w:asciiTheme="majorBidi" w:hAnsiTheme="majorBidi"/>
          <w:lang w:val="fr-FR"/>
        </w:rPr>
        <w:t>’</w:t>
      </w:r>
      <w:r w:rsidRPr="00016AD6">
        <w:rPr>
          <w:rFonts w:asciiTheme="majorBidi" w:hAnsiTheme="majorBidi"/>
          <w:lang w:val="fr-FR"/>
        </w:rPr>
        <w:t>entre elles. Selon une autre opinion, l</w:t>
      </w:r>
      <w:r w:rsidR="004C5E26">
        <w:rPr>
          <w:rFonts w:asciiTheme="majorBidi" w:hAnsiTheme="majorBidi"/>
          <w:lang w:val="fr-FR"/>
        </w:rPr>
        <w:t>’</w:t>
      </w:r>
      <w:r w:rsidRPr="00016AD6">
        <w:rPr>
          <w:rFonts w:asciiTheme="majorBidi" w:hAnsiTheme="majorBidi"/>
          <w:lang w:val="fr-FR"/>
        </w:rPr>
        <w:t>intérêt des travaux du Groupe d</w:t>
      </w:r>
      <w:r w:rsidR="004C5E26">
        <w:rPr>
          <w:rFonts w:asciiTheme="majorBidi" w:hAnsiTheme="majorBidi"/>
          <w:lang w:val="fr-FR"/>
        </w:rPr>
        <w:t>’</w:t>
      </w:r>
      <w:r w:rsidRPr="00016AD6">
        <w:rPr>
          <w:rFonts w:asciiTheme="majorBidi" w:hAnsiTheme="majorBidi"/>
          <w:lang w:val="fr-FR"/>
        </w:rPr>
        <w:t xml:space="preserve">étude </w:t>
      </w:r>
      <w:r w:rsidRPr="00F6575A">
        <w:rPr>
          <w:rFonts w:asciiTheme="majorBidi" w:hAnsiTheme="majorBidi"/>
          <w:lang w:val="fr-FR"/>
        </w:rPr>
        <w:t>était précisément qu</w:t>
      </w:r>
      <w:r w:rsidR="004C5E26">
        <w:rPr>
          <w:rFonts w:asciiTheme="majorBidi" w:hAnsiTheme="majorBidi"/>
          <w:lang w:val="fr-FR"/>
        </w:rPr>
        <w:t>’</w:t>
      </w:r>
      <w:r w:rsidRPr="00F6575A">
        <w:rPr>
          <w:rFonts w:asciiTheme="majorBidi" w:hAnsiTheme="majorBidi"/>
          <w:lang w:val="fr-FR"/>
        </w:rPr>
        <w:t>ils avaient soulevé certaines</w:t>
      </w:r>
      <w:r w:rsidRPr="00016AD6">
        <w:rPr>
          <w:rFonts w:asciiTheme="majorBidi" w:hAnsiTheme="majorBidi"/>
          <w:lang w:val="fr-FR"/>
        </w:rPr>
        <w:t xml:space="preserve"> questions et </w:t>
      </w:r>
      <w:r>
        <w:rPr>
          <w:rFonts w:asciiTheme="majorBidi" w:hAnsiTheme="majorBidi"/>
          <w:lang w:val="fr-FR"/>
        </w:rPr>
        <w:t xml:space="preserve">avaient </w:t>
      </w:r>
      <w:r w:rsidRPr="00016AD6">
        <w:rPr>
          <w:rFonts w:asciiTheme="majorBidi" w:hAnsiTheme="majorBidi"/>
          <w:lang w:val="fr-FR"/>
        </w:rPr>
        <w:t xml:space="preserve">déjà </w:t>
      </w:r>
      <w:r>
        <w:rPr>
          <w:rFonts w:asciiTheme="majorBidi" w:hAnsiTheme="majorBidi"/>
          <w:lang w:val="fr-FR"/>
        </w:rPr>
        <w:t xml:space="preserve">significativement </w:t>
      </w:r>
      <w:r w:rsidRPr="00016AD6">
        <w:rPr>
          <w:rFonts w:asciiTheme="majorBidi" w:hAnsiTheme="majorBidi"/>
          <w:lang w:val="fr-FR"/>
        </w:rPr>
        <w:t>influenc</w:t>
      </w:r>
      <w:r>
        <w:rPr>
          <w:rFonts w:asciiTheme="majorBidi" w:hAnsiTheme="majorBidi"/>
          <w:lang w:val="fr-FR"/>
        </w:rPr>
        <w:t>é</w:t>
      </w:r>
      <w:r w:rsidRPr="00016AD6">
        <w:rPr>
          <w:rFonts w:asciiTheme="majorBidi" w:hAnsiTheme="majorBidi"/>
          <w:lang w:val="fr-FR"/>
        </w:rPr>
        <w:t xml:space="preserve"> la pratique étatique.</w:t>
      </w:r>
    </w:p>
    <w:p w14:paraId="52D7C797" w14:textId="7379DADF" w:rsidR="00737BD1" w:rsidRPr="00016AD6" w:rsidRDefault="00737BD1" w:rsidP="00737BD1">
      <w:pPr>
        <w:pStyle w:val="SingleTxtG"/>
        <w:rPr>
          <w:rFonts w:asciiTheme="majorBidi" w:hAnsiTheme="majorBidi"/>
          <w:lang w:val="fr-FR"/>
        </w:rPr>
      </w:pPr>
      <w:r>
        <w:rPr>
          <w:rFonts w:asciiTheme="majorBidi" w:hAnsiTheme="majorBidi"/>
          <w:lang w:val="fr-FR"/>
        </w:rPr>
        <w:t>415.</w:t>
      </w:r>
      <w:r>
        <w:rPr>
          <w:rFonts w:asciiTheme="majorBidi" w:hAnsiTheme="majorBidi"/>
          <w:lang w:val="fr-FR"/>
        </w:rPr>
        <w:tab/>
      </w:r>
      <w:r w:rsidRPr="00016AD6">
        <w:rPr>
          <w:rFonts w:asciiTheme="majorBidi" w:hAnsiTheme="majorBidi"/>
          <w:lang w:val="fr-FR"/>
        </w:rPr>
        <w:t xml:space="preserve">Plusieurs membres ont appuyé </w:t>
      </w:r>
      <w:r>
        <w:rPr>
          <w:rFonts w:asciiTheme="majorBidi" w:hAnsiTheme="majorBidi"/>
          <w:lang w:val="fr-FR"/>
        </w:rPr>
        <w:t>le plan selon lequel, en 2025</w:t>
      </w:r>
      <w:r w:rsidRPr="00016AD6">
        <w:rPr>
          <w:rFonts w:asciiTheme="majorBidi" w:hAnsiTheme="majorBidi"/>
          <w:lang w:val="fr-FR"/>
        </w:rPr>
        <w:t xml:space="preserve"> le Groupe d</w:t>
      </w:r>
      <w:r w:rsidR="004C5E26">
        <w:rPr>
          <w:rFonts w:asciiTheme="majorBidi" w:hAnsiTheme="majorBidi"/>
          <w:lang w:val="fr-FR"/>
        </w:rPr>
        <w:t>’</w:t>
      </w:r>
      <w:r w:rsidRPr="00016AD6">
        <w:rPr>
          <w:rFonts w:asciiTheme="majorBidi" w:hAnsiTheme="majorBidi"/>
          <w:lang w:val="fr-FR"/>
        </w:rPr>
        <w:t xml:space="preserve">étude </w:t>
      </w:r>
      <w:r>
        <w:rPr>
          <w:rFonts w:asciiTheme="majorBidi" w:hAnsiTheme="majorBidi"/>
          <w:lang w:val="fr-FR"/>
        </w:rPr>
        <w:t>se pencherait sur</w:t>
      </w:r>
      <w:r w:rsidRPr="00016AD6">
        <w:rPr>
          <w:rFonts w:asciiTheme="majorBidi" w:hAnsiTheme="majorBidi"/>
          <w:lang w:val="fr-FR"/>
        </w:rPr>
        <w:t xml:space="preserve"> un rapport final conjoint sur le sujet dans son ensemble, </w:t>
      </w:r>
      <w:r>
        <w:rPr>
          <w:rFonts w:asciiTheme="majorBidi" w:hAnsiTheme="majorBidi"/>
          <w:lang w:val="fr-FR"/>
        </w:rPr>
        <w:t xml:space="preserve">que les Coprésidents auraient établi </w:t>
      </w:r>
      <w:r w:rsidRPr="00016AD6">
        <w:rPr>
          <w:rFonts w:asciiTheme="majorBidi" w:hAnsiTheme="majorBidi"/>
          <w:lang w:val="fr-FR"/>
        </w:rPr>
        <w:t>en synthétisant les travaux menés sur les trois sous-sujets</w:t>
      </w:r>
      <w:r>
        <w:rPr>
          <w:rFonts w:asciiTheme="majorBidi" w:hAnsiTheme="majorBidi"/>
          <w:lang w:val="fr-FR"/>
        </w:rPr>
        <w:t xml:space="preserve"> et qui contiendrait </w:t>
      </w:r>
      <w:r>
        <w:rPr>
          <w:rFonts w:asciiTheme="majorBidi" w:hAnsiTheme="majorBidi"/>
          <w:lang w:val="fr-FR"/>
        </w:rPr>
        <w:lastRenderedPageBreak/>
        <w:t>un</w:t>
      </w:r>
      <w:r w:rsidRPr="00016AD6">
        <w:rPr>
          <w:rFonts w:asciiTheme="majorBidi" w:hAnsiTheme="majorBidi"/>
          <w:lang w:val="fr-FR"/>
        </w:rPr>
        <w:t xml:space="preserve">e </w:t>
      </w:r>
      <w:r>
        <w:rPr>
          <w:rFonts w:asciiTheme="majorBidi" w:hAnsiTheme="majorBidi"/>
          <w:lang w:val="fr-FR"/>
        </w:rPr>
        <w:t xml:space="preserve">série de </w:t>
      </w:r>
      <w:r w:rsidRPr="00016AD6">
        <w:rPr>
          <w:rFonts w:asciiTheme="majorBidi" w:hAnsiTheme="majorBidi"/>
          <w:lang w:val="fr-FR"/>
        </w:rPr>
        <w:t xml:space="preserve">projets de conclusion. </w:t>
      </w:r>
      <w:r>
        <w:rPr>
          <w:rFonts w:asciiTheme="majorBidi" w:hAnsiTheme="majorBidi"/>
          <w:lang w:val="fr-FR"/>
        </w:rPr>
        <w:t>On a souligné qu</w:t>
      </w:r>
      <w:r w:rsidR="004C5E26">
        <w:rPr>
          <w:rFonts w:asciiTheme="majorBidi" w:hAnsiTheme="majorBidi"/>
          <w:lang w:val="fr-FR"/>
        </w:rPr>
        <w:t>’</w:t>
      </w:r>
      <w:r>
        <w:rPr>
          <w:rFonts w:asciiTheme="majorBidi" w:hAnsiTheme="majorBidi"/>
          <w:lang w:val="fr-FR"/>
        </w:rPr>
        <w:t>il importait d</w:t>
      </w:r>
      <w:r w:rsidR="004C5E26">
        <w:rPr>
          <w:rFonts w:asciiTheme="majorBidi" w:hAnsiTheme="majorBidi"/>
          <w:lang w:val="fr-FR"/>
        </w:rPr>
        <w:t>’</w:t>
      </w:r>
      <w:r>
        <w:rPr>
          <w:rFonts w:asciiTheme="majorBidi" w:hAnsiTheme="majorBidi"/>
          <w:lang w:val="fr-FR"/>
        </w:rPr>
        <w:t>analyser les</w:t>
      </w:r>
      <w:r w:rsidRPr="00016AD6">
        <w:rPr>
          <w:rFonts w:asciiTheme="majorBidi" w:hAnsiTheme="majorBidi"/>
          <w:lang w:val="fr-FR"/>
        </w:rPr>
        <w:t xml:space="preserve"> liens éventuels entre les trois sous-sujets </w:t>
      </w:r>
      <w:r>
        <w:rPr>
          <w:rFonts w:asciiTheme="majorBidi" w:hAnsiTheme="majorBidi"/>
          <w:lang w:val="fr-FR"/>
        </w:rPr>
        <w:t>−</w:t>
      </w:r>
      <w:r w:rsidRPr="00016AD6">
        <w:rPr>
          <w:rFonts w:asciiTheme="majorBidi" w:hAnsiTheme="majorBidi"/>
          <w:lang w:val="fr-FR"/>
        </w:rPr>
        <w:t xml:space="preserve"> le droit de la mer, la condition étatique et la protection des personnes touchées par l</w:t>
      </w:r>
      <w:r w:rsidR="004C5E26">
        <w:rPr>
          <w:rFonts w:asciiTheme="majorBidi" w:hAnsiTheme="majorBidi"/>
          <w:lang w:val="fr-FR"/>
        </w:rPr>
        <w:t>’</w:t>
      </w:r>
      <w:r w:rsidRPr="00016AD6">
        <w:rPr>
          <w:rFonts w:asciiTheme="majorBidi" w:hAnsiTheme="majorBidi"/>
          <w:lang w:val="fr-FR"/>
        </w:rPr>
        <w:t xml:space="preserve">élévation du niveau de la mer </w:t>
      </w:r>
      <w:r>
        <w:rPr>
          <w:rFonts w:asciiTheme="majorBidi" w:hAnsiTheme="majorBidi"/>
          <w:lang w:val="fr-FR"/>
        </w:rPr>
        <w:t>−</w:t>
      </w:r>
      <w:r w:rsidRPr="00016AD6">
        <w:rPr>
          <w:rFonts w:asciiTheme="majorBidi" w:hAnsiTheme="majorBidi"/>
          <w:lang w:val="fr-FR"/>
        </w:rPr>
        <w:t xml:space="preserve"> dans le rapport final conjoint. On a suggéré que ce rapport traite des obligations et responsabilités des États et des conséquences possibles de l</w:t>
      </w:r>
      <w:r w:rsidR="004C5E26">
        <w:rPr>
          <w:rFonts w:asciiTheme="majorBidi" w:hAnsiTheme="majorBidi"/>
          <w:lang w:val="fr-FR"/>
        </w:rPr>
        <w:t>’</w:t>
      </w:r>
      <w:r w:rsidRPr="00016AD6">
        <w:rPr>
          <w:rFonts w:asciiTheme="majorBidi" w:hAnsiTheme="majorBidi"/>
          <w:lang w:val="fr-FR"/>
        </w:rPr>
        <w:t>élévation du niveau de la mer sans tenter de réécrire les cadres juridiques internationaux existants. Certains membres ont rappelé que la Commission avait décidé, dans le plan d</w:t>
      </w:r>
      <w:r w:rsidR="004C5E26">
        <w:rPr>
          <w:rFonts w:asciiTheme="majorBidi" w:hAnsiTheme="majorBidi"/>
          <w:lang w:val="fr-FR"/>
        </w:rPr>
        <w:t>’</w:t>
      </w:r>
      <w:r w:rsidRPr="00016AD6">
        <w:rPr>
          <w:rFonts w:asciiTheme="majorBidi" w:hAnsiTheme="majorBidi"/>
          <w:lang w:val="fr-FR"/>
        </w:rPr>
        <w:t>étude élaboré en</w:t>
      </w:r>
      <w:r>
        <w:rPr>
          <w:rFonts w:asciiTheme="majorBidi" w:hAnsiTheme="majorBidi"/>
          <w:lang w:val="fr-FR"/>
        </w:rPr>
        <w:t xml:space="preserve"> </w:t>
      </w:r>
      <w:r w:rsidRPr="00016AD6">
        <w:rPr>
          <w:rFonts w:asciiTheme="majorBidi" w:hAnsiTheme="majorBidi"/>
          <w:lang w:val="fr-FR"/>
        </w:rPr>
        <w:t>2018</w:t>
      </w:r>
      <w:r w:rsidRPr="00E9227E">
        <w:rPr>
          <w:rStyle w:val="Appelnotedebasdep"/>
        </w:rPr>
        <w:footnoteReference w:id="279"/>
      </w:r>
      <w:r w:rsidRPr="00016AD6">
        <w:rPr>
          <w:rFonts w:asciiTheme="majorBidi" w:hAnsiTheme="majorBidi"/>
          <w:lang w:val="fr-FR"/>
        </w:rPr>
        <w:t>, de limiter le mandat du Groupe d</w:t>
      </w:r>
      <w:r w:rsidR="004C5E26">
        <w:rPr>
          <w:rFonts w:asciiTheme="majorBidi" w:hAnsiTheme="majorBidi"/>
          <w:lang w:val="fr-FR"/>
        </w:rPr>
        <w:t>’</w:t>
      </w:r>
      <w:r w:rsidRPr="00016AD6">
        <w:rPr>
          <w:rFonts w:asciiTheme="majorBidi" w:hAnsiTheme="majorBidi"/>
          <w:lang w:val="fr-FR"/>
        </w:rPr>
        <w:t>étude afin qu</w:t>
      </w:r>
      <w:r w:rsidR="004C5E26">
        <w:rPr>
          <w:rFonts w:asciiTheme="majorBidi" w:hAnsiTheme="majorBidi"/>
          <w:lang w:val="fr-FR"/>
        </w:rPr>
        <w:t>’</w:t>
      </w:r>
      <w:r w:rsidRPr="00016AD6">
        <w:rPr>
          <w:rFonts w:asciiTheme="majorBidi" w:hAnsiTheme="majorBidi"/>
          <w:lang w:val="fr-FR"/>
        </w:rPr>
        <w:t>il ne propose pas d</w:t>
      </w:r>
      <w:r w:rsidR="004C5E26">
        <w:rPr>
          <w:rFonts w:asciiTheme="majorBidi" w:hAnsiTheme="majorBidi"/>
          <w:lang w:val="fr-FR"/>
        </w:rPr>
        <w:t>’</w:t>
      </w:r>
      <w:r w:rsidRPr="00016AD6">
        <w:rPr>
          <w:rFonts w:asciiTheme="majorBidi" w:hAnsiTheme="majorBidi"/>
          <w:lang w:val="fr-FR"/>
        </w:rPr>
        <w:t xml:space="preserve">amendements à la </w:t>
      </w:r>
      <w:r w:rsidRPr="00016AD6">
        <w:rPr>
          <w:rFonts w:asciiTheme="majorBidi" w:eastAsia="Calibri" w:hAnsiTheme="majorBidi"/>
          <w:lang w:val="fr-FR"/>
        </w:rPr>
        <w:t>Convention des Nations Unies sur le droit de la mer</w:t>
      </w:r>
      <w:r w:rsidRPr="00016AD6">
        <w:rPr>
          <w:rFonts w:asciiTheme="majorBidi" w:hAnsiTheme="majorBidi"/>
          <w:lang w:val="fr-FR"/>
        </w:rPr>
        <w:t xml:space="preserve">. Dans le même temps, des questions ont été soulevées quant au rôle </w:t>
      </w:r>
      <w:r>
        <w:rPr>
          <w:rFonts w:asciiTheme="majorBidi" w:hAnsiTheme="majorBidi"/>
          <w:lang w:val="fr-FR"/>
        </w:rPr>
        <w:t xml:space="preserve">général </w:t>
      </w:r>
      <w:r w:rsidRPr="00016AD6">
        <w:rPr>
          <w:rFonts w:asciiTheme="majorBidi" w:hAnsiTheme="majorBidi"/>
          <w:lang w:val="fr-FR"/>
        </w:rPr>
        <w:t>du Groupe d</w:t>
      </w:r>
      <w:r w:rsidR="004C5E26">
        <w:rPr>
          <w:rFonts w:asciiTheme="majorBidi" w:hAnsiTheme="majorBidi"/>
          <w:lang w:val="fr-FR"/>
        </w:rPr>
        <w:t>’</w:t>
      </w:r>
      <w:r w:rsidRPr="00016AD6">
        <w:rPr>
          <w:rFonts w:asciiTheme="majorBidi" w:hAnsiTheme="majorBidi"/>
          <w:lang w:val="fr-FR"/>
        </w:rPr>
        <w:t>étude. On a fait valoir qu</w:t>
      </w:r>
      <w:r w:rsidR="004C5E26">
        <w:rPr>
          <w:rFonts w:asciiTheme="majorBidi" w:hAnsiTheme="majorBidi"/>
          <w:lang w:val="fr-FR"/>
        </w:rPr>
        <w:t>’</w:t>
      </w:r>
      <w:r w:rsidRPr="00016AD6">
        <w:rPr>
          <w:rFonts w:asciiTheme="majorBidi" w:hAnsiTheme="majorBidi"/>
          <w:lang w:val="fr-FR"/>
        </w:rPr>
        <w:t>il devait s</w:t>
      </w:r>
      <w:r w:rsidR="004C5E26">
        <w:rPr>
          <w:rFonts w:asciiTheme="majorBidi" w:hAnsiTheme="majorBidi"/>
          <w:lang w:val="fr-FR"/>
        </w:rPr>
        <w:t>’</w:t>
      </w:r>
      <w:r w:rsidRPr="00016AD6">
        <w:rPr>
          <w:rFonts w:asciiTheme="majorBidi" w:hAnsiTheme="majorBidi"/>
          <w:lang w:val="fr-FR"/>
        </w:rPr>
        <w:t xml:space="preserve">efforcer </w:t>
      </w:r>
      <w:r>
        <w:rPr>
          <w:rFonts w:asciiTheme="majorBidi" w:hAnsiTheme="majorBidi"/>
          <w:lang w:val="fr-FR"/>
        </w:rPr>
        <w:t>de recenser</w:t>
      </w:r>
      <w:r w:rsidRPr="00016AD6">
        <w:rPr>
          <w:rFonts w:asciiTheme="majorBidi" w:hAnsiTheme="majorBidi"/>
          <w:lang w:val="fr-FR"/>
        </w:rPr>
        <w:t xml:space="preserve"> et de développer les règles de droit international pertinentes dans le contexte de l</w:t>
      </w:r>
      <w:r w:rsidR="004C5E26">
        <w:rPr>
          <w:rFonts w:asciiTheme="majorBidi" w:hAnsiTheme="majorBidi"/>
          <w:lang w:val="fr-FR"/>
        </w:rPr>
        <w:t>’</w:t>
      </w:r>
      <w:r w:rsidRPr="00016AD6">
        <w:rPr>
          <w:rFonts w:asciiTheme="majorBidi" w:hAnsiTheme="majorBidi"/>
          <w:lang w:val="fr-FR"/>
        </w:rPr>
        <w:t xml:space="preserve">élévation du niveau de la mer et non débattre de questions de caractère politique. </w:t>
      </w:r>
    </w:p>
    <w:p w14:paraId="3B10CDCA" w14:textId="4E4EEB1E" w:rsidR="00737BD1" w:rsidRDefault="00737BD1" w:rsidP="00737BD1">
      <w:pPr>
        <w:pStyle w:val="SingleTxtG"/>
        <w:rPr>
          <w:rFonts w:asciiTheme="majorBidi" w:hAnsiTheme="majorBidi"/>
          <w:lang w:val="fr-FR"/>
        </w:rPr>
      </w:pPr>
      <w:r>
        <w:rPr>
          <w:rFonts w:asciiTheme="majorBidi" w:hAnsiTheme="majorBidi"/>
          <w:lang w:val="fr-FR"/>
        </w:rPr>
        <w:t>416.</w:t>
      </w:r>
      <w:r>
        <w:rPr>
          <w:rFonts w:asciiTheme="majorBidi" w:hAnsiTheme="majorBidi"/>
          <w:lang w:val="fr-FR"/>
        </w:rPr>
        <w:tab/>
      </w:r>
      <w:r w:rsidRPr="00016AD6">
        <w:rPr>
          <w:rFonts w:asciiTheme="majorBidi" w:hAnsiTheme="majorBidi"/>
          <w:lang w:val="fr-FR"/>
        </w:rPr>
        <w:t>S</w:t>
      </w:r>
      <w:r w:rsidR="004C5E26">
        <w:rPr>
          <w:rFonts w:asciiTheme="majorBidi" w:hAnsiTheme="majorBidi"/>
          <w:lang w:val="fr-FR"/>
        </w:rPr>
        <w:t>’</w:t>
      </w:r>
      <w:r w:rsidRPr="00016AD6">
        <w:rPr>
          <w:rFonts w:asciiTheme="majorBidi" w:hAnsiTheme="majorBidi"/>
          <w:lang w:val="fr-FR"/>
        </w:rPr>
        <w:t>agissant des résultats des travaux du Groupe d</w:t>
      </w:r>
      <w:r w:rsidR="004C5E26">
        <w:rPr>
          <w:rFonts w:asciiTheme="majorBidi" w:hAnsiTheme="majorBidi"/>
          <w:lang w:val="fr-FR"/>
        </w:rPr>
        <w:t>’</w:t>
      </w:r>
      <w:r w:rsidRPr="00016AD6">
        <w:rPr>
          <w:rFonts w:asciiTheme="majorBidi" w:hAnsiTheme="majorBidi"/>
          <w:lang w:val="fr-FR"/>
        </w:rPr>
        <w:t xml:space="preserve">étude, </w:t>
      </w:r>
      <w:r>
        <w:rPr>
          <w:rFonts w:asciiTheme="majorBidi" w:hAnsiTheme="majorBidi"/>
          <w:lang w:val="fr-FR"/>
        </w:rPr>
        <w:t>de nouvelles</w:t>
      </w:r>
      <w:r w:rsidRPr="00016AD6">
        <w:rPr>
          <w:rFonts w:asciiTheme="majorBidi" w:hAnsiTheme="majorBidi"/>
          <w:lang w:val="fr-FR"/>
        </w:rPr>
        <w:t xml:space="preserve"> propositions</w:t>
      </w:r>
      <w:r>
        <w:rPr>
          <w:rFonts w:asciiTheme="majorBidi" w:hAnsiTheme="majorBidi"/>
          <w:lang w:val="fr-FR"/>
        </w:rPr>
        <w:t xml:space="preserve">, différentes de celles formulées dans le cadre des précédentes sessions, </w:t>
      </w:r>
      <w:r w:rsidRPr="00016AD6">
        <w:rPr>
          <w:rFonts w:asciiTheme="majorBidi" w:hAnsiTheme="majorBidi"/>
          <w:lang w:val="fr-FR"/>
        </w:rPr>
        <w:t>ont été faites, notamment celle de rédiger une convention-cadre sur les questions liées à l</w:t>
      </w:r>
      <w:r w:rsidR="004C5E26">
        <w:rPr>
          <w:rFonts w:asciiTheme="majorBidi" w:hAnsiTheme="majorBidi"/>
          <w:lang w:val="fr-FR"/>
        </w:rPr>
        <w:t>’</w:t>
      </w:r>
      <w:r w:rsidRPr="00016AD6">
        <w:rPr>
          <w:rFonts w:asciiTheme="majorBidi" w:hAnsiTheme="majorBidi"/>
          <w:lang w:val="fr-FR"/>
        </w:rPr>
        <w:t>élévation du niveau de la mer ou de faire en sorte que ces questions soient prises en compte dans le cadre des négociations en cours sur l</w:t>
      </w:r>
      <w:r w:rsidR="004C5E26">
        <w:rPr>
          <w:rFonts w:asciiTheme="majorBidi" w:hAnsiTheme="majorBidi"/>
          <w:lang w:val="fr-FR"/>
        </w:rPr>
        <w:t>’</w:t>
      </w:r>
      <w:r w:rsidRPr="00016AD6">
        <w:rPr>
          <w:rFonts w:asciiTheme="majorBidi" w:hAnsiTheme="majorBidi"/>
          <w:lang w:val="fr-FR"/>
        </w:rPr>
        <w:t>élaboration éventuelle d</w:t>
      </w:r>
      <w:r w:rsidR="004C5E26">
        <w:rPr>
          <w:rFonts w:asciiTheme="majorBidi" w:hAnsiTheme="majorBidi"/>
          <w:lang w:val="fr-FR"/>
        </w:rPr>
        <w:t>’</w:t>
      </w:r>
      <w:r w:rsidRPr="00016AD6">
        <w:rPr>
          <w:rFonts w:asciiTheme="majorBidi" w:hAnsiTheme="majorBidi"/>
          <w:lang w:val="fr-FR"/>
        </w:rPr>
        <w:t>une convention sur la base du projet d</w:t>
      </w:r>
      <w:r w:rsidR="004C5E26">
        <w:rPr>
          <w:rFonts w:asciiTheme="majorBidi" w:hAnsiTheme="majorBidi"/>
          <w:lang w:val="fr-FR"/>
        </w:rPr>
        <w:t>’</w:t>
      </w:r>
      <w:r w:rsidRPr="00016AD6">
        <w:rPr>
          <w:rFonts w:asciiTheme="majorBidi" w:hAnsiTheme="majorBidi"/>
          <w:lang w:val="fr-FR"/>
        </w:rPr>
        <w:t xml:space="preserve">articles sur la protection </w:t>
      </w:r>
      <w:r>
        <w:rPr>
          <w:rFonts w:asciiTheme="majorBidi" w:hAnsiTheme="majorBidi"/>
          <w:lang w:val="fr-FR"/>
        </w:rPr>
        <w:t xml:space="preserve">des </w:t>
      </w:r>
      <w:r w:rsidRPr="00016AD6">
        <w:rPr>
          <w:rFonts w:asciiTheme="majorBidi" w:hAnsiTheme="majorBidi"/>
          <w:lang w:val="fr-FR"/>
        </w:rPr>
        <w:t>personnes en cas de catastrophe. On a proposé que le Groupe d</w:t>
      </w:r>
      <w:r w:rsidR="004C5E26">
        <w:rPr>
          <w:rFonts w:asciiTheme="majorBidi" w:hAnsiTheme="majorBidi"/>
          <w:lang w:val="fr-FR"/>
        </w:rPr>
        <w:t>’</w:t>
      </w:r>
      <w:r w:rsidRPr="00016AD6">
        <w:rPr>
          <w:rFonts w:asciiTheme="majorBidi" w:hAnsiTheme="majorBidi"/>
          <w:lang w:val="fr-FR"/>
        </w:rPr>
        <w:t xml:space="preserve">étude </w:t>
      </w:r>
      <w:r>
        <w:rPr>
          <w:rFonts w:asciiTheme="majorBidi" w:hAnsiTheme="majorBidi"/>
          <w:lang w:val="fr-FR"/>
        </w:rPr>
        <w:t xml:space="preserve">mène à bien son travail </w:t>
      </w:r>
      <w:r w:rsidRPr="00016AD6">
        <w:rPr>
          <w:rFonts w:asciiTheme="majorBidi" w:hAnsiTheme="majorBidi"/>
          <w:lang w:val="fr-FR"/>
        </w:rPr>
        <w:t xml:space="preserve">de recensement, regroupe les principes juridiques existants et indique le domaine dans lequel le droit devrait être développé. On a </w:t>
      </w:r>
      <w:r>
        <w:rPr>
          <w:rFonts w:asciiTheme="majorBidi" w:hAnsiTheme="majorBidi"/>
          <w:lang w:val="fr-FR"/>
        </w:rPr>
        <w:t xml:space="preserve">suggéré </w:t>
      </w:r>
      <w:r w:rsidRPr="00016AD6">
        <w:rPr>
          <w:rFonts w:asciiTheme="majorBidi" w:hAnsiTheme="majorBidi"/>
          <w:lang w:val="fr-FR"/>
        </w:rPr>
        <w:t>que les vues des États, en particulier les États les plus touchés par l</w:t>
      </w:r>
      <w:r w:rsidR="004C5E26">
        <w:rPr>
          <w:rFonts w:asciiTheme="majorBidi" w:hAnsiTheme="majorBidi"/>
          <w:lang w:val="fr-FR"/>
        </w:rPr>
        <w:t>’</w:t>
      </w:r>
      <w:r w:rsidRPr="00016AD6">
        <w:rPr>
          <w:rFonts w:asciiTheme="majorBidi" w:hAnsiTheme="majorBidi"/>
          <w:lang w:val="fr-FR"/>
        </w:rPr>
        <w:t xml:space="preserve">élévation du niveau de la mer, devaient jouer un rôle important dans la définition de </w:t>
      </w:r>
      <w:r>
        <w:rPr>
          <w:rFonts w:asciiTheme="majorBidi" w:hAnsiTheme="majorBidi"/>
          <w:lang w:val="fr-FR"/>
        </w:rPr>
        <w:t>l</w:t>
      </w:r>
      <w:r w:rsidR="004C5E26">
        <w:rPr>
          <w:rFonts w:asciiTheme="majorBidi" w:hAnsiTheme="majorBidi"/>
          <w:lang w:val="fr-FR"/>
        </w:rPr>
        <w:t>’</w:t>
      </w:r>
      <w:r>
        <w:rPr>
          <w:rFonts w:asciiTheme="majorBidi" w:hAnsiTheme="majorBidi"/>
          <w:lang w:val="fr-FR"/>
        </w:rPr>
        <w:t xml:space="preserve">orientation des </w:t>
      </w:r>
      <w:r w:rsidRPr="00016AD6">
        <w:rPr>
          <w:rFonts w:asciiTheme="majorBidi" w:hAnsiTheme="majorBidi"/>
          <w:lang w:val="fr-FR"/>
        </w:rPr>
        <w:t xml:space="preserve">travaux </w:t>
      </w:r>
      <w:r>
        <w:rPr>
          <w:rFonts w:asciiTheme="majorBidi" w:hAnsiTheme="majorBidi"/>
          <w:lang w:val="fr-FR"/>
        </w:rPr>
        <w:t xml:space="preserve">futurs </w:t>
      </w:r>
      <w:r w:rsidRPr="00016AD6">
        <w:rPr>
          <w:rFonts w:asciiTheme="majorBidi" w:hAnsiTheme="majorBidi"/>
          <w:lang w:val="fr-FR"/>
        </w:rPr>
        <w:t>du Groupe d</w:t>
      </w:r>
      <w:r w:rsidR="004C5E26">
        <w:rPr>
          <w:rFonts w:asciiTheme="majorBidi" w:hAnsiTheme="majorBidi"/>
          <w:lang w:val="fr-FR"/>
        </w:rPr>
        <w:t>’</w:t>
      </w:r>
      <w:r w:rsidRPr="00016AD6">
        <w:rPr>
          <w:rFonts w:asciiTheme="majorBidi" w:hAnsiTheme="majorBidi"/>
          <w:lang w:val="fr-FR"/>
        </w:rPr>
        <w:t>étude sur le sujet.</w:t>
      </w:r>
    </w:p>
    <w:p w14:paraId="0EB3815F" w14:textId="77777777" w:rsidR="00737BD1" w:rsidRPr="00745A01" w:rsidRDefault="00737BD1" w:rsidP="00737BD1">
      <w:pPr>
        <w:pStyle w:val="H4G"/>
        <w:rPr>
          <w:bCs/>
          <w:szCs w:val="24"/>
          <w:lang w:val="fr-FR"/>
        </w:rPr>
      </w:pPr>
      <w:r>
        <w:rPr>
          <w:lang w:val="fr-FR"/>
        </w:rPr>
        <w:tab/>
      </w:r>
      <w:r w:rsidRPr="00745A01">
        <w:rPr>
          <w:lang w:val="fr-FR"/>
        </w:rPr>
        <w:t>ii)</w:t>
      </w:r>
      <w:r w:rsidRPr="00745A01">
        <w:rPr>
          <w:lang w:val="fr-FR"/>
        </w:rPr>
        <w:tab/>
        <w:t>Conclusion de la Coprésidente</w:t>
      </w:r>
    </w:p>
    <w:p w14:paraId="1776DBD3" w14:textId="31B4A20A" w:rsidR="00737BD1" w:rsidRDefault="00737BD1" w:rsidP="00737BD1">
      <w:pPr>
        <w:pStyle w:val="SingleTxtG"/>
        <w:rPr>
          <w:rFonts w:asciiTheme="majorBidi" w:hAnsiTheme="majorBidi"/>
          <w:lang w:val="fr-FR"/>
        </w:rPr>
      </w:pPr>
      <w:r>
        <w:rPr>
          <w:rFonts w:asciiTheme="majorBidi" w:hAnsiTheme="majorBidi"/>
          <w:lang w:val="fr-FR"/>
        </w:rPr>
        <w:t>417.</w:t>
      </w:r>
      <w:r>
        <w:rPr>
          <w:rFonts w:asciiTheme="majorBidi" w:hAnsiTheme="majorBidi"/>
          <w:lang w:val="fr-FR"/>
        </w:rPr>
        <w:tab/>
      </w:r>
      <w:r w:rsidRPr="00016AD6">
        <w:rPr>
          <w:rFonts w:asciiTheme="majorBidi" w:hAnsiTheme="majorBidi"/>
          <w:lang w:val="fr-FR"/>
        </w:rPr>
        <w:t>S</w:t>
      </w:r>
      <w:r w:rsidR="004C5E26">
        <w:rPr>
          <w:rFonts w:asciiTheme="majorBidi" w:hAnsiTheme="majorBidi"/>
          <w:lang w:val="fr-FR"/>
        </w:rPr>
        <w:t>’</w:t>
      </w:r>
      <w:r w:rsidRPr="00016AD6">
        <w:rPr>
          <w:rFonts w:asciiTheme="majorBidi" w:hAnsiTheme="majorBidi"/>
          <w:lang w:val="fr-FR"/>
        </w:rPr>
        <w:t>agissant des travaux futurs du Groupe d</w:t>
      </w:r>
      <w:r w:rsidR="004C5E26">
        <w:rPr>
          <w:rFonts w:asciiTheme="majorBidi" w:hAnsiTheme="majorBidi"/>
          <w:lang w:val="fr-FR"/>
        </w:rPr>
        <w:t>’</w:t>
      </w:r>
      <w:r w:rsidRPr="00016AD6">
        <w:rPr>
          <w:rFonts w:asciiTheme="majorBidi" w:hAnsiTheme="majorBidi"/>
          <w:lang w:val="fr-FR"/>
        </w:rPr>
        <w:t>étude, la Coprésidente (M</w:t>
      </w:r>
      <w:r w:rsidRPr="00016AD6">
        <w:rPr>
          <w:rFonts w:asciiTheme="majorBidi" w:hAnsiTheme="majorBidi"/>
          <w:vertAlign w:val="superscript"/>
          <w:lang w:val="fr-FR"/>
        </w:rPr>
        <w:t>me</w:t>
      </w:r>
      <w:r w:rsidRPr="00016AD6">
        <w:rPr>
          <w:rFonts w:asciiTheme="majorBidi" w:hAnsiTheme="majorBidi"/>
          <w:lang w:val="fr-FR"/>
        </w:rPr>
        <w:t> </w:t>
      </w:r>
      <w:proofErr w:type="spellStart"/>
      <w:r w:rsidRPr="00016AD6">
        <w:rPr>
          <w:rFonts w:asciiTheme="majorBidi" w:hAnsiTheme="majorBidi"/>
          <w:lang w:val="fr-FR"/>
        </w:rPr>
        <w:t>Galvão</w:t>
      </w:r>
      <w:proofErr w:type="spellEnd"/>
      <w:r w:rsidR="00DA1F8B">
        <w:rPr>
          <w:rFonts w:asciiTheme="majorBidi" w:hAnsiTheme="majorBidi"/>
          <w:lang w:val="fr-FR"/>
        </w:rPr>
        <w:t> </w:t>
      </w:r>
      <w:proofErr w:type="spellStart"/>
      <w:r w:rsidRPr="00016AD6">
        <w:rPr>
          <w:rFonts w:asciiTheme="majorBidi" w:hAnsiTheme="majorBidi"/>
          <w:lang w:val="fr-FR"/>
        </w:rPr>
        <w:t>Teles</w:t>
      </w:r>
      <w:proofErr w:type="spellEnd"/>
      <w:r w:rsidRPr="00016AD6">
        <w:rPr>
          <w:rFonts w:asciiTheme="majorBidi" w:hAnsiTheme="majorBidi"/>
          <w:lang w:val="fr-FR"/>
        </w:rPr>
        <w:t>) a renvoyé aux paragraphes</w:t>
      </w:r>
      <w:r>
        <w:rPr>
          <w:rFonts w:asciiTheme="majorBidi" w:hAnsiTheme="majorBidi"/>
          <w:lang w:val="fr-FR"/>
        </w:rPr>
        <w:t> </w:t>
      </w:r>
      <w:r w:rsidRPr="00016AD6">
        <w:rPr>
          <w:rFonts w:asciiTheme="majorBidi" w:hAnsiTheme="majorBidi"/>
          <w:lang w:val="fr-FR"/>
        </w:rPr>
        <w:t xml:space="preserve">307 à 314 de la note complémentaire et rappelé </w:t>
      </w:r>
      <w:r>
        <w:rPr>
          <w:rFonts w:asciiTheme="majorBidi" w:hAnsiTheme="majorBidi"/>
          <w:lang w:val="fr-FR"/>
        </w:rPr>
        <w:t>qu</w:t>
      </w:r>
      <w:r w:rsidR="004C5E26">
        <w:rPr>
          <w:rFonts w:asciiTheme="majorBidi" w:hAnsiTheme="majorBidi"/>
          <w:lang w:val="fr-FR"/>
        </w:rPr>
        <w:t>’</w:t>
      </w:r>
      <w:r w:rsidRPr="00016AD6">
        <w:rPr>
          <w:rFonts w:asciiTheme="majorBidi" w:hAnsiTheme="majorBidi"/>
          <w:lang w:val="fr-FR"/>
        </w:rPr>
        <w:t>un rapport final conjoint sur le sujet dans son ensemble</w:t>
      </w:r>
      <w:r>
        <w:rPr>
          <w:rFonts w:asciiTheme="majorBidi" w:hAnsiTheme="majorBidi"/>
          <w:lang w:val="fr-FR"/>
        </w:rPr>
        <w:t>, qui ferait la</w:t>
      </w:r>
      <w:r w:rsidRPr="00016AD6">
        <w:rPr>
          <w:rFonts w:asciiTheme="majorBidi" w:hAnsiTheme="majorBidi"/>
          <w:lang w:val="fr-FR"/>
        </w:rPr>
        <w:t xml:space="preserve"> synthèse des travaux menés jusqu</w:t>
      </w:r>
      <w:r w:rsidR="004C5E26">
        <w:rPr>
          <w:rFonts w:asciiTheme="majorBidi" w:hAnsiTheme="majorBidi"/>
          <w:lang w:val="fr-FR"/>
        </w:rPr>
        <w:t>’</w:t>
      </w:r>
      <w:r w:rsidRPr="00016AD6">
        <w:rPr>
          <w:rFonts w:asciiTheme="majorBidi" w:hAnsiTheme="majorBidi"/>
          <w:lang w:val="fr-FR"/>
        </w:rPr>
        <w:t xml:space="preserve">à présent sur les trois sous-sujets </w:t>
      </w:r>
      <w:r>
        <w:rPr>
          <w:rFonts w:asciiTheme="majorBidi" w:hAnsiTheme="majorBidi"/>
          <w:lang w:val="fr-FR"/>
        </w:rPr>
        <w:t>et</w:t>
      </w:r>
      <w:r w:rsidRPr="00016AD6">
        <w:rPr>
          <w:rFonts w:asciiTheme="majorBidi" w:hAnsiTheme="majorBidi"/>
          <w:lang w:val="fr-FR"/>
        </w:rPr>
        <w:t xml:space="preserve"> </w:t>
      </w:r>
      <w:r>
        <w:rPr>
          <w:rFonts w:asciiTheme="majorBidi" w:hAnsiTheme="majorBidi"/>
          <w:lang w:val="fr-FR"/>
        </w:rPr>
        <w:t xml:space="preserve">contiendrait </w:t>
      </w:r>
      <w:r w:rsidRPr="00016AD6">
        <w:rPr>
          <w:rFonts w:asciiTheme="majorBidi" w:hAnsiTheme="majorBidi"/>
          <w:lang w:val="fr-FR"/>
        </w:rPr>
        <w:t>une série de conclusions</w:t>
      </w:r>
      <w:r>
        <w:rPr>
          <w:rFonts w:asciiTheme="majorBidi" w:hAnsiTheme="majorBidi"/>
          <w:lang w:val="fr-FR"/>
        </w:rPr>
        <w:t>, serait soumis par les Coprésidents pour que le Groupe d</w:t>
      </w:r>
      <w:r w:rsidR="004C5E26">
        <w:rPr>
          <w:rFonts w:asciiTheme="majorBidi" w:hAnsiTheme="majorBidi"/>
          <w:lang w:val="fr-FR"/>
        </w:rPr>
        <w:t>’</w:t>
      </w:r>
      <w:r>
        <w:rPr>
          <w:rFonts w:asciiTheme="majorBidi" w:hAnsiTheme="majorBidi"/>
          <w:lang w:val="fr-FR"/>
        </w:rPr>
        <w:t>étude l</w:t>
      </w:r>
      <w:r w:rsidR="004C5E26">
        <w:rPr>
          <w:rFonts w:asciiTheme="majorBidi" w:hAnsiTheme="majorBidi"/>
          <w:lang w:val="fr-FR"/>
        </w:rPr>
        <w:t>’</w:t>
      </w:r>
      <w:r>
        <w:rPr>
          <w:rFonts w:asciiTheme="majorBidi" w:hAnsiTheme="majorBidi"/>
          <w:lang w:val="fr-FR"/>
        </w:rPr>
        <w:t>examine à la soixante-seizième session (2025) de la Commission</w:t>
      </w:r>
      <w:r w:rsidRPr="00016AD6">
        <w:rPr>
          <w:rFonts w:asciiTheme="majorBidi" w:hAnsiTheme="majorBidi"/>
          <w:lang w:val="fr-FR"/>
        </w:rPr>
        <w:t>.</w:t>
      </w:r>
    </w:p>
    <w:p w14:paraId="6D6BB4F6" w14:textId="6B6DDACF" w:rsidR="000E25A7" w:rsidRDefault="000E25A7">
      <w:pPr>
        <w:suppressAutoHyphens w:val="0"/>
        <w:kinsoku/>
        <w:overflowPunct/>
        <w:autoSpaceDE/>
        <w:autoSpaceDN/>
        <w:adjustRightInd/>
        <w:snapToGrid/>
        <w:spacing w:line="240" w:lineRule="auto"/>
        <w:rPr>
          <w:lang w:val="fr-FR"/>
        </w:rPr>
      </w:pPr>
      <w:r>
        <w:rPr>
          <w:lang w:val="fr-FR"/>
        </w:rPr>
        <w:br w:type="page"/>
      </w:r>
    </w:p>
    <w:p w14:paraId="7CA8CD75" w14:textId="77777777" w:rsidR="000E25A7" w:rsidRPr="001A21B5" w:rsidRDefault="000E25A7" w:rsidP="000E25A7">
      <w:pPr>
        <w:pStyle w:val="HChG"/>
        <w:rPr>
          <w:rFonts w:eastAsia="Calibri"/>
          <w:szCs w:val="28"/>
        </w:rPr>
      </w:pPr>
      <w:r>
        <w:rPr>
          <w:lang w:val="fr-FR"/>
        </w:rPr>
        <w:lastRenderedPageBreak/>
        <w:tab/>
      </w:r>
      <w:r>
        <w:rPr>
          <w:lang w:val="fr-FR"/>
        </w:rPr>
        <w:tab/>
      </w:r>
      <w:r w:rsidRPr="00BC1826">
        <w:rPr>
          <w:lang w:val="fr-FR"/>
        </w:rPr>
        <w:t>Chapitre</w:t>
      </w:r>
      <w:r>
        <w:rPr>
          <w:lang w:val="fr-FR"/>
        </w:rPr>
        <w:t xml:space="preserve"> XI</w:t>
      </w:r>
      <w:r>
        <w:rPr>
          <w:lang w:val="fr-FR"/>
        </w:rPr>
        <w:br/>
      </w:r>
      <w:bookmarkStart w:id="145" w:name="_Hlk175323006"/>
      <w:r>
        <w:rPr>
          <w:lang w:val="fr-FR"/>
        </w:rPr>
        <w:t>Autres décisions et conclusions de la Commission</w:t>
      </w:r>
      <w:bookmarkEnd w:id="145"/>
    </w:p>
    <w:p w14:paraId="72DEF2A5" w14:textId="77777777" w:rsidR="000E25A7" w:rsidRDefault="000E25A7" w:rsidP="000E25A7">
      <w:pPr>
        <w:pStyle w:val="H1G"/>
      </w:pPr>
      <w:r>
        <w:tab/>
        <w:t>A.</w:t>
      </w:r>
      <w:r>
        <w:tab/>
      </w:r>
      <w:bookmarkStart w:id="146" w:name="_Hlk175323720"/>
      <w:r>
        <w:rPr>
          <w:lang w:val="fr-FR"/>
        </w:rPr>
        <w:t>Réunion commémorative spéciale</w:t>
      </w:r>
      <w:bookmarkEnd w:id="146"/>
    </w:p>
    <w:p w14:paraId="6E0F8891" w14:textId="4D46C52D" w:rsidR="000E25A7" w:rsidRPr="00BF345F" w:rsidRDefault="000E25A7" w:rsidP="000E25A7">
      <w:pPr>
        <w:pStyle w:val="SingleTxtG"/>
      </w:pPr>
      <w:r>
        <w:t>418</w:t>
      </w:r>
      <w:r w:rsidRPr="00BF345F">
        <w:t>.</w:t>
      </w:r>
      <w:r w:rsidRPr="00BF345F">
        <w:tab/>
      </w:r>
      <w:r>
        <w:rPr>
          <w:lang w:val="fr-FR"/>
        </w:rPr>
        <w:t>À sa 3697</w:t>
      </w:r>
      <w:r w:rsidRPr="00F50ADC">
        <w:rPr>
          <w:vertAlign w:val="superscript"/>
          <w:lang w:val="fr-FR"/>
        </w:rPr>
        <w:t>e</w:t>
      </w:r>
      <w:r>
        <w:rPr>
          <w:lang w:val="fr-FR"/>
        </w:rPr>
        <w:t> séance, le 30 juillet 2024, dans le cadre d</w:t>
      </w:r>
      <w:r w:rsidR="004C5E26">
        <w:rPr>
          <w:lang w:val="fr-FR"/>
        </w:rPr>
        <w:t>’</w:t>
      </w:r>
      <w:r>
        <w:rPr>
          <w:lang w:val="fr-FR"/>
        </w:rPr>
        <w:t>une réunion commémorative, la Commission a rendu hommage à son ancien membre, M. Mehmet Güney.</w:t>
      </w:r>
    </w:p>
    <w:p w14:paraId="64F720C7" w14:textId="77777777" w:rsidR="000E25A7" w:rsidRDefault="000E25A7" w:rsidP="000E25A7">
      <w:pPr>
        <w:pStyle w:val="H1G"/>
      </w:pPr>
      <w:r>
        <w:rPr>
          <w:bCs/>
          <w:lang w:val="fr-FR"/>
        </w:rPr>
        <w:tab/>
      </w:r>
      <w:r>
        <w:t>B.</w:t>
      </w:r>
      <w:r>
        <w:tab/>
      </w:r>
      <w:bookmarkStart w:id="147" w:name="_Hlk175323727"/>
      <w:r>
        <w:rPr>
          <w:lang w:val="fr-FR"/>
        </w:rPr>
        <w:t xml:space="preserve">Prévention et répression </w:t>
      </w:r>
      <w:bookmarkStart w:id="148" w:name="_Hlk174697000"/>
      <w:r>
        <w:rPr>
          <w:lang w:val="fr-FR"/>
        </w:rPr>
        <w:t xml:space="preserve">de la piraterie </w:t>
      </w:r>
      <w:r w:rsidRPr="00FF459F">
        <w:rPr>
          <w:bCs/>
          <w:lang w:val="fr-FR"/>
        </w:rPr>
        <w:t>et du vol à main armée en mer</w:t>
      </w:r>
      <w:bookmarkEnd w:id="148"/>
      <w:bookmarkEnd w:id="147"/>
    </w:p>
    <w:p w14:paraId="77B1671A" w14:textId="77777777" w:rsidR="000E25A7" w:rsidRPr="00BF345F" w:rsidRDefault="000E25A7" w:rsidP="000E25A7">
      <w:pPr>
        <w:pStyle w:val="SingleTxtG"/>
      </w:pPr>
      <w:r>
        <w:t>419</w:t>
      </w:r>
      <w:r w:rsidRPr="00BF345F">
        <w:t>.</w:t>
      </w:r>
      <w:r w:rsidRPr="00BF345F">
        <w:tab/>
      </w:r>
      <w:r>
        <w:rPr>
          <w:lang w:val="fr-FR"/>
        </w:rPr>
        <w:t>À sa 3701</w:t>
      </w:r>
      <w:r w:rsidRPr="00657B19">
        <w:rPr>
          <w:vertAlign w:val="superscript"/>
          <w:lang w:val="fr-FR"/>
        </w:rPr>
        <w:t>e</w:t>
      </w:r>
      <w:r>
        <w:rPr>
          <w:lang w:val="fr-FR"/>
        </w:rPr>
        <w:t xml:space="preserve"> séance, le 2 août 2024, M. Louis </w:t>
      </w:r>
      <w:proofErr w:type="spellStart"/>
      <w:r>
        <w:rPr>
          <w:lang w:val="fr-FR"/>
        </w:rPr>
        <w:t>Savadogo</w:t>
      </w:r>
      <w:proofErr w:type="spellEnd"/>
      <w:r>
        <w:rPr>
          <w:lang w:val="fr-FR"/>
        </w:rPr>
        <w:t xml:space="preserve"> a été désigné Rapporteur spécial pour le sujet « Prévention et répression </w:t>
      </w:r>
      <w:r w:rsidRPr="003A3117">
        <w:rPr>
          <w:lang w:val="fr-FR"/>
        </w:rPr>
        <w:t xml:space="preserve">de la piraterie </w:t>
      </w:r>
      <w:r w:rsidRPr="003A3117">
        <w:rPr>
          <w:bCs/>
          <w:lang w:val="fr-FR"/>
        </w:rPr>
        <w:t>et du vol à main armée en mer</w:t>
      </w:r>
      <w:r>
        <w:rPr>
          <w:bCs/>
          <w:lang w:val="fr-FR"/>
        </w:rPr>
        <w:t> », en remplacement de M. Yacouba Cissé, qui avait démissionné de cette fonction</w:t>
      </w:r>
      <w:r>
        <w:rPr>
          <w:lang w:val="fr-FR"/>
        </w:rPr>
        <w:t>.</w:t>
      </w:r>
    </w:p>
    <w:p w14:paraId="6BCD5777" w14:textId="40123836" w:rsidR="000E25A7" w:rsidRPr="00BF345F" w:rsidRDefault="000E25A7" w:rsidP="000E25A7">
      <w:pPr>
        <w:pStyle w:val="H1G"/>
      </w:pPr>
      <w:r>
        <w:rPr>
          <w:lang w:val="fr-FR"/>
        </w:rPr>
        <w:tab/>
        <w:t>C.</w:t>
      </w:r>
      <w:r>
        <w:rPr>
          <w:lang w:val="fr-FR"/>
        </w:rPr>
        <w:tab/>
      </w:r>
      <w:bookmarkStart w:id="149" w:name="_Hlk175323733"/>
      <w:r>
        <w:rPr>
          <w:lang w:val="fr-FR"/>
        </w:rPr>
        <w:t xml:space="preserve">Programme, procédures, </w:t>
      </w:r>
      <w:r w:rsidRPr="00BC1826">
        <w:rPr>
          <w:lang w:val="fr-FR"/>
        </w:rPr>
        <w:t>méthodes</w:t>
      </w:r>
      <w:r>
        <w:rPr>
          <w:lang w:val="fr-FR"/>
        </w:rPr>
        <w:t xml:space="preserve"> de travail et documentation </w:t>
      </w:r>
      <w:r w:rsidR="00E3092A">
        <w:rPr>
          <w:lang w:val="fr-FR"/>
        </w:rPr>
        <w:br/>
      </w:r>
      <w:r>
        <w:rPr>
          <w:lang w:val="fr-FR"/>
        </w:rPr>
        <w:t>de la Commission</w:t>
      </w:r>
      <w:bookmarkStart w:id="150" w:name="_Toc111554821"/>
      <w:bookmarkStart w:id="151" w:name="_Toc111555203"/>
      <w:bookmarkStart w:id="152" w:name="_Toc80171923"/>
      <w:bookmarkEnd w:id="150"/>
      <w:bookmarkEnd w:id="151"/>
      <w:bookmarkEnd w:id="149"/>
    </w:p>
    <w:bookmarkEnd w:id="152"/>
    <w:p w14:paraId="3FA1565C" w14:textId="77777777" w:rsidR="000E25A7" w:rsidRPr="00BF345F" w:rsidRDefault="000E25A7" w:rsidP="000E25A7">
      <w:pPr>
        <w:pStyle w:val="SingleTxtG"/>
      </w:pPr>
      <w:r>
        <w:t>420</w:t>
      </w:r>
      <w:r w:rsidRPr="00BF345F">
        <w:t>.</w:t>
      </w:r>
      <w:r w:rsidRPr="00BF345F">
        <w:tab/>
      </w:r>
      <w:r>
        <w:rPr>
          <w:lang w:val="fr-FR"/>
        </w:rPr>
        <w:t>Le 13 mai 2024, le Groupe de planification a été constitué aux fins de la présente session.</w:t>
      </w:r>
    </w:p>
    <w:p w14:paraId="2B7AD114" w14:textId="4ADA202E" w:rsidR="000E25A7" w:rsidRPr="00BF345F" w:rsidRDefault="000E25A7" w:rsidP="000E25A7">
      <w:pPr>
        <w:pStyle w:val="SingleTxtG"/>
      </w:pPr>
      <w:r>
        <w:t>421</w:t>
      </w:r>
      <w:r w:rsidRPr="00BF345F">
        <w:t>.</w:t>
      </w:r>
      <w:r w:rsidRPr="00BF345F">
        <w:tab/>
      </w:r>
      <w:r>
        <w:rPr>
          <w:lang w:val="fr-FR"/>
        </w:rPr>
        <w:t>Le Groupe de planification s</w:t>
      </w:r>
      <w:r w:rsidR="004C5E26">
        <w:rPr>
          <w:lang w:val="fr-FR"/>
        </w:rPr>
        <w:t>’</w:t>
      </w:r>
      <w:r>
        <w:rPr>
          <w:lang w:val="fr-FR"/>
        </w:rPr>
        <w:t xml:space="preserve">est </w:t>
      </w:r>
      <w:r w:rsidRPr="00731849">
        <w:rPr>
          <w:lang w:val="fr-FR"/>
        </w:rPr>
        <w:t>réuni six fois,</w:t>
      </w:r>
      <w:r>
        <w:rPr>
          <w:lang w:val="fr-FR"/>
        </w:rPr>
        <w:t xml:space="preserve"> les 14 et 31 mai et les 4, 16 et 18</w:t>
      </w:r>
      <w:r w:rsidR="00E3092A">
        <w:rPr>
          <w:lang w:val="fr-FR"/>
        </w:rPr>
        <w:t> </w:t>
      </w:r>
      <w:r>
        <w:rPr>
          <w:lang w:val="fr-FR"/>
        </w:rPr>
        <w:t>juillet 2024. Il était saisi du résumé thématique établi par le Secrétariat sur les débats tenus à la Sixième Commission de l</w:t>
      </w:r>
      <w:r w:rsidR="004C5E26">
        <w:rPr>
          <w:lang w:val="fr-FR"/>
        </w:rPr>
        <w:t>’</w:t>
      </w:r>
      <w:r>
        <w:rPr>
          <w:lang w:val="fr-FR"/>
        </w:rPr>
        <w:t>Assemblée générale à sa soixante-dix-huitième session (</w:t>
      </w:r>
      <w:hyperlink r:id="rId79" w:history="1">
        <w:r w:rsidRPr="00E17BB5">
          <w:rPr>
            <w:rStyle w:val="Lienhypertexte"/>
            <w:lang w:val="fr-FR"/>
          </w:rPr>
          <w:t>A/CN.4/763</w:t>
        </w:r>
      </w:hyperlink>
      <w:r>
        <w:rPr>
          <w:lang w:val="fr-FR"/>
        </w:rPr>
        <w:t xml:space="preserve">), de la résolution </w:t>
      </w:r>
      <w:hyperlink r:id="rId80" w:history="1">
        <w:r w:rsidRPr="00E17BB5">
          <w:rPr>
            <w:rStyle w:val="Lienhypertexte"/>
            <w:lang w:val="fr-FR"/>
          </w:rPr>
          <w:t>78/108</w:t>
        </w:r>
      </w:hyperlink>
      <w:r>
        <w:rPr>
          <w:lang w:val="fr-FR"/>
        </w:rPr>
        <w:t xml:space="preserve"> de l</w:t>
      </w:r>
      <w:r w:rsidR="004C5E26">
        <w:rPr>
          <w:lang w:val="fr-FR"/>
        </w:rPr>
        <w:t>’</w:t>
      </w:r>
      <w:r>
        <w:rPr>
          <w:lang w:val="fr-FR"/>
        </w:rPr>
        <w:t>Assemblée générale, en date du 7 décembre 2023, sur le rapport de la Commission du droit international sur les travaux de sa soixante</w:t>
      </w:r>
      <w:r>
        <w:rPr>
          <w:lang w:val="fr-FR"/>
        </w:rPr>
        <w:noBreakHyphen/>
        <w:t xml:space="preserve">quatorzième session, de la résolution </w:t>
      </w:r>
      <w:hyperlink r:id="rId81" w:history="1">
        <w:r w:rsidRPr="00E17BB5">
          <w:rPr>
            <w:rStyle w:val="Lienhypertexte"/>
            <w:lang w:val="fr-FR"/>
          </w:rPr>
          <w:t>78/112</w:t>
        </w:r>
      </w:hyperlink>
      <w:r>
        <w:rPr>
          <w:lang w:val="fr-FR"/>
        </w:rPr>
        <w:t xml:space="preserve"> de l</w:t>
      </w:r>
      <w:r w:rsidR="004C5E26">
        <w:rPr>
          <w:lang w:val="fr-FR"/>
        </w:rPr>
        <w:t>’</w:t>
      </w:r>
      <w:r>
        <w:rPr>
          <w:lang w:val="fr-FR"/>
        </w:rPr>
        <w:t>Assemblée générale, en date du 7 décembre 2023, sur l</w:t>
      </w:r>
      <w:r w:rsidR="004C5E26">
        <w:rPr>
          <w:lang w:val="fr-FR"/>
        </w:rPr>
        <w:t>’</w:t>
      </w:r>
      <w:r>
        <w:rPr>
          <w:lang w:val="fr-FR"/>
        </w:rPr>
        <w:t>état de droit aux niveaux national et international, et du projet de budget-programme pour 2025 (Programme 6 : Affaires juridiques ; sous-programme 3 : Développement progressif et codification du droit international). Le Groupe de planification avait également reçu un document proposé par M. Bimal N. Patel et intitulé « </w:t>
      </w:r>
      <w:r w:rsidRPr="00F50ADC">
        <w:rPr>
          <w:lang w:val="fr-FR"/>
        </w:rPr>
        <w:t xml:space="preserve">Survey of International Law in relation to the </w:t>
      </w:r>
      <w:proofErr w:type="spellStart"/>
      <w:r w:rsidRPr="00F50ADC">
        <w:rPr>
          <w:lang w:val="fr-FR"/>
        </w:rPr>
        <w:t>work</w:t>
      </w:r>
      <w:proofErr w:type="spellEnd"/>
      <w:r w:rsidRPr="00F50ADC">
        <w:rPr>
          <w:lang w:val="fr-FR"/>
        </w:rPr>
        <w:t xml:space="preserve"> of the International Law Commission</w:t>
      </w:r>
      <w:r>
        <w:rPr>
          <w:lang w:val="fr-FR"/>
        </w:rPr>
        <w:t> ». Toutefois, le Groupe de planification n</w:t>
      </w:r>
      <w:r w:rsidR="004C5E26">
        <w:rPr>
          <w:lang w:val="fr-FR"/>
        </w:rPr>
        <w:t>’</w:t>
      </w:r>
      <w:r>
        <w:rPr>
          <w:lang w:val="fr-FR"/>
        </w:rPr>
        <w:t>a pas eu suffisamment de temps pour examiner la proposition, à laquelle l</w:t>
      </w:r>
      <w:r w:rsidR="004C5E26">
        <w:rPr>
          <w:lang w:val="fr-FR"/>
        </w:rPr>
        <w:t>’</w:t>
      </w:r>
      <w:r>
        <w:rPr>
          <w:lang w:val="fr-FR"/>
        </w:rPr>
        <w:t>on reviendra l</w:t>
      </w:r>
      <w:r w:rsidR="004C5E26">
        <w:rPr>
          <w:lang w:val="fr-FR"/>
        </w:rPr>
        <w:t>’</w:t>
      </w:r>
      <w:r>
        <w:rPr>
          <w:lang w:val="fr-FR"/>
        </w:rPr>
        <w:t>an prochain.</w:t>
      </w:r>
    </w:p>
    <w:p w14:paraId="21B3B4F3" w14:textId="77777777" w:rsidR="000E25A7" w:rsidRPr="00BF345F" w:rsidRDefault="000E25A7" w:rsidP="000E25A7">
      <w:pPr>
        <w:pStyle w:val="H23G"/>
      </w:pPr>
      <w:r>
        <w:tab/>
      </w:r>
      <w:r w:rsidRPr="00BF345F">
        <w:t>1.</w:t>
      </w:r>
      <w:r w:rsidRPr="00BF345F">
        <w:tab/>
      </w:r>
      <w:bookmarkStart w:id="153" w:name="_Hlk175323743"/>
      <w:r>
        <w:rPr>
          <w:lang w:val="fr-FR"/>
        </w:rPr>
        <w:t>Groupe de travail sur le programme de travail à long terme</w:t>
      </w:r>
      <w:bookmarkEnd w:id="153"/>
    </w:p>
    <w:p w14:paraId="0631891A" w14:textId="77777777" w:rsidR="000E25A7" w:rsidRPr="00BF345F" w:rsidRDefault="000E25A7" w:rsidP="000E25A7">
      <w:pPr>
        <w:pStyle w:val="SingleTxtG"/>
      </w:pPr>
      <w:r w:rsidRPr="00BF345F">
        <w:t>4</w:t>
      </w:r>
      <w:r>
        <w:t>22</w:t>
      </w:r>
      <w:r w:rsidRPr="00BF345F">
        <w:t>.</w:t>
      </w:r>
      <w:r w:rsidRPr="00BF345F">
        <w:tab/>
      </w:r>
      <w:r>
        <w:rPr>
          <w:lang w:val="fr-FR"/>
        </w:rPr>
        <w:t>À sa 1</w:t>
      </w:r>
      <w:r w:rsidRPr="00860C45">
        <w:rPr>
          <w:vertAlign w:val="superscript"/>
          <w:lang w:val="fr-FR"/>
        </w:rPr>
        <w:t>re</w:t>
      </w:r>
      <w:r>
        <w:rPr>
          <w:lang w:val="fr-FR"/>
        </w:rPr>
        <w:t xml:space="preserve"> séance, le 14 mai 2024, le Groupe de planification a décidé de reconstituer le Groupe de travail sur le programme de travail à long terme pour le présent quinquennat, sous la présidence de M. Marcelo </w:t>
      </w:r>
      <w:proofErr w:type="spellStart"/>
      <w:r>
        <w:rPr>
          <w:lang w:val="fr-FR"/>
        </w:rPr>
        <w:t>Vázquez-Bermúdez</w:t>
      </w:r>
      <w:proofErr w:type="spellEnd"/>
      <w:r>
        <w:rPr>
          <w:lang w:val="fr-FR"/>
        </w:rPr>
        <w:t>. À la 2</w:t>
      </w:r>
      <w:r w:rsidRPr="003B4A08">
        <w:rPr>
          <w:vertAlign w:val="superscript"/>
          <w:lang w:val="fr-FR"/>
        </w:rPr>
        <w:t>e</w:t>
      </w:r>
      <w:r>
        <w:rPr>
          <w:lang w:val="fr-FR"/>
        </w:rPr>
        <w:t> séance du Groupe de planification, le 31 mai 2024, le Président du Groupe de travail a présenté un rapport oral intermédiaire sur les travaux menés par le Groupe de travail au cours de la présente session. Le Groupe de planification a pris note de ce rapport. Le 16 juillet 2024, à la 4</w:t>
      </w:r>
      <w:r w:rsidRPr="007E6331">
        <w:rPr>
          <w:vertAlign w:val="superscript"/>
          <w:lang w:val="fr-FR"/>
        </w:rPr>
        <w:t>e</w:t>
      </w:r>
      <w:r>
        <w:rPr>
          <w:lang w:val="fr-FR"/>
        </w:rPr>
        <w:t> </w:t>
      </w:r>
      <w:r w:rsidRPr="007E6331">
        <w:rPr>
          <w:lang w:val="fr-FR"/>
        </w:rPr>
        <w:t xml:space="preserve">séance </w:t>
      </w:r>
      <w:r>
        <w:rPr>
          <w:lang w:val="fr-FR"/>
        </w:rPr>
        <w:t xml:space="preserve">du Groupe de planification, M. Juan José </w:t>
      </w:r>
      <w:proofErr w:type="spellStart"/>
      <w:r>
        <w:rPr>
          <w:lang w:val="fr-FR"/>
        </w:rPr>
        <w:t>Ruda</w:t>
      </w:r>
      <w:proofErr w:type="spellEnd"/>
      <w:r>
        <w:rPr>
          <w:lang w:val="fr-FR"/>
        </w:rPr>
        <w:t xml:space="preserve"> </w:t>
      </w:r>
      <w:proofErr w:type="spellStart"/>
      <w:r>
        <w:rPr>
          <w:lang w:val="fr-FR"/>
        </w:rPr>
        <w:t>Santolaria</w:t>
      </w:r>
      <w:proofErr w:type="spellEnd"/>
      <w:r>
        <w:rPr>
          <w:lang w:val="fr-FR"/>
        </w:rPr>
        <w:t>, au nom du Président du Groupe de travail, a présenté au Groupe de planification un rapport oral sur les travaux menés par le Groupe de travail, notamment des propositions concernant les sujets examinés à la présente session. Le Groupe de planification a pris note de ce rapport.</w:t>
      </w:r>
    </w:p>
    <w:p w14:paraId="35654E1D" w14:textId="118CD48F" w:rsidR="000E25A7" w:rsidRPr="00BF345F" w:rsidRDefault="000E25A7" w:rsidP="000E25A7">
      <w:pPr>
        <w:pStyle w:val="SingleTxtG"/>
      </w:pPr>
      <w:r>
        <w:t>423</w:t>
      </w:r>
      <w:r w:rsidRPr="00BF345F">
        <w:t>.</w:t>
      </w:r>
      <w:r w:rsidRPr="00BF345F">
        <w:tab/>
      </w:r>
      <w:r>
        <w:rPr>
          <w:lang w:val="fr-FR"/>
        </w:rPr>
        <w:t>À la présente session, suivant la recommandation du Groupe de travail, la Commission a décidé de recommander l</w:t>
      </w:r>
      <w:r w:rsidR="004C5E26">
        <w:rPr>
          <w:lang w:val="fr-FR"/>
        </w:rPr>
        <w:t>’</w:t>
      </w:r>
      <w:r>
        <w:rPr>
          <w:lang w:val="fr-FR"/>
        </w:rPr>
        <w:t>inscription des sujets suivants à son programme de travail à long terme :</w:t>
      </w:r>
    </w:p>
    <w:p w14:paraId="0A7273B3" w14:textId="77777777" w:rsidR="000E25A7" w:rsidRPr="00BF345F" w:rsidRDefault="000E25A7" w:rsidP="000E25A7">
      <w:pPr>
        <w:pStyle w:val="SingleTxtG"/>
        <w:ind w:firstLine="567"/>
      </w:pPr>
      <w:r>
        <w:rPr>
          <w:lang w:val="fr-FR"/>
        </w:rPr>
        <w:t>a)</w:t>
      </w:r>
      <w:r>
        <w:rPr>
          <w:lang w:val="fr-FR"/>
        </w:rPr>
        <w:tab/>
        <w:t>Indemnisation des dommages causés par un fait internationalement illicite ;</w:t>
      </w:r>
    </w:p>
    <w:p w14:paraId="63CD403D" w14:textId="77777777" w:rsidR="000E25A7" w:rsidRPr="00BF345F" w:rsidRDefault="000E25A7" w:rsidP="000E25A7">
      <w:pPr>
        <w:pStyle w:val="SingleTxtG"/>
        <w:ind w:firstLine="567"/>
      </w:pPr>
      <w:r>
        <w:rPr>
          <w:lang w:val="fr-FR"/>
        </w:rPr>
        <w:t>b)</w:t>
      </w:r>
      <w:r>
        <w:rPr>
          <w:lang w:val="fr-FR"/>
        </w:rPr>
        <w:tab/>
        <w:t>La diligence due en droit international.</w:t>
      </w:r>
    </w:p>
    <w:p w14:paraId="5426566D" w14:textId="2A8EDAFC" w:rsidR="000E25A7" w:rsidRPr="00BF345F" w:rsidRDefault="000E25A7" w:rsidP="000E25A7">
      <w:pPr>
        <w:pStyle w:val="SingleTxtG"/>
      </w:pPr>
      <w:r w:rsidRPr="00B7748F">
        <w:t>424.</w:t>
      </w:r>
      <w:r w:rsidRPr="00B7748F">
        <w:tab/>
      </w:r>
      <w:r w:rsidRPr="00B7748F">
        <w:rPr>
          <w:lang w:val="fr-FR"/>
        </w:rPr>
        <w:t>Pour le choix des sujets, la Commission s</w:t>
      </w:r>
      <w:r w:rsidR="004C5E26">
        <w:rPr>
          <w:lang w:val="fr-FR"/>
        </w:rPr>
        <w:t>’</w:t>
      </w:r>
      <w:r w:rsidRPr="00B7748F">
        <w:rPr>
          <w:lang w:val="fr-FR"/>
        </w:rPr>
        <w:t>est appuyée sur la recommandation qu</w:t>
      </w:r>
      <w:r w:rsidR="004C5E26">
        <w:rPr>
          <w:lang w:val="fr-FR"/>
        </w:rPr>
        <w:t>’</w:t>
      </w:r>
      <w:r w:rsidRPr="00B7748F">
        <w:rPr>
          <w:lang w:val="fr-FR"/>
        </w:rPr>
        <w:t>elle avait formulée à sa cinquantième session (1998) à propos des critères de sélection des sujets, à savoir que : a) le sujet devrait correspondre aux besoins des États en ce qui concerne le développement progressif et la codification du droit international ; b) le sujet devrait être suffisamment mûr sur le terrain de la pratique des États pour</w:t>
      </w:r>
      <w:r>
        <w:rPr>
          <w:lang w:val="fr-FR"/>
        </w:rPr>
        <w:t xml:space="preserve"> se prêter à un développement </w:t>
      </w:r>
      <w:r>
        <w:rPr>
          <w:lang w:val="fr-FR"/>
        </w:rPr>
        <w:lastRenderedPageBreak/>
        <w:t>progressif et à une codification ; c) le sujet devrait être concret et suffisamment facile à traiter aux fins du développement progressif et de la codification. La Commission est convenue en outre qu</w:t>
      </w:r>
      <w:r w:rsidR="004C5E26">
        <w:rPr>
          <w:lang w:val="fr-FR"/>
        </w:rPr>
        <w:t>’</w:t>
      </w:r>
      <w:r>
        <w:rPr>
          <w:lang w:val="fr-FR"/>
        </w:rPr>
        <w:t xml:space="preserve">elle ne </w:t>
      </w:r>
      <w:r w:rsidRPr="003C583E">
        <w:rPr>
          <w:lang w:val="fr-FR"/>
        </w:rPr>
        <w:t>devrait p</w:t>
      </w:r>
      <w:r>
        <w:rPr>
          <w:lang w:val="fr-FR"/>
        </w:rPr>
        <w:t>as s</w:t>
      </w:r>
      <w:r w:rsidR="004C5E26">
        <w:rPr>
          <w:lang w:val="fr-FR"/>
        </w:rPr>
        <w:t>’</w:t>
      </w:r>
      <w:r>
        <w:rPr>
          <w:lang w:val="fr-FR"/>
        </w:rPr>
        <w:t>en tenir aux sujets classiques, mais pourrait aussi envisager ceux qui correspondent à des tendances nouvelles du droit international et à des préoccupations pressantes de l</w:t>
      </w:r>
      <w:r w:rsidR="004C5E26">
        <w:rPr>
          <w:lang w:val="fr-FR"/>
        </w:rPr>
        <w:t>’</w:t>
      </w:r>
      <w:r>
        <w:rPr>
          <w:lang w:val="fr-FR"/>
        </w:rPr>
        <w:t>ensemble de la communauté internationale</w:t>
      </w:r>
      <w:r w:rsidRPr="00E9227E">
        <w:rPr>
          <w:rStyle w:val="Appelnotedebasdep"/>
        </w:rPr>
        <w:footnoteReference w:id="280"/>
      </w:r>
      <w:r>
        <w:rPr>
          <w:lang w:val="fr-FR"/>
        </w:rPr>
        <w:t>. Elle a estimé que ses travaux sur les sujets choisis contribueraient utilement au développement progressif du droit international et à sa codification. Les plans d</w:t>
      </w:r>
      <w:r w:rsidR="004C5E26">
        <w:rPr>
          <w:lang w:val="fr-FR"/>
        </w:rPr>
        <w:t>’</w:t>
      </w:r>
      <w:r>
        <w:rPr>
          <w:lang w:val="fr-FR"/>
        </w:rPr>
        <w:t>étude des sujets sélectionnés sont reproduits aux annexes I et II du présent rapport.</w:t>
      </w:r>
    </w:p>
    <w:p w14:paraId="5DCE6D83" w14:textId="57917D86" w:rsidR="000E25A7" w:rsidRPr="00BF345F" w:rsidRDefault="000E25A7" w:rsidP="000E25A7">
      <w:pPr>
        <w:pStyle w:val="SingleTxtG"/>
      </w:pPr>
      <w:r>
        <w:t>425</w:t>
      </w:r>
      <w:r w:rsidRPr="00BF345F">
        <w:t>.</w:t>
      </w:r>
      <w:r w:rsidRPr="00BF345F">
        <w:tab/>
      </w:r>
      <w:r w:rsidRPr="005866A3">
        <w:rPr>
          <w:rFonts w:eastAsia="Aptos"/>
          <w:lang w:val="fr-FR"/>
        </w:rPr>
        <w:t>La Commission rappelle que huit autres sujets sont toujours inscrits au programme de travail à long terme depuis le quinquennat précédent, à savoir</w:t>
      </w:r>
      <w:r>
        <w:rPr>
          <w:rFonts w:eastAsia="Aptos"/>
          <w:lang w:val="fr-FR"/>
        </w:rPr>
        <w:t> </w:t>
      </w:r>
      <w:r w:rsidRPr="005866A3">
        <w:rPr>
          <w:rFonts w:eastAsia="Aptos"/>
          <w:lang w:val="fr-FR"/>
        </w:rPr>
        <w:t>: a) Propriété et protection des épaves au-delà des limites de la juridiction maritime nationale</w:t>
      </w:r>
      <w:r w:rsidRPr="00E9227E">
        <w:rPr>
          <w:rStyle w:val="Appelnotedebasdep"/>
        </w:rPr>
        <w:footnoteReference w:id="281"/>
      </w:r>
      <w:r>
        <w:rPr>
          <w:rFonts w:eastAsia="Aptos"/>
          <w:lang w:val="fr-FR"/>
        </w:rPr>
        <w:t> ;</w:t>
      </w:r>
      <w:r w:rsidRPr="005866A3">
        <w:rPr>
          <w:rFonts w:eastAsia="Aptos"/>
          <w:lang w:val="fr-FR"/>
        </w:rPr>
        <w:t xml:space="preserve"> b)</w:t>
      </w:r>
      <w:r>
        <w:rPr>
          <w:rFonts w:eastAsia="Aptos"/>
          <w:lang w:val="fr-FR"/>
        </w:rPr>
        <w:t> </w:t>
      </w:r>
      <w:r w:rsidRPr="005866A3">
        <w:rPr>
          <w:rFonts w:eastAsia="Aptos"/>
          <w:lang w:val="fr-FR"/>
        </w:rPr>
        <w:t>Immunité juridictionnelle des organisations internationales</w:t>
      </w:r>
      <w:r w:rsidRPr="00E9227E">
        <w:rPr>
          <w:rStyle w:val="Appelnotedebasdep"/>
        </w:rPr>
        <w:footnoteReference w:id="282"/>
      </w:r>
      <w:r>
        <w:rPr>
          <w:rFonts w:eastAsia="Aptos"/>
          <w:lang w:val="fr-FR"/>
        </w:rPr>
        <w:t> ;</w:t>
      </w:r>
      <w:r w:rsidRPr="005866A3">
        <w:rPr>
          <w:rFonts w:eastAsia="Aptos"/>
          <w:lang w:val="fr-FR"/>
        </w:rPr>
        <w:t xml:space="preserve"> c) Protection des données personnelles dans la circulation transfrontière de l</w:t>
      </w:r>
      <w:r w:rsidR="004C5E26">
        <w:rPr>
          <w:rFonts w:eastAsia="Aptos"/>
          <w:lang w:val="fr-FR"/>
        </w:rPr>
        <w:t>’</w:t>
      </w:r>
      <w:r w:rsidRPr="005866A3">
        <w:rPr>
          <w:rFonts w:eastAsia="Aptos"/>
          <w:lang w:val="fr-FR"/>
        </w:rPr>
        <w:t>information</w:t>
      </w:r>
      <w:r w:rsidRPr="00E9227E">
        <w:rPr>
          <w:rStyle w:val="Appelnotedebasdep"/>
        </w:rPr>
        <w:footnoteReference w:id="283"/>
      </w:r>
      <w:r>
        <w:rPr>
          <w:rFonts w:eastAsia="Aptos"/>
          <w:lang w:val="fr-FR"/>
        </w:rPr>
        <w:t> ;</w:t>
      </w:r>
      <w:r w:rsidRPr="005866A3">
        <w:rPr>
          <w:rFonts w:eastAsia="Aptos"/>
          <w:lang w:val="fr-FR"/>
        </w:rPr>
        <w:t xml:space="preserve"> d) Compétence extraterritoriale</w:t>
      </w:r>
      <w:r w:rsidRPr="00E9227E">
        <w:rPr>
          <w:rStyle w:val="Appelnotedebasdep"/>
        </w:rPr>
        <w:footnoteReference w:id="284"/>
      </w:r>
      <w:r>
        <w:rPr>
          <w:rFonts w:eastAsia="Aptos"/>
          <w:lang w:val="fr-FR"/>
        </w:rPr>
        <w:t> ;</w:t>
      </w:r>
      <w:r w:rsidRPr="005866A3">
        <w:rPr>
          <w:rFonts w:eastAsia="Aptos"/>
          <w:lang w:val="fr-FR"/>
        </w:rPr>
        <w:t xml:space="preserve"> e)</w:t>
      </w:r>
      <w:r w:rsidR="00B7748F">
        <w:rPr>
          <w:rFonts w:eastAsia="Aptos"/>
          <w:lang w:val="fr-FR"/>
        </w:rPr>
        <w:t> </w:t>
      </w:r>
      <w:r w:rsidRPr="005866A3">
        <w:rPr>
          <w:rFonts w:eastAsia="Aptos"/>
          <w:lang w:val="fr-FR"/>
        </w:rPr>
        <w:t xml:space="preserve">Règle du traitement juste et équitable en droit international de </w:t>
      </w:r>
      <w:r w:rsidRPr="00BC1826">
        <w:rPr>
          <w:lang w:val="fr-FR"/>
        </w:rPr>
        <w:t>l</w:t>
      </w:r>
      <w:r w:rsidR="004C5E26">
        <w:rPr>
          <w:lang w:val="fr-FR"/>
        </w:rPr>
        <w:t>’</w:t>
      </w:r>
      <w:r w:rsidRPr="00BC1826">
        <w:rPr>
          <w:lang w:val="fr-FR"/>
        </w:rPr>
        <w:t>investissement</w:t>
      </w:r>
      <w:r w:rsidRPr="00E9227E">
        <w:rPr>
          <w:rStyle w:val="Appelnotedebasdep"/>
        </w:rPr>
        <w:footnoteReference w:id="285"/>
      </w:r>
      <w:r>
        <w:rPr>
          <w:rFonts w:eastAsia="Aptos"/>
          <w:lang w:val="fr-FR"/>
        </w:rPr>
        <w:t> ;</w:t>
      </w:r>
      <w:r w:rsidRPr="005866A3">
        <w:rPr>
          <w:rFonts w:eastAsia="Aptos"/>
          <w:lang w:val="fr-FR"/>
        </w:rPr>
        <w:t xml:space="preserve"> f)</w:t>
      </w:r>
      <w:r>
        <w:rPr>
          <w:rFonts w:eastAsia="Aptos"/>
          <w:lang w:val="fr-FR"/>
        </w:rPr>
        <w:t> </w:t>
      </w:r>
      <w:r w:rsidRPr="005866A3">
        <w:rPr>
          <w:rFonts w:eastAsia="Aptos"/>
          <w:lang w:val="fr-FR"/>
        </w:rPr>
        <w:t>L</w:t>
      </w:r>
      <w:r w:rsidR="004C5E26">
        <w:rPr>
          <w:rFonts w:eastAsia="Aptos"/>
          <w:lang w:val="fr-FR"/>
        </w:rPr>
        <w:t>’</w:t>
      </w:r>
      <w:r w:rsidRPr="005866A3">
        <w:rPr>
          <w:rFonts w:eastAsia="Aptos"/>
          <w:lang w:val="fr-FR"/>
        </w:rPr>
        <w:t>administration de la preuve devant les juridictions internationales</w:t>
      </w:r>
      <w:r w:rsidRPr="00E9227E">
        <w:rPr>
          <w:rStyle w:val="Appelnotedebasdep"/>
        </w:rPr>
        <w:footnoteReference w:id="286"/>
      </w:r>
      <w:r>
        <w:rPr>
          <w:rFonts w:eastAsia="Aptos"/>
          <w:lang w:val="fr-FR"/>
        </w:rPr>
        <w:t> ;</w:t>
      </w:r>
      <w:r w:rsidRPr="005866A3">
        <w:rPr>
          <w:rFonts w:eastAsia="Aptos"/>
          <w:lang w:val="fr-FR"/>
        </w:rPr>
        <w:t xml:space="preserve"> g)</w:t>
      </w:r>
      <w:r>
        <w:rPr>
          <w:rFonts w:eastAsia="Aptos"/>
          <w:lang w:val="fr-FR"/>
        </w:rPr>
        <w:t> </w:t>
      </w:r>
      <w:r w:rsidRPr="005866A3">
        <w:rPr>
          <w:rFonts w:eastAsia="Aptos"/>
          <w:lang w:val="fr-FR"/>
        </w:rPr>
        <w:t>Compétence pénale universelle</w:t>
      </w:r>
      <w:r w:rsidRPr="00E9227E">
        <w:rPr>
          <w:rStyle w:val="Appelnotedebasdep"/>
        </w:rPr>
        <w:footnoteReference w:id="287"/>
      </w:r>
      <w:r>
        <w:rPr>
          <w:rFonts w:eastAsia="Aptos"/>
          <w:lang w:val="fr-FR"/>
        </w:rPr>
        <w:t> ;</w:t>
      </w:r>
      <w:r w:rsidRPr="005866A3">
        <w:rPr>
          <w:rFonts w:eastAsia="Aptos"/>
          <w:lang w:val="fr-FR"/>
        </w:rPr>
        <w:t xml:space="preserve"> h)</w:t>
      </w:r>
      <w:r>
        <w:rPr>
          <w:rFonts w:eastAsia="Aptos"/>
          <w:lang w:val="fr-FR"/>
        </w:rPr>
        <w:t> </w:t>
      </w:r>
      <w:r w:rsidRPr="005866A3">
        <w:rPr>
          <w:rFonts w:eastAsia="Aptos"/>
          <w:lang w:val="fr-FR"/>
        </w:rPr>
        <w:t>Réparation due aux personnes victimes de violations flagrantes du droit international des droits de l</w:t>
      </w:r>
      <w:r w:rsidR="004C5E26">
        <w:rPr>
          <w:rFonts w:eastAsia="Aptos"/>
          <w:lang w:val="fr-FR"/>
        </w:rPr>
        <w:t>’</w:t>
      </w:r>
      <w:r w:rsidRPr="005866A3">
        <w:rPr>
          <w:rFonts w:eastAsia="Aptos"/>
          <w:lang w:val="fr-FR"/>
        </w:rPr>
        <w:t>homme et de violations graves du droit international humanitaire</w:t>
      </w:r>
      <w:r w:rsidRPr="00E9227E">
        <w:rPr>
          <w:rStyle w:val="Appelnotedebasdep"/>
        </w:rPr>
        <w:footnoteReference w:id="288"/>
      </w:r>
      <w:r w:rsidRPr="005866A3">
        <w:rPr>
          <w:rFonts w:eastAsia="Aptos"/>
          <w:lang w:val="fr-FR"/>
        </w:rPr>
        <w:t>.</w:t>
      </w:r>
    </w:p>
    <w:p w14:paraId="534C133B" w14:textId="77777777" w:rsidR="000E25A7" w:rsidRPr="00BF345F" w:rsidRDefault="000E25A7" w:rsidP="000E25A7">
      <w:pPr>
        <w:pStyle w:val="H23G"/>
      </w:pPr>
      <w:r>
        <w:tab/>
      </w:r>
      <w:r w:rsidRPr="00BF345F">
        <w:t>2.</w:t>
      </w:r>
      <w:r w:rsidRPr="00BF345F">
        <w:tab/>
      </w:r>
      <w:bookmarkStart w:id="154" w:name="_Hlk175323751"/>
      <w:r>
        <w:rPr>
          <w:lang w:val="fr-FR"/>
        </w:rPr>
        <w:t>Groupe de travail sur les méthodes de travail et les procédures de la Commission</w:t>
      </w:r>
      <w:bookmarkEnd w:id="154"/>
    </w:p>
    <w:p w14:paraId="288A93B4" w14:textId="48034E93" w:rsidR="000E25A7" w:rsidRPr="00BF345F" w:rsidRDefault="000E25A7" w:rsidP="000E25A7">
      <w:pPr>
        <w:pStyle w:val="SingleTxtG"/>
      </w:pPr>
      <w:r>
        <w:t>426</w:t>
      </w:r>
      <w:r w:rsidRPr="00BF345F">
        <w:t>.</w:t>
      </w:r>
      <w:r w:rsidRPr="00BF345F">
        <w:tab/>
      </w:r>
      <w:r>
        <w:rPr>
          <w:lang w:val="fr-FR"/>
        </w:rPr>
        <w:t>À sa 1</w:t>
      </w:r>
      <w:r w:rsidRPr="001E533E">
        <w:rPr>
          <w:vertAlign w:val="superscript"/>
          <w:lang w:val="fr-FR"/>
        </w:rPr>
        <w:t>re</w:t>
      </w:r>
      <w:r>
        <w:rPr>
          <w:lang w:val="fr-FR"/>
        </w:rPr>
        <w:t xml:space="preserve"> séance, le 14 mai 2024, le Groupe de planification a décidé de reconstituer le Groupe de travail sur les méthodes de travail et les procédures de la Commission, sous la présidence de M. Charles </w:t>
      </w:r>
      <w:proofErr w:type="spellStart"/>
      <w:r>
        <w:rPr>
          <w:lang w:val="fr-FR"/>
        </w:rPr>
        <w:t>Chernor</w:t>
      </w:r>
      <w:proofErr w:type="spellEnd"/>
      <w:r>
        <w:rPr>
          <w:lang w:val="fr-FR"/>
        </w:rPr>
        <w:t xml:space="preserve"> </w:t>
      </w:r>
      <w:proofErr w:type="spellStart"/>
      <w:r>
        <w:rPr>
          <w:lang w:val="fr-FR"/>
        </w:rPr>
        <w:t>Jalloh</w:t>
      </w:r>
      <w:proofErr w:type="spellEnd"/>
      <w:r>
        <w:rPr>
          <w:lang w:val="fr-FR"/>
        </w:rPr>
        <w:t>. Le Groupe de travail s</w:t>
      </w:r>
      <w:r w:rsidR="004C5E26">
        <w:rPr>
          <w:lang w:val="fr-FR"/>
        </w:rPr>
        <w:t>’</w:t>
      </w:r>
      <w:r>
        <w:rPr>
          <w:lang w:val="fr-FR"/>
        </w:rPr>
        <w:t>est réuni deux fois, les 24 et 27 mai 2024.</w:t>
      </w:r>
    </w:p>
    <w:p w14:paraId="67512EFD" w14:textId="77777777" w:rsidR="000E25A7" w:rsidRPr="00BF345F" w:rsidRDefault="000E25A7" w:rsidP="000E25A7">
      <w:pPr>
        <w:pStyle w:val="SingleTxtG"/>
      </w:pPr>
      <w:r>
        <w:t>427</w:t>
      </w:r>
      <w:r w:rsidRPr="00BF345F">
        <w:t>.</w:t>
      </w:r>
      <w:r w:rsidRPr="00BF345F">
        <w:tab/>
      </w:r>
      <w:r>
        <w:rPr>
          <w:lang w:val="fr-FR"/>
        </w:rPr>
        <w:t>À la 4</w:t>
      </w:r>
      <w:r w:rsidRPr="00C515F3">
        <w:rPr>
          <w:vertAlign w:val="superscript"/>
          <w:lang w:val="fr-FR"/>
        </w:rPr>
        <w:t>e</w:t>
      </w:r>
      <w:r>
        <w:rPr>
          <w:lang w:val="fr-FR"/>
        </w:rPr>
        <w:t xml:space="preserve"> séance du Groupe de planification, le 16 juillet 2024, le Président du Groupe de travail a présenté un rapport oral sur les travaux menés par le Groupe de travail </w:t>
      </w:r>
      <w:r w:rsidRPr="00664CFF">
        <w:rPr>
          <w:lang w:val="fr-FR"/>
        </w:rPr>
        <w:t>au cours</w:t>
      </w:r>
      <w:r>
        <w:rPr>
          <w:lang w:val="fr-FR"/>
        </w:rPr>
        <w:t xml:space="preserve"> de la présente session.</w:t>
      </w:r>
    </w:p>
    <w:p w14:paraId="30848E81" w14:textId="4F78ECAA" w:rsidR="000E25A7" w:rsidRPr="00BF345F" w:rsidRDefault="000E25A7" w:rsidP="000E25A7">
      <w:pPr>
        <w:pStyle w:val="SingleTxtG"/>
      </w:pPr>
      <w:r>
        <w:t>428</w:t>
      </w:r>
      <w:r w:rsidRPr="00BF345F">
        <w:t>.</w:t>
      </w:r>
      <w:r w:rsidRPr="00BF345F">
        <w:tab/>
      </w:r>
      <w:r>
        <w:rPr>
          <w:lang w:val="fr-FR"/>
        </w:rPr>
        <w:t>Le Groupe de planification a pris note de ce rapport. Le Groupe de travail a poursuivi l</w:t>
      </w:r>
      <w:r w:rsidR="004C5E26">
        <w:rPr>
          <w:lang w:val="fr-FR"/>
        </w:rPr>
        <w:t>’</w:t>
      </w:r>
      <w:r>
        <w:rPr>
          <w:lang w:val="fr-FR"/>
        </w:rPr>
        <w:t>examen de son ordre du jour permanent, qui se compose des trois points suivants :</w:t>
      </w:r>
    </w:p>
    <w:p w14:paraId="685BC899" w14:textId="77777777" w:rsidR="000E25A7" w:rsidRPr="00BF345F" w:rsidRDefault="000E25A7" w:rsidP="000E25A7">
      <w:pPr>
        <w:pStyle w:val="SingleTxtG"/>
        <w:ind w:left="1701"/>
      </w:pPr>
      <w:r>
        <w:rPr>
          <w:lang w:val="fr-FR"/>
        </w:rPr>
        <w:t>1.</w:t>
      </w:r>
      <w:r>
        <w:rPr>
          <w:lang w:val="fr-FR"/>
        </w:rPr>
        <w:tab/>
        <w:t>Revitalisation des méthodes de travail et des procédures de la Commission du droit international.</w:t>
      </w:r>
    </w:p>
    <w:p w14:paraId="242B7857" w14:textId="3B9CFEAD" w:rsidR="000E25A7" w:rsidRPr="00BF345F" w:rsidRDefault="000E25A7" w:rsidP="000E25A7">
      <w:pPr>
        <w:pStyle w:val="SingleTxtG"/>
        <w:ind w:left="1701"/>
      </w:pPr>
      <w:r>
        <w:rPr>
          <w:lang w:val="fr-FR"/>
        </w:rPr>
        <w:t>2.</w:t>
      </w:r>
      <w:r>
        <w:rPr>
          <w:lang w:val="fr-FR"/>
        </w:rPr>
        <w:tab/>
        <w:t>Relations de la Commission du droit international avec l</w:t>
      </w:r>
      <w:r w:rsidR="004C5E26">
        <w:rPr>
          <w:lang w:val="fr-FR"/>
        </w:rPr>
        <w:t>’</w:t>
      </w:r>
      <w:r>
        <w:rPr>
          <w:lang w:val="fr-FR"/>
        </w:rPr>
        <w:t>Assemblée générale et d</w:t>
      </w:r>
      <w:r w:rsidR="004C5E26">
        <w:rPr>
          <w:lang w:val="fr-FR"/>
        </w:rPr>
        <w:t>’</w:t>
      </w:r>
      <w:r>
        <w:rPr>
          <w:lang w:val="fr-FR"/>
        </w:rPr>
        <w:t>autres organes.</w:t>
      </w:r>
    </w:p>
    <w:p w14:paraId="32B46484" w14:textId="77777777" w:rsidR="000E25A7" w:rsidRPr="00BF345F" w:rsidRDefault="000E25A7" w:rsidP="000E25A7">
      <w:pPr>
        <w:pStyle w:val="SingleTxtG"/>
        <w:ind w:left="1701"/>
      </w:pPr>
      <w:r>
        <w:rPr>
          <w:lang w:val="fr-FR"/>
        </w:rPr>
        <w:t>3.</w:t>
      </w:r>
      <w:r>
        <w:rPr>
          <w:lang w:val="fr-FR"/>
        </w:rPr>
        <w:tab/>
        <w:t>Autres questions.</w:t>
      </w:r>
    </w:p>
    <w:p w14:paraId="4D80FDA9" w14:textId="0A1470FA" w:rsidR="000E25A7" w:rsidRPr="00BF345F" w:rsidRDefault="000E25A7" w:rsidP="000E25A7">
      <w:pPr>
        <w:pStyle w:val="SingleTxtG"/>
      </w:pPr>
      <w:r>
        <w:t>429</w:t>
      </w:r>
      <w:r w:rsidRPr="00BF345F">
        <w:t>.</w:t>
      </w:r>
      <w:r w:rsidRPr="00BF345F">
        <w:tab/>
      </w:r>
      <w:r>
        <w:rPr>
          <w:lang w:val="fr-FR"/>
        </w:rPr>
        <w:t>En raison de contraintes de temps cette année, découlant notamment du fait que la durée de la session, approuvée par l</w:t>
      </w:r>
      <w:r w:rsidR="004C5E26">
        <w:rPr>
          <w:lang w:val="fr-FR"/>
        </w:rPr>
        <w:t>’</w:t>
      </w:r>
      <w:r>
        <w:rPr>
          <w:lang w:val="fr-FR"/>
        </w:rPr>
        <w:t>Assemblée générale, a été ramenée de douze à dix semaines, le Groupe de travail n</w:t>
      </w:r>
      <w:r w:rsidR="004C5E26">
        <w:rPr>
          <w:lang w:val="fr-FR"/>
        </w:rPr>
        <w:t>’</w:t>
      </w:r>
      <w:r>
        <w:rPr>
          <w:lang w:val="fr-FR"/>
        </w:rPr>
        <w:t>a pu se réunir formellement que deux fois. Les deux séances du Groupe de travail ont principalement porté sur le premier point de l</w:t>
      </w:r>
      <w:r w:rsidR="004C5E26">
        <w:rPr>
          <w:lang w:val="fr-FR"/>
        </w:rPr>
        <w:t>’</w:t>
      </w:r>
      <w:r>
        <w:rPr>
          <w:lang w:val="fr-FR"/>
        </w:rPr>
        <w:t>ordre du jour, même si les deux derniers ont également fait l</w:t>
      </w:r>
      <w:r w:rsidR="004C5E26">
        <w:rPr>
          <w:lang w:val="fr-FR"/>
        </w:rPr>
        <w:t>’</w:t>
      </w:r>
      <w:r>
        <w:rPr>
          <w:lang w:val="fr-FR"/>
        </w:rPr>
        <w:t>objet de discussions préliminaires. En particulier, la question des relations entre la Commission et l</w:t>
      </w:r>
      <w:r w:rsidR="004C5E26">
        <w:rPr>
          <w:lang w:val="fr-FR"/>
        </w:rPr>
        <w:t>’</w:t>
      </w:r>
      <w:r>
        <w:rPr>
          <w:lang w:val="fr-FR"/>
        </w:rPr>
        <w:t>Assemblée générale, et spécialement la Sixième Commission, a fait l</w:t>
      </w:r>
      <w:r w:rsidR="004C5E26">
        <w:rPr>
          <w:lang w:val="fr-FR"/>
        </w:rPr>
        <w:t>’</w:t>
      </w:r>
      <w:r>
        <w:rPr>
          <w:lang w:val="fr-FR"/>
        </w:rPr>
        <w:t>objet de discussions, tout comme celle d</w:t>
      </w:r>
      <w:r w:rsidR="004C5E26">
        <w:rPr>
          <w:lang w:val="fr-FR"/>
        </w:rPr>
        <w:t>’</w:t>
      </w:r>
      <w:r>
        <w:rPr>
          <w:lang w:val="fr-FR"/>
        </w:rPr>
        <w:t>un nécessaire renforcement de la coopération entre la Commission et d</w:t>
      </w:r>
      <w:r w:rsidR="004C5E26">
        <w:rPr>
          <w:lang w:val="fr-FR"/>
        </w:rPr>
        <w:t>’</w:t>
      </w:r>
      <w:r>
        <w:rPr>
          <w:lang w:val="fr-FR"/>
        </w:rPr>
        <w:t xml:space="preserve">autres organes, tels que les organes de codification </w:t>
      </w:r>
      <w:r w:rsidRPr="00684D59">
        <w:rPr>
          <w:lang w:val="fr-FR"/>
        </w:rPr>
        <w:t>d</w:t>
      </w:r>
      <w:r w:rsidR="004C5E26">
        <w:rPr>
          <w:lang w:val="fr-FR"/>
        </w:rPr>
        <w:t>’</w:t>
      </w:r>
      <w:r w:rsidRPr="00684D59">
        <w:rPr>
          <w:lang w:val="fr-FR"/>
        </w:rPr>
        <w:t>Afrique, d</w:t>
      </w:r>
      <w:r w:rsidR="004C5E26">
        <w:rPr>
          <w:lang w:val="fr-FR"/>
        </w:rPr>
        <w:t>’</w:t>
      </w:r>
      <w:r w:rsidRPr="00684D59">
        <w:rPr>
          <w:lang w:val="fr-FR"/>
        </w:rPr>
        <w:t>Asie, d</w:t>
      </w:r>
      <w:r w:rsidR="004C5E26">
        <w:rPr>
          <w:lang w:val="fr-FR"/>
        </w:rPr>
        <w:t>’</w:t>
      </w:r>
      <w:r w:rsidRPr="00684D59">
        <w:rPr>
          <w:lang w:val="fr-FR"/>
        </w:rPr>
        <w:t>Europe, d</w:t>
      </w:r>
      <w:r w:rsidR="004C5E26">
        <w:rPr>
          <w:lang w:val="fr-FR"/>
        </w:rPr>
        <w:t>’</w:t>
      </w:r>
      <w:r w:rsidRPr="00684D59">
        <w:rPr>
          <w:lang w:val="fr-FR"/>
        </w:rPr>
        <w:t>Amérique latine et des Caraïbes.</w:t>
      </w:r>
      <w:r>
        <w:rPr>
          <w:lang w:val="fr-FR"/>
        </w:rPr>
        <w:t xml:space="preserve"> Le Groupe </w:t>
      </w:r>
      <w:r>
        <w:rPr>
          <w:lang w:val="fr-FR"/>
        </w:rPr>
        <w:lastRenderedPageBreak/>
        <w:t>de travail a estimé que l</w:t>
      </w:r>
      <w:r w:rsidR="004C5E26">
        <w:rPr>
          <w:lang w:val="fr-FR"/>
        </w:rPr>
        <w:t>’</w:t>
      </w:r>
      <w:r>
        <w:rPr>
          <w:lang w:val="fr-FR"/>
        </w:rPr>
        <w:t>examen des propositions d</w:t>
      </w:r>
      <w:r w:rsidR="004C5E26">
        <w:rPr>
          <w:lang w:val="fr-FR"/>
        </w:rPr>
        <w:t>’</w:t>
      </w:r>
      <w:r>
        <w:rPr>
          <w:lang w:val="fr-FR"/>
        </w:rPr>
        <w:t>amélioration des méthodes de travail et des procédures de la Commission devrait s</w:t>
      </w:r>
      <w:r w:rsidR="004C5E26">
        <w:rPr>
          <w:lang w:val="fr-FR"/>
        </w:rPr>
        <w:t>’</w:t>
      </w:r>
      <w:r>
        <w:rPr>
          <w:lang w:val="fr-FR"/>
        </w:rPr>
        <w:t>inscrire dans le cadre de l</w:t>
      </w:r>
      <w:r w:rsidR="004C5E26">
        <w:rPr>
          <w:lang w:val="fr-FR"/>
        </w:rPr>
        <w:t>’</w:t>
      </w:r>
      <w:r>
        <w:rPr>
          <w:lang w:val="fr-FR"/>
        </w:rPr>
        <w:t>élaboration d</w:t>
      </w:r>
      <w:r w:rsidR="004C5E26">
        <w:rPr>
          <w:lang w:val="fr-FR"/>
        </w:rPr>
        <w:t>’</w:t>
      </w:r>
      <w:r>
        <w:rPr>
          <w:lang w:val="fr-FR"/>
        </w:rPr>
        <w:t>un manuel. Un tel manuel sur les méthodes de travail et les procédures de la Commission serait un document officiel, sous réserve que certains éléments puissent constituer un document informel de la Commission. Le document officiel viserait à augmenter la transparence et à permettre aux États et aux autres observateurs de la Commission de mieux comprendre ses méthodes de travail et ses procédures internes. Pendant la session, le Groupe de travail a examiné un projet de plan pour ce manuel, établi</w:t>
      </w:r>
      <w:r w:rsidRPr="00663354">
        <w:rPr>
          <w:lang w:val="fr-FR"/>
        </w:rPr>
        <w:t xml:space="preserve"> par le Secrétariat</w:t>
      </w:r>
      <w:r>
        <w:rPr>
          <w:lang w:val="fr-FR"/>
        </w:rPr>
        <w:t>, et a recommandé que la Commission demande au Secrétariat d</w:t>
      </w:r>
      <w:r w:rsidR="004C5E26">
        <w:rPr>
          <w:lang w:val="fr-FR"/>
        </w:rPr>
        <w:t>’</w:t>
      </w:r>
      <w:r>
        <w:rPr>
          <w:lang w:val="fr-FR"/>
        </w:rPr>
        <w:t>élaborer des projets de section pour qu</w:t>
      </w:r>
      <w:r w:rsidR="004C5E26">
        <w:rPr>
          <w:lang w:val="fr-FR"/>
        </w:rPr>
        <w:t>’</w:t>
      </w:r>
      <w:r>
        <w:rPr>
          <w:lang w:val="fr-FR"/>
        </w:rPr>
        <w:t>ils servent de base à ce manuel, comprenant les propositions d</w:t>
      </w:r>
      <w:r w:rsidR="004C5E26">
        <w:rPr>
          <w:lang w:val="fr-FR"/>
        </w:rPr>
        <w:t>’</w:t>
      </w:r>
      <w:r>
        <w:rPr>
          <w:lang w:val="fr-FR"/>
        </w:rPr>
        <w:t xml:space="preserve">amélioration formulées par des membres au cours du quinquennat précédent. </w:t>
      </w:r>
    </w:p>
    <w:p w14:paraId="689010D6" w14:textId="34C48CE9" w:rsidR="000E25A7" w:rsidRPr="00BF345F" w:rsidRDefault="000E25A7" w:rsidP="000E25A7">
      <w:pPr>
        <w:pStyle w:val="SingleTxtG"/>
      </w:pPr>
      <w:r>
        <w:t>430</w:t>
      </w:r>
      <w:r w:rsidRPr="00BF345F">
        <w:t>.</w:t>
      </w:r>
      <w:r w:rsidRPr="00BF345F">
        <w:tab/>
      </w:r>
      <w:r>
        <w:rPr>
          <w:lang w:val="fr-FR"/>
        </w:rPr>
        <w:t>La Commission prie le Secrétariat d</w:t>
      </w:r>
      <w:r w:rsidR="004C5E26">
        <w:rPr>
          <w:lang w:val="fr-FR"/>
        </w:rPr>
        <w:t>’</w:t>
      </w:r>
      <w:r>
        <w:rPr>
          <w:lang w:val="fr-FR"/>
        </w:rPr>
        <w:t>élaborer des projets de section d</w:t>
      </w:r>
      <w:r w:rsidR="004C5E26">
        <w:rPr>
          <w:lang w:val="fr-FR"/>
        </w:rPr>
        <w:t>’</w:t>
      </w:r>
      <w:r>
        <w:rPr>
          <w:lang w:val="fr-FR"/>
        </w:rPr>
        <w:t xml:space="preserve">un manuel sur les méthodes de travail et les procédures de </w:t>
      </w:r>
      <w:r w:rsidRPr="00500178">
        <w:rPr>
          <w:lang w:val="fr-FR"/>
        </w:rPr>
        <w:t xml:space="preserve">la Commission, contenant des éléments pertinents tirés du volume I de </w:t>
      </w:r>
      <w:r w:rsidRPr="00500178">
        <w:rPr>
          <w:i/>
          <w:iCs/>
          <w:lang w:val="fr-FR"/>
        </w:rPr>
        <w:t>La Commission du droit international et son œuvre</w:t>
      </w:r>
      <w:r w:rsidRPr="00500178">
        <w:rPr>
          <w:lang w:val="fr-FR"/>
        </w:rPr>
        <w:t xml:space="preserve"> et des chapitres sur les méthodes de travail des rapports </w:t>
      </w:r>
      <w:r>
        <w:rPr>
          <w:lang w:val="fr-FR"/>
        </w:rPr>
        <w:t xml:space="preserve">des années </w:t>
      </w:r>
      <w:r w:rsidRPr="00500178">
        <w:rPr>
          <w:lang w:val="fr-FR"/>
        </w:rPr>
        <w:t>1996 et 2011 de la Commission, ainsi que des propositions d</w:t>
      </w:r>
      <w:r w:rsidR="004C5E26">
        <w:rPr>
          <w:lang w:val="fr-FR"/>
        </w:rPr>
        <w:t>’</w:t>
      </w:r>
      <w:r w:rsidRPr="00500178">
        <w:rPr>
          <w:lang w:val="fr-FR"/>
        </w:rPr>
        <w:t>amélioration formulées par des membres au cours du quinquennat précédent, que le Groupe de travail examinera tout au long du présent quinquennat. Le Secrétariat a élaboré des premiers projets pour l</w:t>
      </w:r>
      <w:r w:rsidR="004C5E26">
        <w:rPr>
          <w:lang w:val="fr-FR"/>
        </w:rPr>
        <w:t>’</w:t>
      </w:r>
      <w:r w:rsidRPr="00500178">
        <w:rPr>
          <w:lang w:val="fr-FR"/>
        </w:rPr>
        <w:t>un des chapitres du manuel</w:t>
      </w:r>
      <w:r>
        <w:rPr>
          <w:lang w:val="fr-FR"/>
        </w:rPr>
        <w:t>, qui ont ensuite été présentés aux membres aux fins de leurs commentaires et contributions. En fonction du temps alloué aux séances du Groupe de travail l</w:t>
      </w:r>
      <w:r w:rsidR="004C5E26">
        <w:rPr>
          <w:lang w:val="fr-FR"/>
        </w:rPr>
        <w:t>’</w:t>
      </w:r>
      <w:r>
        <w:rPr>
          <w:lang w:val="fr-FR"/>
        </w:rPr>
        <w:t>an prochain, les travaux décrits ci-dessus devraient se poursuivre. Le Groupe espère faire avancer les travaux sur le manuel, peut-être en même temps que d</w:t>
      </w:r>
      <w:r w:rsidR="004C5E26">
        <w:rPr>
          <w:lang w:val="fr-FR"/>
        </w:rPr>
        <w:t>’</w:t>
      </w:r>
      <w:r>
        <w:rPr>
          <w:lang w:val="fr-FR"/>
        </w:rPr>
        <w:t>autres éléments</w:t>
      </w:r>
      <w:r w:rsidRPr="00663354">
        <w:rPr>
          <w:lang w:val="fr-FR"/>
        </w:rPr>
        <w:t>, dont l</w:t>
      </w:r>
      <w:r w:rsidR="004C5E26">
        <w:rPr>
          <w:lang w:val="fr-FR"/>
        </w:rPr>
        <w:t>’</w:t>
      </w:r>
      <w:r w:rsidRPr="00663354">
        <w:rPr>
          <w:lang w:val="fr-FR"/>
        </w:rPr>
        <w:t>examen de la nomenclature des textes issus des travaux de la Commission et des formes qu</w:t>
      </w:r>
      <w:r w:rsidR="004C5E26">
        <w:rPr>
          <w:lang w:val="fr-FR"/>
        </w:rPr>
        <w:t>’</w:t>
      </w:r>
      <w:r w:rsidRPr="00663354">
        <w:rPr>
          <w:lang w:val="fr-FR"/>
        </w:rPr>
        <w:t>ils peuvent prendre, un sujet abondamment débattu au cours du dernier</w:t>
      </w:r>
      <w:r>
        <w:rPr>
          <w:lang w:val="fr-FR"/>
        </w:rPr>
        <w:t xml:space="preserve"> quinquennat, dans l</w:t>
      </w:r>
      <w:r w:rsidR="004C5E26">
        <w:rPr>
          <w:lang w:val="fr-FR"/>
        </w:rPr>
        <w:t>’</w:t>
      </w:r>
      <w:r>
        <w:rPr>
          <w:lang w:val="fr-FR"/>
        </w:rPr>
        <w:t>idée d</w:t>
      </w:r>
      <w:r w:rsidR="004C5E26">
        <w:rPr>
          <w:lang w:val="fr-FR"/>
        </w:rPr>
        <w:t>’</w:t>
      </w:r>
      <w:r>
        <w:rPr>
          <w:lang w:val="fr-FR"/>
        </w:rPr>
        <w:t>adopter une recommandation sur ce point pour la soumettre aux États. On a rappelé qu</w:t>
      </w:r>
      <w:r w:rsidR="004C5E26">
        <w:rPr>
          <w:lang w:val="fr-FR"/>
        </w:rPr>
        <w:t>’</w:t>
      </w:r>
      <w:r>
        <w:rPr>
          <w:lang w:val="fr-FR"/>
        </w:rPr>
        <w:t>il importait d</w:t>
      </w:r>
      <w:r w:rsidR="004C5E26">
        <w:rPr>
          <w:lang w:val="fr-FR"/>
        </w:rPr>
        <w:t>’</w:t>
      </w:r>
      <w:r>
        <w:rPr>
          <w:lang w:val="fr-FR"/>
        </w:rPr>
        <w:t>allouer davantage de temps au Groupe de travail pour qu</w:t>
      </w:r>
      <w:r w:rsidR="004C5E26">
        <w:rPr>
          <w:lang w:val="fr-FR"/>
        </w:rPr>
        <w:t>’</w:t>
      </w:r>
      <w:r>
        <w:rPr>
          <w:lang w:val="fr-FR"/>
        </w:rPr>
        <w:t>il puisse s</w:t>
      </w:r>
      <w:r w:rsidR="004C5E26">
        <w:rPr>
          <w:lang w:val="fr-FR"/>
        </w:rPr>
        <w:t>’</w:t>
      </w:r>
      <w:r>
        <w:rPr>
          <w:lang w:val="fr-FR"/>
        </w:rPr>
        <w:t>acquitter de son ambitieux mandat, un point que la Commission avait déjà porté à l</w:t>
      </w:r>
      <w:r w:rsidR="004C5E26">
        <w:rPr>
          <w:lang w:val="fr-FR"/>
        </w:rPr>
        <w:t>’</w:t>
      </w:r>
      <w:r>
        <w:rPr>
          <w:lang w:val="fr-FR"/>
        </w:rPr>
        <w:t>attention des États dans le rapport qu</w:t>
      </w:r>
      <w:r w:rsidR="004C5E26">
        <w:rPr>
          <w:lang w:val="fr-FR"/>
        </w:rPr>
        <w:t>’</w:t>
      </w:r>
      <w:r>
        <w:rPr>
          <w:lang w:val="fr-FR"/>
        </w:rPr>
        <w:t>elle avait soumis en 2023 à l</w:t>
      </w:r>
      <w:r w:rsidR="004C5E26">
        <w:rPr>
          <w:lang w:val="fr-FR"/>
        </w:rPr>
        <w:t>’</w:t>
      </w:r>
      <w:r>
        <w:rPr>
          <w:lang w:val="fr-FR"/>
        </w:rPr>
        <w:t>Assemblée générale. On a également rappelé, à cet égard, que c</w:t>
      </w:r>
      <w:r w:rsidR="004C5E26">
        <w:rPr>
          <w:lang w:val="fr-FR"/>
        </w:rPr>
        <w:t>’</w:t>
      </w:r>
      <w:r>
        <w:rPr>
          <w:lang w:val="fr-FR"/>
        </w:rPr>
        <w:t>est partiellement à cause de contraintes de temps que le Groupe de travail n</w:t>
      </w:r>
      <w:r w:rsidR="004C5E26">
        <w:rPr>
          <w:lang w:val="fr-FR"/>
        </w:rPr>
        <w:t>’</w:t>
      </w:r>
      <w:r>
        <w:rPr>
          <w:lang w:val="fr-FR"/>
        </w:rPr>
        <w:t>avait pas été en mesure de soumettre un rapport de fond pendant le précédent quinquennat.</w:t>
      </w:r>
    </w:p>
    <w:p w14:paraId="79E2D6C7" w14:textId="0C298D66" w:rsidR="000E25A7" w:rsidRPr="00BF345F" w:rsidRDefault="000E25A7" w:rsidP="000E25A7">
      <w:pPr>
        <w:pStyle w:val="H23G"/>
      </w:pPr>
      <w:r>
        <w:tab/>
      </w:r>
      <w:r w:rsidRPr="00BF345F">
        <w:t>3.</w:t>
      </w:r>
      <w:r w:rsidRPr="00BF345F">
        <w:tab/>
      </w:r>
      <w:bookmarkStart w:id="155" w:name="_Hlk175323758"/>
      <w:r>
        <w:rPr>
          <w:lang w:val="fr-FR"/>
        </w:rPr>
        <w:t xml:space="preserve">Examen de la résolution </w:t>
      </w:r>
      <w:hyperlink r:id="rId82" w:history="1">
        <w:r w:rsidRPr="00B7748F">
          <w:rPr>
            <w:rStyle w:val="Lienhypertexte"/>
            <w:lang w:val="fr-FR"/>
          </w:rPr>
          <w:t>78/112</w:t>
        </w:r>
      </w:hyperlink>
      <w:r>
        <w:rPr>
          <w:lang w:val="fr-FR"/>
        </w:rPr>
        <w:t xml:space="preserve"> de </w:t>
      </w:r>
      <w:r w:rsidRPr="00BC1826">
        <w:rPr>
          <w:lang w:val="fr-FR"/>
        </w:rPr>
        <w:t>l</w:t>
      </w:r>
      <w:r w:rsidR="004C5E26">
        <w:rPr>
          <w:lang w:val="fr-FR"/>
        </w:rPr>
        <w:t>’</w:t>
      </w:r>
      <w:r w:rsidRPr="00BC1826">
        <w:rPr>
          <w:lang w:val="fr-FR"/>
        </w:rPr>
        <w:t>Assemblée</w:t>
      </w:r>
      <w:r>
        <w:rPr>
          <w:lang w:val="fr-FR"/>
        </w:rPr>
        <w:t xml:space="preserve"> générale, en date du 7 décembre 2023, sur l</w:t>
      </w:r>
      <w:r w:rsidR="004C5E26">
        <w:rPr>
          <w:lang w:val="fr-FR"/>
        </w:rPr>
        <w:t>’</w:t>
      </w:r>
      <w:r>
        <w:rPr>
          <w:lang w:val="fr-FR"/>
        </w:rPr>
        <w:t>état de droit aux niveaux national et international</w:t>
      </w:r>
      <w:bookmarkEnd w:id="155"/>
    </w:p>
    <w:p w14:paraId="0E5685DC" w14:textId="5F3CEE06" w:rsidR="000E25A7" w:rsidRPr="00E41B34" w:rsidRDefault="000E25A7" w:rsidP="000E25A7">
      <w:pPr>
        <w:pStyle w:val="SingleTxtG"/>
        <w:rPr>
          <w:lang w:val="fr-FR"/>
        </w:rPr>
      </w:pPr>
      <w:r>
        <w:rPr>
          <w:lang w:val="fr-FR"/>
        </w:rPr>
        <w:t>431</w:t>
      </w:r>
      <w:r w:rsidRPr="00E41B34">
        <w:rPr>
          <w:lang w:val="fr-FR"/>
        </w:rPr>
        <w:t>.</w:t>
      </w:r>
      <w:r w:rsidRPr="00E41B34">
        <w:rPr>
          <w:lang w:val="fr-FR"/>
        </w:rPr>
        <w:tab/>
        <w:t xml:space="preserve">Dans sa résolution </w:t>
      </w:r>
      <w:hyperlink r:id="rId83" w:history="1">
        <w:r w:rsidRPr="00B7748F">
          <w:rPr>
            <w:rStyle w:val="Lienhypertexte"/>
            <w:lang w:val="fr-FR"/>
          </w:rPr>
          <w:t>78/112</w:t>
        </w:r>
      </w:hyperlink>
      <w:r w:rsidRPr="00E41B34">
        <w:rPr>
          <w:lang w:val="fr-FR"/>
        </w:rPr>
        <w:t xml:space="preserve"> sur l</w:t>
      </w:r>
      <w:r w:rsidR="004C5E26">
        <w:rPr>
          <w:lang w:val="fr-FR"/>
        </w:rPr>
        <w:t>’</w:t>
      </w:r>
      <w:r w:rsidRPr="00E41B34">
        <w:rPr>
          <w:lang w:val="fr-FR"/>
        </w:rPr>
        <w:t>état de droit aux niveaux national et international, l</w:t>
      </w:r>
      <w:r w:rsidR="004C5E26">
        <w:rPr>
          <w:lang w:val="fr-FR"/>
        </w:rPr>
        <w:t>’</w:t>
      </w:r>
      <w:r w:rsidRPr="00E41B34">
        <w:rPr>
          <w:lang w:val="fr-FR"/>
        </w:rPr>
        <w:t>Assemblée générale a, entre autres choses, une nouvelle fois invité la Commission à continuer de lui rendre compte, dans les rapports qu</w:t>
      </w:r>
      <w:r w:rsidR="004C5E26">
        <w:rPr>
          <w:lang w:val="fr-FR"/>
        </w:rPr>
        <w:t>’</w:t>
      </w:r>
      <w:r w:rsidRPr="00E41B34">
        <w:rPr>
          <w:lang w:val="fr-FR"/>
        </w:rPr>
        <w:t>elle lui soumet, de ce qu</w:t>
      </w:r>
      <w:r w:rsidR="004C5E26">
        <w:rPr>
          <w:lang w:val="fr-FR"/>
        </w:rPr>
        <w:t>’</w:t>
      </w:r>
      <w:r w:rsidRPr="00E41B34">
        <w:rPr>
          <w:lang w:val="fr-FR"/>
        </w:rPr>
        <w:t>elle fait pour promouvoir l</w:t>
      </w:r>
      <w:r w:rsidR="004C5E26">
        <w:rPr>
          <w:lang w:val="fr-FR"/>
        </w:rPr>
        <w:t>’</w:t>
      </w:r>
      <w:r w:rsidRPr="00E41B34">
        <w:rPr>
          <w:lang w:val="fr-FR"/>
        </w:rPr>
        <w:t>état de droit. Depuis sa soixantième session (2008), la Commission fait chaque année des observations sur le rôle qu</w:t>
      </w:r>
      <w:r w:rsidR="004C5E26">
        <w:rPr>
          <w:lang w:val="fr-FR"/>
        </w:rPr>
        <w:t>’</w:t>
      </w:r>
      <w:r w:rsidRPr="00E41B34">
        <w:rPr>
          <w:lang w:val="fr-FR"/>
        </w:rPr>
        <w:t>elle joue dans ce domaine. Elle signale que les observations formulées aux paragraphes 341 à 346 de son rapport de 2008</w:t>
      </w:r>
      <w:r w:rsidRPr="00E9227E">
        <w:rPr>
          <w:rStyle w:val="Appelnotedebasdep"/>
        </w:rPr>
        <w:footnoteReference w:id="289"/>
      </w:r>
      <w:r w:rsidRPr="00E41B34">
        <w:rPr>
          <w:lang w:val="fr-FR"/>
        </w:rPr>
        <w:t xml:space="preserve"> sont toujours pertinentes et réitère celles qu</w:t>
      </w:r>
      <w:r w:rsidR="004C5E26">
        <w:rPr>
          <w:lang w:val="fr-FR"/>
        </w:rPr>
        <w:t>’</w:t>
      </w:r>
      <w:r w:rsidRPr="00E41B34">
        <w:rPr>
          <w:lang w:val="fr-FR"/>
        </w:rPr>
        <w:t>elle a faites à ses précédentes sessions</w:t>
      </w:r>
      <w:r w:rsidRPr="00E9227E">
        <w:rPr>
          <w:rStyle w:val="Appelnotedebasdep"/>
        </w:rPr>
        <w:footnoteReference w:id="290"/>
      </w:r>
      <w:r w:rsidRPr="00E41B34">
        <w:rPr>
          <w:lang w:val="fr-FR"/>
        </w:rPr>
        <w:t>.</w:t>
      </w:r>
    </w:p>
    <w:p w14:paraId="2859FC40" w14:textId="0ECE17E5" w:rsidR="000E25A7" w:rsidRPr="00BF345F" w:rsidRDefault="000E25A7" w:rsidP="000E25A7">
      <w:pPr>
        <w:pStyle w:val="SingleTxtG"/>
        <w:rPr>
          <w:color w:val="000000" w:themeColor="text1"/>
        </w:rPr>
      </w:pPr>
      <w:r>
        <w:rPr>
          <w:color w:val="000000" w:themeColor="text1"/>
        </w:rPr>
        <w:t>432</w:t>
      </w:r>
      <w:r w:rsidRPr="00BF345F">
        <w:rPr>
          <w:color w:val="000000" w:themeColor="text1"/>
        </w:rPr>
        <w:t>.</w:t>
      </w:r>
      <w:r w:rsidRPr="00BF345F">
        <w:rPr>
          <w:color w:val="000000" w:themeColor="text1"/>
        </w:rPr>
        <w:tab/>
      </w:r>
      <w:r w:rsidRPr="00AE5302">
        <w:rPr>
          <w:rFonts w:eastAsia="Calibri"/>
          <w:lang w:val="fr-FR"/>
        </w:rPr>
        <w:t>La Commission rappelle que la promotion de l</w:t>
      </w:r>
      <w:r w:rsidR="004C5E26">
        <w:rPr>
          <w:rFonts w:eastAsia="Calibri"/>
          <w:lang w:val="fr-FR"/>
        </w:rPr>
        <w:t>’</w:t>
      </w:r>
      <w:r w:rsidRPr="00AE5302">
        <w:rPr>
          <w:rFonts w:eastAsia="Calibri"/>
          <w:lang w:val="fr-FR"/>
        </w:rPr>
        <w:t>état de droit est au cœur même de ses travaux. Ainsi qu</w:t>
      </w:r>
      <w:r w:rsidR="004C5E26">
        <w:rPr>
          <w:rFonts w:eastAsia="Calibri"/>
          <w:lang w:val="fr-FR"/>
        </w:rPr>
        <w:t>’</w:t>
      </w:r>
      <w:r w:rsidRPr="00AE5302">
        <w:rPr>
          <w:rFonts w:eastAsia="Calibri"/>
          <w:lang w:val="fr-FR"/>
        </w:rPr>
        <w:t>il ressort de l</w:t>
      </w:r>
      <w:r w:rsidR="004C5E26">
        <w:rPr>
          <w:rFonts w:eastAsia="Calibri"/>
          <w:lang w:val="fr-FR"/>
        </w:rPr>
        <w:t>’</w:t>
      </w:r>
      <w:r w:rsidRPr="00AE5302">
        <w:rPr>
          <w:rFonts w:eastAsia="Calibri"/>
          <w:lang w:val="fr-FR"/>
        </w:rPr>
        <w:t xml:space="preserve">article premier de son </w:t>
      </w:r>
      <w:r w:rsidRPr="00BC1826">
        <w:rPr>
          <w:lang w:val="fr-FR"/>
        </w:rPr>
        <w:t>statut</w:t>
      </w:r>
      <w:r w:rsidRPr="00AE5302">
        <w:rPr>
          <w:rFonts w:eastAsia="Calibri"/>
          <w:lang w:val="fr-FR"/>
        </w:rPr>
        <w:t>, son but est de promouvoir le développement progressif et la codification du droit international</w:t>
      </w:r>
      <w:r>
        <w:rPr>
          <w:lang w:val="fr-FR"/>
        </w:rPr>
        <w:t>.</w:t>
      </w:r>
    </w:p>
    <w:p w14:paraId="1F2EE6FD" w14:textId="7B1186E8" w:rsidR="000E25A7" w:rsidRPr="00BF345F" w:rsidRDefault="000E25A7" w:rsidP="000E25A7">
      <w:pPr>
        <w:pStyle w:val="SingleTxtG"/>
        <w:rPr>
          <w:color w:val="000000" w:themeColor="text1"/>
        </w:rPr>
      </w:pPr>
      <w:r>
        <w:rPr>
          <w:color w:val="000000" w:themeColor="text1"/>
        </w:rPr>
        <w:t>433</w:t>
      </w:r>
      <w:r w:rsidRPr="00BF345F">
        <w:rPr>
          <w:color w:val="000000" w:themeColor="text1"/>
        </w:rPr>
        <w:t>.</w:t>
      </w:r>
      <w:r w:rsidRPr="00BF345F">
        <w:rPr>
          <w:color w:val="000000" w:themeColor="text1"/>
        </w:rPr>
        <w:tab/>
      </w:r>
      <w:r w:rsidRPr="00BD7697">
        <w:rPr>
          <w:rFonts w:eastAsia="Calibri"/>
          <w:lang w:val="fr-FR"/>
        </w:rPr>
        <w:t>Gardant à l</w:t>
      </w:r>
      <w:r w:rsidR="004C5E26">
        <w:rPr>
          <w:rFonts w:eastAsia="Calibri"/>
          <w:lang w:val="fr-FR"/>
        </w:rPr>
        <w:t>’</w:t>
      </w:r>
      <w:r w:rsidRPr="00BD7697">
        <w:rPr>
          <w:rFonts w:eastAsia="Calibri"/>
          <w:lang w:val="fr-FR"/>
        </w:rPr>
        <w:t xml:space="preserve">esprit le </w:t>
      </w:r>
      <w:r w:rsidRPr="00BC1826">
        <w:rPr>
          <w:lang w:val="fr-FR"/>
        </w:rPr>
        <w:t>principe</w:t>
      </w:r>
      <w:r w:rsidRPr="00BD7697">
        <w:rPr>
          <w:rFonts w:eastAsia="Calibri"/>
          <w:lang w:val="fr-FR"/>
        </w:rPr>
        <w:t xml:space="preserve"> de l</w:t>
      </w:r>
      <w:r w:rsidR="004C5E26">
        <w:rPr>
          <w:rFonts w:eastAsia="Calibri"/>
          <w:lang w:val="fr-FR"/>
        </w:rPr>
        <w:t>’</w:t>
      </w:r>
      <w:r w:rsidRPr="00BD7697">
        <w:rPr>
          <w:rFonts w:eastAsia="Calibri"/>
          <w:lang w:val="fr-FR"/>
        </w:rPr>
        <w:t>état de droit dans tous ses travaux, la Commission est pleinement consciente de l</w:t>
      </w:r>
      <w:r w:rsidR="004C5E26">
        <w:rPr>
          <w:rFonts w:eastAsia="Calibri"/>
          <w:lang w:val="fr-FR"/>
        </w:rPr>
        <w:t>’</w:t>
      </w:r>
      <w:r w:rsidRPr="00BD7697">
        <w:rPr>
          <w:rFonts w:eastAsia="Calibri"/>
          <w:lang w:val="fr-FR"/>
        </w:rPr>
        <w:t xml:space="preserve">importance de la mise en œuvre du droit international à </w:t>
      </w:r>
      <w:r w:rsidRPr="00BD7697">
        <w:rPr>
          <w:rFonts w:eastAsia="Calibri"/>
          <w:lang w:val="fr-FR"/>
        </w:rPr>
        <w:lastRenderedPageBreak/>
        <w:t>l</w:t>
      </w:r>
      <w:r w:rsidR="004C5E26">
        <w:rPr>
          <w:rFonts w:eastAsia="Calibri"/>
          <w:lang w:val="fr-FR"/>
        </w:rPr>
        <w:t>’</w:t>
      </w:r>
      <w:r w:rsidRPr="00BD7697">
        <w:rPr>
          <w:rFonts w:eastAsia="Calibri"/>
          <w:lang w:val="fr-FR"/>
        </w:rPr>
        <w:t>échelle nationale et s</w:t>
      </w:r>
      <w:r w:rsidR="004C5E26">
        <w:rPr>
          <w:rFonts w:eastAsia="Calibri"/>
          <w:lang w:val="fr-FR"/>
        </w:rPr>
        <w:t>’</w:t>
      </w:r>
      <w:r w:rsidRPr="00BD7697">
        <w:rPr>
          <w:rFonts w:eastAsia="Calibri"/>
          <w:lang w:val="fr-FR"/>
        </w:rPr>
        <w:t>emploie à promouvoir le respect de l</w:t>
      </w:r>
      <w:r w:rsidR="004C5E26">
        <w:rPr>
          <w:rFonts w:eastAsia="Calibri"/>
          <w:lang w:val="fr-FR"/>
        </w:rPr>
        <w:t>’</w:t>
      </w:r>
      <w:r w:rsidRPr="00BD7697">
        <w:rPr>
          <w:rFonts w:eastAsia="Calibri"/>
          <w:lang w:val="fr-FR"/>
        </w:rPr>
        <w:t>état de droit au niveau internationa</w:t>
      </w:r>
      <w:r>
        <w:rPr>
          <w:rFonts w:eastAsia="Calibri"/>
          <w:lang w:val="fr-FR"/>
        </w:rPr>
        <w:t>l</w:t>
      </w:r>
      <w:r>
        <w:rPr>
          <w:lang w:val="fr-FR"/>
        </w:rPr>
        <w:t>.</w:t>
      </w:r>
    </w:p>
    <w:p w14:paraId="6560332D" w14:textId="7AC589B5" w:rsidR="000E25A7" w:rsidRPr="00BF345F" w:rsidRDefault="000E25A7" w:rsidP="000E25A7">
      <w:pPr>
        <w:pStyle w:val="SingleTxtG"/>
        <w:rPr>
          <w:color w:val="000000" w:themeColor="text1"/>
        </w:rPr>
      </w:pPr>
      <w:r>
        <w:rPr>
          <w:color w:val="000000" w:themeColor="text1"/>
        </w:rPr>
        <w:t>434</w:t>
      </w:r>
      <w:r w:rsidRPr="00BF345F">
        <w:rPr>
          <w:color w:val="000000" w:themeColor="text1"/>
        </w:rPr>
        <w:t>.</w:t>
      </w:r>
      <w:r w:rsidRPr="00BF345F">
        <w:rPr>
          <w:color w:val="000000" w:themeColor="text1"/>
        </w:rPr>
        <w:tab/>
      </w:r>
      <w:r>
        <w:rPr>
          <w:lang w:val="fr-FR"/>
        </w:rPr>
        <w:t>Dans le cadre de son mandat de promotion du développement progressif et de la codification du droit international et dans le droit fil du préambule et de l</w:t>
      </w:r>
      <w:r w:rsidR="004C5E26">
        <w:rPr>
          <w:lang w:val="fr-FR"/>
        </w:rPr>
        <w:t>’</w:t>
      </w:r>
      <w:r>
        <w:rPr>
          <w:lang w:val="fr-FR"/>
        </w:rPr>
        <w:t>Article 13 de la Charte des Nations Unies ainsi que de la déclaration de la réunion de haut niveau de l</w:t>
      </w:r>
      <w:r w:rsidR="004C5E26">
        <w:rPr>
          <w:lang w:val="fr-FR"/>
        </w:rPr>
        <w:t>’</w:t>
      </w:r>
      <w:r>
        <w:rPr>
          <w:lang w:val="fr-FR"/>
        </w:rPr>
        <w:t>Assemblée générale sur l</w:t>
      </w:r>
      <w:r w:rsidR="004C5E26">
        <w:rPr>
          <w:lang w:val="fr-FR"/>
        </w:rPr>
        <w:t>’</w:t>
      </w:r>
      <w:r>
        <w:rPr>
          <w:lang w:val="fr-FR"/>
        </w:rPr>
        <w:t>état de droit aux niveaux national et international</w:t>
      </w:r>
      <w:r w:rsidRPr="00E9227E">
        <w:rPr>
          <w:rStyle w:val="Appelnotedebasdep"/>
        </w:rPr>
        <w:footnoteReference w:id="291"/>
      </w:r>
      <w:r>
        <w:rPr>
          <w:lang w:val="fr-FR"/>
        </w:rPr>
        <w:t>, la Commission continuera de prendre en compte l</w:t>
      </w:r>
      <w:r w:rsidR="004C5E26">
        <w:rPr>
          <w:lang w:val="fr-FR"/>
        </w:rPr>
        <w:t>’</w:t>
      </w:r>
      <w:r>
        <w:rPr>
          <w:lang w:val="fr-FR"/>
        </w:rPr>
        <w:t>état de droit comme un principe de gouvernance, et les droits de l</w:t>
      </w:r>
      <w:r w:rsidR="004C5E26">
        <w:rPr>
          <w:lang w:val="fr-FR"/>
        </w:rPr>
        <w:t>’</w:t>
      </w:r>
      <w:r>
        <w:rPr>
          <w:lang w:val="fr-FR"/>
        </w:rPr>
        <w:t>homme et le développement durable comme des éléments essentiels à la réalisation de l</w:t>
      </w:r>
      <w:r w:rsidR="004C5E26">
        <w:rPr>
          <w:lang w:val="fr-FR"/>
        </w:rPr>
        <w:t>’</w:t>
      </w:r>
      <w:r>
        <w:rPr>
          <w:lang w:val="fr-FR"/>
        </w:rPr>
        <w:t>état de droit.</w:t>
      </w:r>
    </w:p>
    <w:p w14:paraId="36983930" w14:textId="191ED256" w:rsidR="000E25A7" w:rsidRPr="00BF345F" w:rsidRDefault="000E25A7" w:rsidP="000E25A7">
      <w:pPr>
        <w:pStyle w:val="SingleTxtG"/>
        <w:rPr>
          <w:color w:val="000000" w:themeColor="text1"/>
        </w:rPr>
      </w:pPr>
      <w:r>
        <w:rPr>
          <w:color w:val="000000" w:themeColor="text1"/>
        </w:rPr>
        <w:t>435</w:t>
      </w:r>
      <w:r w:rsidRPr="00BF345F">
        <w:rPr>
          <w:color w:val="000000" w:themeColor="text1"/>
        </w:rPr>
        <w:t>.</w:t>
      </w:r>
      <w:r w:rsidRPr="00BF345F">
        <w:rPr>
          <w:color w:val="000000" w:themeColor="text1"/>
        </w:rPr>
        <w:tab/>
      </w:r>
      <w:r>
        <w:rPr>
          <w:lang w:val="fr-FR"/>
        </w:rPr>
        <w:t>Dans ses travaux en cours, la Commission tient compte des « rapports entre l</w:t>
      </w:r>
      <w:r w:rsidR="004C5E26">
        <w:rPr>
          <w:lang w:val="fr-FR"/>
        </w:rPr>
        <w:t>’</w:t>
      </w:r>
      <w:r>
        <w:rPr>
          <w:lang w:val="fr-FR"/>
        </w:rPr>
        <w:t>état de droit et la triple vocation de l</w:t>
      </w:r>
      <w:r w:rsidR="004C5E26">
        <w:rPr>
          <w:lang w:val="fr-FR"/>
        </w:rPr>
        <w:t>’</w:t>
      </w:r>
      <w:r>
        <w:rPr>
          <w:lang w:val="fr-FR"/>
        </w:rPr>
        <w:t>Organisation des Nations Unies (paix et sécurité, développement et droits de l</w:t>
      </w:r>
      <w:r w:rsidR="004C5E26">
        <w:rPr>
          <w:lang w:val="fr-FR"/>
        </w:rPr>
        <w:t>’</w:t>
      </w:r>
      <w:r>
        <w:rPr>
          <w:lang w:val="fr-FR"/>
        </w:rPr>
        <w:t>homme) »</w:t>
      </w:r>
      <w:r w:rsidRPr="00E9227E">
        <w:rPr>
          <w:rStyle w:val="Appelnotedebasdep"/>
        </w:rPr>
        <w:footnoteReference w:id="292"/>
      </w:r>
      <w:r>
        <w:rPr>
          <w:lang w:val="fr-FR"/>
        </w:rPr>
        <w:t>, qui se renforcent mutuellement. Elle se félicite en outre des développements récents dans les domaines du développement durable et des changements climatiques, ainsi que du recours aux procédures consultatives, en particulier la demande d</w:t>
      </w:r>
      <w:r w:rsidR="004C5E26">
        <w:rPr>
          <w:lang w:val="fr-FR"/>
        </w:rPr>
        <w:t>’</w:t>
      </w:r>
      <w:r>
        <w:rPr>
          <w:lang w:val="fr-FR"/>
        </w:rPr>
        <w:t>avis consultatif que l</w:t>
      </w:r>
      <w:r w:rsidR="004C5E26">
        <w:rPr>
          <w:lang w:val="fr-FR"/>
        </w:rPr>
        <w:t>’</w:t>
      </w:r>
      <w:r>
        <w:rPr>
          <w:lang w:val="fr-FR"/>
        </w:rPr>
        <w:t>Assemblée générale a soumise par consensus à la Cour internationale de Justice</w:t>
      </w:r>
      <w:r w:rsidRPr="00E9227E">
        <w:rPr>
          <w:rStyle w:val="Appelnotedebasdep"/>
        </w:rPr>
        <w:footnoteReference w:id="293"/>
      </w:r>
      <w:r>
        <w:rPr>
          <w:lang w:val="fr-FR"/>
        </w:rPr>
        <w:t>.</w:t>
      </w:r>
    </w:p>
    <w:p w14:paraId="08D6B93D" w14:textId="3C0CFBC3" w:rsidR="000E25A7" w:rsidRPr="00BF345F" w:rsidRDefault="000E25A7" w:rsidP="000E25A7">
      <w:pPr>
        <w:pStyle w:val="SingleTxtG"/>
        <w:rPr>
          <w:color w:val="000000" w:themeColor="text1"/>
        </w:rPr>
      </w:pPr>
      <w:r>
        <w:rPr>
          <w:color w:val="000000" w:themeColor="text1"/>
        </w:rPr>
        <w:t>436</w:t>
      </w:r>
      <w:r w:rsidRPr="00BF345F">
        <w:rPr>
          <w:color w:val="000000" w:themeColor="text1"/>
        </w:rPr>
        <w:t>.</w:t>
      </w:r>
      <w:r w:rsidRPr="00BF345F">
        <w:rPr>
          <w:color w:val="000000" w:themeColor="text1"/>
        </w:rPr>
        <w:tab/>
      </w:r>
      <w:r>
        <w:rPr>
          <w:lang w:val="fr-FR"/>
        </w:rPr>
        <w:t>Du fait des activités qu</w:t>
      </w:r>
      <w:r w:rsidR="004C5E26">
        <w:rPr>
          <w:lang w:val="fr-FR"/>
        </w:rPr>
        <w:t>’</w:t>
      </w:r>
      <w:r>
        <w:rPr>
          <w:lang w:val="fr-FR"/>
        </w:rPr>
        <w:t>elle mène dans le cadre de son mandat de promotion du développement progressif du droit international et de sa codification, la Commission est consciente de l</w:t>
      </w:r>
      <w:r w:rsidR="004C5E26">
        <w:rPr>
          <w:lang w:val="fr-FR"/>
        </w:rPr>
        <w:t>’</w:t>
      </w:r>
      <w:r>
        <w:rPr>
          <w:lang w:val="fr-FR"/>
        </w:rPr>
        <w:t>ampleur et de l</w:t>
      </w:r>
      <w:r w:rsidR="004C5E26">
        <w:rPr>
          <w:lang w:val="fr-FR"/>
        </w:rPr>
        <w:t>’</w:t>
      </w:r>
      <w:r>
        <w:rPr>
          <w:lang w:val="fr-FR"/>
        </w:rPr>
        <w:t>urgence des défis actuellement à relever en ce qui concerne le renforcement de l</w:t>
      </w:r>
      <w:r w:rsidR="004C5E26">
        <w:rPr>
          <w:lang w:val="fr-FR"/>
        </w:rPr>
        <w:t>’</w:t>
      </w:r>
      <w:r>
        <w:rPr>
          <w:lang w:val="fr-FR"/>
        </w:rPr>
        <w:t>état de droit, notamment les défis liés à la nécessité de garantir la parité des sexes dans les institutions nationales et internationales. À cet égard, elle reconnaît qu</w:t>
      </w:r>
      <w:r w:rsidR="004C5E26">
        <w:rPr>
          <w:lang w:val="fr-FR"/>
        </w:rPr>
        <w:t>’</w:t>
      </w:r>
      <w:r>
        <w:rPr>
          <w:lang w:val="fr-FR"/>
        </w:rPr>
        <w:t>en son propre sein, des progrès restent à faire pour atteindre cet objectif.</w:t>
      </w:r>
      <w:bookmarkStart w:id="156" w:name="_Toc522896423"/>
      <w:bookmarkStart w:id="157" w:name="_Toc523727733"/>
      <w:bookmarkStart w:id="158" w:name="_Toc17455497"/>
      <w:bookmarkStart w:id="159" w:name="_Toc19001847"/>
      <w:bookmarkStart w:id="160" w:name="_Toc80171928"/>
      <w:bookmarkStart w:id="161" w:name="_Toc111554825"/>
      <w:bookmarkStart w:id="162" w:name="_Toc111555207"/>
    </w:p>
    <w:p w14:paraId="308D019F" w14:textId="3504A9A7" w:rsidR="000E25A7" w:rsidRPr="00BF345F" w:rsidRDefault="000E25A7" w:rsidP="000E25A7">
      <w:pPr>
        <w:pStyle w:val="SingleTxtG"/>
        <w:rPr>
          <w:color w:val="000000" w:themeColor="text1"/>
        </w:rPr>
      </w:pPr>
      <w:r>
        <w:rPr>
          <w:color w:val="000000" w:themeColor="text1"/>
        </w:rPr>
        <w:t>437</w:t>
      </w:r>
      <w:r w:rsidRPr="00BF345F">
        <w:rPr>
          <w:color w:val="000000" w:themeColor="text1"/>
        </w:rPr>
        <w:t>.</w:t>
      </w:r>
      <w:r w:rsidRPr="00BF345F">
        <w:rPr>
          <w:color w:val="000000" w:themeColor="text1"/>
        </w:rPr>
        <w:tab/>
      </w:r>
      <w:r w:rsidRPr="00BF6B33">
        <w:rPr>
          <w:lang w:val="fr-FR"/>
        </w:rPr>
        <w:t>La Commission relève que les</w:t>
      </w:r>
      <w:r>
        <w:rPr>
          <w:lang w:val="fr-FR"/>
        </w:rPr>
        <w:t xml:space="preserve"> innovations technologiques peuvent à la fois créer des difficultés et ouvrir des possibilités pour le droit international. Par exemple, ainsi que l</w:t>
      </w:r>
      <w:r w:rsidR="004C5E26">
        <w:rPr>
          <w:lang w:val="fr-FR"/>
        </w:rPr>
        <w:t>’</w:t>
      </w:r>
      <w:r>
        <w:rPr>
          <w:lang w:val="fr-FR"/>
        </w:rPr>
        <w:t>ont montré les travaux sur le sujet de la prévention et de la répression de la piraterie et du vol à main armée en mer menés à la présente session, les technologies ont fait évoluer la manière dont ces crimes sont perpétrés. Lors des débats, la Commission s</w:t>
      </w:r>
      <w:r w:rsidR="004C5E26">
        <w:rPr>
          <w:lang w:val="fr-FR"/>
        </w:rPr>
        <w:t>’</w:t>
      </w:r>
      <w:r>
        <w:rPr>
          <w:lang w:val="fr-FR"/>
        </w:rPr>
        <w:t>est penchée sur les technologies actuelles et émergentes et le rôle qu</w:t>
      </w:r>
      <w:r w:rsidR="004C5E26">
        <w:rPr>
          <w:lang w:val="fr-FR"/>
        </w:rPr>
        <w:t>’</w:t>
      </w:r>
      <w:r>
        <w:rPr>
          <w:lang w:val="fr-FR"/>
        </w:rPr>
        <w:t>elles peuvent jouer s</w:t>
      </w:r>
      <w:r w:rsidR="004C5E26">
        <w:rPr>
          <w:lang w:val="fr-FR"/>
        </w:rPr>
        <w:t>’</w:t>
      </w:r>
      <w:r>
        <w:rPr>
          <w:lang w:val="fr-FR"/>
        </w:rPr>
        <w:t>agissant de lutter contre la piraterie et le vol à main armée en mer et de favoriser la coopération internationale, qui est essentielle pour garantir que justice soit faite et que les personnes touchées par ces crimes aient accès à la justice. Elle garde toujours à l</w:t>
      </w:r>
      <w:r w:rsidR="004C5E26">
        <w:rPr>
          <w:lang w:val="fr-FR"/>
        </w:rPr>
        <w:t>’</w:t>
      </w:r>
      <w:r>
        <w:rPr>
          <w:lang w:val="fr-FR"/>
        </w:rPr>
        <w:t>esprit les défis technologiques auxquels les différentes nations du monde sont confrontées et s</w:t>
      </w:r>
      <w:r w:rsidR="004C5E26">
        <w:rPr>
          <w:lang w:val="fr-FR"/>
        </w:rPr>
        <w:t>’</w:t>
      </w:r>
      <w:r>
        <w:rPr>
          <w:lang w:val="fr-FR"/>
        </w:rPr>
        <w:t>emploie à ce que les résultats de ses travaux sur les sujets qu</w:t>
      </w:r>
      <w:r w:rsidR="004C5E26">
        <w:rPr>
          <w:lang w:val="fr-FR"/>
        </w:rPr>
        <w:t>’</w:t>
      </w:r>
      <w:r>
        <w:rPr>
          <w:lang w:val="fr-FR"/>
        </w:rPr>
        <w:t>elle examine soient suffisamment généraux et concrets pour présenter le plus grand intérêt possible aujourd</w:t>
      </w:r>
      <w:r w:rsidR="004C5E26">
        <w:rPr>
          <w:lang w:val="fr-FR"/>
        </w:rPr>
        <w:t>’</w:t>
      </w:r>
      <w:r>
        <w:rPr>
          <w:lang w:val="fr-FR"/>
        </w:rPr>
        <w:t>hui et à l</w:t>
      </w:r>
      <w:r w:rsidR="004C5E26">
        <w:rPr>
          <w:lang w:val="fr-FR"/>
        </w:rPr>
        <w:t>’</w:t>
      </w:r>
      <w:r>
        <w:rPr>
          <w:lang w:val="fr-FR"/>
        </w:rPr>
        <w:t>avenir. Elle tient donc à souligner de nouveau à quel point les contributions des États et des organisations internationales sont précieuses, en particulier celles qui portent sur la façon dont ils utilisent les technologies en vue d</w:t>
      </w:r>
      <w:r w:rsidR="004C5E26">
        <w:rPr>
          <w:lang w:val="fr-FR"/>
        </w:rPr>
        <w:t>’</w:t>
      </w:r>
      <w:r>
        <w:rPr>
          <w:lang w:val="fr-FR"/>
        </w:rPr>
        <w:t>améliorer l</w:t>
      </w:r>
      <w:r w:rsidR="004C5E26">
        <w:rPr>
          <w:lang w:val="fr-FR"/>
        </w:rPr>
        <w:t>’</w:t>
      </w:r>
      <w:r>
        <w:rPr>
          <w:lang w:val="fr-FR"/>
        </w:rPr>
        <w:t>accès à la justice pour tous sur leurs territoires respectifs et dans le cadre de leurs partenariats internationaux. Elle souligne également l</w:t>
      </w:r>
      <w:r w:rsidR="004C5E26">
        <w:rPr>
          <w:lang w:val="fr-FR"/>
        </w:rPr>
        <w:t>’</w:t>
      </w:r>
      <w:r>
        <w:rPr>
          <w:lang w:val="fr-FR"/>
        </w:rPr>
        <w:t>importance de son site Web pour diffuser ses travaux</w:t>
      </w:r>
      <w:r w:rsidRPr="00E9227E">
        <w:rPr>
          <w:rStyle w:val="Appelnotedebasdep"/>
        </w:rPr>
        <w:footnoteReference w:id="294"/>
      </w:r>
      <w:r>
        <w:rPr>
          <w:lang w:val="fr-FR"/>
        </w:rPr>
        <w:t xml:space="preserve">. La </w:t>
      </w:r>
      <w:r w:rsidRPr="000B23ED">
        <w:rPr>
          <w:lang w:val="fr-FR"/>
        </w:rPr>
        <w:t>Commission est</w:t>
      </w:r>
      <w:r>
        <w:rPr>
          <w:lang w:val="fr-FR"/>
        </w:rPr>
        <w:t>,</w:t>
      </w:r>
      <w:r w:rsidRPr="000B23ED">
        <w:rPr>
          <w:lang w:val="fr-FR"/>
        </w:rPr>
        <w:t xml:space="preserve"> </w:t>
      </w:r>
      <w:r>
        <w:rPr>
          <w:lang w:val="fr-FR"/>
        </w:rPr>
        <w:t xml:space="preserve">comme il se doit, </w:t>
      </w:r>
      <w:r w:rsidRPr="000B23ED">
        <w:rPr>
          <w:lang w:val="fr-FR"/>
        </w:rPr>
        <w:t>attentive</w:t>
      </w:r>
      <w:r>
        <w:rPr>
          <w:lang w:val="fr-FR"/>
        </w:rPr>
        <w:t xml:space="preserve"> aux questions directement liées aux avancées technologiques, telles que celles liées à l</w:t>
      </w:r>
      <w:r w:rsidR="004C5E26">
        <w:rPr>
          <w:lang w:val="fr-FR"/>
        </w:rPr>
        <w:t>’</w:t>
      </w:r>
      <w:r>
        <w:rPr>
          <w:lang w:val="fr-FR"/>
        </w:rPr>
        <w:t xml:space="preserve">intelligence </w:t>
      </w:r>
      <w:r>
        <w:rPr>
          <w:lang w:val="fr-FR"/>
        </w:rPr>
        <w:lastRenderedPageBreak/>
        <w:t>artificielle. Elle est d</w:t>
      </w:r>
      <w:r w:rsidR="004C5E26">
        <w:rPr>
          <w:lang w:val="fr-FR"/>
        </w:rPr>
        <w:t>’</w:t>
      </w:r>
      <w:r>
        <w:rPr>
          <w:lang w:val="fr-FR"/>
        </w:rPr>
        <w:t>avis que lorsque les nouvelles technologies sont mises au service du droit inscrit dans les traités multilatéraux, c</w:t>
      </w:r>
      <w:r w:rsidR="004C5E26">
        <w:rPr>
          <w:lang w:val="fr-FR"/>
        </w:rPr>
        <w:t>’</w:t>
      </w:r>
      <w:r>
        <w:rPr>
          <w:lang w:val="fr-FR"/>
        </w:rPr>
        <w:t>est au bénéfice de l</w:t>
      </w:r>
      <w:r w:rsidR="004C5E26">
        <w:rPr>
          <w:lang w:val="fr-FR"/>
        </w:rPr>
        <w:t>’</w:t>
      </w:r>
      <w:r>
        <w:rPr>
          <w:lang w:val="fr-FR"/>
        </w:rPr>
        <w:t>état de droit.</w:t>
      </w:r>
    </w:p>
    <w:p w14:paraId="2C840DE6" w14:textId="4D6FC0C0" w:rsidR="000E25A7" w:rsidRPr="00BF345F" w:rsidRDefault="000E25A7" w:rsidP="000E25A7">
      <w:pPr>
        <w:pStyle w:val="SingleTxtG"/>
        <w:rPr>
          <w:color w:val="000000" w:themeColor="text1"/>
        </w:rPr>
      </w:pPr>
      <w:r>
        <w:rPr>
          <w:color w:val="000000" w:themeColor="text1"/>
        </w:rPr>
        <w:t>438</w:t>
      </w:r>
      <w:r w:rsidRPr="00BF345F">
        <w:rPr>
          <w:color w:val="000000" w:themeColor="text1"/>
        </w:rPr>
        <w:t>.</w:t>
      </w:r>
      <w:r w:rsidRPr="00BF345F">
        <w:rPr>
          <w:color w:val="000000" w:themeColor="text1"/>
        </w:rPr>
        <w:tab/>
      </w:r>
      <w:r>
        <w:rPr>
          <w:lang w:val="fr-FR"/>
        </w:rPr>
        <w:t>Rappelant que l</w:t>
      </w:r>
      <w:r w:rsidR="004C5E26">
        <w:rPr>
          <w:lang w:val="fr-FR"/>
        </w:rPr>
        <w:t>’</w:t>
      </w:r>
      <w:r>
        <w:rPr>
          <w:lang w:val="fr-FR"/>
        </w:rPr>
        <w:t>Assemblée générale a souligné qu</w:t>
      </w:r>
      <w:r w:rsidR="004C5E26">
        <w:rPr>
          <w:lang w:val="fr-FR"/>
        </w:rPr>
        <w:t>’</w:t>
      </w:r>
      <w:r>
        <w:rPr>
          <w:lang w:val="fr-FR"/>
        </w:rPr>
        <w:t>il fallait encourager la mise en commun des meilleures pratiques des États en ce qui concerne l</w:t>
      </w:r>
      <w:r w:rsidR="004C5E26">
        <w:rPr>
          <w:lang w:val="fr-FR"/>
        </w:rPr>
        <w:t>’</w:t>
      </w:r>
      <w:r>
        <w:rPr>
          <w:lang w:val="fr-FR"/>
        </w:rPr>
        <w:t>état de droit</w:t>
      </w:r>
      <w:r w:rsidRPr="00E9227E">
        <w:rPr>
          <w:rStyle w:val="Appelnotedebasdep"/>
        </w:rPr>
        <w:footnoteReference w:id="295"/>
      </w:r>
      <w:r>
        <w:rPr>
          <w:lang w:val="fr-FR"/>
        </w:rPr>
        <w:t>, la Commission tient à souligner de nouveau qu</w:t>
      </w:r>
      <w:r w:rsidR="004C5E26">
        <w:rPr>
          <w:lang w:val="fr-FR"/>
        </w:rPr>
        <w:t>’</w:t>
      </w:r>
      <w:r>
        <w:rPr>
          <w:lang w:val="fr-FR"/>
        </w:rPr>
        <w:t>une grande part de son travail consiste à recenser et à examiner ces pratiques dans le but de déterminer si elles pourraient contribuer au développement progressif et à la codification du droit international.</w:t>
      </w:r>
    </w:p>
    <w:p w14:paraId="611601ED" w14:textId="4B54C0CC" w:rsidR="000E25A7" w:rsidRPr="00BF345F" w:rsidRDefault="000E25A7" w:rsidP="000E25A7">
      <w:pPr>
        <w:pStyle w:val="SingleTxtG"/>
        <w:rPr>
          <w:color w:val="000000" w:themeColor="text1"/>
        </w:rPr>
      </w:pPr>
      <w:r>
        <w:rPr>
          <w:color w:val="000000" w:themeColor="text1"/>
        </w:rPr>
        <w:t>439</w:t>
      </w:r>
      <w:r w:rsidRPr="00BF345F">
        <w:rPr>
          <w:color w:val="000000" w:themeColor="text1"/>
        </w:rPr>
        <w:t>.</w:t>
      </w:r>
      <w:r w:rsidRPr="00BF345F">
        <w:rPr>
          <w:color w:val="000000" w:themeColor="text1"/>
        </w:rPr>
        <w:tab/>
      </w:r>
      <w:r>
        <w:rPr>
          <w:lang w:val="fr-FR"/>
        </w:rPr>
        <w:t>La Commission accordera toute son attention au sous-thème de la soixante</w:t>
      </w:r>
      <w:r>
        <w:rPr>
          <w:lang w:val="fr-FR"/>
        </w:rPr>
        <w:noBreakHyphen/>
        <w:t>dix</w:t>
      </w:r>
      <w:r>
        <w:rPr>
          <w:lang w:val="fr-FR"/>
        </w:rPr>
        <w:noBreakHyphen/>
        <w:t>neuvième session de l</w:t>
      </w:r>
      <w:r w:rsidR="004C5E26">
        <w:rPr>
          <w:lang w:val="fr-FR"/>
        </w:rPr>
        <w:t>’</w:t>
      </w:r>
      <w:r>
        <w:rPr>
          <w:lang w:val="fr-FR"/>
        </w:rPr>
        <w:t>Assemblée générale sur « La participation entière, égale et équitable, à tous les niveaux, au système juridique international »</w:t>
      </w:r>
      <w:r w:rsidRPr="00E9227E">
        <w:rPr>
          <w:rStyle w:val="Appelnotedebasdep"/>
        </w:rPr>
        <w:footnoteReference w:id="296"/>
      </w:r>
      <w:r>
        <w:rPr>
          <w:lang w:val="fr-FR"/>
        </w:rPr>
        <w:t>. Les innovations technologiques peuvent faciliter une telle participation. En outre, la Commission considère qu</w:t>
      </w:r>
      <w:r w:rsidR="004C5E26">
        <w:rPr>
          <w:lang w:val="fr-FR"/>
        </w:rPr>
        <w:t>’</w:t>
      </w:r>
      <w:r>
        <w:rPr>
          <w:lang w:val="fr-FR"/>
        </w:rPr>
        <w:t>il est essentiel pour ses travaux qu</w:t>
      </w:r>
      <w:r w:rsidR="004C5E26">
        <w:rPr>
          <w:lang w:val="fr-FR"/>
        </w:rPr>
        <w:t>’</w:t>
      </w:r>
      <w:r>
        <w:rPr>
          <w:lang w:val="fr-FR"/>
        </w:rPr>
        <w:t>elle obtienne la contribution la plus large possible sur les pratiques des États. Elle engage donc les États à participer activement en fournissant des informations et des commentaires.</w:t>
      </w:r>
    </w:p>
    <w:p w14:paraId="2454C4FB" w14:textId="704E191A" w:rsidR="000E25A7" w:rsidRPr="00BF345F" w:rsidRDefault="000E25A7" w:rsidP="000E25A7">
      <w:pPr>
        <w:pStyle w:val="SingleTxtG"/>
        <w:rPr>
          <w:color w:val="000000" w:themeColor="text1"/>
        </w:rPr>
      </w:pPr>
      <w:r>
        <w:rPr>
          <w:color w:val="000000" w:themeColor="text1"/>
        </w:rPr>
        <w:t>440</w:t>
      </w:r>
      <w:r w:rsidRPr="00BF345F">
        <w:rPr>
          <w:color w:val="000000" w:themeColor="text1"/>
        </w:rPr>
        <w:t>.</w:t>
      </w:r>
      <w:r w:rsidRPr="00BF345F">
        <w:rPr>
          <w:color w:val="000000" w:themeColor="text1"/>
        </w:rPr>
        <w:tab/>
      </w:r>
      <w:r>
        <w:rPr>
          <w:lang w:val="fr-FR"/>
        </w:rPr>
        <w:t>Fidèle à sa vocation de longue date, la Commission continuera à ancrer ses travaux dans la réalité et à répondre ainsi aux besoins exprimés par les États. Sachant le rôle que jouent les processus d</w:t>
      </w:r>
      <w:r w:rsidR="004C5E26">
        <w:rPr>
          <w:lang w:val="fr-FR"/>
        </w:rPr>
        <w:t>’</w:t>
      </w:r>
      <w:r>
        <w:rPr>
          <w:lang w:val="fr-FR"/>
        </w:rPr>
        <w:t>établissement des traités multilatéraux dans la promotion de l</w:t>
      </w:r>
      <w:r w:rsidR="004C5E26">
        <w:rPr>
          <w:lang w:val="fr-FR"/>
        </w:rPr>
        <w:t>’</w:t>
      </w:r>
      <w:r>
        <w:rPr>
          <w:lang w:val="fr-FR"/>
        </w:rPr>
        <w:t>état de droit, elle rappelle que les travaux qu</w:t>
      </w:r>
      <w:r w:rsidR="004C5E26">
        <w:rPr>
          <w:lang w:val="fr-FR"/>
        </w:rPr>
        <w:t>’</w:t>
      </w:r>
      <w:r>
        <w:rPr>
          <w:lang w:val="fr-FR"/>
        </w:rPr>
        <w:t>elle a menés sur différents sujets ont déclenché plusieurs processus de ce type et débouché sur l</w:t>
      </w:r>
      <w:r w:rsidR="004C5E26">
        <w:rPr>
          <w:lang w:val="fr-FR"/>
        </w:rPr>
        <w:t>’</w:t>
      </w:r>
      <w:r>
        <w:rPr>
          <w:lang w:val="fr-FR"/>
        </w:rPr>
        <w:t>adoption de plusieurs traités multilatéraux</w:t>
      </w:r>
      <w:r w:rsidRPr="00E9227E">
        <w:rPr>
          <w:rStyle w:val="Appelnotedebasdep"/>
        </w:rPr>
        <w:footnoteReference w:id="297"/>
      </w:r>
      <w:r>
        <w:rPr>
          <w:lang w:val="fr-FR"/>
        </w:rPr>
        <w:t>.</w:t>
      </w:r>
    </w:p>
    <w:p w14:paraId="63158987" w14:textId="429544CA" w:rsidR="000E25A7" w:rsidRPr="00BF345F" w:rsidRDefault="000E25A7" w:rsidP="000E25A7">
      <w:pPr>
        <w:pStyle w:val="SingleTxtG"/>
        <w:rPr>
          <w:color w:val="000000" w:themeColor="text1"/>
        </w:rPr>
      </w:pPr>
      <w:r>
        <w:rPr>
          <w:color w:val="000000" w:themeColor="text1"/>
        </w:rPr>
        <w:t>441</w:t>
      </w:r>
      <w:r w:rsidRPr="00BF345F">
        <w:rPr>
          <w:color w:val="000000" w:themeColor="text1"/>
        </w:rPr>
        <w:t>.</w:t>
      </w:r>
      <w:r w:rsidRPr="00BF345F">
        <w:rPr>
          <w:color w:val="000000" w:themeColor="text1"/>
        </w:rPr>
        <w:tab/>
      </w:r>
      <w:r>
        <w:rPr>
          <w:lang w:val="fr-FR"/>
        </w:rPr>
        <w:t>Au cours de la présente session, la Commission continue de contribuer à la promotion de l</w:t>
      </w:r>
      <w:r w:rsidR="004C5E26">
        <w:rPr>
          <w:lang w:val="fr-FR"/>
        </w:rPr>
        <w:t>’</w:t>
      </w:r>
      <w:r>
        <w:rPr>
          <w:lang w:val="fr-FR"/>
        </w:rPr>
        <w:t>État de droit, notamment dans le cadre des travaux qu</w:t>
      </w:r>
      <w:r w:rsidR="004C5E26">
        <w:rPr>
          <w:lang w:val="fr-FR"/>
        </w:rPr>
        <w:t>’</w:t>
      </w:r>
      <w:r>
        <w:rPr>
          <w:lang w:val="fr-FR"/>
        </w:rPr>
        <w:t>elle mène sur les sujets inscrits à son programme de travail pour la présente session : « Immunité de juridiction pénale étrangère des représentants de l</w:t>
      </w:r>
      <w:r w:rsidR="004C5E26">
        <w:rPr>
          <w:lang w:val="fr-FR"/>
        </w:rPr>
        <w:t>’</w:t>
      </w:r>
      <w:r>
        <w:rPr>
          <w:lang w:val="fr-FR"/>
        </w:rPr>
        <w:t>État » ; « Succession d</w:t>
      </w:r>
      <w:r w:rsidR="004C5E26">
        <w:rPr>
          <w:lang w:val="fr-FR"/>
        </w:rPr>
        <w:t>’</w:t>
      </w:r>
      <w:r>
        <w:rPr>
          <w:lang w:val="fr-FR"/>
        </w:rPr>
        <w:t>États en matière de responsabilité de l</w:t>
      </w:r>
      <w:r w:rsidR="004C5E26">
        <w:rPr>
          <w:lang w:val="fr-FR"/>
        </w:rPr>
        <w:t>’</w:t>
      </w:r>
      <w:r>
        <w:rPr>
          <w:lang w:val="fr-FR"/>
        </w:rPr>
        <w:t>État » ; « L</w:t>
      </w:r>
      <w:r w:rsidR="004C5E26">
        <w:rPr>
          <w:lang w:val="fr-FR"/>
        </w:rPr>
        <w:t>’</w:t>
      </w:r>
      <w:r>
        <w:rPr>
          <w:lang w:val="fr-FR"/>
        </w:rPr>
        <w:t xml:space="preserve">élévation du niveau de la mer au regard du droit international » ; </w:t>
      </w:r>
      <w:r w:rsidR="00FF43CE">
        <w:rPr>
          <w:lang w:val="fr-FR"/>
        </w:rPr>
        <w:t>« </w:t>
      </w:r>
      <w:r w:rsidR="00FF43CE" w:rsidRPr="00FF43CE">
        <w:t>Règlement des différends auxquels des organisations internationales sont parties</w:t>
      </w:r>
      <w:r w:rsidR="00FF43CE">
        <w:t> »</w:t>
      </w:r>
      <w:r w:rsidR="00FF43CE">
        <w:rPr>
          <w:lang w:val="fr-FR"/>
        </w:rPr>
        <w:t xml:space="preserve"> ; </w:t>
      </w:r>
      <w:r>
        <w:rPr>
          <w:lang w:val="fr-FR"/>
        </w:rPr>
        <w:t>« Prévention et répression de la piraterie et du vol à main armée en me</w:t>
      </w:r>
      <w:r w:rsidRPr="00FF43CE">
        <w:rPr>
          <w:lang w:val="fr-FR"/>
        </w:rPr>
        <w:t>r » ; « Moyens auxiliaires de détermination des règles de droit international » ; et « Les accords internationaux juridiquement non</w:t>
      </w:r>
      <w:r w:rsidR="00CB21DA" w:rsidRPr="00FF43CE">
        <w:rPr>
          <w:lang w:val="fr-FR"/>
        </w:rPr>
        <w:t xml:space="preserve"> </w:t>
      </w:r>
      <w:r w:rsidRPr="00FF43CE">
        <w:rPr>
          <w:lang w:val="fr-FR"/>
        </w:rPr>
        <w:t>contraignants ».</w:t>
      </w:r>
    </w:p>
    <w:p w14:paraId="4C49F0A9" w14:textId="2D73A9E9" w:rsidR="000E25A7" w:rsidRPr="00BF345F" w:rsidRDefault="000E25A7" w:rsidP="000E25A7">
      <w:pPr>
        <w:pStyle w:val="SingleTxtG"/>
      </w:pPr>
      <w:r>
        <w:t>442</w:t>
      </w:r>
      <w:r w:rsidRPr="00BF345F">
        <w:t>.</w:t>
      </w:r>
      <w:r w:rsidRPr="00BF345F">
        <w:tab/>
      </w:r>
      <w:r>
        <w:rPr>
          <w:lang w:val="fr-FR"/>
        </w:rPr>
        <w:t>La Commission réaffirme sa détermination à promouvoir l</w:t>
      </w:r>
      <w:r w:rsidR="004C5E26">
        <w:rPr>
          <w:lang w:val="fr-FR"/>
        </w:rPr>
        <w:t>’</w:t>
      </w:r>
      <w:r>
        <w:rPr>
          <w:lang w:val="fr-FR"/>
        </w:rPr>
        <w:t>état de droit dans l</w:t>
      </w:r>
      <w:r w:rsidR="004C5E26">
        <w:rPr>
          <w:lang w:val="fr-FR"/>
        </w:rPr>
        <w:t>’</w:t>
      </w:r>
      <w:r>
        <w:rPr>
          <w:lang w:val="fr-FR"/>
        </w:rPr>
        <w:t>ensemble de ses travaux.</w:t>
      </w:r>
    </w:p>
    <w:p w14:paraId="4BA25D75" w14:textId="60CBB631" w:rsidR="000E25A7" w:rsidRPr="00BF345F" w:rsidRDefault="000E25A7" w:rsidP="000E25A7">
      <w:pPr>
        <w:pStyle w:val="H23G"/>
      </w:pPr>
      <w:r>
        <w:tab/>
      </w:r>
      <w:r w:rsidRPr="00BF345F">
        <w:t>4.</w:t>
      </w:r>
      <w:r w:rsidRPr="00BF345F">
        <w:tab/>
      </w:r>
      <w:bookmarkStart w:id="163" w:name="_Hlk175323768"/>
      <w:r>
        <w:rPr>
          <w:lang w:val="fr-FR"/>
        </w:rPr>
        <w:t>Célébration du soixante-quinzième anniversaire de la Commission du droit international</w:t>
      </w:r>
      <w:bookmarkEnd w:id="163"/>
    </w:p>
    <w:p w14:paraId="2EE83815" w14:textId="3843E3FA" w:rsidR="000E25A7" w:rsidRPr="00FF43CE" w:rsidRDefault="000E25A7" w:rsidP="000E25A7">
      <w:pPr>
        <w:pStyle w:val="SingleTxtG"/>
        <w:rPr>
          <w:spacing w:val="-2"/>
        </w:rPr>
      </w:pPr>
      <w:bookmarkStart w:id="164" w:name="_Toc522896431"/>
      <w:bookmarkStart w:id="165" w:name="_Toc523727741"/>
      <w:bookmarkStart w:id="166" w:name="_Toc17455505"/>
      <w:bookmarkStart w:id="167" w:name="_Toc19001855"/>
      <w:bookmarkStart w:id="168" w:name="_Toc80171937"/>
      <w:bookmarkEnd w:id="156"/>
      <w:bookmarkEnd w:id="157"/>
      <w:bookmarkEnd w:id="158"/>
      <w:bookmarkEnd w:id="159"/>
      <w:bookmarkEnd w:id="160"/>
      <w:bookmarkEnd w:id="161"/>
      <w:bookmarkEnd w:id="162"/>
      <w:r w:rsidRPr="00FF43CE">
        <w:rPr>
          <w:spacing w:val="-2"/>
        </w:rPr>
        <w:t>443.</w:t>
      </w:r>
      <w:r w:rsidRPr="00FF43CE">
        <w:rPr>
          <w:spacing w:val="-2"/>
        </w:rPr>
        <w:tab/>
      </w:r>
      <w:r w:rsidRPr="00FF43CE">
        <w:rPr>
          <w:spacing w:val="-2"/>
          <w:lang w:val="fr-FR"/>
        </w:rPr>
        <w:t>À sa soixante-quatorzième session (2023), la Commission a recommandé que des manifestations commémoratives soient organisées au cours de sa soixante-quinzième session, en 2024. L</w:t>
      </w:r>
      <w:r w:rsidR="004C5E26" w:rsidRPr="00FF43CE">
        <w:rPr>
          <w:spacing w:val="-2"/>
          <w:lang w:val="fr-FR"/>
        </w:rPr>
        <w:t>’</w:t>
      </w:r>
      <w:r w:rsidRPr="00FF43CE">
        <w:rPr>
          <w:spacing w:val="-2"/>
          <w:lang w:val="fr-FR"/>
        </w:rPr>
        <w:t>Assemblée générale a pris note avec satisfaction de ces recommandations</w:t>
      </w:r>
      <w:r w:rsidRPr="00FF43CE">
        <w:rPr>
          <w:rStyle w:val="Appelnotedebasdep"/>
          <w:spacing w:val="-2"/>
        </w:rPr>
        <w:footnoteReference w:id="298"/>
      </w:r>
      <w:r w:rsidRPr="00FF43CE">
        <w:rPr>
          <w:spacing w:val="-2"/>
          <w:lang w:val="fr-FR"/>
        </w:rPr>
        <w:t>.</w:t>
      </w:r>
    </w:p>
    <w:p w14:paraId="1DBC4AA8" w14:textId="69695942" w:rsidR="000E25A7" w:rsidRPr="00BF345F" w:rsidRDefault="000E25A7" w:rsidP="000E25A7">
      <w:pPr>
        <w:pStyle w:val="SingleTxtG"/>
      </w:pPr>
      <w:r>
        <w:t>444</w:t>
      </w:r>
      <w:r w:rsidRPr="00BF345F">
        <w:t>.</w:t>
      </w:r>
      <w:r w:rsidRPr="00BF345F">
        <w:tab/>
      </w:r>
      <w:r>
        <w:rPr>
          <w:lang w:val="fr-FR"/>
        </w:rPr>
        <w:t>En raison de la crise des liquidités que traverse l</w:t>
      </w:r>
      <w:r w:rsidR="004C5E26">
        <w:rPr>
          <w:lang w:val="fr-FR"/>
        </w:rPr>
        <w:t>’</w:t>
      </w:r>
      <w:r>
        <w:rPr>
          <w:lang w:val="fr-FR"/>
        </w:rPr>
        <w:t xml:space="preserve">Organisation des Nations </w:t>
      </w:r>
      <w:r w:rsidR="008544D8">
        <w:rPr>
          <w:lang w:val="fr-FR"/>
        </w:rPr>
        <w:t>U</w:t>
      </w:r>
      <w:r>
        <w:rPr>
          <w:lang w:val="fr-FR"/>
        </w:rPr>
        <w:t>nies, la session de la Commission, telle qu</w:t>
      </w:r>
      <w:r w:rsidR="004C5E26">
        <w:rPr>
          <w:lang w:val="fr-FR"/>
        </w:rPr>
        <w:t>’</w:t>
      </w:r>
      <w:r>
        <w:rPr>
          <w:lang w:val="fr-FR"/>
        </w:rPr>
        <w:t xml:space="preserve">approuvée par la résolution </w:t>
      </w:r>
      <w:hyperlink r:id="rId84" w:history="1">
        <w:r w:rsidRPr="006108F2">
          <w:rPr>
            <w:rStyle w:val="Lienhypertexte"/>
            <w:lang w:val="fr-FR"/>
          </w:rPr>
          <w:t>78/108</w:t>
        </w:r>
      </w:hyperlink>
      <w:r>
        <w:rPr>
          <w:lang w:val="fr-FR"/>
        </w:rPr>
        <w:t xml:space="preserve"> de l</w:t>
      </w:r>
      <w:r w:rsidR="004C5E26">
        <w:rPr>
          <w:lang w:val="fr-FR"/>
        </w:rPr>
        <w:t>’</w:t>
      </w:r>
      <w:r>
        <w:rPr>
          <w:lang w:val="fr-FR"/>
        </w:rPr>
        <w:t xml:space="preserve">Assemblée générale, a été ramenée de douze à dix semaines. De ce fait, le soixante-quinzième anniversaire de la </w:t>
      </w:r>
      <w:r w:rsidRPr="00132542">
        <w:rPr>
          <w:lang w:val="fr-FR"/>
        </w:rPr>
        <w:t xml:space="preserve">Commission a </w:t>
      </w:r>
      <w:r>
        <w:rPr>
          <w:lang w:val="fr-FR"/>
        </w:rPr>
        <w:t>été célébré plus sobrement</w:t>
      </w:r>
      <w:r w:rsidRPr="00132542">
        <w:rPr>
          <w:lang w:val="fr-FR"/>
        </w:rPr>
        <w:t>,</w:t>
      </w:r>
      <w:r>
        <w:rPr>
          <w:lang w:val="fr-FR"/>
        </w:rPr>
        <w:t xml:space="preserve"> dans le cadre d</w:t>
      </w:r>
      <w:r w:rsidR="004C5E26">
        <w:rPr>
          <w:lang w:val="fr-FR"/>
        </w:rPr>
        <w:t>’</w:t>
      </w:r>
      <w:r>
        <w:rPr>
          <w:lang w:val="fr-FR"/>
        </w:rPr>
        <w:t>une manifestation organisée le 24 mai 2024 avec le généreux concours de l</w:t>
      </w:r>
      <w:r w:rsidR="004C5E26">
        <w:rPr>
          <w:lang w:val="fr-FR"/>
        </w:rPr>
        <w:t>’</w:t>
      </w:r>
      <w:r>
        <w:rPr>
          <w:lang w:val="fr-FR"/>
        </w:rPr>
        <w:t>Institut de hautes études internationales et du développement de Genève et du Département fédéral des affaires étrangères de la Suisse</w:t>
      </w:r>
      <w:r w:rsidRPr="00E9227E">
        <w:rPr>
          <w:rStyle w:val="Appelnotedebasdep"/>
        </w:rPr>
        <w:footnoteReference w:id="299"/>
      </w:r>
      <w:r>
        <w:rPr>
          <w:lang w:val="fr-FR"/>
        </w:rPr>
        <w:t>.</w:t>
      </w:r>
    </w:p>
    <w:p w14:paraId="5B88DE61" w14:textId="0F665375" w:rsidR="000E25A7" w:rsidRPr="00BF345F" w:rsidRDefault="000E25A7" w:rsidP="000E25A7">
      <w:pPr>
        <w:pStyle w:val="SingleTxtG"/>
      </w:pPr>
      <w:r>
        <w:t>445</w:t>
      </w:r>
      <w:r w:rsidRPr="00BF345F">
        <w:t>.</w:t>
      </w:r>
      <w:r w:rsidRPr="00BF345F">
        <w:tab/>
      </w:r>
      <w:r>
        <w:rPr>
          <w:lang w:val="fr-FR"/>
        </w:rPr>
        <w:t>En marge de la manifestation commémorative qui s</w:t>
      </w:r>
      <w:r w:rsidR="004C5E26">
        <w:rPr>
          <w:lang w:val="fr-FR"/>
        </w:rPr>
        <w:t>’</w:t>
      </w:r>
      <w:r>
        <w:rPr>
          <w:lang w:val="fr-FR"/>
        </w:rPr>
        <w:t>est tenue à Genève, de nombreuses autres activités ont été organisées avec la participation des membres de la Commission et de représentants d</w:t>
      </w:r>
      <w:r w:rsidR="004C5E26">
        <w:rPr>
          <w:lang w:val="fr-FR"/>
        </w:rPr>
        <w:t>’</w:t>
      </w:r>
      <w:r>
        <w:rPr>
          <w:lang w:val="fr-FR"/>
        </w:rPr>
        <w:t>États, d</w:t>
      </w:r>
      <w:r w:rsidR="004C5E26">
        <w:rPr>
          <w:lang w:val="fr-FR"/>
        </w:rPr>
        <w:t>’</w:t>
      </w:r>
      <w:r>
        <w:rPr>
          <w:lang w:val="fr-FR"/>
        </w:rPr>
        <w:t>organisations internationales et d</w:t>
      </w:r>
      <w:r w:rsidR="004C5E26">
        <w:rPr>
          <w:lang w:val="fr-FR"/>
        </w:rPr>
        <w:t>’</w:t>
      </w:r>
      <w:r>
        <w:rPr>
          <w:lang w:val="fr-FR"/>
        </w:rPr>
        <w:t xml:space="preserve">institutions académiques. On peut notamment citer : un séminaire commémoratif organisé les 29 février </w:t>
      </w:r>
      <w:r>
        <w:rPr>
          <w:lang w:val="fr-FR"/>
        </w:rPr>
        <w:lastRenderedPageBreak/>
        <w:t>et 1</w:t>
      </w:r>
      <w:r w:rsidRPr="0082192C">
        <w:rPr>
          <w:vertAlign w:val="superscript"/>
          <w:lang w:val="fr-FR"/>
        </w:rPr>
        <w:t>er</w:t>
      </w:r>
      <w:r>
        <w:rPr>
          <w:lang w:val="fr-FR"/>
        </w:rPr>
        <w:t xml:space="preserve"> mars 2024 en Inde par la </w:t>
      </w:r>
      <w:proofErr w:type="spellStart"/>
      <w:r>
        <w:rPr>
          <w:lang w:val="fr-FR"/>
        </w:rPr>
        <w:t>Rashtriya</w:t>
      </w:r>
      <w:proofErr w:type="spellEnd"/>
      <w:r>
        <w:rPr>
          <w:lang w:val="fr-FR"/>
        </w:rPr>
        <w:t xml:space="preserve"> </w:t>
      </w:r>
      <w:proofErr w:type="spellStart"/>
      <w:r>
        <w:rPr>
          <w:lang w:val="fr-FR"/>
        </w:rPr>
        <w:t>Raksha</w:t>
      </w:r>
      <w:proofErr w:type="spellEnd"/>
      <w:r>
        <w:rPr>
          <w:lang w:val="fr-FR"/>
        </w:rPr>
        <w:t xml:space="preserve"> </w:t>
      </w:r>
      <w:proofErr w:type="spellStart"/>
      <w:r>
        <w:rPr>
          <w:lang w:val="fr-FR"/>
        </w:rPr>
        <w:t>University</w:t>
      </w:r>
      <w:proofErr w:type="spellEnd"/>
      <w:r>
        <w:rPr>
          <w:lang w:val="fr-FR"/>
        </w:rPr>
        <w:t>, avec le généreux concours du Ministère indien des affaires étrangères, auquel ont participé plusieurs membres de la Commission, des hauts fonctionnaires de la Division de la codification du Bureau des affaires juridiques, des conseillers juridiques et des fonctionnaires de divers pays, et de l</w:t>
      </w:r>
      <w:r w:rsidR="004C5E26">
        <w:rPr>
          <w:lang w:val="fr-FR"/>
        </w:rPr>
        <w:t>’</w:t>
      </w:r>
      <w:r>
        <w:rPr>
          <w:lang w:val="fr-FR"/>
        </w:rPr>
        <w:t>Organisation juridique consultative pour les pays d</w:t>
      </w:r>
      <w:r w:rsidR="004C5E26">
        <w:rPr>
          <w:lang w:val="fr-FR"/>
        </w:rPr>
        <w:t>’</w:t>
      </w:r>
      <w:r>
        <w:rPr>
          <w:lang w:val="fr-FR"/>
        </w:rPr>
        <w:t>Asie et d</w:t>
      </w:r>
      <w:r w:rsidR="004C5E26">
        <w:rPr>
          <w:lang w:val="fr-FR"/>
        </w:rPr>
        <w:t>’</w:t>
      </w:r>
      <w:r>
        <w:rPr>
          <w:lang w:val="fr-FR"/>
        </w:rPr>
        <w:t>Afrique ; et une conférence sur la Convention des Nations Unies sur le droit de la mer et l</w:t>
      </w:r>
      <w:r w:rsidR="004C5E26">
        <w:rPr>
          <w:lang w:val="fr-FR"/>
        </w:rPr>
        <w:t>’</w:t>
      </w:r>
      <w:r>
        <w:rPr>
          <w:lang w:val="fr-FR"/>
        </w:rPr>
        <w:t>aménagement de ports secs dans les pays en développement enclavés, intitulée « </w:t>
      </w:r>
      <w:proofErr w:type="spellStart"/>
      <w:r>
        <w:rPr>
          <w:lang w:val="fr-FR"/>
        </w:rPr>
        <w:t>Unlocking</w:t>
      </w:r>
      <w:proofErr w:type="spellEnd"/>
      <w:r>
        <w:rPr>
          <w:lang w:val="fr-FR"/>
        </w:rPr>
        <w:t xml:space="preserve"> </w:t>
      </w:r>
      <w:proofErr w:type="spellStart"/>
      <w:r>
        <w:rPr>
          <w:lang w:val="fr-FR"/>
        </w:rPr>
        <w:t>opportunities</w:t>
      </w:r>
      <w:proofErr w:type="spellEnd"/>
      <w:r>
        <w:rPr>
          <w:lang w:val="fr-FR"/>
        </w:rPr>
        <w:t xml:space="preserve">: UN Convention on the Law of the </w:t>
      </w:r>
      <w:proofErr w:type="spellStart"/>
      <w:r>
        <w:rPr>
          <w:lang w:val="fr-FR"/>
        </w:rPr>
        <w:t>Sea</w:t>
      </w:r>
      <w:proofErr w:type="spellEnd"/>
      <w:r>
        <w:rPr>
          <w:lang w:val="fr-FR"/>
        </w:rPr>
        <w:t xml:space="preserve"> and dry port </w:t>
      </w:r>
      <w:proofErr w:type="spellStart"/>
      <w:r>
        <w:rPr>
          <w:lang w:val="fr-FR"/>
        </w:rPr>
        <w:t>development</w:t>
      </w:r>
      <w:proofErr w:type="spellEnd"/>
      <w:r>
        <w:rPr>
          <w:lang w:val="fr-FR"/>
        </w:rPr>
        <w:t xml:space="preserve"> in </w:t>
      </w:r>
      <w:proofErr w:type="spellStart"/>
      <w:r>
        <w:rPr>
          <w:lang w:val="fr-FR"/>
        </w:rPr>
        <w:t>landlocked</w:t>
      </w:r>
      <w:proofErr w:type="spellEnd"/>
      <w:r>
        <w:rPr>
          <w:lang w:val="fr-FR"/>
        </w:rPr>
        <w:t xml:space="preserve"> </w:t>
      </w:r>
      <w:proofErr w:type="spellStart"/>
      <w:r>
        <w:rPr>
          <w:lang w:val="fr-FR"/>
        </w:rPr>
        <w:t>developing</w:t>
      </w:r>
      <w:proofErr w:type="spellEnd"/>
      <w:r>
        <w:rPr>
          <w:lang w:val="fr-FR"/>
        </w:rPr>
        <w:t xml:space="preserve"> countries », organisée les 25 et 26 mars 2024 par le Ministère des affaires étrangères de Mongolie.</w:t>
      </w:r>
    </w:p>
    <w:p w14:paraId="2CC816CA" w14:textId="77777777" w:rsidR="000E25A7" w:rsidRPr="00BF345F" w:rsidRDefault="000E25A7" w:rsidP="000E25A7">
      <w:pPr>
        <w:pStyle w:val="H23G"/>
      </w:pPr>
      <w:r>
        <w:tab/>
      </w:r>
      <w:r w:rsidRPr="00BF345F">
        <w:t>5.</w:t>
      </w:r>
      <w:r w:rsidRPr="00BF345F">
        <w:tab/>
      </w:r>
      <w:bookmarkStart w:id="169" w:name="_Hlk175323776"/>
      <w:r>
        <w:rPr>
          <w:lang w:val="fr-FR"/>
        </w:rPr>
        <w:t>Honoraires</w:t>
      </w:r>
      <w:bookmarkEnd w:id="169"/>
    </w:p>
    <w:p w14:paraId="131F1E46" w14:textId="4A18796B" w:rsidR="000E25A7" w:rsidRPr="00BF345F" w:rsidRDefault="000E25A7" w:rsidP="000E25A7">
      <w:pPr>
        <w:pStyle w:val="SingleTxtG"/>
      </w:pPr>
      <w:r>
        <w:t>446</w:t>
      </w:r>
      <w:r w:rsidRPr="00BF345F">
        <w:t>.</w:t>
      </w:r>
      <w:r w:rsidRPr="00BF345F">
        <w:tab/>
      </w:r>
      <w:r>
        <w:rPr>
          <w:lang w:val="fr-FR"/>
        </w:rPr>
        <w:t xml:space="preserve">La Commission réaffirme les vues exprimées dans ses précédents rapports au sujet de la décision prise dans la résolution </w:t>
      </w:r>
      <w:hyperlink r:id="rId85" w:history="1">
        <w:r w:rsidRPr="00C64EEC">
          <w:rPr>
            <w:rStyle w:val="Lienhypertexte"/>
            <w:lang w:val="fr-FR"/>
          </w:rPr>
          <w:t>56/272</w:t>
        </w:r>
      </w:hyperlink>
      <w:r>
        <w:rPr>
          <w:lang w:val="fr-FR"/>
        </w:rPr>
        <w:t xml:space="preserve"> de l</w:t>
      </w:r>
      <w:r w:rsidR="004C5E26">
        <w:rPr>
          <w:lang w:val="fr-FR"/>
        </w:rPr>
        <w:t>’</w:t>
      </w:r>
      <w:r>
        <w:rPr>
          <w:lang w:val="fr-FR"/>
        </w:rPr>
        <w:t>Assemblée générale, en date du 27 mars 2002, concernant les honoraires de ses membres</w:t>
      </w:r>
      <w:r w:rsidRPr="00E9227E">
        <w:rPr>
          <w:rStyle w:val="Appelnotedebasdep"/>
        </w:rPr>
        <w:footnoteReference w:id="300"/>
      </w:r>
      <w:r>
        <w:rPr>
          <w:lang w:val="fr-FR"/>
        </w:rPr>
        <w:t>. Elle souligne que cette résolution est particulièrement lourde de conséquences pour les rapporteurs spéciaux en ce qu</w:t>
      </w:r>
      <w:r w:rsidR="004C5E26">
        <w:rPr>
          <w:lang w:val="fr-FR"/>
        </w:rPr>
        <w:t>’</w:t>
      </w:r>
      <w:r>
        <w:rPr>
          <w:lang w:val="fr-FR"/>
        </w:rPr>
        <w:t>elle compromet le soutien apporté à leurs travaux de recherche. Ceci est sans préjudice de la création du fonds d</w:t>
      </w:r>
      <w:r w:rsidR="004C5E26">
        <w:rPr>
          <w:lang w:val="fr-FR"/>
        </w:rPr>
        <w:t>’</w:t>
      </w:r>
      <w:r>
        <w:rPr>
          <w:lang w:val="fr-FR"/>
        </w:rPr>
        <w:t>affectation spéciale, conformément au paragraphe 37 de la résolution </w:t>
      </w:r>
      <w:hyperlink r:id="rId86" w:history="1">
        <w:r w:rsidRPr="00C64EEC">
          <w:rPr>
            <w:rStyle w:val="Lienhypertexte"/>
            <w:lang w:val="fr-FR"/>
          </w:rPr>
          <w:t>77/103</w:t>
        </w:r>
      </w:hyperlink>
      <w:r w:rsidRPr="00482250">
        <w:rPr>
          <w:rStyle w:val="Lienhypertexte"/>
          <w:color w:val="auto"/>
          <w:lang w:val="fr-FR"/>
        </w:rPr>
        <w:t>, en date du 7 décembre 2022</w:t>
      </w:r>
      <w:r>
        <w:rPr>
          <w:lang w:val="fr-FR"/>
        </w:rPr>
        <w:t>.</w:t>
      </w:r>
    </w:p>
    <w:p w14:paraId="2BD92392" w14:textId="77777777" w:rsidR="000E25A7" w:rsidRPr="00BF345F" w:rsidRDefault="000E25A7" w:rsidP="000E25A7">
      <w:pPr>
        <w:pStyle w:val="H23G"/>
      </w:pPr>
      <w:r>
        <w:tab/>
      </w:r>
      <w:r w:rsidRPr="00BF345F">
        <w:t>6.</w:t>
      </w:r>
      <w:r w:rsidRPr="00BF345F">
        <w:tab/>
      </w:r>
      <w:bookmarkStart w:id="170" w:name="_Hlk175323783"/>
      <w:r>
        <w:rPr>
          <w:lang w:val="fr-FR"/>
        </w:rPr>
        <w:t>Documentation et publications</w:t>
      </w:r>
      <w:bookmarkEnd w:id="170"/>
    </w:p>
    <w:p w14:paraId="44365E19" w14:textId="177380A0" w:rsidR="000E25A7" w:rsidRPr="00BF345F" w:rsidRDefault="000E25A7" w:rsidP="000E25A7">
      <w:pPr>
        <w:pStyle w:val="SingleTxtG"/>
      </w:pPr>
      <w:bookmarkStart w:id="171" w:name="_Hlk76996378"/>
      <w:r>
        <w:t>447</w:t>
      </w:r>
      <w:r w:rsidRPr="00BF345F">
        <w:t>.</w:t>
      </w:r>
      <w:r w:rsidRPr="00BF345F">
        <w:tab/>
      </w:r>
      <w:r>
        <w:rPr>
          <w:lang w:val="fr-FR"/>
        </w:rPr>
        <w:t>La Commission a de nouveau souligné qu</w:t>
      </w:r>
      <w:r w:rsidR="004C5E26">
        <w:rPr>
          <w:lang w:val="fr-FR"/>
        </w:rPr>
        <w:t>’</w:t>
      </w:r>
      <w:r>
        <w:rPr>
          <w:lang w:val="fr-FR"/>
        </w:rPr>
        <w:t>elle employait une méthode qui lui était propre aux fins du développement progressif et de la codification du droit international en ce qu</w:t>
      </w:r>
      <w:r w:rsidR="004C5E26">
        <w:rPr>
          <w:lang w:val="fr-FR"/>
        </w:rPr>
        <w:t>’</w:t>
      </w:r>
      <w:r>
        <w:rPr>
          <w:lang w:val="fr-FR"/>
        </w:rPr>
        <w:t>elle attache une importance particulière à la pratique des États et aux décisions des juridictions nationales et internationales dans sa manière de traiter les questions de droit international. Elle a réaffirmé combien il importait que lui soient communiqués tous les éléments relatifs à la pratique des États et aux autres sources de droit international susceptibles de lui être utiles dans l</w:t>
      </w:r>
      <w:r w:rsidR="004C5E26">
        <w:rPr>
          <w:lang w:val="fr-FR"/>
        </w:rPr>
        <w:t>’</w:t>
      </w:r>
      <w:r>
        <w:rPr>
          <w:lang w:val="fr-FR"/>
        </w:rPr>
        <w:t>accomplissement de son mandat. Les rapports de ses rapporteurs spéciaux doivent en effet comporter des informations sur les précédents et les autres sources pertinentes, y compris les traités, les décisions de justice et la doctrine, ainsi qu</w:t>
      </w:r>
      <w:r w:rsidR="004C5E26">
        <w:rPr>
          <w:lang w:val="fr-FR"/>
        </w:rPr>
        <w:t>’</w:t>
      </w:r>
      <w:r>
        <w:rPr>
          <w:lang w:val="fr-FR"/>
        </w:rPr>
        <w:t>une analyse approfondie des questions à l</w:t>
      </w:r>
      <w:r w:rsidR="004C5E26">
        <w:rPr>
          <w:lang w:val="fr-FR"/>
        </w:rPr>
        <w:t>’</w:t>
      </w:r>
      <w:r>
        <w:rPr>
          <w:lang w:val="fr-FR"/>
        </w:rPr>
        <w:t>examen. La Commission a souligné qu</w:t>
      </w:r>
      <w:r w:rsidR="004C5E26">
        <w:rPr>
          <w:lang w:val="fr-FR"/>
        </w:rPr>
        <w:t>’</w:t>
      </w:r>
      <w:r>
        <w:rPr>
          <w:lang w:val="fr-FR"/>
        </w:rPr>
        <w:t>elle était pleinement consciente, comme le sont ses rapporteurs spéciaux, de la nécessité de réduire autant que possible le volume global de la documentation, et qu</w:t>
      </w:r>
      <w:r w:rsidR="004C5E26">
        <w:rPr>
          <w:lang w:val="fr-FR"/>
        </w:rPr>
        <w:t>’</w:t>
      </w:r>
      <w:r>
        <w:rPr>
          <w:lang w:val="fr-FR"/>
        </w:rPr>
        <w:t>elle continuerait de garder cette considération à l</w:t>
      </w:r>
      <w:r w:rsidR="004C5E26">
        <w:rPr>
          <w:lang w:val="fr-FR"/>
        </w:rPr>
        <w:t>’</w:t>
      </w:r>
      <w:r>
        <w:rPr>
          <w:lang w:val="fr-FR"/>
        </w:rPr>
        <w:t>esprit. Toutefois, si elle reconnaît l</w:t>
      </w:r>
      <w:r w:rsidR="004C5E26">
        <w:rPr>
          <w:lang w:val="fr-FR"/>
        </w:rPr>
        <w:t>’</w:t>
      </w:r>
      <w:r>
        <w:rPr>
          <w:lang w:val="fr-FR"/>
        </w:rPr>
        <w:t>intérêt qu</w:t>
      </w:r>
      <w:r w:rsidR="004C5E26">
        <w:rPr>
          <w:lang w:val="fr-FR"/>
        </w:rPr>
        <w:t>’</w:t>
      </w:r>
      <w:r>
        <w:rPr>
          <w:lang w:val="fr-FR"/>
        </w:rPr>
        <w:t>il y a à être aussi concis que possible, elle se dit de nouveau fermement convaincue qu</w:t>
      </w:r>
      <w:r w:rsidR="004C5E26">
        <w:rPr>
          <w:lang w:val="fr-FR"/>
        </w:rPr>
        <w:t>’</w:t>
      </w:r>
      <w:r>
        <w:rPr>
          <w:lang w:val="fr-FR"/>
        </w:rPr>
        <w:t>on ne peut pas limiter a priori la longueur de ses documents et de ses travaux de recherche. On ne saurait donc demander aux rapporteurs spéciaux d</w:t>
      </w:r>
      <w:r w:rsidR="004C5E26">
        <w:rPr>
          <w:lang w:val="fr-FR"/>
        </w:rPr>
        <w:t>’</w:t>
      </w:r>
      <w:r>
        <w:rPr>
          <w:lang w:val="fr-FR"/>
        </w:rPr>
        <w:t>écourter leurs rapports une fois qu</w:t>
      </w:r>
      <w:r w:rsidR="004C5E26">
        <w:rPr>
          <w:lang w:val="fr-FR"/>
        </w:rPr>
        <w:t>’</w:t>
      </w:r>
      <w:r>
        <w:rPr>
          <w:lang w:val="fr-FR"/>
        </w:rPr>
        <w:t>ils les ont présentés au Secrétariat, indépendamment de toute estimation préalablement fournie par celui-ci. Comme l</w:t>
      </w:r>
      <w:r w:rsidR="004C5E26">
        <w:rPr>
          <w:lang w:val="fr-FR"/>
        </w:rPr>
        <w:t>’</w:t>
      </w:r>
      <w:r>
        <w:rPr>
          <w:lang w:val="fr-FR"/>
        </w:rPr>
        <w:t>Assemblée générale l</w:t>
      </w:r>
      <w:r w:rsidR="004C5E26">
        <w:rPr>
          <w:lang w:val="fr-FR"/>
        </w:rPr>
        <w:t>’</w:t>
      </w:r>
      <w:r>
        <w:rPr>
          <w:lang w:val="fr-FR"/>
        </w:rPr>
        <w:t>a rappelé à maintes reprises les limites du nombre de mots pour les documents ne s</w:t>
      </w:r>
      <w:r w:rsidR="004C5E26">
        <w:rPr>
          <w:lang w:val="fr-FR"/>
        </w:rPr>
        <w:t>’</w:t>
      </w:r>
      <w:r>
        <w:rPr>
          <w:lang w:val="fr-FR"/>
        </w:rPr>
        <w:t>appliquent pas aux travaux de la Commission</w:t>
      </w:r>
      <w:r w:rsidRPr="00E9227E">
        <w:rPr>
          <w:rStyle w:val="Appelnotedebasdep"/>
        </w:rPr>
        <w:footnoteReference w:id="301"/>
      </w:r>
      <w:r>
        <w:rPr>
          <w:lang w:val="fr-FR"/>
        </w:rPr>
        <w:t xml:space="preserve">. La Commission </w:t>
      </w:r>
      <w:r>
        <w:rPr>
          <w:lang w:val="fr-FR"/>
        </w:rPr>
        <w:lastRenderedPageBreak/>
        <w:t>souligne par ailleurs qu</w:t>
      </w:r>
      <w:r w:rsidR="004C5E26">
        <w:rPr>
          <w:lang w:val="fr-FR"/>
        </w:rPr>
        <w:t>’</w:t>
      </w:r>
      <w:r>
        <w:rPr>
          <w:lang w:val="fr-FR"/>
        </w:rPr>
        <w:t>il importe que les rapporteurs spéciaux établissent leurs rapports et les transmettent au Secrétariat en temps voulu, afin que celui-ci les traite et les lui transmette suffisamment à l</w:t>
      </w:r>
      <w:r w:rsidR="004C5E26">
        <w:rPr>
          <w:lang w:val="fr-FR"/>
        </w:rPr>
        <w:t>’</w:t>
      </w:r>
      <w:r>
        <w:rPr>
          <w:lang w:val="fr-FR"/>
        </w:rPr>
        <w:t>avance et que ces rapports soient publiés dans toutes les langues officielles, idéalement quatre semaines avant le début de la partie pertinente de la session. À cet égard, elle rappelle qu</w:t>
      </w:r>
      <w:r w:rsidR="004C5E26">
        <w:rPr>
          <w:lang w:val="fr-FR"/>
        </w:rPr>
        <w:t>’</w:t>
      </w:r>
      <w:r>
        <w:rPr>
          <w:lang w:val="fr-FR"/>
        </w:rPr>
        <w:t>il importe que les rapporteurs spéciaux soumettent leurs rapports dans les délais fixés par le Secrétariat. Ce n</w:t>
      </w:r>
      <w:r w:rsidR="004C5E26">
        <w:rPr>
          <w:lang w:val="fr-FR"/>
        </w:rPr>
        <w:t>’</w:t>
      </w:r>
      <w:r>
        <w:rPr>
          <w:lang w:val="fr-FR"/>
        </w:rPr>
        <w:t>est qu</w:t>
      </w:r>
      <w:r w:rsidR="004C5E26">
        <w:rPr>
          <w:lang w:val="fr-FR"/>
        </w:rPr>
        <w:t>’</w:t>
      </w:r>
      <w:r>
        <w:rPr>
          <w:lang w:val="fr-FR"/>
        </w:rPr>
        <w:t>à cette condition que celui-ci peut faire en sorte que les documents officiels de la Commission soient publiés en temps voulu dans les six langues officielles de l</w:t>
      </w:r>
      <w:r w:rsidR="004C5E26">
        <w:rPr>
          <w:lang w:val="fr-FR"/>
        </w:rPr>
        <w:t>’</w:t>
      </w:r>
      <w:r>
        <w:rPr>
          <w:lang w:val="fr-FR"/>
        </w:rPr>
        <w:t>Organisation des Nations Unies.</w:t>
      </w:r>
    </w:p>
    <w:p w14:paraId="74C4B88D" w14:textId="10027897" w:rsidR="000E25A7" w:rsidRPr="00BF345F" w:rsidRDefault="000E25A7" w:rsidP="000E25A7">
      <w:pPr>
        <w:pStyle w:val="SingleTxtG"/>
      </w:pPr>
      <w:r w:rsidRPr="004566AA">
        <w:t>448.</w:t>
      </w:r>
      <w:r w:rsidRPr="004566AA">
        <w:tab/>
      </w:r>
      <w:r w:rsidRPr="004566AA">
        <w:rPr>
          <w:lang w:val="fr-FR"/>
        </w:rPr>
        <w:t>Par ailleurs, la Commission a demandé au Secrétariat de veiller à ce que les services de documentation chargés de l</w:t>
      </w:r>
      <w:r w:rsidR="004C5E26">
        <w:rPr>
          <w:lang w:val="fr-FR"/>
        </w:rPr>
        <w:t>’</w:t>
      </w:r>
      <w:r w:rsidRPr="004566AA">
        <w:rPr>
          <w:lang w:val="fr-FR"/>
        </w:rPr>
        <w:t>édition et de la traduction des documents travaillent plus efficacement, notamment en assurant le traitement et la diffusion en temps voulu des rapports des rapporteurs spéciaux dans la langue originale dans laquelle ils ont été rédigés et dans toutes les autres langues officielles de l</w:t>
      </w:r>
      <w:r w:rsidR="004C5E26">
        <w:rPr>
          <w:lang w:val="fr-FR"/>
        </w:rPr>
        <w:t>’</w:t>
      </w:r>
      <w:r w:rsidRPr="004566AA">
        <w:rPr>
          <w:lang w:val="fr-FR"/>
        </w:rPr>
        <w:t>Organisation des Nations Unies.</w:t>
      </w:r>
    </w:p>
    <w:p w14:paraId="39E8E066" w14:textId="6AB06408" w:rsidR="000E25A7" w:rsidRPr="00BF345F" w:rsidRDefault="000E25A7" w:rsidP="000E25A7">
      <w:pPr>
        <w:pStyle w:val="SingleTxtG"/>
      </w:pPr>
      <w:r>
        <w:t>449</w:t>
      </w:r>
      <w:r w:rsidRPr="00BF345F">
        <w:t>.</w:t>
      </w:r>
      <w:r w:rsidRPr="00BF345F">
        <w:tab/>
      </w:r>
      <w:r>
        <w:rPr>
          <w:lang w:val="fr-FR"/>
        </w:rPr>
        <w:t>La Commission rappelle que les publications juridiques élaborées par le Secrétariat ont pour ses travaux un intérêt particulier et une valeur considérable</w:t>
      </w:r>
      <w:r w:rsidRPr="00E9227E">
        <w:rPr>
          <w:rStyle w:val="Appelnotedebasdep"/>
        </w:rPr>
        <w:footnoteReference w:id="302"/>
      </w:r>
      <w:r>
        <w:rPr>
          <w:lang w:val="fr-FR"/>
        </w:rPr>
        <w:t>. Elle salue les efforts qu</w:t>
      </w:r>
      <w:r w:rsidR="004C5E26">
        <w:rPr>
          <w:lang w:val="fr-FR"/>
        </w:rPr>
        <w:t>’</w:t>
      </w:r>
      <w:r>
        <w:rPr>
          <w:lang w:val="fr-FR"/>
        </w:rPr>
        <w:t>il fait pour utiliser la publication assistée par ordinateur, qui a déjà permis de mieux garantir la parution en temps utile de ces publications à l</w:t>
      </w:r>
      <w:r w:rsidR="004C5E26">
        <w:rPr>
          <w:lang w:val="fr-FR"/>
        </w:rPr>
        <w:t>’</w:t>
      </w:r>
      <w:r>
        <w:rPr>
          <w:lang w:val="fr-FR"/>
        </w:rPr>
        <w:t>intention de la Commission, malgré les contraintes dues au manque de ressources. La Commission s</w:t>
      </w:r>
      <w:r w:rsidR="004C5E26">
        <w:rPr>
          <w:lang w:val="fr-FR"/>
        </w:rPr>
        <w:t>’</w:t>
      </w:r>
      <w:r>
        <w:rPr>
          <w:lang w:val="fr-FR"/>
        </w:rPr>
        <w:t xml:space="preserve">est félicitée de ce que la dixième édition de </w:t>
      </w:r>
      <w:r w:rsidRPr="008028E7">
        <w:rPr>
          <w:i/>
          <w:iCs/>
          <w:lang w:val="fr-FR"/>
        </w:rPr>
        <w:t>La Commission du droit international et son œuvre</w:t>
      </w:r>
      <w:r w:rsidR="008D6DE1">
        <w:rPr>
          <w:lang w:val="fr-FR"/>
        </w:rPr>
        <w:t xml:space="preserve"> </w:t>
      </w:r>
      <w:r>
        <w:rPr>
          <w:lang w:val="fr-FR"/>
        </w:rPr>
        <w:t>ait été publiée en arabe, chinois, espagnol, français et russe cette année ; il s</w:t>
      </w:r>
      <w:r w:rsidR="004C5E26">
        <w:rPr>
          <w:lang w:val="fr-FR"/>
        </w:rPr>
        <w:t>’</w:t>
      </w:r>
      <w:r>
        <w:rPr>
          <w:lang w:val="fr-FR"/>
        </w:rPr>
        <w:t>agit d</w:t>
      </w:r>
      <w:r w:rsidR="004C5E26">
        <w:rPr>
          <w:lang w:val="fr-FR"/>
        </w:rPr>
        <w:t>’</w:t>
      </w:r>
      <w:r>
        <w:rPr>
          <w:lang w:val="fr-FR"/>
        </w:rPr>
        <w:t>un outil d</w:t>
      </w:r>
      <w:r w:rsidR="004C5E26">
        <w:rPr>
          <w:lang w:val="fr-FR"/>
        </w:rPr>
        <w:t>’</w:t>
      </w:r>
      <w:r>
        <w:rPr>
          <w:lang w:val="fr-FR"/>
        </w:rPr>
        <w:t>une importance majeure pour les travaux de la Commission.</w:t>
      </w:r>
    </w:p>
    <w:p w14:paraId="35F5878A" w14:textId="593DC80A" w:rsidR="000E25A7" w:rsidRPr="00BF345F" w:rsidRDefault="000E25A7" w:rsidP="000E25A7">
      <w:pPr>
        <w:pStyle w:val="SingleTxtG"/>
      </w:pPr>
      <w:bookmarkStart w:id="173" w:name="_Hlk76996484"/>
      <w:bookmarkEnd w:id="171"/>
      <w:r>
        <w:t>450</w:t>
      </w:r>
      <w:r w:rsidRPr="00BF345F">
        <w:t>.</w:t>
      </w:r>
      <w:r w:rsidRPr="00BF345F">
        <w:tab/>
      </w:r>
      <w:r>
        <w:rPr>
          <w:lang w:val="fr-FR"/>
        </w:rPr>
        <w:t>La Commission a rappelé qu</w:t>
      </w:r>
      <w:r w:rsidR="004C5E26">
        <w:rPr>
          <w:lang w:val="fr-FR"/>
        </w:rPr>
        <w:t>’</w:t>
      </w:r>
      <w:r>
        <w:rPr>
          <w:lang w:val="fr-FR"/>
        </w:rPr>
        <w:t>elle était fermement convaincue que la longueur des comptes rendus analytiques de ses séances, qui font partie des travaux préparatoires essentiels au développement progressif et à la codification du droit international, ne pouvait pas être arbitrairement limitée. Elle a de nouveau constaté avec satisfaction que les mesures prises à sa soixante-cinquième session (2013) pour rationaliser le traitement de ces documents avaient permis de transmettre plus rapidement les comptes rendus en anglais à ses membres afin qu</w:t>
      </w:r>
      <w:r w:rsidR="004C5E26">
        <w:rPr>
          <w:lang w:val="fr-FR"/>
        </w:rPr>
        <w:t>’</w:t>
      </w:r>
      <w:r>
        <w:rPr>
          <w:lang w:val="fr-FR"/>
        </w:rPr>
        <w:t>ils soient promptement corrigés et publiés. Elle a demandé au Secrétariat de recommencer à faire établir les comptes rendus analytiques à la fois en anglais et en français et de continuer d</w:t>
      </w:r>
      <w:r w:rsidR="004C5E26">
        <w:rPr>
          <w:lang w:val="fr-FR"/>
        </w:rPr>
        <w:t>’</w:t>
      </w:r>
      <w:r>
        <w:rPr>
          <w:lang w:val="fr-FR"/>
        </w:rPr>
        <w:t>appliquer les mesures adoptées afin que les comptes rendus provisoires soient rapidement communiqués à ses membres. Par ailleurs, elle a remarqué que la pratique récente consistant à soumettre les comptes rendus provisoires par voie électronique à ses membres pour que les corrections soient apportées en suivi des modifications fonctionnait bien. Elle s</w:t>
      </w:r>
      <w:r w:rsidR="004C5E26">
        <w:rPr>
          <w:lang w:val="fr-FR"/>
        </w:rPr>
        <w:t>’</w:t>
      </w:r>
      <w:r>
        <w:rPr>
          <w:lang w:val="fr-FR"/>
        </w:rPr>
        <w:t>est félicitée de ce que ces méthodes de travail avaient permis une utilisation plus rationnelle des ressources et a demandé au Secrétariat de continuer de faciliter l</w:t>
      </w:r>
      <w:r w:rsidR="004C5E26">
        <w:rPr>
          <w:lang w:val="fr-FR"/>
        </w:rPr>
        <w:t>’</w:t>
      </w:r>
      <w:r>
        <w:rPr>
          <w:lang w:val="fr-FR"/>
        </w:rPr>
        <w:t>établissement dans toutes les langues officielles de comptes rendus définitifs respectueux de l</w:t>
      </w:r>
      <w:r w:rsidR="004C5E26">
        <w:rPr>
          <w:lang w:val="fr-FR"/>
        </w:rPr>
        <w:t>’</w:t>
      </w:r>
      <w:r>
        <w:rPr>
          <w:lang w:val="fr-FR"/>
        </w:rPr>
        <w:t>intégrité des débats.</w:t>
      </w:r>
      <w:bookmarkEnd w:id="173"/>
    </w:p>
    <w:p w14:paraId="275D94D9" w14:textId="7F6E5725" w:rsidR="000E25A7" w:rsidRPr="00BF345F" w:rsidRDefault="000E25A7" w:rsidP="000E25A7">
      <w:pPr>
        <w:pStyle w:val="SingleTxtG"/>
      </w:pPr>
      <w:bookmarkStart w:id="174" w:name="_Hlk76996617"/>
      <w:r w:rsidRPr="00EC5A10">
        <w:t>451.</w:t>
      </w:r>
      <w:r w:rsidRPr="00EC5A10">
        <w:tab/>
      </w:r>
      <w:r w:rsidRPr="00EC5A10">
        <w:rPr>
          <w:lang w:val="fr-FR"/>
        </w:rPr>
        <w:t>La Commission a remercié tous les services intervenant dans le traitement de la documentation, à Genève et à New York, d</w:t>
      </w:r>
      <w:r w:rsidR="004C5E26">
        <w:rPr>
          <w:lang w:val="fr-FR"/>
        </w:rPr>
        <w:t>’</w:t>
      </w:r>
      <w:r w:rsidRPr="00EC5A10">
        <w:rPr>
          <w:lang w:val="fr-FR"/>
        </w:rPr>
        <w:t>avoir fait preuve de diligence malgré des délais souvent serrés. Ell</w:t>
      </w:r>
      <w:r>
        <w:rPr>
          <w:lang w:val="fr-FR"/>
        </w:rPr>
        <w:t>e a souligné que le traitement rapide et efficace des documents était indispensable au bon déroulement de ses travaux. Le travail effectué par tous les services avait été d</w:t>
      </w:r>
      <w:r w:rsidR="004C5E26">
        <w:rPr>
          <w:lang w:val="fr-FR"/>
        </w:rPr>
        <w:t>’</w:t>
      </w:r>
      <w:r>
        <w:rPr>
          <w:lang w:val="fr-FR"/>
        </w:rPr>
        <w:t>autant plus apprécié dans les circonstances actuelles.</w:t>
      </w:r>
    </w:p>
    <w:p w14:paraId="4C2408E5" w14:textId="6F08DC3F" w:rsidR="000E25A7" w:rsidRPr="00BF345F" w:rsidRDefault="000E25A7" w:rsidP="000E25A7">
      <w:pPr>
        <w:pStyle w:val="SingleTxtG"/>
        <w:keepNext/>
        <w:keepLines/>
        <w:rPr>
          <w:sz w:val="18"/>
          <w:vertAlign w:val="superscript"/>
        </w:rPr>
      </w:pPr>
      <w:r>
        <w:rPr>
          <w:sz w:val="18"/>
        </w:rPr>
        <w:t>452</w:t>
      </w:r>
      <w:r w:rsidRPr="00BF345F">
        <w:rPr>
          <w:sz w:val="18"/>
        </w:rPr>
        <w:t>.</w:t>
      </w:r>
      <w:r w:rsidRPr="00BF345F">
        <w:rPr>
          <w:sz w:val="18"/>
        </w:rPr>
        <w:tab/>
      </w:r>
      <w:r>
        <w:rPr>
          <w:lang w:val="fr-FR"/>
        </w:rPr>
        <w:t>La Commission a réaffirmé son attachement au multilinguisme et rappelé qu</w:t>
      </w:r>
      <w:r w:rsidR="004C5E26">
        <w:rPr>
          <w:lang w:val="fr-FR"/>
        </w:rPr>
        <w:t>’</w:t>
      </w:r>
      <w:r>
        <w:rPr>
          <w:lang w:val="fr-FR"/>
        </w:rPr>
        <w:t>il était primordial que les six langues officielles de l</w:t>
      </w:r>
      <w:r w:rsidR="004C5E26">
        <w:rPr>
          <w:lang w:val="fr-FR"/>
        </w:rPr>
        <w:t>’</w:t>
      </w:r>
      <w:r>
        <w:rPr>
          <w:lang w:val="fr-FR"/>
        </w:rPr>
        <w:t>Organisation des Nations Unies se voient accorder la même importance dans le contexte de ses travaux, comme l</w:t>
      </w:r>
      <w:r w:rsidR="004C5E26">
        <w:rPr>
          <w:lang w:val="fr-FR"/>
        </w:rPr>
        <w:t>’</w:t>
      </w:r>
      <w:r>
        <w:rPr>
          <w:lang w:val="fr-FR"/>
        </w:rPr>
        <w:t>Assemblée générale l</w:t>
      </w:r>
      <w:r w:rsidR="004C5E26">
        <w:rPr>
          <w:lang w:val="fr-FR"/>
        </w:rPr>
        <w:t>’</w:t>
      </w:r>
      <w:r>
        <w:rPr>
          <w:lang w:val="fr-FR"/>
        </w:rPr>
        <w:t xml:space="preserve">a souligné dans sa résolution </w:t>
      </w:r>
      <w:hyperlink r:id="rId87" w:history="1">
        <w:r w:rsidRPr="00EC5A10">
          <w:rPr>
            <w:rStyle w:val="Lienhypertexte"/>
            <w:lang w:val="fr-FR"/>
          </w:rPr>
          <w:t>76/268</w:t>
        </w:r>
      </w:hyperlink>
      <w:r>
        <w:rPr>
          <w:lang w:val="fr-FR"/>
        </w:rPr>
        <w:t xml:space="preserve"> du 10 juin 2022</w:t>
      </w:r>
      <w:r w:rsidRPr="00E9227E">
        <w:rPr>
          <w:rStyle w:val="Appelnotedebasdep"/>
        </w:rPr>
        <w:footnoteReference w:id="303"/>
      </w:r>
      <w:r>
        <w:rPr>
          <w:lang w:val="fr-FR"/>
        </w:rPr>
        <w:t>.</w:t>
      </w:r>
      <w:bookmarkEnd w:id="174"/>
    </w:p>
    <w:p w14:paraId="1D761EA6" w14:textId="5C3F9911" w:rsidR="000E25A7" w:rsidRPr="00BF345F" w:rsidRDefault="000E25A7" w:rsidP="000E25A7">
      <w:pPr>
        <w:pStyle w:val="SingleTxtG"/>
      </w:pPr>
      <w:r>
        <w:t>453</w:t>
      </w:r>
      <w:r w:rsidRPr="00BF345F">
        <w:t>.</w:t>
      </w:r>
      <w:r w:rsidRPr="00BF345F">
        <w:tab/>
      </w:r>
      <w:r>
        <w:rPr>
          <w:lang w:val="fr-FR"/>
        </w:rPr>
        <w:t>La Commission a remercié la Bibliothèque de l</w:t>
      </w:r>
      <w:r w:rsidR="004C5E26">
        <w:rPr>
          <w:lang w:val="fr-FR"/>
        </w:rPr>
        <w:t>’</w:t>
      </w:r>
      <w:r>
        <w:rPr>
          <w:lang w:val="fr-FR"/>
        </w:rPr>
        <w:t>Office des Nations Unies à Genève pour ses services efficaces d</w:t>
      </w:r>
      <w:r w:rsidR="004C5E26">
        <w:rPr>
          <w:lang w:val="fr-FR"/>
        </w:rPr>
        <w:t>’</w:t>
      </w:r>
      <w:r>
        <w:rPr>
          <w:lang w:val="fr-FR"/>
        </w:rPr>
        <w:t>appui à la recherche, notamment pour le dossier d</w:t>
      </w:r>
      <w:r w:rsidR="004C5E26">
        <w:rPr>
          <w:lang w:val="fr-FR"/>
        </w:rPr>
        <w:t>’</w:t>
      </w:r>
      <w:r>
        <w:rPr>
          <w:lang w:val="fr-FR"/>
        </w:rPr>
        <w:t>information en ligne et les bibliographies multilingues qu</w:t>
      </w:r>
      <w:r w:rsidR="004C5E26">
        <w:rPr>
          <w:lang w:val="fr-FR"/>
        </w:rPr>
        <w:t>’</w:t>
      </w:r>
      <w:r>
        <w:rPr>
          <w:lang w:val="fr-FR"/>
        </w:rPr>
        <w:t>elle a établis spécialement à son intention, et lui dit sa reconnaissance pour le soutien fourni en dépit des mesures que l</w:t>
      </w:r>
      <w:r w:rsidR="004C5E26">
        <w:rPr>
          <w:lang w:val="fr-FR"/>
        </w:rPr>
        <w:t>’</w:t>
      </w:r>
      <w:r>
        <w:rPr>
          <w:lang w:val="fr-FR"/>
        </w:rPr>
        <w:t xml:space="preserve">Office des </w:t>
      </w:r>
      <w:r>
        <w:rPr>
          <w:lang w:val="fr-FR"/>
        </w:rPr>
        <w:lastRenderedPageBreak/>
        <w:t>Nations Unies à Genève a mises en place en raison de la crise des liquidités touchant l</w:t>
      </w:r>
      <w:r w:rsidR="004C5E26">
        <w:rPr>
          <w:lang w:val="fr-FR"/>
        </w:rPr>
        <w:t>’</w:t>
      </w:r>
      <w:r>
        <w:rPr>
          <w:lang w:val="fr-FR"/>
        </w:rPr>
        <w:t>Organisation en 2024.</w:t>
      </w:r>
    </w:p>
    <w:p w14:paraId="57827788" w14:textId="3C2466E6" w:rsidR="000E25A7" w:rsidRPr="00BF345F" w:rsidRDefault="000E25A7" w:rsidP="000E25A7">
      <w:pPr>
        <w:pStyle w:val="SingleTxtG"/>
      </w:pPr>
      <w:r>
        <w:t>454</w:t>
      </w:r>
      <w:r w:rsidRPr="00BF345F">
        <w:t>.</w:t>
      </w:r>
      <w:r w:rsidRPr="00BF345F">
        <w:tab/>
      </w:r>
      <w:r w:rsidRPr="00627D26">
        <w:rPr>
          <w:lang w:val="fr-FR"/>
        </w:rPr>
        <w:t>Les limitations imposées par la crise des liquidités, qui ont grandement affecté le travail des membres de la Commission, ont montré d</w:t>
      </w:r>
      <w:r w:rsidR="004C5E26">
        <w:rPr>
          <w:lang w:val="fr-FR"/>
        </w:rPr>
        <w:t>’</w:t>
      </w:r>
      <w:r w:rsidRPr="00627D26">
        <w:rPr>
          <w:lang w:val="fr-FR"/>
        </w:rPr>
        <w:t xml:space="preserve">autant plus que les services de la Bibliothèque </w:t>
      </w:r>
      <w:r>
        <w:rPr>
          <w:lang w:val="fr-FR"/>
        </w:rPr>
        <w:t>sont</w:t>
      </w:r>
      <w:r w:rsidRPr="00627D26">
        <w:rPr>
          <w:lang w:val="fr-FR"/>
        </w:rPr>
        <w:t xml:space="preserve"> nécessaires pour les travaux de la Commission, et qu</w:t>
      </w:r>
      <w:r w:rsidR="004C5E26">
        <w:rPr>
          <w:lang w:val="fr-FR"/>
        </w:rPr>
        <w:t>’</w:t>
      </w:r>
      <w:r w:rsidRPr="00627D26">
        <w:rPr>
          <w:lang w:val="fr-FR"/>
        </w:rPr>
        <w:t>il import</w:t>
      </w:r>
      <w:r>
        <w:rPr>
          <w:lang w:val="fr-FR"/>
        </w:rPr>
        <w:t>e</w:t>
      </w:r>
      <w:r w:rsidRPr="00627D26">
        <w:rPr>
          <w:lang w:val="fr-FR"/>
        </w:rPr>
        <w:t xml:space="preserve"> de lui fournir des moyens suffisants pour qu</w:t>
      </w:r>
      <w:r w:rsidR="004C5E26">
        <w:rPr>
          <w:lang w:val="fr-FR"/>
        </w:rPr>
        <w:t>’</w:t>
      </w:r>
      <w:r w:rsidRPr="00627D26">
        <w:rPr>
          <w:lang w:val="fr-FR"/>
        </w:rPr>
        <w:t>elle puisse s</w:t>
      </w:r>
      <w:r w:rsidR="004C5E26">
        <w:rPr>
          <w:lang w:val="fr-FR"/>
        </w:rPr>
        <w:t>’</w:t>
      </w:r>
      <w:r w:rsidRPr="00627D26">
        <w:rPr>
          <w:lang w:val="fr-FR"/>
        </w:rPr>
        <w:t xml:space="preserve">acquitter de son mandat et maintenir ses collections et ses services. La Commission a </w:t>
      </w:r>
      <w:r>
        <w:rPr>
          <w:lang w:val="fr-FR"/>
        </w:rPr>
        <w:t>salué</w:t>
      </w:r>
      <w:r w:rsidRPr="00627D26">
        <w:rPr>
          <w:lang w:val="fr-FR"/>
        </w:rPr>
        <w:t xml:space="preserve"> les efforts déployés par l</w:t>
      </w:r>
      <w:r w:rsidR="004C5E26">
        <w:rPr>
          <w:lang w:val="fr-FR"/>
        </w:rPr>
        <w:t>’</w:t>
      </w:r>
      <w:r w:rsidRPr="00627D26">
        <w:rPr>
          <w:lang w:val="fr-FR"/>
        </w:rPr>
        <w:t>administration de l</w:t>
      </w:r>
      <w:r w:rsidR="004C5E26">
        <w:rPr>
          <w:lang w:val="fr-FR"/>
        </w:rPr>
        <w:t>’</w:t>
      </w:r>
      <w:r w:rsidRPr="00627D26">
        <w:rPr>
          <w:lang w:val="fr-FR"/>
        </w:rPr>
        <w:t xml:space="preserve">Office des Nations Unies à Genève pour permettre un retour partiel de la </w:t>
      </w:r>
      <w:r>
        <w:rPr>
          <w:lang w:val="fr-FR"/>
        </w:rPr>
        <w:t>B</w:t>
      </w:r>
      <w:r w:rsidRPr="00627D26">
        <w:rPr>
          <w:lang w:val="fr-FR"/>
        </w:rPr>
        <w:t>ibliothèque pendant une partie de la session de la Commission</w:t>
      </w:r>
      <w:r w:rsidRPr="00433FD1">
        <w:rPr>
          <w:lang w:val="fr-FR"/>
        </w:rPr>
        <w:t>, comme suite aux observations faites par des membres à ce sujet.</w:t>
      </w:r>
    </w:p>
    <w:p w14:paraId="43308335" w14:textId="60F7FD84" w:rsidR="000E25A7" w:rsidRPr="00BF345F" w:rsidRDefault="000E25A7" w:rsidP="000E25A7">
      <w:pPr>
        <w:pStyle w:val="SingleTxtG"/>
      </w:pPr>
      <w:r>
        <w:t>455</w:t>
      </w:r>
      <w:r w:rsidRPr="00BF345F">
        <w:t>.</w:t>
      </w:r>
      <w:r w:rsidRPr="00BF345F">
        <w:tab/>
      </w:r>
      <w:r>
        <w:rPr>
          <w:lang w:val="fr-FR"/>
        </w:rPr>
        <w:t xml:space="preserve">La Commission </w:t>
      </w:r>
      <w:r w:rsidRPr="00433FD1">
        <w:rPr>
          <w:lang w:val="fr-FR"/>
        </w:rPr>
        <w:t>a pris note de l</w:t>
      </w:r>
      <w:r w:rsidR="004C5E26">
        <w:rPr>
          <w:lang w:val="fr-FR"/>
        </w:rPr>
        <w:t>’</w:t>
      </w:r>
      <w:r w:rsidRPr="00433FD1">
        <w:rPr>
          <w:lang w:val="fr-FR"/>
        </w:rPr>
        <w:t>engagement de la Directrice générale de l</w:t>
      </w:r>
      <w:r w:rsidR="004C5E26">
        <w:rPr>
          <w:lang w:val="fr-FR"/>
        </w:rPr>
        <w:t>’</w:t>
      </w:r>
      <w:r w:rsidRPr="00433FD1">
        <w:rPr>
          <w:lang w:val="fr-FR"/>
        </w:rPr>
        <w:t>Office des Nations</w:t>
      </w:r>
      <w:r w:rsidR="00EC5A10">
        <w:rPr>
          <w:lang w:val="fr-FR"/>
        </w:rPr>
        <w:t> </w:t>
      </w:r>
      <w:r w:rsidRPr="00433FD1">
        <w:rPr>
          <w:lang w:val="fr-FR"/>
        </w:rPr>
        <w:t>Unies à Genève de veiller à ce qu</w:t>
      </w:r>
      <w:r w:rsidR="004C5E26">
        <w:rPr>
          <w:lang w:val="fr-FR"/>
        </w:rPr>
        <w:t>’</w:t>
      </w:r>
      <w:r w:rsidRPr="00433FD1">
        <w:rPr>
          <w:lang w:val="fr-FR"/>
        </w:rPr>
        <w:t xml:space="preserve">en 2025, les espaces et les services de la Bibliothèque soient disponibles pendant toute sa soixante-seizième session, avant </w:t>
      </w:r>
      <w:r>
        <w:rPr>
          <w:lang w:val="fr-FR"/>
        </w:rPr>
        <w:t xml:space="preserve">que </w:t>
      </w:r>
      <w:r w:rsidRPr="00433FD1">
        <w:rPr>
          <w:lang w:val="fr-FR"/>
        </w:rPr>
        <w:t>les</w:t>
      </w:r>
      <w:r>
        <w:rPr>
          <w:lang w:val="fr-FR"/>
        </w:rPr>
        <w:t xml:space="preserve"> rénovations prévues dans le cadre du Plan stratégique patrimonial ne commencent dans le bâtiment de la Bibliothèque et des archives.</w:t>
      </w:r>
    </w:p>
    <w:p w14:paraId="37266A30" w14:textId="08BF9473" w:rsidR="000E25A7" w:rsidRPr="00BF345F" w:rsidRDefault="000E25A7" w:rsidP="000E25A7">
      <w:pPr>
        <w:pStyle w:val="SingleTxtG"/>
      </w:pPr>
      <w:r>
        <w:t>456</w:t>
      </w:r>
      <w:r w:rsidRPr="00BF345F">
        <w:t>.</w:t>
      </w:r>
      <w:r w:rsidRPr="00BF345F">
        <w:tab/>
      </w:r>
      <w:r>
        <w:rPr>
          <w:lang w:val="fr-FR"/>
        </w:rPr>
        <w:t>En ce qui concerne l</w:t>
      </w:r>
      <w:r w:rsidR="004C5E26">
        <w:rPr>
          <w:lang w:val="fr-FR"/>
        </w:rPr>
        <w:t>’</w:t>
      </w:r>
      <w:r>
        <w:rPr>
          <w:lang w:val="fr-FR"/>
        </w:rPr>
        <w:t>évolution en cours de la Bibliothèque et des archives de l</w:t>
      </w:r>
      <w:r w:rsidR="004C5E26">
        <w:rPr>
          <w:lang w:val="fr-FR"/>
        </w:rPr>
        <w:t>’</w:t>
      </w:r>
      <w:r>
        <w:rPr>
          <w:lang w:val="fr-FR"/>
        </w:rPr>
        <w:t>Office des Nations Unies à Genève, la Commission soutient le renforcement actuel de ses capacités afin qu</w:t>
      </w:r>
      <w:r w:rsidR="004C5E26">
        <w:rPr>
          <w:lang w:val="fr-FR"/>
        </w:rPr>
        <w:t>’</w:t>
      </w:r>
      <w:r>
        <w:rPr>
          <w:lang w:val="fr-FR"/>
        </w:rPr>
        <w:t>elle puisse servir de centre de recherche axé sur le droit international et le multilatéralisme. Dans ce contexte, la Commission a souligné la nécessité d</w:t>
      </w:r>
      <w:r w:rsidR="004C5E26">
        <w:rPr>
          <w:lang w:val="fr-FR"/>
        </w:rPr>
        <w:t>’</w:t>
      </w:r>
      <w:r>
        <w:rPr>
          <w:lang w:val="fr-FR"/>
        </w:rPr>
        <w:t>une diversité des ressources et du multilinguisme, ainsi que la valeur de la bibliothèque qui, non seulement soutient directement ses travaux, mais constitue aussi une ressource pour les chercheurs et pour les praticiens du droit international, d</w:t>
      </w:r>
      <w:r w:rsidR="004C5E26">
        <w:rPr>
          <w:lang w:val="fr-FR"/>
        </w:rPr>
        <w:t>’</w:t>
      </w:r>
      <w:r>
        <w:rPr>
          <w:lang w:val="fr-FR"/>
        </w:rPr>
        <w:t>aujourd</w:t>
      </w:r>
      <w:r w:rsidR="004C5E26">
        <w:rPr>
          <w:lang w:val="fr-FR"/>
        </w:rPr>
        <w:t>’</w:t>
      </w:r>
      <w:r>
        <w:rPr>
          <w:lang w:val="fr-FR"/>
        </w:rPr>
        <w:t>hui et de demain.</w:t>
      </w:r>
    </w:p>
    <w:p w14:paraId="57C4766C" w14:textId="77777777" w:rsidR="000E25A7" w:rsidRPr="00BF345F" w:rsidRDefault="000E25A7" w:rsidP="000E25A7">
      <w:pPr>
        <w:pStyle w:val="H23G"/>
      </w:pPr>
      <w:bookmarkStart w:id="175" w:name="_Toc111554827"/>
      <w:bookmarkStart w:id="176" w:name="_Toc111555209"/>
      <w:r>
        <w:tab/>
      </w:r>
      <w:r w:rsidRPr="00BF345F">
        <w:t>7.</w:t>
      </w:r>
      <w:r w:rsidRPr="00BF345F">
        <w:tab/>
      </w:r>
      <w:bookmarkStart w:id="177" w:name="_Hlk175323791"/>
      <w:r w:rsidRPr="00BC1826">
        <w:rPr>
          <w:i/>
          <w:iCs/>
          <w:lang w:val="fr-FR"/>
        </w:rPr>
        <w:t>Annuaire de la Commission du droit international</w:t>
      </w:r>
      <w:bookmarkEnd w:id="175"/>
      <w:bookmarkEnd w:id="176"/>
      <w:bookmarkEnd w:id="177"/>
    </w:p>
    <w:p w14:paraId="26FFF5E9" w14:textId="3F6F7A0F" w:rsidR="000E25A7" w:rsidRPr="00731849" w:rsidRDefault="000E25A7" w:rsidP="000E25A7">
      <w:pPr>
        <w:pStyle w:val="SingleTxtG"/>
      </w:pPr>
      <w:r>
        <w:t>457</w:t>
      </w:r>
      <w:r w:rsidRPr="00BF345F">
        <w:t>.</w:t>
      </w:r>
      <w:r w:rsidRPr="00BF345F">
        <w:tab/>
      </w:r>
      <w:r>
        <w:rPr>
          <w:lang w:val="fr-FR"/>
        </w:rPr>
        <w:t>La Commission a réaffirmé que l</w:t>
      </w:r>
      <w:r w:rsidR="004C5E26">
        <w:rPr>
          <w:lang w:val="fr-FR"/>
        </w:rPr>
        <w:t>’</w:t>
      </w:r>
      <w:r w:rsidRPr="00242329">
        <w:rPr>
          <w:i/>
          <w:iCs/>
          <w:lang w:val="fr-FR"/>
        </w:rPr>
        <w:t>Annuaire de la Commission du droit international</w:t>
      </w:r>
      <w:r>
        <w:rPr>
          <w:lang w:val="fr-FR"/>
        </w:rPr>
        <w:t xml:space="preserve"> jouait un rôle primordial dans la bonne compréhension des travaux qu</w:t>
      </w:r>
      <w:r w:rsidR="004C5E26">
        <w:rPr>
          <w:lang w:val="fr-FR"/>
        </w:rPr>
        <w:t>’</w:t>
      </w:r>
      <w:r>
        <w:rPr>
          <w:lang w:val="fr-FR"/>
        </w:rPr>
        <w:t>elle menait en matière de développement progressif et de codification du droit international et de renforcement de l</w:t>
      </w:r>
      <w:r w:rsidR="004C5E26">
        <w:rPr>
          <w:lang w:val="fr-FR"/>
        </w:rPr>
        <w:t>’</w:t>
      </w:r>
      <w:r>
        <w:rPr>
          <w:lang w:val="fr-FR"/>
        </w:rPr>
        <w:t xml:space="preserve">état de droit dans les relations internationales. Elle a noté que, dans sa résolution </w:t>
      </w:r>
      <w:hyperlink r:id="rId88" w:history="1">
        <w:r w:rsidRPr="00242329">
          <w:rPr>
            <w:rStyle w:val="Lienhypertexte"/>
            <w:lang w:val="fr-FR"/>
          </w:rPr>
          <w:t>78/108</w:t>
        </w:r>
      </w:hyperlink>
      <w:r>
        <w:rPr>
          <w:lang w:val="fr-FR"/>
        </w:rPr>
        <w:t>, l</w:t>
      </w:r>
      <w:r w:rsidR="004C5E26">
        <w:rPr>
          <w:lang w:val="fr-FR"/>
        </w:rPr>
        <w:t>’</w:t>
      </w:r>
      <w:r>
        <w:rPr>
          <w:lang w:val="fr-FR"/>
        </w:rPr>
        <w:t>Assemblée générale avait exprimé sa reconnaissance aux gouvernements qui avaient versé des contributions volontaires au Fonds d</w:t>
      </w:r>
      <w:r w:rsidR="004C5E26">
        <w:rPr>
          <w:lang w:val="fr-FR"/>
        </w:rPr>
        <w:t>’</w:t>
      </w:r>
      <w:r>
        <w:rPr>
          <w:lang w:val="fr-FR"/>
        </w:rPr>
        <w:t>affectation spéciale destiné à résorber l</w:t>
      </w:r>
      <w:r w:rsidR="004C5E26">
        <w:rPr>
          <w:lang w:val="fr-FR"/>
        </w:rPr>
        <w:t>’</w:t>
      </w:r>
      <w:r>
        <w:rPr>
          <w:lang w:val="fr-FR"/>
        </w:rPr>
        <w:t xml:space="preserve">arriéré de </w:t>
      </w:r>
      <w:r w:rsidRPr="00731849">
        <w:rPr>
          <w:lang w:val="fr-FR"/>
        </w:rPr>
        <w:t>publication de l</w:t>
      </w:r>
      <w:r w:rsidR="004C5E26">
        <w:rPr>
          <w:lang w:val="fr-FR"/>
        </w:rPr>
        <w:t>’</w:t>
      </w:r>
      <w:r w:rsidRPr="00731849">
        <w:rPr>
          <w:i/>
          <w:iCs/>
          <w:lang w:val="fr-FR"/>
        </w:rPr>
        <w:t>Annuaire</w:t>
      </w:r>
      <w:r w:rsidRPr="00731849">
        <w:rPr>
          <w:lang w:val="fr-FR"/>
        </w:rPr>
        <w:t xml:space="preserve"> et avait encouragé le versement d</w:t>
      </w:r>
      <w:r w:rsidR="004C5E26">
        <w:rPr>
          <w:lang w:val="fr-FR"/>
        </w:rPr>
        <w:t>’</w:t>
      </w:r>
      <w:r w:rsidRPr="00731849">
        <w:rPr>
          <w:lang w:val="fr-FR"/>
        </w:rPr>
        <w:t>autres contributions à ce fonds.</w:t>
      </w:r>
    </w:p>
    <w:p w14:paraId="4489BBF8" w14:textId="6C661807" w:rsidR="000E25A7" w:rsidRPr="00BF345F" w:rsidRDefault="000E25A7" w:rsidP="000E25A7">
      <w:pPr>
        <w:pStyle w:val="SingleTxtG"/>
      </w:pPr>
      <w:r>
        <w:t>458</w:t>
      </w:r>
      <w:r w:rsidRPr="00731849">
        <w:t>.</w:t>
      </w:r>
      <w:r w:rsidRPr="00731849">
        <w:tab/>
      </w:r>
      <w:r w:rsidRPr="00731849">
        <w:rPr>
          <w:lang w:val="fr-FR"/>
        </w:rPr>
        <w:t>La Commission recommande que, comme elle l</w:t>
      </w:r>
      <w:r w:rsidR="004C5E26">
        <w:rPr>
          <w:lang w:val="fr-FR"/>
        </w:rPr>
        <w:t>’</w:t>
      </w:r>
      <w:r w:rsidRPr="00731849">
        <w:rPr>
          <w:lang w:val="fr-FR"/>
        </w:rPr>
        <w:t xml:space="preserve">a fait dans sa résolution </w:t>
      </w:r>
      <w:hyperlink r:id="rId89" w:history="1">
        <w:r w:rsidRPr="00731849">
          <w:rPr>
            <w:rStyle w:val="Lienhypertexte"/>
            <w:lang w:val="fr-FR"/>
          </w:rPr>
          <w:t>78/108</w:t>
        </w:r>
      </w:hyperlink>
      <w:r w:rsidRPr="00731849">
        <w:rPr>
          <w:lang w:val="fr-FR"/>
        </w:rPr>
        <w:t>, l</w:t>
      </w:r>
      <w:r w:rsidR="004C5E26">
        <w:rPr>
          <w:lang w:val="fr-FR"/>
        </w:rPr>
        <w:t>’</w:t>
      </w:r>
      <w:r w:rsidRPr="00731849">
        <w:rPr>
          <w:lang w:val="fr-FR"/>
        </w:rPr>
        <w:t>Assemblée générale se félicite des progrès remarquables accomplis ces dernières années dans la résorption de l</w:t>
      </w:r>
      <w:r w:rsidR="004C5E26">
        <w:rPr>
          <w:lang w:val="fr-FR"/>
        </w:rPr>
        <w:t>’</w:t>
      </w:r>
      <w:r w:rsidRPr="00731849">
        <w:rPr>
          <w:lang w:val="fr-FR"/>
        </w:rPr>
        <w:t>arriéré de publication de l</w:t>
      </w:r>
      <w:r w:rsidR="004C5E26">
        <w:rPr>
          <w:lang w:val="fr-FR"/>
        </w:rPr>
        <w:t>’</w:t>
      </w:r>
      <w:r w:rsidRPr="00731849">
        <w:rPr>
          <w:i/>
          <w:iCs/>
          <w:lang w:val="fr-FR"/>
        </w:rPr>
        <w:t>Annuaire de la Commission du droit international</w:t>
      </w:r>
      <w:r w:rsidRPr="00731849">
        <w:rPr>
          <w:lang w:val="fr-FR"/>
        </w:rPr>
        <w:t xml:space="preserve"> dans les six langues, salue les efforts faits par la Division de la gestion des conférences de l</w:t>
      </w:r>
      <w:r w:rsidR="004C5E26">
        <w:rPr>
          <w:lang w:val="fr-FR"/>
        </w:rPr>
        <w:t>’</w:t>
      </w:r>
      <w:r w:rsidRPr="00731849">
        <w:rPr>
          <w:lang w:val="fr-FR"/>
        </w:rPr>
        <w:t>Office des Nations Unies à Genève, notamment la Section de l</w:t>
      </w:r>
      <w:r w:rsidR="004C5E26">
        <w:rPr>
          <w:lang w:val="fr-FR"/>
        </w:rPr>
        <w:t>’</w:t>
      </w:r>
      <w:r w:rsidRPr="00731849">
        <w:rPr>
          <w:lang w:val="fr-FR"/>
        </w:rPr>
        <w:t>édition, pour donner effectivement suite à ses résolutions appelant à la résorption de l</w:t>
      </w:r>
      <w:r w:rsidR="004C5E26">
        <w:rPr>
          <w:lang w:val="fr-FR"/>
        </w:rPr>
        <w:t>’</w:t>
      </w:r>
      <w:r w:rsidRPr="00731849">
        <w:rPr>
          <w:lang w:val="fr-FR"/>
        </w:rPr>
        <w:t>arriéré, et encourage la Division de la gestion des conférences à continuer de fournir à la Section de l</w:t>
      </w:r>
      <w:r w:rsidR="004C5E26">
        <w:rPr>
          <w:lang w:val="fr-FR"/>
        </w:rPr>
        <w:t>’</w:t>
      </w:r>
      <w:r w:rsidRPr="00731849">
        <w:rPr>
          <w:lang w:val="fr-FR"/>
        </w:rPr>
        <w:t>édition tout l</w:t>
      </w:r>
      <w:r w:rsidR="004C5E26">
        <w:rPr>
          <w:lang w:val="fr-FR"/>
        </w:rPr>
        <w:t>’</w:t>
      </w:r>
      <w:r w:rsidRPr="00731849">
        <w:rPr>
          <w:lang w:val="fr-FR"/>
        </w:rPr>
        <w:t>appui dont celle-ci a besoin pour assurer la publication de l</w:t>
      </w:r>
      <w:r w:rsidR="004C5E26">
        <w:rPr>
          <w:lang w:val="fr-FR"/>
        </w:rPr>
        <w:t>’</w:t>
      </w:r>
      <w:r w:rsidRPr="00731849">
        <w:rPr>
          <w:i/>
          <w:iCs/>
          <w:lang w:val="fr-FR"/>
        </w:rPr>
        <w:t>Annuaire</w:t>
      </w:r>
      <w:r w:rsidRPr="00731849">
        <w:rPr>
          <w:lang w:val="fr-FR"/>
        </w:rPr>
        <w:t>.</w:t>
      </w:r>
    </w:p>
    <w:p w14:paraId="72FCE824" w14:textId="16ED956C" w:rsidR="000E25A7" w:rsidRPr="00BF345F" w:rsidRDefault="000E25A7" w:rsidP="000E25A7">
      <w:pPr>
        <w:pStyle w:val="H23G"/>
      </w:pPr>
      <w:r>
        <w:tab/>
      </w:r>
      <w:r w:rsidRPr="00BF345F">
        <w:t>8.</w:t>
      </w:r>
      <w:r w:rsidRPr="00BF345F">
        <w:tab/>
      </w:r>
      <w:bookmarkStart w:id="178" w:name="_Hlk175323798"/>
      <w:r w:rsidRPr="00BC1826">
        <w:t>Fonds</w:t>
      </w:r>
      <w:r>
        <w:rPr>
          <w:bCs/>
          <w:lang w:val="fr-FR"/>
        </w:rPr>
        <w:t xml:space="preserve"> d</w:t>
      </w:r>
      <w:r w:rsidR="004C5E26">
        <w:rPr>
          <w:bCs/>
          <w:lang w:val="fr-FR"/>
        </w:rPr>
        <w:t>’</w:t>
      </w:r>
      <w:r>
        <w:rPr>
          <w:bCs/>
          <w:lang w:val="fr-FR"/>
        </w:rPr>
        <w:t>affectation spéciale pour l</w:t>
      </w:r>
      <w:r w:rsidR="004C5E26">
        <w:rPr>
          <w:bCs/>
          <w:lang w:val="fr-FR"/>
        </w:rPr>
        <w:t>’</w:t>
      </w:r>
      <w:r>
        <w:rPr>
          <w:bCs/>
          <w:lang w:val="fr-FR"/>
        </w:rPr>
        <w:t xml:space="preserve">assistance aux rapporteurs spéciaux </w:t>
      </w:r>
      <w:r w:rsidR="00AC22F6">
        <w:rPr>
          <w:bCs/>
          <w:lang w:val="fr-FR"/>
        </w:rPr>
        <w:br/>
      </w:r>
      <w:r>
        <w:rPr>
          <w:bCs/>
          <w:lang w:val="fr-FR"/>
        </w:rPr>
        <w:t xml:space="preserve">de la Commission du droit international, créé par la résolution </w:t>
      </w:r>
      <w:hyperlink r:id="rId90" w:history="1">
        <w:r w:rsidRPr="001945E7">
          <w:rPr>
            <w:rStyle w:val="Lienhypertexte"/>
            <w:bCs/>
            <w:lang w:val="fr-FR"/>
          </w:rPr>
          <w:t>77/103</w:t>
        </w:r>
      </w:hyperlink>
      <w:r>
        <w:rPr>
          <w:bCs/>
          <w:lang w:val="fr-FR"/>
        </w:rPr>
        <w:t xml:space="preserve"> </w:t>
      </w:r>
      <w:r>
        <w:rPr>
          <w:bCs/>
          <w:lang w:val="fr-FR"/>
        </w:rPr>
        <w:br/>
        <w:t>de l</w:t>
      </w:r>
      <w:r w:rsidR="004C5E26">
        <w:rPr>
          <w:bCs/>
          <w:lang w:val="fr-FR"/>
        </w:rPr>
        <w:t>’</w:t>
      </w:r>
      <w:r>
        <w:rPr>
          <w:bCs/>
          <w:lang w:val="fr-FR"/>
        </w:rPr>
        <w:t>Assemblée générale, et questions connexes</w:t>
      </w:r>
      <w:bookmarkEnd w:id="178"/>
    </w:p>
    <w:p w14:paraId="6B629F1E" w14:textId="71C663AA" w:rsidR="000E25A7" w:rsidRPr="00BF345F" w:rsidRDefault="000E25A7" w:rsidP="000E25A7">
      <w:pPr>
        <w:pStyle w:val="SingleTxtG"/>
      </w:pPr>
      <w:r>
        <w:t>459</w:t>
      </w:r>
      <w:r w:rsidRPr="00BF345F">
        <w:t>.</w:t>
      </w:r>
      <w:r w:rsidRPr="00BF345F">
        <w:tab/>
      </w:r>
      <w:r>
        <w:rPr>
          <w:lang w:val="fr-FR"/>
        </w:rPr>
        <w:t xml:space="preserve">Dans sa résolution </w:t>
      </w:r>
      <w:hyperlink r:id="rId91" w:history="1">
        <w:r w:rsidRPr="001945E7">
          <w:rPr>
            <w:rStyle w:val="Lienhypertexte"/>
            <w:lang w:val="fr-FR"/>
          </w:rPr>
          <w:t>78/108</w:t>
        </w:r>
      </w:hyperlink>
      <w:r>
        <w:rPr>
          <w:lang w:val="fr-FR"/>
        </w:rPr>
        <w:t>, en date du 7 décembre 2023, l</w:t>
      </w:r>
      <w:r w:rsidR="004C5E26">
        <w:rPr>
          <w:lang w:val="fr-FR"/>
        </w:rPr>
        <w:t>’</w:t>
      </w:r>
      <w:r>
        <w:rPr>
          <w:lang w:val="fr-FR"/>
        </w:rPr>
        <w:t>Assemblée générale s</w:t>
      </w:r>
      <w:r w:rsidR="004C5E26">
        <w:rPr>
          <w:lang w:val="fr-FR"/>
        </w:rPr>
        <w:t>’</w:t>
      </w:r>
      <w:r>
        <w:rPr>
          <w:lang w:val="fr-FR"/>
        </w:rPr>
        <w:t>est félicitée des contributions versées au Fonds d</w:t>
      </w:r>
      <w:r w:rsidR="004C5E26">
        <w:rPr>
          <w:lang w:val="fr-FR"/>
        </w:rPr>
        <w:t>’</w:t>
      </w:r>
      <w:r>
        <w:rPr>
          <w:lang w:val="fr-FR"/>
        </w:rPr>
        <w:t>affectation spéciale pour l</w:t>
      </w:r>
      <w:r w:rsidR="004C5E26">
        <w:rPr>
          <w:lang w:val="fr-FR"/>
        </w:rPr>
        <w:t>’</w:t>
      </w:r>
      <w:r>
        <w:rPr>
          <w:lang w:val="fr-FR"/>
        </w:rPr>
        <w:t>assistance aux rapporteurs spéciaux ou aux présidents des groupes d</w:t>
      </w:r>
      <w:r w:rsidR="004C5E26">
        <w:rPr>
          <w:lang w:val="fr-FR"/>
        </w:rPr>
        <w:t>’</w:t>
      </w:r>
      <w:r>
        <w:rPr>
          <w:lang w:val="fr-FR"/>
        </w:rPr>
        <w:t xml:space="preserve">études de la Commission du droit international et les questions connexes, </w:t>
      </w:r>
      <w:r w:rsidRPr="00DF0AC9">
        <w:rPr>
          <w:lang w:val="fr-FR"/>
        </w:rPr>
        <w:t xml:space="preserve">créé en application de la résolution </w:t>
      </w:r>
      <w:hyperlink r:id="rId92" w:history="1">
        <w:r w:rsidRPr="001945E7">
          <w:rPr>
            <w:rStyle w:val="Lienhypertexte"/>
            <w:lang w:val="fr-FR"/>
          </w:rPr>
          <w:t>77/103</w:t>
        </w:r>
      </w:hyperlink>
      <w:r>
        <w:rPr>
          <w:lang w:val="fr-FR"/>
        </w:rPr>
        <w:t>, en date du 7 décembre 2022, et a appelé au versement de contributions supplémentaires conformément au mandat du fonds, y compris au principe selon lequel les contributions financières ne doivent pas être destinées à financer une activité particulière de la Commission du droit international, de ses rapporteurs spéciaux ou des présidents de ses groupes d</w:t>
      </w:r>
      <w:r w:rsidR="004C5E26">
        <w:rPr>
          <w:lang w:val="fr-FR"/>
        </w:rPr>
        <w:t>’</w:t>
      </w:r>
      <w:r>
        <w:rPr>
          <w:lang w:val="fr-FR"/>
        </w:rPr>
        <w:t>étude. Suite à la création du fonds d</w:t>
      </w:r>
      <w:r w:rsidR="004C5E26">
        <w:rPr>
          <w:lang w:val="fr-FR"/>
        </w:rPr>
        <w:t>’</w:t>
      </w:r>
      <w:r>
        <w:rPr>
          <w:lang w:val="fr-FR"/>
        </w:rPr>
        <w:t>affectation spéciale, en 2023, des contributions ont été reçues de l</w:t>
      </w:r>
      <w:r w:rsidR="004C5E26">
        <w:rPr>
          <w:lang w:val="fr-FR"/>
        </w:rPr>
        <w:t>’</w:t>
      </w:r>
      <w:r>
        <w:rPr>
          <w:lang w:val="fr-FR"/>
        </w:rPr>
        <w:t>Autriche (3 341,70 dollars des États-Unis), de la République tchèque (2 201,29 dollars) et de Chypre (5 500 dollars) et, en 2024, de la Finlande (21 574,97 dollars) et du Royaume</w:t>
      </w:r>
      <w:r w:rsidR="00AC22F6">
        <w:rPr>
          <w:lang w:val="fr-FR"/>
        </w:rPr>
        <w:noBreakHyphen/>
      </w:r>
      <w:r>
        <w:rPr>
          <w:lang w:val="fr-FR"/>
        </w:rPr>
        <w:t>Uni de Grande-Bretagne et d</w:t>
      </w:r>
      <w:r w:rsidR="004C5E26">
        <w:rPr>
          <w:lang w:val="fr-FR"/>
        </w:rPr>
        <w:t>’</w:t>
      </w:r>
      <w:r>
        <w:rPr>
          <w:lang w:val="fr-FR"/>
        </w:rPr>
        <w:t>Irlande du Nord (3 094,50 dollars). Au 30 juin 2024, le solde du fonds s</w:t>
      </w:r>
      <w:r w:rsidR="004C5E26">
        <w:rPr>
          <w:lang w:val="fr-FR"/>
        </w:rPr>
        <w:t>’</w:t>
      </w:r>
      <w:r>
        <w:rPr>
          <w:lang w:val="fr-FR"/>
        </w:rPr>
        <w:t>élevait à 35 712,46 dollars.</w:t>
      </w:r>
    </w:p>
    <w:p w14:paraId="417F2D6C" w14:textId="77777777" w:rsidR="000E25A7" w:rsidRPr="00BF345F" w:rsidRDefault="000E25A7" w:rsidP="000E25A7">
      <w:pPr>
        <w:pStyle w:val="H23G"/>
      </w:pPr>
      <w:r>
        <w:lastRenderedPageBreak/>
        <w:tab/>
      </w:r>
      <w:r w:rsidRPr="00BF345F">
        <w:t>9.</w:t>
      </w:r>
      <w:r w:rsidRPr="00BF345F">
        <w:tab/>
      </w:r>
      <w:bookmarkStart w:id="179" w:name="_Hlk175323805"/>
      <w:r>
        <w:rPr>
          <w:lang w:val="fr-FR"/>
        </w:rPr>
        <w:t>Aide de la Division de la codification</w:t>
      </w:r>
      <w:bookmarkEnd w:id="179"/>
    </w:p>
    <w:p w14:paraId="46FE54E3" w14:textId="6B963303" w:rsidR="000E25A7" w:rsidRPr="00BF345F" w:rsidRDefault="000E25A7" w:rsidP="000E25A7">
      <w:pPr>
        <w:pStyle w:val="SingleTxtG"/>
        <w:rPr>
          <w:color w:val="000000" w:themeColor="text1"/>
        </w:rPr>
      </w:pPr>
      <w:r w:rsidRPr="00BF345F">
        <w:rPr>
          <w:color w:val="000000" w:themeColor="text1"/>
        </w:rPr>
        <w:t>4</w:t>
      </w:r>
      <w:r>
        <w:rPr>
          <w:color w:val="000000" w:themeColor="text1"/>
        </w:rPr>
        <w:t>60</w:t>
      </w:r>
      <w:r w:rsidRPr="00BF345F">
        <w:rPr>
          <w:color w:val="000000" w:themeColor="text1"/>
        </w:rPr>
        <w:t>.</w:t>
      </w:r>
      <w:r w:rsidRPr="00BF345F">
        <w:rPr>
          <w:color w:val="000000" w:themeColor="text1"/>
        </w:rPr>
        <w:tab/>
      </w:r>
      <w:r>
        <w:rPr>
          <w:lang w:val="fr-FR"/>
        </w:rPr>
        <w:t>La Commission a remercié la Division de la codification de l</w:t>
      </w:r>
      <w:r w:rsidR="004C5E26">
        <w:rPr>
          <w:lang w:val="fr-FR"/>
        </w:rPr>
        <w:t>’</w:t>
      </w:r>
      <w:r>
        <w:rPr>
          <w:lang w:val="fr-FR"/>
        </w:rPr>
        <w:t>aide inestimable que celle-ci lui apporte en lui fournissant des services fonctionnels, en prêtant un soutien constant aux rapporteurs spéciaux et aux Coprésidents du Groupe d</w:t>
      </w:r>
      <w:r w:rsidR="004C5E26">
        <w:rPr>
          <w:lang w:val="fr-FR"/>
        </w:rPr>
        <w:t>’</w:t>
      </w:r>
      <w:r>
        <w:rPr>
          <w:lang w:val="fr-FR"/>
        </w:rPr>
        <w:t>étude et en menant, à sa demande, des recherches approfondies sur différents aspects des sujets à l</w:t>
      </w:r>
      <w:r w:rsidR="004C5E26">
        <w:rPr>
          <w:lang w:val="fr-FR"/>
        </w:rPr>
        <w:t>’</w:t>
      </w:r>
      <w:r>
        <w:rPr>
          <w:lang w:val="fr-FR"/>
        </w:rPr>
        <w:t>examen. En particulier, elle a remercié le Secrétariat d</w:t>
      </w:r>
      <w:r w:rsidR="004C5E26">
        <w:rPr>
          <w:lang w:val="fr-FR"/>
        </w:rPr>
        <w:t>’</w:t>
      </w:r>
      <w:r>
        <w:rPr>
          <w:lang w:val="fr-FR"/>
        </w:rPr>
        <w:t>avoir établi des études sur le règlement des différends auxquels des organisations internationales sont parties (</w:t>
      </w:r>
      <w:hyperlink r:id="rId93" w:history="1">
        <w:r w:rsidRPr="001945E7">
          <w:rPr>
            <w:rStyle w:val="Lienhypertexte"/>
            <w:lang w:val="fr-FR"/>
          </w:rPr>
          <w:t>A/CN.4/764</w:t>
        </w:r>
      </w:hyperlink>
      <w:r>
        <w:rPr>
          <w:lang w:val="fr-FR"/>
        </w:rPr>
        <w:t>), sur les moyens auxiliaires de détermination des règles de droit international (</w:t>
      </w:r>
      <w:hyperlink r:id="rId94" w:history="1">
        <w:r w:rsidRPr="001945E7">
          <w:rPr>
            <w:rStyle w:val="Lienhypertexte"/>
            <w:lang w:val="fr-FR"/>
          </w:rPr>
          <w:t>A/CN.4/765</w:t>
        </w:r>
      </w:hyperlink>
      <w:r>
        <w:rPr>
          <w:lang w:val="fr-FR"/>
        </w:rPr>
        <w:t>), sur la prévention et répression de la piraterie et du vol à main armée en mer (étude intitulée Doctrine pertinente en ce qui concerne la définition de la piraterie et du vol à main armée en mer) (</w:t>
      </w:r>
      <w:hyperlink r:id="rId95" w:history="1">
        <w:r w:rsidRPr="001945E7">
          <w:rPr>
            <w:rStyle w:val="Lienhypertexte"/>
            <w:lang w:val="fr-FR"/>
          </w:rPr>
          <w:t>A/CN.4/767</w:t>
        </w:r>
      </w:hyperlink>
      <w:r>
        <w:rPr>
          <w:lang w:val="fr-FR"/>
        </w:rPr>
        <w:t>), sur l</w:t>
      </w:r>
      <w:r w:rsidR="004C5E26">
        <w:rPr>
          <w:lang w:val="fr-FR"/>
        </w:rPr>
        <w:t>’</w:t>
      </w:r>
      <w:r>
        <w:rPr>
          <w:lang w:val="fr-FR"/>
        </w:rPr>
        <w:t>élévation du niveau de la mer au regard du droit international (étude intitulée Éléments figurant dans les travaux antérieurs de la Commission du droit international susceptibles de présenter un intérêt particulier aux fins de l</w:t>
      </w:r>
      <w:r w:rsidR="004C5E26">
        <w:rPr>
          <w:lang w:val="fr-FR"/>
        </w:rPr>
        <w:t>’</w:t>
      </w:r>
      <w:r>
        <w:rPr>
          <w:lang w:val="fr-FR"/>
        </w:rPr>
        <w:t xml:space="preserve">examen du sujet) </w:t>
      </w:r>
      <w:r w:rsidR="00AC22F6">
        <w:rPr>
          <w:lang w:val="fr-FR"/>
        </w:rPr>
        <w:t>(</w:t>
      </w:r>
      <w:hyperlink r:id="rId96" w:history="1">
        <w:r w:rsidR="00AC22F6" w:rsidRPr="00AC22F6">
          <w:rPr>
            <w:rStyle w:val="Lienhypertexte"/>
            <w:lang w:val="fr-FR"/>
          </w:rPr>
          <w:t>A/CN.4/768</w:t>
        </w:r>
      </w:hyperlink>
      <w:r w:rsidR="00AC22F6">
        <w:rPr>
          <w:lang w:val="fr-FR"/>
        </w:rPr>
        <w:t>)</w:t>
      </w:r>
      <w:r>
        <w:rPr>
          <w:lang w:val="fr-FR"/>
        </w:rPr>
        <w:t>, et d</w:t>
      </w:r>
      <w:r w:rsidR="004C5E26">
        <w:rPr>
          <w:lang w:val="fr-FR"/>
        </w:rPr>
        <w:t>’</w:t>
      </w:r>
      <w:r>
        <w:rPr>
          <w:lang w:val="fr-FR"/>
        </w:rPr>
        <w:t>avoir compilé les commentaires et observations reçus des gouvernements sur l</w:t>
      </w:r>
      <w:r w:rsidR="004C5E26">
        <w:rPr>
          <w:lang w:val="fr-FR"/>
        </w:rPr>
        <w:t>’</w:t>
      </w:r>
      <w:r>
        <w:rPr>
          <w:lang w:val="fr-FR"/>
        </w:rPr>
        <w:t>immunité de juridiction pénale étrangère des représentants de l</w:t>
      </w:r>
      <w:r w:rsidR="004C5E26">
        <w:rPr>
          <w:lang w:val="fr-FR"/>
        </w:rPr>
        <w:t>’</w:t>
      </w:r>
      <w:r>
        <w:rPr>
          <w:lang w:val="fr-FR"/>
        </w:rPr>
        <w:t>État (</w:t>
      </w:r>
      <w:hyperlink r:id="rId97" w:history="1">
        <w:r w:rsidRPr="001945E7">
          <w:rPr>
            <w:rStyle w:val="Lienhypertexte"/>
            <w:lang w:val="fr-FR"/>
          </w:rPr>
          <w:t>A/CN.4/771</w:t>
        </w:r>
      </w:hyperlink>
      <w:r>
        <w:rPr>
          <w:lang w:val="fr-FR"/>
        </w:rPr>
        <w:t xml:space="preserve"> et </w:t>
      </w:r>
      <w:hyperlink r:id="rId98" w:history="1">
        <w:r w:rsidRPr="001945E7">
          <w:rPr>
            <w:rStyle w:val="Lienhypertexte"/>
            <w:lang w:val="fr-FR"/>
          </w:rPr>
          <w:t>Add.1</w:t>
        </w:r>
      </w:hyperlink>
      <w:r>
        <w:rPr>
          <w:lang w:val="fr-FR"/>
        </w:rPr>
        <w:t xml:space="preserve"> et </w:t>
      </w:r>
      <w:hyperlink r:id="rId99" w:history="1">
        <w:r w:rsidRPr="001945E7">
          <w:rPr>
            <w:rStyle w:val="Lienhypertexte"/>
            <w:lang w:val="fr-FR"/>
          </w:rPr>
          <w:t>Add.2</w:t>
        </w:r>
      </w:hyperlink>
      <w:r>
        <w:rPr>
          <w:lang w:val="fr-FR"/>
        </w:rPr>
        <w:t>). Elle a également salué les efforts accomplis par la Division de la codification pour fournir des textes dans différentes langues afin de garantir la qualité et la représentativité des travaux du Comité de rédaction.</w:t>
      </w:r>
    </w:p>
    <w:p w14:paraId="260B5B56" w14:textId="77777777" w:rsidR="000E25A7" w:rsidRPr="00BF345F" w:rsidRDefault="000E25A7" w:rsidP="000E25A7">
      <w:pPr>
        <w:pStyle w:val="H23G"/>
      </w:pPr>
      <w:r>
        <w:tab/>
      </w:r>
      <w:r w:rsidRPr="00BF345F">
        <w:t>10.</w:t>
      </w:r>
      <w:r w:rsidRPr="00BF345F">
        <w:tab/>
      </w:r>
      <w:bookmarkStart w:id="180" w:name="_Hlk175323810"/>
      <w:r>
        <w:rPr>
          <w:lang w:val="fr-FR"/>
        </w:rPr>
        <w:t>Sites Web</w:t>
      </w:r>
      <w:bookmarkEnd w:id="180"/>
    </w:p>
    <w:p w14:paraId="1CBBC80A" w14:textId="3AD8A6C9" w:rsidR="000E25A7" w:rsidRPr="00BF345F" w:rsidRDefault="000E25A7" w:rsidP="000E25A7">
      <w:pPr>
        <w:pStyle w:val="SingleTxtG"/>
      </w:pPr>
      <w:r w:rsidRPr="00BF345F">
        <w:t>4</w:t>
      </w:r>
      <w:r>
        <w:t>61</w:t>
      </w:r>
      <w:r w:rsidRPr="00BF345F">
        <w:t>.</w:t>
      </w:r>
      <w:r w:rsidRPr="00BF345F">
        <w:tab/>
      </w:r>
      <w:r>
        <w:rPr>
          <w:lang w:val="fr-FR"/>
        </w:rPr>
        <w:t>La Commission a remercié le Secrétariat de s</w:t>
      </w:r>
      <w:r w:rsidR="004C5E26">
        <w:rPr>
          <w:lang w:val="fr-FR"/>
        </w:rPr>
        <w:t>’</w:t>
      </w:r>
      <w:r>
        <w:rPr>
          <w:lang w:val="fr-FR"/>
        </w:rPr>
        <w:t>être occupé du site Web consacré à ses travaux, dont elle s</w:t>
      </w:r>
      <w:r w:rsidR="004C5E26">
        <w:rPr>
          <w:lang w:val="fr-FR"/>
        </w:rPr>
        <w:t>’</w:t>
      </w:r>
      <w:r>
        <w:rPr>
          <w:lang w:val="fr-FR"/>
        </w:rPr>
        <w:t>est félicitée qu</w:t>
      </w:r>
      <w:r w:rsidR="004C5E26">
        <w:rPr>
          <w:lang w:val="fr-FR"/>
        </w:rPr>
        <w:t>’</w:t>
      </w:r>
      <w:r>
        <w:rPr>
          <w:lang w:val="fr-FR"/>
        </w:rPr>
        <w:t>il ait continué d</w:t>
      </w:r>
      <w:r w:rsidR="004C5E26">
        <w:rPr>
          <w:lang w:val="fr-FR"/>
        </w:rPr>
        <w:t>’</w:t>
      </w:r>
      <w:r>
        <w:rPr>
          <w:lang w:val="fr-FR"/>
        </w:rPr>
        <w:t>être actualisé et amélioré</w:t>
      </w:r>
      <w:r w:rsidRPr="00E9227E">
        <w:rPr>
          <w:rStyle w:val="Appelnotedebasdep"/>
        </w:rPr>
        <w:footnoteReference w:id="304"/>
      </w:r>
      <w:r>
        <w:rPr>
          <w:lang w:val="fr-FR"/>
        </w:rPr>
        <w:t>. Elle a réaffirmé que ce site et les autres sites Web dont s</w:t>
      </w:r>
      <w:r w:rsidR="004C5E26">
        <w:rPr>
          <w:lang w:val="fr-FR"/>
        </w:rPr>
        <w:t>’</w:t>
      </w:r>
      <w:r>
        <w:rPr>
          <w:lang w:val="fr-FR"/>
        </w:rPr>
        <w:t>occupait la Division de la codification</w:t>
      </w:r>
      <w:r w:rsidRPr="00E9227E">
        <w:rPr>
          <w:rStyle w:val="Appelnotedebasdep"/>
        </w:rPr>
        <w:footnoteReference w:id="305"/>
      </w:r>
      <w:r>
        <w:rPr>
          <w:lang w:val="fr-FR"/>
        </w:rPr>
        <w:t xml:space="preserve"> étaient des ressources très précieuses pour elle ainsi que pour l</w:t>
      </w:r>
      <w:r w:rsidR="004C5E26">
        <w:rPr>
          <w:lang w:val="fr-FR"/>
        </w:rPr>
        <w:t>’</w:t>
      </w:r>
      <w:r>
        <w:rPr>
          <w:lang w:val="fr-FR"/>
        </w:rPr>
        <w:t>ensemble des chercheurs s</w:t>
      </w:r>
      <w:r w:rsidR="004C5E26">
        <w:rPr>
          <w:lang w:val="fr-FR"/>
        </w:rPr>
        <w:t>’</w:t>
      </w:r>
      <w:r>
        <w:rPr>
          <w:lang w:val="fr-FR"/>
        </w:rPr>
        <w:t>intéressant à ses travaux et contribuaient de ce fait à l</w:t>
      </w:r>
      <w:r w:rsidR="004C5E26">
        <w:rPr>
          <w:lang w:val="fr-FR"/>
        </w:rPr>
        <w:t>’</w:t>
      </w:r>
      <w:r>
        <w:rPr>
          <w:lang w:val="fr-FR"/>
        </w:rPr>
        <w:t>état de droit et à la promotion de l</w:t>
      </w:r>
      <w:r w:rsidR="004C5E26">
        <w:rPr>
          <w:lang w:val="fr-FR"/>
        </w:rPr>
        <w:t>’</w:t>
      </w:r>
      <w:r>
        <w:rPr>
          <w:lang w:val="fr-FR"/>
        </w:rPr>
        <w:t>enseignement, de l</w:t>
      </w:r>
      <w:r w:rsidR="004C5E26">
        <w:rPr>
          <w:lang w:val="fr-FR"/>
        </w:rPr>
        <w:t>’</w:t>
      </w:r>
      <w:r>
        <w:rPr>
          <w:lang w:val="fr-FR"/>
        </w:rPr>
        <w:t>étude, de la diffusion et de la compréhension du droit international. Elle a constaté avec satisfaction que le site Web consacré à ses travaux contenait des informations sur l</w:t>
      </w:r>
      <w:r w:rsidR="004C5E26">
        <w:rPr>
          <w:lang w:val="fr-FR"/>
        </w:rPr>
        <w:t>’</w:t>
      </w:r>
      <w:r>
        <w:rPr>
          <w:lang w:val="fr-FR"/>
        </w:rPr>
        <w:t>état d</w:t>
      </w:r>
      <w:r w:rsidR="004C5E26">
        <w:rPr>
          <w:lang w:val="fr-FR"/>
        </w:rPr>
        <w:t>’</w:t>
      </w:r>
      <w:r>
        <w:rPr>
          <w:lang w:val="fr-FR"/>
        </w:rPr>
        <w:t>avancement de l</w:t>
      </w:r>
      <w:r w:rsidR="004C5E26">
        <w:rPr>
          <w:lang w:val="fr-FR"/>
        </w:rPr>
        <w:t>’</w:t>
      </w:r>
      <w:r>
        <w:rPr>
          <w:lang w:val="fr-FR"/>
        </w:rPr>
        <w:t>examen des sujets inscrits à son ordre du jour ainsi que des liens vers les versions préliminaires éditées des comptes rendus analytiques et les enregistrements audio de ses séances plénières. Elle a dit qu</w:t>
      </w:r>
      <w:r w:rsidR="004C5E26">
        <w:rPr>
          <w:lang w:val="fr-FR"/>
        </w:rPr>
        <w:t>’</w:t>
      </w:r>
      <w:r>
        <w:rPr>
          <w:lang w:val="fr-FR"/>
        </w:rPr>
        <w:t>il serait souhaitable que des fonds supplémentaires soient alloués au site Web de la Commission afin qu</w:t>
      </w:r>
      <w:r w:rsidR="004C5E26">
        <w:rPr>
          <w:lang w:val="fr-FR"/>
        </w:rPr>
        <w:t>’</w:t>
      </w:r>
      <w:r>
        <w:rPr>
          <w:lang w:val="fr-FR"/>
        </w:rPr>
        <w:t>il puisse être rendu accessible dans les six langues officielles de l</w:t>
      </w:r>
      <w:r w:rsidR="004C5E26">
        <w:rPr>
          <w:lang w:val="fr-FR"/>
        </w:rPr>
        <w:t>’</w:t>
      </w:r>
      <w:r>
        <w:rPr>
          <w:lang w:val="fr-FR"/>
        </w:rPr>
        <w:t xml:space="preserve">Organisation des Nations </w:t>
      </w:r>
      <w:r w:rsidR="00860B1B">
        <w:rPr>
          <w:lang w:val="fr-FR"/>
        </w:rPr>
        <w:t>U</w:t>
      </w:r>
      <w:r>
        <w:rPr>
          <w:lang w:val="fr-FR"/>
        </w:rPr>
        <w:t>nies.</w:t>
      </w:r>
    </w:p>
    <w:p w14:paraId="6AF5DA48" w14:textId="77777777" w:rsidR="000E25A7" w:rsidRPr="00BF345F" w:rsidRDefault="000E25A7" w:rsidP="000E25A7">
      <w:pPr>
        <w:pStyle w:val="H23G"/>
        <w:rPr>
          <w:bCs/>
        </w:rPr>
      </w:pPr>
      <w:r>
        <w:rPr>
          <w:bCs/>
        </w:rPr>
        <w:tab/>
      </w:r>
      <w:r w:rsidRPr="00BF345F">
        <w:rPr>
          <w:bCs/>
        </w:rPr>
        <w:t>11.</w:t>
      </w:r>
      <w:r w:rsidRPr="00BF345F">
        <w:rPr>
          <w:bCs/>
        </w:rPr>
        <w:tab/>
      </w:r>
      <w:bookmarkStart w:id="181" w:name="_Hlk175323816"/>
      <w:r w:rsidRPr="00BC1826">
        <w:rPr>
          <w:lang w:val="fr-FR"/>
        </w:rPr>
        <w:t>Diffusion</w:t>
      </w:r>
      <w:r>
        <w:rPr>
          <w:bCs/>
          <w:lang w:val="fr-FR"/>
        </w:rPr>
        <w:t xml:space="preserve"> sur le Web</w:t>
      </w:r>
      <w:bookmarkEnd w:id="181"/>
    </w:p>
    <w:p w14:paraId="74C3F443" w14:textId="41F884FB" w:rsidR="000E25A7" w:rsidRPr="00BF345F" w:rsidRDefault="000E25A7" w:rsidP="000E25A7">
      <w:pPr>
        <w:pStyle w:val="SingleTxtG"/>
      </w:pPr>
      <w:bookmarkStart w:id="182" w:name="_Toc111554830"/>
      <w:bookmarkStart w:id="183" w:name="_Toc111555212"/>
      <w:r w:rsidRPr="00BF345F">
        <w:t>4</w:t>
      </w:r>
      <w:r>
        <w:t>62</w:t>
      </w:r>
      <w:r w:rsidRPr="00BF345F">
        <w:t>.</w:t>
      </w:r>
      <w:r w:rsidRPr="00BF345F">
        <w:tab/>
      </w:r>
      <w:r>
        <w:rPr>
          <w:lang w:val="fr-FR"/>
        </w:rPr>
        <w:t>La Commission s</w:t>
      </w:r>
      <w:r w:rsidR="004C5E26">
        <w:rPr>
          <w:lang w:val="fr-FR"/>
        </w:rPr>
        <w:t>’</w:t>
      </w:r>
      <w:r>
        <w:rPr>
          <w:lang w:val="fr-FR"/>
        </w:rPr>
        <w:t>est dite préoccupée par l</w:t>
      </w:r>
      <w:r w:rsidR="004C5E26">
        <w:rPr>
          <w:lang w:val="fr-FR"/>
        </w:rPr>
        <w:t>’</w:t>
      </w:r>
      <w:r>
        <w:rPr>
          <w:lang w:val="fr-FR"/>
        </w:rPr>
        <w:t>arrêt du service de diffusion en direct de ses séances plénières sur la télévision en ligne des Nations Unies. Elle a relevé l</w:t>
      </w:r>
      <w:r w:rsidR="004C5E26">
        <w:rPr>
          <w:lang w:val="fr-FR"/>
        </w:rPr>
        <w:t>’</w:t>
      </w:r>
      <w:r>
        <w:rPr>
          <w:lang w:val="fr-FR"/>
        </w:rPr>
        <w:t xml:space="preserve">importance du </w:t>
      </w:r>
      <w:proofErr w:type="spellStart"/>
      <w:r>
        <w:rPr>
          <w:lang w:val="fr-FR"/>
        </w:rPr>
        <w:t>Webcast</w:t>
      </w:r>
      <w:proofErr w:type="spellEnd"/>
      <w:r>
        <w:rPr>
          <w:lang w:val="fr-FR"/>
        </w:rPr>
        <w:t xml:space="preserve"> qui permettait aux délégués de la Sixième Commission de prendre plus facilement connaissance de ses travaux et précisé que des avis recueillis dans le passé avaient confirmé l</w:t>
      </w:r>
      <w:r w:rsidR="004C5E26">
        <w:rPr>
          <w:lang w:val="fr-FR"/>
        </w:rPr>
        <w:t>’</w:t>
      </w:r>
      <w:r>
        <w:rPr>
          <w:lang w:val="fr-FR"/>
        </w:rPr>
        <w:t>intérêt qu</w:t>
      </w:r>
      <w:r w:rsidR="004C5E26">
        <w:rPr>
          <w:lang w:val="fr-FR"/>
        </w:rPr>
        <w:t>’</w:t>
      </w:r>
      <w:r>
        <w:rPr>
          <w:lang w:val="fr-FR"/>
        </w:rPr>
        <w:t>il y avait à suivre les travaux de la Commission au moyen d</w:t>
      </w:r>
      <w:r w:rsidR="004C5E26">
        <w:rPr>
          <w:lang w:val="fr-FR"/>
        </w:rPr>
        <w:t>’</w:t>
      </w:r>
      <w:r>
        <w:rPr>
          <w:lang w:val="fr-FR"/>
        </w:rPr>
        <w:t>un tel outil.</w:t>
      </w:r>
    </w:p>
    <w:p w14:paraId="1C7EB523" w14:textId="77777777" w:rsidR="000E25A7" w:rsidRPr="00BF345F" w:rsidRDefault="000E25A7" w:rsidP="000E25A7">
      <w:pPr>
        <w:pStyle w:val="H23G"/>
        <w:rPr>
          <w:bCs/>
        </w:rPr>
      </w:pPr>
      <w:bookmarkStart w:id="184" w:name="_Toc522896428"/>
      <w:bookmarkStart w:id="185" w:name="_Toc523727738"/>
      <w:bookmarkStart w:id="186" w:name="_Toc17455502"/>
      <w:bookmarkStart w:id="187" w:name="_Toc19001852"/>
      <w:bookmarkStart w:id="188" w:name="_Toc80171933"/>
      <w:r>
        <w:rPr>
          <w:bCs/>
        </w:rPr>
        <w:tab/>
      </w:r>
      <w:r w:rsidRPr="00BF345F">
        <w:rPr>
          <w:bCs/>
        </w:rPr>
        <w:t>12.</w:t>
      </w:r>
      <w:r w:rsidRPr="00BF345F">
        <w:rPr>
          <w:bCs/>
        </w:rPr>
        <w:tab/>
      </w:r>
      <w:bookmarkStart w:id="189" w:name="_Hlk175323821"/>
      <w:r w:rsidRPr="00BC1826">
        <w:rPr>
          <w:lang w:val="fr-FR"/>
        </w:rPr>
        <w:t>Médiathèque</w:t>
      </w:r>
      <w:r>
        <w:rPr>
          <w:bCs/>
          <w:lang w:val="fr-FR"/>
        </w:rPr>
        <w:t xml:space="preserve"> de droit international des Nations Unies</w:t>
      </w:r>
      <w:bookmarkEnd w:id="182"/>
      <w:bookmarkEnd w:id="183"/>
      <w:bookmarkEnd w:id="184"/>
      <w:bookmarkEnd w:id="185"/>
      <w:bookmarkEnd w:id="186"/>
      <w:bookmarkEnd w:id="187"/>
      <w:bookmarkEnd w:id="188"/>
      <w:bookmarkEnd w:id="189"/>
    </w:p>
    <w:p w14:paraId="43F7D0DD" w14:textId="45280A5D" w:rsidR="000E25A7" w:rsidRPr="00BF345F" w:rsidRDefault="000E25A7" w:rsidP="000E25A7">
      <w:pPr>
        <w:pStyle w:val="SingleTxtG"/>
      </w:pPr>
      <w:r w:rsidRPr="00BF345F">
        <w:t>4</w:t>
      </w:r>
      <w:r>
        <w:t>63</w:t>
      </w:r>
      <w:r w:rsidRPr="00BF345F">
        <w:t>.</w:t>
      </w:r>
      <w:r w:rsidRPr="00BF345F">
        <w:tab/>
      </w:r>
      <w:r>
        <w:rPr>
          <w:lang w:val="fr-FR"/>
        </w:rPr>
        <w:t>La Commission a de nouveau constaté avec satisfaction que la Médiathèque de droit international des Nations Unies</w:t>
      </w:r>
      <w:r w:rsidRPr="00E9227E">
        <w:rPr>
          <w:rStyle w:val="Appelnotedebasdep"/>
        </w:rPr>
        <w:footnoteReference w:id="306"/>
      </w:r>
      <w:r>
        <w:rPr>
          <w:lang w:val="fr-FR"/>
        </w:rPr>
        <w:t xml:space="preserve"> contribuait de manière remarquable à faire mieux connaître le droit international et les travaux menés par l</w:t>
      </w:r>
      <w:r w:rsidR="004C5E26">
        <w:rPr>
          <w:lang w:val="fr-FR"/>
        </w:rPr>
        <w:t>’</w:t>
      </w:r>
      <w:r>
        <w:rPr>
          <w:lang w:val="fr-FR"/>
        </w:rPr>
        <w:t>Organisation des Nations Unies dans ce domaine, notamment les siens. Elle s</w:t>
      </w:r>
      <w:r w:rsidR="004C5E26">
        <w:rPr>
          <w:lang w:val="fr-FR"/>
        </w:rPr>
        <w:t>’</w:t>
      </w:r>
      <w:r>
        <w:rPr>
          <w:lang w:val="fr-FR"/>
        </w:rPr>
        <w:t>est dite préoccupée par les conséquences que la crise des liquidités avait sur le fonctionnement de la Médiathèque de droit international des Nations</w:t>
      </w:r>
      <w:r w:rsidR="00860B1B">
        <w:rPr>
          <w:lang w:val="fr-FR"/>
        </w:rPr>
        <w:t> </w:t>
      </w:r>
      <w:r>
        <w:rPr>
          <w:lang w:val="fr-FR"/>
        </w:rPr>
        <w:t>Unies, en particulier des retards dans l</w:t>
      </w:r>
      <w:r w:rsidR="004C5E26">
        <w:rPr>
          <w:lang w:val="fr-FR"/>
        </w:rPr>
        <w:t>’</w:t>
      </w:r>
      <w:r>
        <w:rPr>
          <w:lang w:val="fr-FR"/>
        </w:rPr>
        <w:t>ajout de nouveaux contenus.</w:t>
      </w:r>
    </w:p>
    <w:p w14:paraId="15147D43" w14:textId="77777777" w:rsidR="000E25A7" w:rsidRPr="00BF345F" w:rsidRDefault="000E25A7" w:rsidP="000E25A7">
      <w:pPr>
        <w:pStyle w:val="H23G"/>
      </w:pPr>
      <w:r>
        <w:tab/>
      </w:r>
      <w:r w:rsidRPr="00BF345F">
        <w:t>13.</w:t>
      </w:r>
      <w:r w:rsidRPr="00BF345F">
        <w:tab/>
      </w:r>
      <w:bookmarkStart w:id="190" w:name="_Hlk175323829"/>
      <w:r>
        <w:rPr>
          <w:lang w:val="fr-FR"/>
        </w:rPr>
        <w:t>Examen de la possibilité de convoquer, au cours du présent quinquennat, la première partie de la soixante-dix-septième session de la Commission à New York</w:t>
      </w:r>
      <w:bookmarkEnd w:id="190"/>
    </w:p>
    <w:p w14:paraId="4E16380C" w14:textId="687FB178" w:rsidR="000E25A7" w:rsidRPr="00BF345F" w:rsidRDefault="000E25A7" w:rsidP="000E25A7">
      <w:pPr>
        <w:pStyle w:val="SingleTxtG"/>
      </w:pPr>
      <w:r w:rsidRPr="00BF345F">
        <w:t>46</w:t>
      </w:r>
      <w:r>
        <w:t>4</w:t>
      </w:r>
      <w:r w:rsidRPr="00BF345F">
        <w:t>.</w:t>
      </w:r>
      <w:r w:rsidRPr="00BF345F">
        <w:tab/>
      </w:r>
      <w:r>
        <w:rPr>
          <w:lang w:val="fr-FR"/>
        </w:rPr>
        <w:t xml:space="preserve">Eu égard au paragraphe 281 du rapport sur les travaux de sa soixante-treizième session (2022) et au paragraphe 291 du rapport sur les travaux de sa soixante-quatorzième session </w:t>
      </w:r>
      <w:r>
        <w:rPr>
          <w:lang w:val="fr-FR"/>
        </w:rPr>
        <w:lastRenderedPageBreak/>
        <w:t>(2023), la Commission a réitéré sa recommandation aux fins de l</w:t>
      </w:r>
      <w:r w:rsidR="004C5E26">
        <w:rPr>
          <w:lang w:val="fr-FR"/>
        </w:rPr>
        <w:t>’</w:t>
      </w:r>
      <w:r>
        <w:rPr>
          <w:lang w:val="fr-FR"/>
        </w:rPr>
        <w:t>organisation de la première partie de sa soixante-dix-septième session (2026) à New York, en vue de renforcer le dialogue avec l</w:t>
      </w:r>
      <w:r w:rsidR="004C5E26">
        <w:rPr>
          <w:lang w:val="fr-FR"/>
        </w:rPr>
        <w:t>’</w:t>
      </w:r>
      <w:r>
        <w:rPr>
          <w:lang w:val="fr-FR"/>
        </w:rPr>
        <w:t>Assemblée générale et de favoriser les contacts directs entre ses membres et les représentants à la Sixième Commission. Elle prie le Secrétariat de prendre les dispositions administratives et organisationnelles nécessaires à cet effet. L</w:t>
      </w:r>
      <w:r w:rsidR="004C5E26">
        <w:rPr>
          <w:lang w:val="fr-FR"/>
        </w:rPr>
        <w:t>’</w:t>
      </w:r>
      <w:r>
        <w:rPr>
          <w:lang w:val="fr-FR"/>
        </w:rPr>
        <w:t>accent a été mis sur la nécessité d</w:t>
      </w:r>
      <w:r w:rsidR="004C5E26">
        <w:rPr>
          <w:lang w:val="fr-FR"/>
        </w:rPr>
        <w:t>’</w:t>
      </w:r>
      <w:r>
        <w:rPr>
          <w:lang w:val="fr-FR"/>
        </w:rPr>
        <w:t>assurer un accès suffisant aux services de conférence et aux bibliothèques du Siège, ainsi que l</w:t>
      </w:r>
      <w:r w:rsidR="004C5E26">
        <w:rPr>
          <w:lang w:val="fr-FR"/>
        </w:rPr>
        <w:t>’</w:t>
      </w:r>
      <w:r>
        <w:rPr>
          <w:lang w:val="fr-FR"/>
        </w:rPr>
        <w:t>accès électronique aux ressources et aux outils de recherche de la Bibliothèque de l</w:t>
      </w:r>
      <w:r w:rsidR="004C5E26">
        <w:rPr>
          <w:lang w:val="fr-FR"/>
        </w:rPr>
        <w:t>’</w:t>
      </w:r>
      <w:r>
        <w:rPr>
          <w:lang w:val="fr-FR"/>
        </w:rPr>
        <w:t>Office des Nations Unies à Genève. On a également insisté sur la nécessité d</w:t>
      </w:r>
      <w:r w:rsidR="004C5E26">
        <w:rPr>
          <w:lang w:val="fr-FR"/>
        </w:rPr>
        <w:t>’</w:t>
      </w:r>
      <w:r>
        <w:rPr>
          <w:lang w:val="fr-FR"/>
        </w:rPr>
        <w:t>assurer l</w:t>
      </w:r>
      <w:r w:rsidR="004C5E26">
        <w:rPr>
          <w:lang w:val="fr-FR"/>
        </w:rPr>
        <w:t>’</w:t>
      </w:r>
      <w:r>
        <w:rPr>
          <w:lang w:val="fr-FR"/>
        </w:rPr>
        <w:t>accès des assistants accompagnant les membres de la Commission aux réunions et de prévoir suffisamment d</w:t>
      </w:r>
      <w:r w:rsidR="004C5E26">
        <w:rPr>
          <w:lang w:val="fr-FR"/>
        </w:rPr>
        <w:t>’</w:t>
      </w:r>
      <w:r>
        <w:rPr>
          <w:lang w:val="fr-FR"/>
        </w:rPr>
        <w:t>espace pour eux.</w:t>
      </w:r>
    </w:p>
    <w:p w14:paraId="457113DA" w14:textId="77777777" w:rsidR="000E25A7" w:rsidRPr="00731849" w:rsidRDefault="000E25A7" w:rsidP="000E25A7">
      <w:pPr>
        <w:pStyle w:val="H23G"/>
      </w:pPr>
      <w:bookmarkStart w:id="191" w:name="_Toc522896429"/>
      <w:bookmarkStart w:id="192" w:name="_Toc523727739"/>
      <w:bookmarkStart w:id="193" w:name="_Toc17455503"/>
      <w:bookmarkStart w:id="194" w:name="_Toc19001853"/>
      <w:bookmarkStart w:id="195" w:name="_Toc80171934"/>
      <w:bookmarkStart w:id="196" w:name="_Toc111554833"/>
      <w:bookmarkStart w:id="197" w:name="_Toc111555215"/>
      <w:r>
        <w:tab/>
      </w:r>
      <w:r w:rsidRPr="00BF345F">
        <w:t>14.</w:t>
      </w:r>
      <w:r w:rsidRPr="00BF345F">
        <w:tab/>
      </w:r>
      <w:bookmarkStart w:id="198" w:name="_Hlk175323835"/>
      <w:r>
        <w:rPr>
          <w:lang w:val="fr-FR"/>
        </w:rPr>
        <w:t xml:space="preserve">Dates et lieu de la tenue </w:t>
      </w:r>
      <w:r w:rsidRPr="00731849">
        <w:rPr>
          <w:lang w:val="fr-FR"/>
        </w:rPr>
        <w:t>de la soixante-seizième session de la Commission</w:t>
      </w:r>
      <w:bookmarkEnd w:id="191"/>
      <w:bookmarkEnd w:id="192"/>
      <w:bookmarkEnd w:id="193"/>
      <w:bookmarkEnd w:id="194"/>
      <w:bookmarkEnd w:id="195"/>
      <w:bookmarkEnd w:id="196"/>
      <w:bookmarkEnd w:id="197"/>
      <w:bookmarkEnd w:id="198"/>
    </w:p>
    <w:p w14:paraId="1E1376D4" w14:textId="248CC418" w:rsidR="000E25A7" w:rsidRPr="00731849" w:rsidRDefault="000E25A7" w:rsidP="000E25A7">
      <w:pPr>
        <w:pStyle w:val="SingleTxtG"/>
        <w:rPr>
          <w:color w:val="000000" w:themeColor="text1"/>
        </w:rPr>
      </w:pPr>
      <w:r w:rsidRPr="00731849">
        <w:rPr>
          <w:color w:val="000000" w:themeColor="text1"/>
        </w:rPr>
        <w:t>4</w:t>
      </w:r>
      <w:r>
        <w:rPr>
          <w:color w:val="000000" w:themeColor="text1"/>
        </w:rPr>
        <w:t>65</w:t>
      </w:r>
      <w:r w:rsidRPr="00731849">
        <w:rPr>
          <w:color w:val="000000" w:themeColor="text1"/>
        </w:rPr>
        <w:t>.</w:t>
      </w:r>
      <w:r w:rsidRPr="00731849">
        <w:rPr>
          <w:color w:val="000000" w:themeColor="text1"/>
        </w:rPr>
        <w:tab/>
      </w:r>
      <w:r w:rsidRPr="00731849">
        <w:rPr>
          <w:lang w:val="fr-FR"/>
        </w:rPr>
        <w:t>En raison des conséquences que la crise des liquidités de l</w:t>
      </w:r>
      <w:r w:rsidR="004C5E26">
        <w:rPr>
          <w:lang w:val="fr-FR"/>
        </w:rPr>
        <w:t>’</w:t>
      </w:r>
      <w:r w:rsidRPr="00731849">
        <w:rPr>
          <w:lang w:val="fr-FR"/>
        </w:rPr>
        <w:t>Organisation des Nations Unies a eues sur les activités de la Commission à la soixante-quinzième session, et compte tenu du volume de travail prévu pour la soixante-seizième session, comprenant notamment deux sujets au stade de la seconde lecture</w:t>
      </w:r>
      <w:r>
        <w:rPr>
          <w:lang w:val="fr-FR"/>
        </w:rPr>
        <w:t xml:space="preserve"> (« Immunité de juridiction pénale étrangère des représentants de l</w:t>
      </w:r>
      <w:r w:rsidR="004C5E26">
        <w:rPr>
          <w:lang w:val="fr-FR"/>
        </w:rPr>
        <w:t>’</w:t>
      </w:r>
      <w:r>
        <w:rPr>
          <w:lang w:val="fr-FR"/>
        </w:rPr>
        <w:t>État » et « Principes généraux du droit ») et l</w:t>
      </w:r>
      <w:r w:rsidR="004C5E26">
        <w:rPr>
          <w:lang w:val="fr-FR"/>
        </w:rPr>
        <w:t>’</w:t>
      </w:r>
      <w:r>
        <w:rPr>
          <w:lang w:val="fr-FR"/>
        </w:rPr>
        <w:t>examen du rapport final sur le sujet « L</w:t>
      </w:r>
      <w:r w:rsidR="004C5E26">
        <w:rPr>
          <w:lang w:val="fr-FR"/>
        </w:rPr>
        <w:t>’</w:t>
      </w:r>
      <w:r>
        <w:rPr>
          <w:lang w:val="fr-FR"/>
        </w:rPr>
        <w:t>élévation du niveau de la mer au regard du droit international »</w:t>
      </w:r>
      <w:r w:rsidRPr="00E9227E">
        <w:rPr>
          <w:rStyle w:val="Appelnotedebasdep"/>
        </w:rPr>
        <w:footnoteReference w:id="307"/>
      </w:r>
      <w:r w:rsidRPr="00731849">
        <w:rPr>
          <w:lang w:val="fr-FR"/>
        </w:rPr>
        <w:t>, la Commission a souligné qu</w:t>
      </w:r>
      <w:r w:rsidR="004C5E26">
        <w:rPr>
          <w:lang w:val="fr-FR"/>
        </w:rPr>
        <w:t>’</w:t>
      </w:r>
      <w:r w:rsidRPr="00731849">
        <w:rPr>
          <w:lang w:val="fr-FR"/>
        </w:rPr>
        <w:t>il importait que sa soixante-seizième session puisse durer au moins douze semaines.</w:t>
      </w:r>
    </w:p>
    <w:p w14:paraId="6BC25451" w14:textId="77777777" w:rsidR="000E25A7" w:rsidRPr="00BF345F" w:rsidRDefault="000E25A7" w:rsidP="000E25A7">
      <w:pPr>
        <w:pStyle w:val="SingleTxtG"/>
      </w:pPr>
      <w:r>
        <w:t>466</w:t>
      </w:r>
      <w:r w:rsidRPr="00731849">
        <w:t>.</w:t>
      </w:r>
      <w:r w:rsidRPr="00731849">
        <w:tab/>
      </w:r>
      <w:r w:rsidRPr="00731849">
        <w:rPr>
          <w:lang w:val="fr-FR"/>
        </w:rPr>
        <w:t>La Commission a décidé que sa soixante-seizième session se tiendrait à Genève du 14 avril au 30 mai et du 30 juin au 31 juillet 2025.</w:t>
      </w:r>
    </w:p>
    <w:p w14:paraId="19299533" w14:textId="36DAEBD4" w:rsidR="000E25A7" w:rsidRPr="00BF345F" w:rsidRDefault="000E25A7" w:rsidP="000E25A7">
      <w:pPr>
        <w:pStyle w:val="H1G"/>
      </w:pPr>
      <w:r>
        <w:rPr>
          <w:lang w:val="fr-FR"/>
        </w:rPr>
        <w:tab/>
        <w:t>D.</w:t>
      </w:r>
      <w:r>
        <w:rPr>
          <w:lang w:val="fr-FR"/>
        </w:rPr>
        <w:tab/>
      </w:r>
      <w:bookmarkStart w:id="199" w:name="_Hlk175323842"/>
      <w:r>
        <w:rPr>
          <w:lang w:val="fr-FR"/>
        </w:rPr>
        <w:t>Coopération avec d</w:t>
      </w:r>
      <w:r w:rsidR="004C5E26">
        <w:rPr>
          <w:lang w:val="fr-FR"/>
        </w:rPr>
        <w:t>’</w:t>
      </w:r>
      <w:r>
        <w:rPr>
          <w:lang w:val="fr-FR"/>
        </w:rPr>
        <w:t>autres organes</w:t>
      </w:r>
      <w:bookmarkEnd w:id="199"/>
    </w:p>
    <w:p w14:paraId="6B4D7D0C" w14:textId="68C47564" w:rsidR="000E25A7" w:rsidRPr="00BF345F" w:rsidRDefault="000E25A7" w:rsidP="000E25A7">
      <w:pPr>
        <w:pStyle w:val="SingleTxtG"/>
      </w:pPr>
      <w:r>
        <w:t>467</w:t>
      </w:r>
      <w:r w:rsidRPr="00BF345F">
        <w:t>.</w:t>
      </w:r>
      <w:r w:rsidRPr="00BF345F">
        <w:tab/>
      </w:r>
      <w:r>
        <w:rPr>
          <w:lang w:val="fr-FR"/>
        </w:rPr>
        <w:t>À la 3685</w:t>
      </w:r>
      <w:r w:rsidRPr="00414B38">
        <w:rPr>
          <w:vertAlign w:val="superscript"/>
          <w:lang w:val="fr-FR"/>
        </w:rPr>
        <w:t>e</w:t>
      </w:r>
      <w:r>
        <w:rPr>
          <w:lang w:val="fr-FR"/>
        </w:rPr>
        <w:t xml:space="preserve"> séance, le 17 juillet 2024, le juge </w:t>
      </w:r>
      <w:proofErr w:type="spellStart"/>
      <w:r>
        <w:rPr>
          <w:lang w:val="fr-FR"/>
        </w:rPr>
        <w:t>Nawaf</w:t>
      </w:r>
      <w:proofErr w:type="spellEnd"/>
      <w:r>
        <w:rPr>
          <w:lang w:val="fr-FR"/>
        </w:rPr>
        <w:t xml:space="preserve"> Salam, Président de la Cour internationale de Justice, a pris la parole devant la Commission, qu</w:t>
      </w:r>
      <w:r w:rsidR="004C5E26">
        <w:rPr>
          <w:lang w:val="fr-FR"/>
        </w:rPr>
        <w:t>’</w:t>
      </w:r>
      <w:r>
        <w:rPr>
          <w:lang w:val="fr-FR"/>
        </w:rPr>
        <w:t>il a informée de l</w:t>
      </w:r>
      <w:r w:rsidR="004C5E26">
        <w:rPr>
          <w:lang w:val="fr-FR"/>
        </w:rPr>
        <w:t>’</w:t>
      </w:r>
      <w:r>
        <w:rPr>
          <w:lang w:val="fr-FR"/>
        </w:rPr>
        <w:t>activité judiciaire récente de la Cour</w:t>
      </w:r>
      <w:r w:rsidRPr="00E9227E">
        <w:rPr>
          <w:rStyle w:val="Appelnotedebasdep"/>
        </w:rPr>
        <w:footnoteReference w:id="308"/>
      </w:r>
      <w:r>
        <w:rPr>
          <w:lang w:val="fr-FR"/>
        </w:rPr>
        <w:t>. Un échange de vues a suivi.</w:t>
      </w:r>
    </w:p>
    <w:p w14:paraId="16C3260E" w14:textId="3FFF920E" w:rsidR="000E25A7" w:rsidRPr="00BF345F" w:rsidRDefault="000E25A7" w:rsidP="000E25A7">
      <w:pPr>
        <w:pStyle w:val="SingleTxtG"/>
      </w:pPr>
      <w:r>
        <w:t>468</w:t>
      </w:r>
      <w:r w:rsidRPr="00BF345F">
        <w:t>.</w:t>
      </w:r>
      <w:r w:rsidRPr="00BF345F">
        <w:tab/>
      </w:r>
      <w:r>
        <w:rPr>
          <w:lang w:val="fr-FR"/>
        </w:rPr>
        <w:t>En raison de la crise des liquidités que traverse l</w:t>
      </w:r>
      <w:r w:rsidR="004C5E26">
        <w:rPr>
          <w:lang w:val="fr-FR"/>
        </w:rPr>
        <w:t>’</w:t>
      </w:r>
      <w:r>
        <w:rPr>
          <w:lang w:val="fr-FR"/>
        </w:rPr>
        <w:t>Organisation des Nations Unies, la session de la Commission, telle qu</w:t>
      </w:r>
      <w:r w:rsidR="004C5E26">
        <w:rPr>
          <w:lang w:val="fr-FR"/>
        </w:rPr>
        <w:t>’</w:t>
      </w:r>
      <w:r>
        <w:rPr>
          <w:lang w:val="fr-FR"/>
        </w:rPr>
        <w:t xml:space="preserve">approuvée par la résolution </w:t>
      </w:r>
      <w:hyperlink r:id="rId100" w:history="1">
        <w:r w:rsidRPr="00B55EAC">
          <w:rPr>
            <w:rStyle w:val="Lienhypertexte"/>
            <w:lang w:val="fr-FR"/>
          </w:rPr>
          <w:t>78/108</w:t>
        </w:r>
      </w:hyperlink>
      <w:r>
        <w:rPr>
          <w:lang w:val="fr-FR"/>
        </w:rPr>
        <w:t xml:space="preserve"> de l</w:t>
      </w:r>
      <w:r w:rsidR="004C5E26">
        <w:rPr>
          <w:lang w:val="fr-FR"/>
        </w:rPr>
        <w:t>’</w:t>
      </w:r>
      <w:r>
        <w:rPr>
          <w:lang w:val="fr-FR"/>
        </w:rPr>
        <w:t>Assemblée générale, a été ramenée de douze à dix semaines. De ce fait, la Commission n</w:t>
      </w:r>
      <w:r w:rsidR="004C5E26">
        <w:rPr>
          <w:lang w:val="fr-FR"/>
        </w:rPr>
        <w:t>’</w:t>
      </w:r>
      <w:r>
        <w:rPr>
          <w:lang w:val="fr-FR"/>
        </w:rPr>
        <w:t>a pas pu avoir d</w:t>
      </w:r>
      <w:r w:rsidR="004C5E26">
        <w:rPr>
          <w:lang w:val="fr-FR"/>
        </w:rPr>
        <w:t>’</w:t>
      </w:r>
      <w:r>
        <w:rPr>
          <w:lang w:val="fr-FR"/>
        </w:rPr>
        <w:t>échanges de vues avec la Commission de l</w:t>
      </w:r>
      <w:r w:rsidR="004C5E26">
        <w:rPr>
          <w:lang w:val="fr-FR"/>
        </w:rPr>
        <w:t>’</w:t>
      </w:r>
      <w:r>
        <w:rPr>
          <w:lang w:val="fr-FR"/>
        </w:rPr>
        <w:t>Union africaine sur le droit international, l</w:t>
      </w:r>
      <w:r w:rsidR="004C5E26">
        <w:rPr>
          <w:lang w:val="fr-FR"/>
        </w:rPr>
        <w:t>’</w:t>
      </w:r>
      <w:r>
        <w:rPr>
          <w:lang w:val="fr-FR"/>
        </w:rPr>
        <w:t>Organisation juridique consultative pour les pays d</w:t>
      </w:r>
      <w:r w:rsidR="004C5E26">
        <w:rPr>
          <w:lang w:val="fr-FR"/>
        </w:rPr>
        <w:t>’</w:t>
      </w:r>
      <w:r>
        <w:rPr>
          <w:lang w:val="fr-FR"/>
        </w:rPr>
        <w:t>Asie et d</w:t>
      </w:r>
      <w:r w:rsidR="004C5E26">
        <w:rPr>
          <w:lang w:val="fr-FR"/>
        </w:rPr>
        <w:t>’</w:t>
      </w:r>
      <w:r>
        <w:rPr>
          <w:lang w:val="fr-FR"/>
        </w:rPr>
        <w:t>Afrique, le Comité des conseillers juridiques sur le droit international public du Conseil de l</w:t>
      </w:r>
      <w:r w:rsidR="004C5E26">
        <w:rPr>
          <w:lang w:val="fr-FR"/>
        </w:rPr>
        <w:t>’</w:t>
      </w:r>
      <w:r>
        <w:rPr>
          <w:lang w:val="fr-FR"/>
        </w:rPr>
        <w:t>Europe et le Comité juridique interaméricain. Cela étant, elle continue d</w:t>
      </w:r>
      <w:r w:rsidR="004C5E26">
        <w:rPr>
          <w:lang w:val="fr-FR"/>
        </w:rPr>
        <w:t>’</w:t>
      </w:r>
      <w:r>
        <w:rPr>
          <w:lang w:val="fr-FR"/>
        </w:rPr>
        <w:t>attacher une grande importance à sa coopération avec ces organes et espère pouvoir de nouveau dialoguer avec eux à ses prochaines sessions.</w:t>
      </w:r>
    </w:p>
    <w:p w14:paraId="5797A1C1" w14:textId="3BF00B1B" w:rsidR="000E25A7" w:rsidRPr="00BF345F" w:rsidRDefault="000E25A7" w:rsidP="000E25A7">
      <w:pPr>
        <w:pStyle w:val="SingleTxtG"/>
      </w:pPr>
      <w:r>
        <w:t>469</w:t>
      </w:r>
      <w:r w:rsidRPr="00BF345F">
        <w:t>.</w:t>
      </w:r>
      <w:r w:rsidRPr="00BF345F">
        <w:tab/>
      </w:r>
      <w:r>
        <w:rPr>
          <w:lang w:val="fr-FR"/>
        </w:rPr>
        <w:t>Le 11 juillet 2024, des membres de la Commission et des représentants du Comité international de la Croix-Rouge ont eu un échange de vues informel sur des questions d</w:t>
      </w:r>
      <w:r w:rsidR="004C5E26">
        <w:rPr>
          <w:lang w:val="fr-FR"/>
        </w:rPr>
        <w:t>’</w:t>
      </w:r>
      <w:r>
        <w:rPr>
          <w:lang w:val="fr-FR"/>
        </w:rPr>
        <w:t>intérêt commun. M. Gilles Carbonnier, Vice-Président du CICR, a prononcé une allocation de bienvenue, et M</w:t>
      </w:r>
      <w:r w:rsidRPr="00CE1A4E">
        <w:rPr>
          <w:vertAlign w:val="superscript"/>
          <w:lang w:val="fr-FR"/>
        </w:rPr>
        <w:t>me</w:t>
      </w:r>
      <w:r>
        <w:rPr>
          <w:lang w:val="fr-FR"/>
        </w:rPr>
        <w:t xml:space="preserve"> </w:t>
      </w:r>
      <w:proofErr w:type="spellStart"/>
      <w:r>
        <w:rPr>
          <w:lang w:val="fr-FR"/>
        </w:rPr>
        <w:t>Cordula</w:t>
      </w:r>
      <w:proofErr w:type="spellEnd"/>
      <w:r>
        <w:rPr>
          <w:lang w:val="fr-FR"/>
        </w:rPr>
        <w:t xml:space="preserve"> </w:t>
      </w:r>
      <w:proofErr w:type="spellStart"/>
      <w:r>
        <w:rPr>
          <w:lang w:val="fr-FR"/>
        </w:rPr>
        <w:t>Droege</w:t>
      </w:r>
      <w:proofErr w:type="spellEnd"/>
      <w:r>
        <w:rPr>
          <w:lang w:val="fr-FR"/>
        </w:rPr>
        <w:t xml:space="preserve">, juriste principale et Cheffe de la Division juridique du CICR, et M. Marcelo </w:t>
      </w:r>
      <w:proofErr w:type="spellStart"/>
      <w:r>
        <w:rPr>
          <w:lang w:val="fr-FR"/>
        </w:rPr>
        <w:t>Vázquez-Bermúdez</w:t>
      </w:r>
      <w:proofErr w:type="spellEnd"/>
      <w:r>
        <w:rPr>
          <w:lang w:val="fr-FR"/>
        </w:rPr>
        <w:t>, Président de la Commission, ont fait des déclarations liminaires. Les travaux de la Commission sur les sujets « Immunité de juridiction pénale étrangère des représentants de l</w:t>
      </w:r>
      <w:r w:rsidR="004C5E26">
        <w:rPr>
          <w:lang w:val="fr-FR"/>
        </w:rPr>
        <w:t>’</w:t>
      </w:r>
      <w:r>
        <w:rPr>
          <w:lang w:val="fr-FR"/>
        </w:rPr>
        <w:t xml:space="preserve">État » et « Les accords internationaux juridiquement non contraignants » ont été présentés par les Rapporteurs spéciaux de ces sujets, respectivement M. Claudio Grossman </w:t>
      </w:r>
      <w:proofErr w:type="spellStart"/>
      <w:r>
        <w:rPr>
          <w:lang w:val="fr-FR"/>
        </w:rPr>
        <w:t>Guiloff</w:t>
      </w:r>
      <w:proofErr w:type="spellEnd"/>
      <w:r>
        <w:rPr>
          <w:lang w:val="fr-FR"/>
        </w:rPr>
        <w:t xml:space="preserve"> et M. Mathias </w:t>
      </w:r>
      <w:proofErr w:type="spellStart"/>
      <w:r>
        <w:rPr>
          <w:lang w:val="fr-FR"/>
        </w:rPr>
        <w:t>Forteau</w:t>
      </w:r>
      <w:proofErr w:type="spellEnd"/>
      <w:r>
        <w:rPr>
          <w:lang w:val="fr-FR"/>
        </w:rPr>
        <w:t>. M</w:t>
      </w:r>
      <w:r w:rsidRPr="00CE1A4E">
        <w:rPr>
          <w:vertAlign w:val="superscript"/>
          <w:lang w:val="fr-FR"/>
        </w:rPr>
        <w:t>me</w:t>
      </w:r>
      <w:r>
        <w:rPr>
          <w:lang w:val="fr-FR"/>
        </w:rPr>
        <w:t xml:space="preserve"> Abby </w:t>
      </w:r>
      <w:proofErr w:type="spellStart"/>
      <w:r>
        <w:rPr>
          <w:lang w:val="fr-FR"/>
        </w:rPr>
        <w:t>Zeith</w:t>
      </w:r>
      <w:proofErr w:type="spellEnd"/>
      <w:r>
        <w:rPr>
          <w:lang w:val="fr-FR"/>
        </w:rPr>
        <w:t>, M</w:t>
      </w:r>
      <w:r w:rsidRPr="00CE1A4E">
        <w:rPr>
          <w:vertAlign w:val="superscript"/>
          <w:lang w:val="fr-FR"/>
        </w:rPr>
        <w:t>me</w:t>
      </w:r>
      <w:r w:rsidR="00860B1B">
        <w:rPr>
          <w:lang w:val="fr-FR"/>
        </w:rPr>
        <w:t> </w:t>
      </w:r>
      <w:r>
        <w:rPr>
          <w:lang w:val="fr-FR"/>
        </w:rPr>
        <w:t>Vanessa Murphy et M. Matt Pollard, conseillers juridiques au CICR, ont présenté un exposé sur l</w:t>
      </w:r>
      <w:r w:rsidRPr="00951C7E">
        <w:rPr>
          <w:lang w:val="fr-FR"/>
        </w:rPr>
        <w:t xml:space="preserve">es documents non contraignants du droit international humanitaire </w:t>
      </w:r>
      <w:r>
        <w:rPr>
          <w:lang w:val="fr-FR"/>
        </w:rPr>
        <w:t>−</w:t>
      </w:r>
      <w:r w:rsidRPr="00951C7E">
        <w:rPr>
          <w:lang w:val="fr-FR"/>
        </w:rPr>
        <w:t xml:space="preserve"> la Déclaration de l</w:t>
      </w:r>
      <w:r w:rsidR="004C5E26">
        <w:rPr>
          <w:lang w:val="fr-FR"/>
        </w:rPr>
        <w:t>’</w:t>
      </w:r>
      <w:r w:rsidRPr="00951C7E">
        <w:rPr>
          <w:lang w:val="fr-FR"/>
        </w:rPr>
        <w:t>EWIPA,</w:t>
      </w:r>
      <w:r>
        <w:rPr>
          <w:lang w:val="fr-FR"/>
        </w:rPr>
        <w:t xml:space="preserve"> les Engagements de Paris en vue de protéger les enfants contre une utilisation ou un recrutement illégaux par des groupes ou des forces armés et la Déclaration </w:t>
      </w:r>
      <w:r>
        <w:rPr>
          <w:lang w:val="fr-FR"/>
        </w:rPr>
        <w:lastRenderedPageBreak/>
        <w:t>sur la sécurité dans les écoles, le Document de Montreux. Un échange de vues a suivi les présentations. M</w:t>
      </w:r>
      <w:r w:rsidRPr="00CE1A4E">
        <w:rPr>
          <w:vertAlign w:val="superscript"/>
          <w:lang w:val="fr-FR"/>
        </w:rPr>
        <w:t>me</w:t>
      </w:r>
      <w:r>
        <w:rPr>
          <w:lang w:val="fr-FR"/>
        </w:rPr>
        <w:t xml:space="preserve"> </w:t>
      </w:r>
      <w:proofErr w:type="spellStart"/>
      <w:r>
        <w:rPr>
          <w:lang w:val="fr-FR"/>
        </w:rPr>
        <w:t>Droege</w:t>
      </w:r>
      <w:proofErr w:type="spellEnd"/>
      <w:r>
        <w:rPr>
          <w:lang w:val="fr-FR"/>
        </w:rPr>
        <w:t xml:space="preserve"> a aussi prononcé le discours de conclusion.</w:t>
      </w:r>
      <w:bookmarkStart w:id="200" w:name="_Hlk519758136"/>
    </w:p>
    <w:bookmarkEnd w:id="200"/>
    <w:p w14:paraId="6F254B91" w14:textId="6E182EE6" w:rsidR="000E25A7" w:rsidRPr="00BF345F" w:rsidRDefault="000E25A7" w:rsidP="000E25A7">
      <w:pPr>
        <w:pStyle w:val="H1G"/>
      </w:pPr>
      <w:r>
        <w:rPr>
          <w:lang w:val="fr-FR"/>
        </w:rPr>
        <w:tab/>
        <w:t>E.</w:t>
      </w:r>
      <w:r>
        <w:rPr>
          <w:lang w:val="fr-FR"/>
        </w:rPr>
        <w:tab/>
      </w:r>
      <w:bookmarkStart w:id="201" w:name="_Hlk175323848"/>
      <w:r>
        <w:rPr>
          <w:lang w:val="fr-FR"/>
        </w:rPr>
        <w:t>Représentation à la soixante-dix-neuvième session de l</w:t>
      </w:r>
      <w:r w:rsidR="004C5E26">
        <w:rPr>
          <w:lang w:val="fr-FR"/>
        </w:rPr>
        <w:t>’</w:t>
      </w:r>
      <w:r>
        <w:rPr>
          <w:lang w:val="fr-FR"/>
        </w:rPr>
        <w:t>Assemblée générale</w:t>
      </w:r>
      <w:bookmarkStart w:id="202" w:name="_Toc111554836"/>
      <w:bookmarkStart w:id="203" w:name="_Toc111555218"/>
      <w:bookmarkEnd w:id="164"/>
      <w:bookmarkEnd w:id="165"/>
      <w:bookmarkEnd w:id="166"/>
      <w:bookmarkEnd w:id="167"/>
      <w:bookmarkEnd w:id="168"/>
      <w:bookmarkEnd w:id="202"/>
      <w:bookmarkEnd w:id="203"/>
      <w:bookmarkEnd w:id="201"/>
    </w:p>
    <w:p w14:paraId="04D0ED72" w14:textId="2248921D" w:rsidR="000E25A7" w:rsidRPr="00BF345F" w:rsidRDefault="000E25A7" w:rsidP="000E25A7">
      <w:pPr>
        <w:pStyle w:val="SingleTxtG"/>
      </w:pPr>
      <w:r>
        <w:t>470</w:t>
      </w:r>
      <w:r w:rsidRPr="00BF345F">
        <w:t>.</w:t>
      </w:r>
      <w:r w:rsidRPr="00BF345F">
        <w:tab/>
      </w:r>
      <w:r>
        <w:rPr>
          <w:lang w:val="fr-FR"/>
        </w:rPr>
        <w:t>La Commission a décidé qu</w:t>
      </w:r>
      <w:r w:rsidR="004C5E26">
        <w:rPr>
          <w:lang w:val="fr-FR"/>
        </w:rPr>
        <w:t>’</w:t>
      </w:r>
      <w:r>
        <w:rPr>
          <w:lang w:val="fr-FR"/>
        </w:rPr>
        <w:t>elle serait représentée à la soixante-dix-neuvième session de l</w:t>
      </w:r>
      <w:r w:rsidR="004C5E26">
        <w:rPr>
          <w:lang w:val="fr-FR"/>
        </w:rPr>
        <w:t>’</w:t>
      </w:r>
      <w:r>
        <w:rPr>
          <w:lang w:val="fr-FR"/>
        </w:rPr>
        <w:t xml:space="preserve">Assemblée générale par son </w:t>
      </w:r>
      <w:r w:rsidR="0072150C">
        <w:rPr>
          <w:lang w:val="fr-FR"/>
        </w:rPr>
        <w:t>P</w:t>
      </w:r>
      <w:r>
        <w:rPr>
          <w:lang w:val="fr-FR"/>
        </w:rPr>
        <w:t xml:space="preserve">résident, M. Marcelo </w:t>
      </w:r>
      <w:proofErr w:type="spellStart"/>
      <w:r>
        <w:rPr>
          <w:lang w:val="fr-FR"/>
        </w:rPr>
        <w:t>Vázquez-Bermúdez</w:t>
      </w:r>
      <w:proofErr w:type="spellEnd"/>
      <w:r>
        <w:rPr>
          <w:lang w:val="fr-FR"/>
        </w:rPr>
        <w:t xml:space="preserve">. </w:t>
      </w:r>
    </w:p>
    <w:p w14:paraId="5E31D3F4" w14:textId="77777777" w:rsidR="000E25A7" w:rsidRPr="00BF345F" w:rsidRDefault="000E25A7" w:rsidP="000E25A7">
      <w:pPr>
        <w:pStyle w:val="H1G"/>
      </w:pPr>
      <w:r>
        <w:rPr>
          <w:lang w:val="fr-FR"/>
        </w:rPr>
        <w:tab/>
        <w:t>F.</w:t>
      </w:r>
      <w:r>
        <w:rPr>
          <w:lang w:val="fr-FR"/>
        </w:rPr>
        <w:tab/>
      </w:r>
      <w:bookmarkStart w:id="204" w:name="_Hlk175323855"/>
      <w:r>
        <w:rPr>
          <w:lang w:val="fr-FR"/>
        </w:rPr>
        <w:t>Séminaire de droit international</w:t>
      </w:r>
      <w:bookmarkStart w:id="205" w:name="_Toc111554837"/>
      <w:bookmarkStart w:id="206" w:name="_Toc111555219"/>
      <w:bookmarkStart w:id="207" w:name="_Toc522896432"/>
      <w:bookmarkStart w:id="208" w:name="_Toc523727742"/>
      <w:bookmarkStart w:id="209" w:name="_Toc17455506"/>
      <w:bookmarkStart w:id="210" w:name="_Toc19001856"/>
      <w:bookmarkStart w:id="211" w:name="_Toc80171938"/>
      <w:bookmarkEnd w:id="205"/>
      <w:bookmarkEnd w:id="206"/>
      <w:bookmarkEnd w:id="207"/>
      <w:bookmarkEnd w:id="208"/>
      <w:bookmarkEnd w:id="209"/>
      <w:bookmarkEnd w:id="210"/>
      <w:bookmarkEnd w:id="211"/>
      <w:bookmarkEnd w:id="204"/>
    </w:p>
    <w:p w14:paraId="389D118E" w14:textId="53306BB8" w:rsidR="000E25A7" w:rsidRPr="00BF345F" w:rsidRDefault="000E25A7" w:rsidP="000E25A7">
      <w:pPr>
        <w:pStyle w:val="SingleTxtG"/>
      </w:pPr>
      <w:r>
        <w:t>471</w:t>
      </w:r>
      <w:r w:rsidRPr="00BF345F">
        <w:t>.</w:t>
      </w:r>
      <w:r w:rsidRPr="00BF345F">
        <w:tab/>
      </w:r>
      <w:r>
        <w:rPr>
          <w:lang w:val="fr-FR"/>
        </w:rPr>
        <w:t xml:space="preserve">Conformément à la résolution </w:t>
      </w:r>
      <w:hyperlink r:id="rId101" w:history="1">
        <w:r w:rsidRPr="0072150C">
          <w:rPr>
            <w:rStyle w:val="Lienhypertexte"/>
            <w:lang w:val="fr-FR"/>
          </w:rPr>
          <w:t>78/108</w:t>
        </w:r>
      </w:hyperlink>
      <w:r>
        <w:rPr>
          <w:lang w:val="fr-FR"/>
        </w:rPr>
        <w:t xml:space="preserve"> de l</w:t>
      </w:r>
      <w:r w:rsidR="004C5E26">
        <w:rPr>
          <w:lang w:val="fr-FR"/>
        </w:rPr>
        <w:t>’</w:t>
      </w:r>
      <w:r>
        <w:rPr>
          <w:lang w:val="fr-FR"/>
        </w:rPr>
        <w:t>Assemblée générale, en date du 7 décembre 2023, la cinquante-huitième session du Séminaire de droit international s</w:t>
      </w:r>
      <w:r w:rsidR="004C5E26">
        <w:rPr>
          <w:lang w:val="fr-FR"/>
        </w:rPr>
        <w:t>’</w:t>
      </w:r>
      <w:r>
        <w:rPr>
          <w:lang w:val="fr-FR"/>
        </w:rPr>
        <w:t>est tenue au Palais des Nations du 1</w:t>
      </w:r>
      <w:r w:rsidRPr="00BE55B5">
        <w:rPr>
          <w:vertAlign w:val="superscript"/>
          <w:lang w:val="fr-FR"/>
        </w:rPr>
        <w:t>er</w:t>
      </w:r>
      <w:r>
        <w:rPr>
          <w:lang w:val="fr-FR"/>
        </w:rPr>
        <w:t> au 19 juillet 2024, pendant la présente session de la Commission. Le Séminaire s</w:t>
      </w:r>
      <w:r w:rsidR="004C5E26">
        <w:rPr>
          <w:lang w:val="fr-FR"/>
        </w:rPr>
        <w:t>’</w:t>
      </w:r>
      <w:r>
        <w:rPr>
          <w:lang w:val="fr-FR"/>
        </w:rPr>
        <w:t>adresse à de jeunes juristes se spécialisant en droit international, ainsi qu</w:t>
      </w:r>
      <w:r w:rsidR="004C5E26">
        <w:rPr>
          <w:lang w:val="fr-FR"/>
        </w:rPr>
        <w:t>’</w:t>
      </w:r>
      <w:r>
        <w:rPr>
          <w:lang w:val="fr-FR"/>
        </w:rPr>
        <w:t>à de jeunes enseignants ou représentants de l</w:t>
      </w:r>
      <w:r w:rsidR="004C5E26">
        <w:rPr>
          <w:lang w:val="fr-FR"/>
        </w:rPr>
        <w:t>’</w:t>
      </w:r>
      <w:r>
        <w:rPr>
          <w:lang w:val="fr-FR"/>
        </w:rPr>
        <w:t>État qui mènent une carrière universitaire ou diplomatique dans la fonction publique de leur pays.</w:t>
      </w:r>
    </w:p>
    <w:p w14:paraId="7CB74D39" w14:textId="77777777" w:rsidR="000E25A7" w:rsidRPr="00BF345F" w:rsidRDefault="000E25A7" w:rsidP="000E25A7">
      <w:pPr>
        <w:pStyle w:val="SingleTxtG"/>
        <w:rPr>
          <w:rFonts w:cstheme="majorBidi"/>
        </w:rPr>
      </w:pPr>
      <w:r>
        <w:rPr>
          <w:rFonts w:cstheme="majorBidi"/>
        </w:rPr>
        <w:t>472</w:t>
      </w:r>
      <w:r w:rsidRPr="00BF345F">
        <w:rPr>
          <w:rFonts w:cstheme="majorBidi"/>
        </w:rPr>
        <w:t>.</w:t>
      </w:r>
      <w:r w:rsidRPr="00BF345F">
        <w:rPr>
          <w:rFonts w:cstheme="majorBidi"/>
        </w:rPr>
        <w:tab/>
      </w:r>
      <w:r w:rsidRPr="00F46B69">
        <w:rPr>
          <w:lang w:val="fr-FR"/>
        </w:rPr>
        <w:t>Vingt-sept personnes de nationalités différentes</w:t>
      </w:r>
      <w:r>
        <w:rPr>
          <w:lang w:val="fr-FR"/>
        </w:rPr>
        <w:t xml:space="preserve"> et de tous les groupes régionaux ont participé à la session</w:t>
      </w:r>
      <w:r w:rsidRPr="00E9227E">
        <w:rPr>
          <w:rStyle w:val="Appelnotedebasdep"/>
        </w:rPr>
        <w:footnoteReference w:id="309"/>
      </w:r>
      <w:r>
        <w:rPr>
          <w:lang w:val="fr-FR"/>
        </w:rPr>
        <w:t>. Les participants ont assisté à des séances plénières de la Commission et à des exposés qui leur étaient spécialement destinés, et ont participé à des groupes de travail sur des sujets particuliers.</w:t>
      </w:r>
    </w:p>
    <w:p w14:paraId="1F1A7F57" w14:textId="2D2A7288" w:rsidR="000E25A7" w:rsidRPr="00BF345F" w:rsidRDefault="000E25A7" w:rsidP="000E25A7">
      <w:pPr>
        <w:pStyle w:val="SingleTxtG"/>
        <w:rPr>
          <w:rFonts w:cstheme="majorBidi"/>
        </w:rPr>
      </w:pPr>
      <w:r>
        <w:rPr>
          <w:rFonts w:cstheme="majorBidi"/>
        </w:rPr>
        <w:t>473</w:t>
      </w:r>
      <w:r w:rsidRPr="00BF345F">
        <w:rPr>
          <w:rFonts w:cstheme="majorBidi"/>
        </w:rPr>
        <w:t>.</w:t>
      </w:r>
      <w:r w:rsidRPr="00BF345F">
        <w:rPr>
          <w:rFonts w:cstheme="majorBidi"/>
        </w:rPr>
        <w:tab/>
      </w:r>
      <w:r>
        <w:rPr>
          <w:lang w:val="fr-FR"/>
        </w:rPr>
        <w:t>M.</w:t>
      </w:r>
      <w:r w:rsidR="00F146D6">
        <w:rPr>
          <w:lang w:val="fr-FR"/>
        </w:rPr>
        <w:t> </w:t>
      </w:r>
      <w:r>
        <w:rPr>
          <w:lang w:val="fr-FR"/>
        </w:rPr>
        <w:t>Marcelo</w:t>
      </w:r>
      <w:r w:rsidR="00F146D6">
        <w:rPr>
          <w:lang w:val="fr-FR"/>
        </w:rPr>
        <w:t> </w:t>
      </w:r>
      <w:proofErr w:type="spellStart"/>
      <w:r>
        <w:rPr>
          <w:lang w:val="fr-FR"/>
        </w:rPr>
        <w:t>Vázquez-Bermúdez</w:t>
      </w:r>
      <w:proofErr w:type="spellEnd"/>
      <w:r>
        <w:rPr>
          <w:lang w:val="fr-FR"/>
        </w:rPr>
        <w:t>, Président de la Commission, et M. </w:t>
      </w:r>
      <w:proofErr w:type="spellStart"/>
      <w:r>
        <w:rPr>
          <w:lang w:val="fr-FR"/>
        </w:rPr>
        <w:t>Huw</w:t>
      </w:r>
      <w:proofErr w:type="spellEnd"/>
      <w:r w:rsidR="00F146D6">
        <w:rPr>
          <w:lang w:val="fr-FR"/>
        </w:rPr>
        <w:t> </w:t>
      </w:r>
      <w:proofErr w:type="spellStart"/>
      <w:r>
        <w:rPr>
          <w:lang w:val="fr-FR"/>
        </w:rPr>
        <w:t>Llewellyn</w:t>
      </w:r>
      <w:proofErr w:type="spellEnd"/>
      <w:r>
        <w:rPr>
          <w:lang w:val="fr-FR"/>
        </w:rPr>
        <w:t>, Directeur de la Division de la codification, ont ouvert le séminaire. Le Bureau des affaires juridiques de l</w:t>
      </w:r>
      <w:r w:rsidR="004C5E26">
        <w:rPr>
          <w:lang w:val="fr-FR"/>
        </w:rPr>
        <w:t>’</w:t>
      </w:r>
      <w:r>
        <w:rPr>
          <w:lang w:val="fr-FR"/>
        </w:rPr>
        <w:t>Office des Nations Unies à Genève était responsable de l</w:t>
      </w:r>
      <w:r w:rsidR="004C5E26">
        <w:rPr>
          <w:lang w:val="fr-FR"/>
        </w:rPr>
        <w:t>’</w:t>
      </w:r>
      <w:r>
        <w:rPr>
          <w:lang w:val="fr-FR"/>
        </w:rPr>
        <w:t>administration, de l</w:t>
      </w:r>
      <w:r w:rsidR="004C5E26">
        <w:rPr>
          <w:lang w:val="fr-FR"/>
        </w:rPr>
        <w:t>’</w:t>
      </w:r>
      <w:r>
        <w:rPr>
          <w:lang w:val="fr-FR"/>
        </w:rPr>
        <w:t>organisation et du déroulement du Séminaire. M.</w:t>
      </w:r>
      <w:r w:rsidR="00F146D6">
        <w:rPr>
          <w:lang w:val="fr-FR"/>
        </w:rPr>
        <w:t> </w:t>
      </w:r>
      <w:r>
        <w:rPr>
          <w:lang w:val="fr-FR"/>
        </w:rPr>
        <w:t>Vittorio</w:t>
      </w:r>
      <w:r w:rsidR="00F146D6">
        <w:rPr>
          <w:lang w:val="fr-FR"/>
        </w:rPr>
        <w:t> </w:t>
      </w:r>
      <w:proofErr w:type="spellStart"/>
      <w:r>
        <w:rPr>
          <w:lang w:val="fr-FR"/>
        </w:rPr>
        <w:t>Mainetti</w:t>
      </w:r>
      <w:proofErr w:type="spellEnd"/>
      <w:r>
        <w:rPr>
          <w:lang w:val="fr-FR"/>
        </w:rPr>
        <w:t>, spécialiste et consultant en droit international, a fait fonction de Coordonnateur, secondé par M</w:t>
      </w:r>
      <w:r w:rsidRPr="00DA1CA5">
        <w:rPr>
          <w:vertAlign w:val="superscript"/>
          <w:lang w:val="fr-FR"/>
        </w:rPr>
        <w:t>me</w:t>
      </w:r>
      <w:r w:rsidR="00F146D6">
        <w:rPr>
          <w:lang w:val="fr-FR"/>
        </w:rPr>
        <w:t> </w:t>
      </w:r>
      <w:proofErr w:type="spellStart"/>
      <w:r>
        <w:rPr>
          <w:lang w:val="fr-FR"/>
        </w:rPr>
        <w:t>Letícia</w:t>
      </w:r>
      <w:proofErr w:type="spellEnd"/>
      <w:r w:rsidR="00F146D6">
        <w:rPr>
          <w:lang w:val="fr-FR"/>
        </w:rPr>
        <w:t> </w:t>
      </w:r>
      <w:r>
        <w:rPr>
          <w:lang w:val="fr-FR"/>
        </w:rPr>
        <w:t xml:space="preserve">Machado </w:t>
      </w:r>
      <w:proofErr w:type="spellStart"/>
      <w:r>
        <w:rPr>
          <w:lang w:val="fr-FR"/>
        </w:rPr>
        <w:t>Haertel</w:t>
      </w:r>
      <w:proofErr w:type="spellEnd"/>
      <w:r>
        <w:rPr>
          <w:lang w:val="fr-FR"/>
        </w:rPr>
        <w:t xml:space="preserve"> et M</w:t>
      </w:r>
      <w:r w:rsidRPr="00DA1CA5">
        <w:rPr>
          <w:vertAlign w:val="superscript"/>
          <w:lang w:val="fr-FR"/>
        </w:rPr>
        <w:t>me</w:t>
      </w:r>
      <w:r w:rsidR="00F146D6">
        <w:rPr>
          <w:lang w:val="fr-FR"/>
        </w:rPr>
        <w:t> </w:t>
      </w:r>
      <w:proofErr w:type="spellStart"/>
      <w:r>
        <w:rPr>
          <w:lang w:val="fr-FR"/>
        </w:rPr>
        <w:t>Yitong</w:t>
      </w:r>
      <w:proofErr w:type="spellEnd"/>
      <w:r w:rsidR="00F146D6">
        <w:rPr>
          <w:lang w:val="fr-FR"/>
        </w:rPr>
        <w:t> </w:t>
      </w:r>
      <w:r>
        <w:rPr>
          <w:lang w:val="fr-FR"/>
        </w:rPr>
        <w:t>Sun, assistantes juridiques.</w:t>
      </w:r>
    </w:p>
    <w:p w14:paraId="5693FB5B" w14:textId="68451728" w:rsidR="000E25A7" w:rsidRPr="00BF345F" w:rsidRDefault="000E25A7" w:rsidP="000E25A7">
      <w:pPr>
        <w:pStyle w:val="SingleTxtG"/>
        <w:rPr>
          <w:rFonts w:cstheme="majorBidi"/>
        </w:rPr>
      </w:pPr>
      <w:r>
        <w:rPr>
          <w:rFonts w:cstheme="majorBidi"/>
        </w:rPr>
        <w:t>474</w:t>
      </w:r>
      <w:r w:rsidRPr="00BF345F">
        <w:rPr>
          <w:rFonts w:cstheme="majorBidi"/>
        </w:rPr>
        <w:t>.</w:t>
      </w:r>
      <w:r w:rsidRPr="00BF345F">
        <w:rPr>
          <w:rFonts w:cstheme="majorBidi"/>
        </w:rPr>
        <w:tab/>
      </w:r>
      <w:r>
        <w:rPr>
          <w:lang w:val="fr-FR"/>
        </w:rPr>
        <w:t xml:space="preserve">M. </w:t>
      </w:r>
      <w:proofErr w:type="spellStart"/>
      <w:r>
        <w:rPr>
          <w:lang w:val="fr-FR"/>
        </w:rPr>
        <w:t>Huw</w:t>
      </w:r>
      <w:proofErr w:type="spellEnd"/>
      <w:r>
        <w:rPr>
          <w:lang w:val="fr-FR"/>
        </w:rPr>
        <w:t xml:space="preserve"> </w:t>
      </w:r>
      <w:proofErr w:type="spellStart"/>
      <w:r>
        <w:rPr>
          <w:lang w:val="fr-FR"/>
        </w:rPr>
        <w:t>Llewellyn</w:t>
      </w:r>
      <w:proofErr w:type="spellEnd"/>
      <w:r>
        <w:rPr>
          <w:lang w:val="fr-FR"/>
        </w:rPr>
        <w:t xml:space="preserve"> a donné une conférence </w:t>
      </w:r>
      <w:r w:rsidRPr="002675DB">
        <w:rPr>
          <w:lang w:val="fr-FR"/>
        </w:rPr>
        <w:t>sur l</w:t>
      </w:r>
      <w:r w:rsidR="004C5E26">
        <w:rPr>
          <w:lang w:val="fr-FR"/>
        </w:rPr>
        <w:t>’</w:t>
      </w:r>
      <w:r w:rsidRPr="002675DB">
        <w:rPr>
          <w:lang w:val="fr-FR"/>
        </w:rPr>
        <w:t>ONU et le</w:t>
      </w:r>
      <w:r>
        <w:rPr>
          <w:lang w:val="fr-FR"/>
        </w:rPr>
        <w:t xml:space="preserve"> développement progressif du droit international et sa codification, offrant aux participants une large vue d</w:t>
      </w:r>
      <w:r w:rsidR="004C5E26">
        <w:rPr>
          <w:lang w:val="fr-FR"/>
        </w:rPr>
        <w:t>’</w:t>
      </w:r>
      <w:r>
        <w:rPr>
          <w:lang w:val="fr-FR"/>
        </w:rPr>
        <w:t>ensemble des travaux de la Commission du droit international.</w:t>
      </w:r>
    </w:p>
    <w:p w14:paraId="061EA83B" w14:textId="045026DB" w:rsidR="000E25A7" w:rsidRPr="00BF345F" w:rsidRDefault="000E25A7" w:rsidP="0072150C">
      <w:pPr>
        <w:pStyle w:val="SingleTxtG"/>
        <w:keepNext/>
        <w:rPr>
          <w:rFonts w:cstheme="majorBidi"/>
        </w:rPr>
      </w:pPr>
      <w:r>
        <w:rPr>
          <w:rFonts w:cstheme="majorBidi"/>
        </w:rPr>
        <w:t>475</w:t>
      </w:r>
      <w:r w:rsidRPr="00BF345F">
        <w:rPr>
          <w:rFonts w:cstheme="majorBidi"/>
        </w:rPr>
        <w:t>.</w:t>
      </w:r>
      <w:r w:rsidRPr="00BF345F">
        <w:rPr>
          <w:rFonts w:cstheme="majorBidi"/>
        </w:rPr>
        <w:tab/>
      </w:r>
      <w:r>
        <w:rPr>
          <w:lang w:val="fr-FR"/>
        </w:rPr>
        <w:t>Des membres de la Commission ont donné les conférences suivantes : M.</w:t>
      </w:r>
      <w:r w:rsidR="0072150C">
        <w:rPr>
          <w:lang w:val="fr-FR"/>
        </w:rPr>
        <w:t> </w:t>
      </w:r>
      <w:r>
        <w:rPr>
          <w:lang w:val="fr-FR"/>
        </w:rPr>
        <w:t>Claudio</w:t>
      </w:r>
      <w:r w:rsidR="0072150C">
        <w:rPr>
          <w:lang w:val="fr-FR"/>
        </w:rPr>
        <w:t> </w:t>
      </w:r>
      <w:r>
        <w:rPr>
          <w:lang w:val="fr-FR"/>
        </w:rPr>
        <w:t xml:space="preserve">Grossman </w:t>
      </w:r>
      <w:proofErr w:type="spellStart"/>
      <w:r>
        <w:rPr>
          <w:lang w:val="fr-FR"/>
        </w:rPr>
        <w:t>Guiloff</w:t>
      </w:r>
      <w:proofErr w:type="spellEnd"/>
      <w:r>
        <w:rPr>
          <w:lang w:val="fr-FR"/>
        </w:rPr>
        <w:t>, « L</w:t>
      </w:r>
      <w:r w:rsidR="004C5E26">
        <w:rPr>
          <w:lang w:val="fr-FR"/>
        </w:rPr>
        <w:t>’</w:t>
      </w:r>
      <w:r>
        <w:rPr>
          <w:lang w:val="fr-FR"/>
        </w:rPr>
        <w:t>immunité de juridiction pénale étrangère des représentants de l</w:t>
      </w:r>
      <w:r w:rsidR="004C5E26">
        <w:rPr>
          <w:lang w:val="fr-FR"/>
        </w:rPr>
        <w:t>’</w:t>
      </w:r>
      <w:r>
        <w:rPr>
          <w:lang w:val="fr-FR"/>
        </w:rPr>
        <w:t>État » ; M.</w:t>
      </w:r>
      <w:r w:rsidR="00F146D6">
        <w:rPr>
          <w:lang w:val="fr-FR"/>
        </w:rPr>
        <w:t> </w:t>
      </w:r>
      <w:proofErr w:type="spellStart"/>
      <w:r>
        <w:rPr>
          <w:lang w:val="fr-FR"/>
        </w:rPr>
        <w:t>Keun-Gwan</w:t>
      </w:r>
      <w:proofErr w:type="spellEnd"/>
      <w:r>
        <w:rPr>
          <w:lang w:val="fr-FR"/>
        </w:rPr>
        <w:t xml:space="preserve"> Lee, « Prévention et répression de la piraterie et du vol à main armée en mer » ; M.</w:t>
      </w:r>
      <w:r w:rsidR="00F146D6">
        <w:rPr>
          <w:lang w:val="fr-FR"/>
        </w:rPr>
        <w:t> </w:t>
      </w:r>
      <w:r>
        <w:rPr>
          <w:lang w:val="fr-FR"/>
        </w:rPr>
        <w:t>Giuseppe</w:t>
      </w:r>
      <w:r w:rsidR="00F146D6">
        <w:rPr>
          <w:lang w:val="fr-FR"/>
        </w:rPr>
        <w:t> </w:t>
      </w:r>
      <w:proofErr w:type="spellStart"/>
      <w:r>
        <w:rPr>
          <w:lang w:val="fr-FR"/>
        </w:rPr>
        <w:t>Nesi</w:t>
      </w:r>
      <w:proofErr w:type="spellEnd"/>
      <w:r>
        <w:rPr>
          <w:lang w:val="fr-FR"/>
        </w:rPr>
        <w:t>, « La CDI vue de l</w:t>
      </w:r>
      <w:r w:rsidR="004C5E26">
        <w:rPr>
          <w:lang w:val="fr-FR"/>
        </w:rPr>
        <w:t>’</w:t>
      </w:r>
      <w:r>
        <w:rPr>
          <w:lang w:val="fr-FR"/>
        </w:rPr>
        <w:t>extérieur » ; M.</w:t>
      </w:r>
      <w:r w:rsidR="0072150C">
        <w:rPr>
          <w:lang w:val="fr-FR"/>
        </w:rPr>
        <w:t> </w:t>
      </w:r>
      <w:r>
        <w:rPr>
          <w:lang w:val="fr-FR"/>
        </w:rPr>
        <w:t>Charles</w:t>
      </w:r>
      <w:r w:rsidR="0072150C">
        <w:rPr>
          <w:lang w:val="fr-FR"/>
        </w:rPr>
        <w:t> </w:t>
      </w:r>
      <w:r>
        <w:rPr>
          <w:lang w:val="fr-FR"/>
        </w:rPr>
        <w:t xml:space="preserve">C. </w:t>
      </w:r>
      <w:proofErr w:type="spellStart"/>
      <w:r>
        <w:rPr>
          <w:lang w:val="fr-FR"/>
        </w:rPr>
        <w:t>Jalloh</w:t>
      </w:r>
      <w:proofErr w:type="spellEnd"/>
      <w:r>
        <w:rPr>
          <w:lang w:val="fr-FR"/>
        </w:rPr>
        <w:t>, « Les moyens auxiliaires de détermination des règles de droit international » ; M.</w:t>
      </w:r>
      <w:r w:rsidR="00F146D6">
        <w:rPr>
          <w:lang w:val="fr-FR"/>
        </w:rPr>
        <w:t> </w:t>
      </w:r>
      <w:r>
        <w:rPr>
          <w:lang w:val="fr-FR"/>
        </w:rPr>
        <w:t>Mathias</w:t>
      </w:r>
      <w:r w:rsidR="00F146D6">
        <w:rPr>
          <w:lang w:val="fr-FR"/>
        </w:rPr>
        <w:t> </w:t>
      </w:r>
      <w:proofErr w:type="spellStart"/>
      <w:r>
        <w:rPr>
          <w:lang w:val="fr-FR"/>
        </w:rPr>
        <w:t>Forteau</w:t>
      </w:r>
      <w:proofErr w:type="spellEnd"/>
      <w:r>
        <w:rPr>
          <w:lang w:val="fr-FR"/>
        </w:rPr>
        <w:t>, « Les accords non contraignants » ; M.</w:t>
      </w:r>
      <w:r w:rsidR="0072150C">
        <w:rPr>
          <w:lang w:val="fr-FR"/>
        </w:rPr>
        <w:t> </w:t>
      </w:r>
      <w:r>
        <w:rPr>
          <w:lang w:val="fr-FR"/>
        </w:rPr>
        <w:t>August</w:t>
      </w:r>
      <w:r w:rsidR="0072150C">
        <w:rPr>
          <w:lang w:val="fr-FR"/>
        </w:rPr>
        <w:t> </w:t>
      </w:r>
      <w:proofErr w:type="spellStart"/>
      <w:r>
        <w:rPr>
          <w:lang w:val="fr-FR"/>
        </w:rPr>
        <w:t>Reinisch</w:t>
      </w:r>
      <w:proofErr w:type="spellEnd"/>
      <w:r>
        <w:rPr>
          <w:lang w:val="fr-FR"/>
        </w:rPr>
        <w:t>, « Le règlement des différends auxquels des organisations internationales sont parties ». En outre, une table ronde a été organisée avec les trois Coprésidents du Groupe d</w:t>
      </w:r>
      <w:r w:rsidR="004C5E26">
        <w:rPr>
          <w:lang w:val="fr-FR"/>
        </w:rPr>
        <w:t>’</w:t>
      </w:r>
      <w:r>
        <w:rPr>
          <w:lang w:val="fr-FR"/>
        </w:rPr>
        <w:t>étude sur le sujet « L</w:t>
      </w:r>
      <w:r w:rsidR="004C5E26">
        <w:rPr>
          <w:lang w:val="fr-FR"/>
        </w:rPr>
        <w:t>’</w:t>
      </w:r>
      <w:r>
        <w:rPr>
          <w:lang w:val="fr-FR"/>
        </w:rPr>
        <w:t xml:space="preserve">élévation du niveau de la mer au regard du </w:t>
      </w:r>
      <w:r>
        <w:rPr>
          <w:lang w:val="fr-FR"/>
        </w:rPr>
        <w:lastRenderedPageBreak/>
        <w:t>droit international », à savoir M</w:t>
      </w:r>
      <w:r w:rsidRPr="00E04CC0">
        <w:rPr>
          <w:vertAlign w:val="superscript"/>
          <w:lang w:val="fr-FR"/>
        </w:rPr>
        <w:t>me</w:t>
      </w:r>
      <w:r w:rsidR="0072150C">
        <w:rPr>
          <w:lang w:val="fr-FR"/>
        </w:rPr>
        <w:t> </w:t>
      </w:r>
      <w:proofErr w:type="spellStart"/>
      <w:r>
        <w:rPr>
          <w:lang w:val="fr-FR"/>
        </w:rPr>
        <w:t>Patrícia</w:t>
      </w:r>
      <w:proofErr w:type="spellEnd"/>
      <w:r w:rsidR="0072150C">
        <w:rPr>
          <w:lang w:val="fr-FR"/>
        </w:rPr>
        <w:t> </w:t>
      </w:r>
      <w:proofErr w:type="spellStart"/>
      <w:r>
        <w:rPr>
          <w:lang w:val="fr-FR"/>
        </w:rPr>
        <w:t>Galvão</w:t>
      </w:r>
      <w:proofErr w:type="spellEnd"/>
      <w:r>
        <w:rPr>
          <w:lang w:val="fr-FR"/>
        </w:rPr>
        <w:t xml:space="preserve"> </w:t>
      </w:r>
      <w:proofErr w:type="spellStart"/>
      <w:r>
        <w:rPr>
          <w:lang w:val="fr-FR"/>
        </w:rPr>
        <w:t>Teles</w:t>
      </w:r>
      <w:proofErr w:type="spellEnd"/>
      <w:r>
        <w:rPr>
          <w:lang w:val="fr-FR"/>
        </w:rPr>
        <w:t>, M</w:t>
      </w:r>
      <w:r w:rsidRPr="00E04CC0">
        <w:rPr>
          <w:vertAlign w:val="superscript"/>
          <w:lang w:val="fr-FR"/>
        </w:rPr>
        <w:t>me</w:t>
      </w:r>
      <w:r w:rsidR="0072150C">
        <w:rPr>
          <w:lang w:val="fr-FR"/>
        </w:rPr>
        <w:t> </w:t>
      </w:r>
      <w:proofErr w:type="spellStart"/>
      <w:r>
        <w:rPr>
          <w:lang w:val="fr-FR"/>
        </w:rPr>
        <w:t>Nilüfer</w:t>
      </w:r>
      <w:proofErr w:type="spellEnd"/>
      <w:r w:rsidR="0072150C">
        <w:rPr>
          <w:lang w:val="fr-FR"/>
        </w:rPr>
        <w:t> </w:t>
      </w:r>
      <w:r>
        <w:rPr>
          <w:lang w:val="fr-FR"/>
        </w:rPr>
        <w:t>Oral et M. Juan</w:t>
      </w:r>
      <w:r w:rsidR="0072150C">
        <w:rPr>
          <w:lang w:val="fr-FR"/>
        </w:rPr>
        <w:t> </w:t>
      </w:r>
      <w:r>
        <w:rPr>
          <w:lang w:val="fr-FR"/>
        </w:rPr>
        <w:t xml:space="preserve">José </w:t>
      </w:r>
      <w:proofErr w:type="spellStart"/>
      <w:r>
        <w:rPr>
          <w:lang w:val="fr-FR"/>
        </w:rPr>
        <w:t>Ruda</w:t>
      </w:r>
      <w:proofErr w:type="spellEnd"/>
      <w:r>
        <w:rPr>
          <w:lang w:val="fr-FR"/>
        </w:rPr>
        <w:t xml:space="preserve"> </w:t>
      </w:r>
      <w:proofErr w:type="spellStart"/>
      <w:r>
        <w:rPr>
          <w:lang w:val="fr-FR"/>
        </w:rPr>
        <w:t>Santolaria</w:t>
      </w:r>
      <w:proofErr w:type="spellEnd"/>
      <w:r>
        <w:rPr>
          <w:lang w:val="fr-FR"/>
        </w:rPr>
        <w:t>.</w:t>
      </w:r>
    </w:p>
    <w:p w14:paraId="61288E90" w14:textId="74B57E64" w:rsidR="000E25A7" w:rsidRPr="00BF345F" w:rsidRDefault="000E25A7" w:rsidP="000E25A7">
      <w:pPr>
        <w:pStyle w:val="SingleTxtG"/>
        <w:rPr>
          <w:rFonts w:cstheme="majorBidi"/>
        </w:rPr>
      </w:pPr>
      <w:r>
        <w:rPr>
          <w:rFonts w:cstheme="majorBidi"/>
        </w:rPr>
        <w:t>476</w:t>
      </w:r>
      <w:r w:rsidRPr="00BF345F">
        <w:rPr>
          <w:rFonts w:cstheme="majorBidi"/>
        </w:rPr>
        <w:t>.</w:t>
      </w:r>
      <w:r w:rsidRPr="00BF345F">
        <w:rPr>
          <w:rFonts w:cstheme="majorBidi"/>
        </w:rPr>
        <w:tab/>
      </w:r>
      <w:r>
        <w:rPr>
          <w:lang w:val="fr-FR"/>
        </w:rPr>
        <w:t>Les participants ont assisté à une conférence organisée en coopération avec le Pôle eau Genève sur le thème « L</w:t>
      </w:r>
      <w:r w:rsidR="004C5E26">
        <w:rPr>
          <w:lang w:val="fr-FR"/>
        </w:rPr>
        <w:t>’</w:t>
      </w:r>
      <w:r>
        <w:rPr>
          <w:lang w:val="fr-FR"/>
        </w:rPr>
        <w:t>eau, la paix et le droit international », dans le cadre de laquelle sont notamment intervenus M</w:t>
      </w:r>
      <w:r w:rsidRPr="00E04CC0">
        <w:rPr>
          <w:vertAlign w:val="superscript"/>
          <w:lang w:val="fr-FR"/>
        </w:rPr>
        <w:t>me</w:t>
      </w:r>
      <w:r w:rsidR="0072150C">
        <w:rPr>
          <w:lang w:val="fr-FR"/>
        </w:rPr>
        <w:t> </w:t>
      </w:r>
      <w:r>
        <w:rPr>
          <w:lang w:val="fr-FR"/>
        </w:rPr>
        <w:t>Laurence</w:t>
      </w:r>
      <w:r w:rsidR="0072150C">
        <w:rPr>
          <w:lang w:val="fr-FR"/>
        </w:rPr>
        <w:t> </w:t>
      </w:r>
      <w:r>
        <w:rPr>
          <w:lang w:val="fr-FR"/>
        </w:rPr>
        <w:t xml:space="preserve">Boisson de </w:t>
      </w:r>
      <w:proofErr w:type="spellStart"/>
      <w:r>
        <w:rPr>
          <w:lang w:val="fr-FR"/>
        </w:rPr>
        <w:t>Chazournes</w:t>
      </w:r>
      <w:proofErr w:type="spellEnd"/>
      <w:r>
        <w:rPr>
          <w:lang w:val="fr-FR"/>
        </w:rPr>
        <w:t>, professeur à l</w:t>
      </w:r>
      <w:r w:rsidR="004C5E26">
        <w:rPr>
          <w:lang w:val="fr-FR"/>
        </w:rPr>
        <w:t>’</w:t>
      </w:r>
      <w:r>
        <w:rPr>
          <w:lang w:val="fr-FR"/>
        </w:rPr>
        <w:t>Université de Genève, M. Mark Zeitoun, professeur à l</w:t>
      </w:r>
      <w:r w:rsidR="004C5E26">
        <w:rPr>
          <w:lang w:val="fr-FR"/>
        </w:rPr>
        <w:t>’</w:t>
      </w:r>
      <w:r>
        <w:rPr>
          <w:lang w:val="fr-FR"/>
        </w:rPr>
        <w:t>Institut de hautes études internationales et du développement de Genève et directeur du Pôle eau Genève, M</w:t>
      </w:r>
      <w:r w:rsidRPr="00E04CC0">
        <w:rPr>
          <w:vertAlign w:val="superscript"/>
          <w:lang w:val="fr-FR"/>
        </w:rPr>
        <w:t>me</w:t>
      </w:r>
      <w:r>
        <w:rPr>
          <w:lang w:val="fr-FR"/>
        </w:rPr>
        <w:t> Sonja</w:t>
      </w:r>
      <w:r w:rsidR="00F146D6">
        <w:rPr>
          <w:lang w:val="fr-FR"/>
        </w:rPr>
        <w:t> </w:t>
      </w:r>
      <w:proofErr w:type="spellStart"/>
      <w:r>
        <w:rPr>
          <w:lang w:val="fr-FR"/>
        </w:rPr>
        <w:t>Koeppel</w:t>
      </w:r>
      <w:proofErr w:type="spellEnd"/>
      <w:r>
        <w:rPr>
          <w:lang w:val="fr-FR"/>
        </w:rPr>
        <w:t>, Secrétaire de la Convention sur l</w:t>
      </w:r>
      <w:r w:rsidR="004C5E26">
        <w:rPr>
          <w:lang w:val="fr-FR"/>
        </w:rPr>
        <w:t>’</w:t>
      </w:r>
      <w:r>
        <w:rPr>
          <w:lang w:val="fr-FR"/>
        </w:rPr>
        <w:t>eau, M.</w:t>
      </w:r>
      <w:r w:rsidR="0072150C">
        <w:rPr>
          <w:lang w:val="fr-FR"/>
        </w:rPr>
        <w:t> </w:t>
      </w:r>
      <w:proofErr w:type="spellStart"/>
      <w:r>
        <w:rPr>
          <w:lang w:val="fr-FR"/>
        </w:rPr>
        <w:t>Mutoy</w:t>
      </w:r>
      <w:proofErr w:type="spellEnd"/>
      <w:r w:rsidR="00F146D6">
        <w:rPr>
          <w:lang w:val="fr-FR"/>
        </w:rPr>
        <w:t> </w:t>
      </w:r>
      <w:proofErr w:type="spellStart"/>
      <w:r>
        <w:rPr>
          <w:lang w:val="fr-FR"/>
        </w:rPr>
        <w:t>Mubiala</w:t>
      </w:r>
      <w:proofErr w:type="spellEnd"/>
      <w:r>
        <w:rPr>
          <w:lang w:val="fr-FR"/>
        </w:rPr>
        <w:t>, professeur à l</w:t>
      </w:r>
      <w:r w:rsidR="004C5E26">
        <w:rPr>
          <w:lang w:val="fr-FR"/>
        </w:rPr>
        <w:t>’</w:t>
      </w:r>
      <w:r>
        <w:rPr>
          <w:lang w:val="fr-FR"/>
        </w:rPr>
        <w:t>Université de Kinshasa, et M</w:t>
      </w:r>
      <w:r w:rsidRPr="00E04CC0">
        <w:rPr>
          <w:vertAlign w:val="superscript"/>
          <w:lang w:val="fr-FR"/>
        </w:rPr>
        <w:t>me</w:t>
      </w:r>
      <w:r>
        <w:rPr>
          <w:lang w:val="fr-FR"/>
        </w:rPr>
        <w:t> </w:t>
      </w:r>
      <w:proofErr w:type="spellStart"/>
      <w:r>
        <w:rPr>
          <w:lang w:val="fr-FR"/>
        </w:rPr>
        <w:t>Mara</w:t>
      </w:r>
      <w:proofErr w:type="spellEnd"/>
      <w:r w:rsidR="0072150C">
        <w:rPr>
          <w:lang w:val="fr-FR"/>
        </w:rPr>
        <w:t> </w:t>
      </w:r>
      <w:proofErr w:type="spellStart"/>
      <w:r>
        <w:rPr>
          <w:lang w:val="fr-FR"/>
        </w:rPr>
        <w:t>Tignino</w:t>
      </w:r>
      <w:proofErr w:type="spellEnd"/>
      <w:r>
        <w:rPr>
          <w:lang w:val="fr-FR"/>
        </w:rPr>
        <w:t>, maître de conférences à l</w:t>
      </w:r>
      <w:r w:rsidR="004C5E26">
        <w:rPr>
          <w:lang w:val="fr-FR"/>
        </w:rPr>
        <w:t>’</w:t>
      </w:r>
      <w:r>
        <w:rPr>
          <w:lang w:val="fr-FR"/>
        </w:rPr>
        <w:t>Université de Genève, qui ont partagé leurs points de vue sur divers aspects du droit de l</w:t>
      </w:r>
      <w:r w:rsidR="004C5E26">
        <w:rPr>
          <w:lang w:val="fr-FR"/>
        </w:rPr>
        <w:t>’</w:t>
      </w:r>
      <w:r>
        <w:rPr>
          <w:lang w:val="fr-FR"/>
        </w:rPr>
        <w:t>eau.</w:t>
      </w:r>
    </w:p>
    <w:p w14:paraId="6BF20DD1" w14:textId="420AD5CF" w:rsidR="000E25A7" w:rsidRPr="00BF345F" w:rsidRDefault="000E25A7" w:rsidP="000E25A7">
      <w:pPr>
        <w:pStyle w:val="SingleTxtG"/>
        <w:rPr>
          <w:rFonts w:cstheme="majorBidi"/>
        </w:rPr>
      </w:pPr>
      <w:r>
        <w:rPr>
          <w:rFonts w:cstheme="majorBidi"/>
        </w:rPr>
        <w:t>477</w:t>
      </w:r>
      <w:r w:rsidRPr="00BF345F">
        <w:rPr>
          <w:rFonts w:cstheme="majorBidi"/>
        </w:rPr>
        <w:t>.</w:t>
      </w:r>
      <w:r w:rsidRPr="00BF345F">
        <w:rPr>
          <w:rFonts w:cstheme="majorBidi"/>
        </w:rPr>
        <w:tab/>
      </w:r>
      <w:r>
        <w:rPr>
          <w:lang w:val="fr-FR"/>
        </w:rPr>
        <w:t>Les participants se sont aussi rendus à l</w:t>
      </w:r>
      <w:r w:rsidR="004C5E26">
        <w:rPr>
          <w:lang w:val="fr-FR"/>
        </w:rPr>
        <w:t>’</w:t>
      </w:r>
      <w:r>
        <w:rPr>
          <w:lang w:val="fr-FR"/>
        </w:rPr>
        <w:t>Organisation mondiale du commerce (OMC), où M</w:t>
      </w:r>
      <w:r w:rsidRPr="00E04CC0">
        <w:rPr>
          <w:vertAlign w:val="superscript"/>
          <w:lang w:val="fr-FR"/>
        </w:rPr>
        <w:t>me</w:t>
      </w:r>
      <w:r w:rsidR="0072150C">
        <w:rPr>
          <w:lang w:val="fr-FR"/>
        </w:rPr>
        <w:t> </w:t>
      </w:r>
      <w:r>
        <w:rPr>
          <w:lang w:val="fr-FR"/>
        </w:rPr>
        <w:t>Gabrielle Marceau, conseillère principale à la Division de la recherche, et M.</w:t>
      </w:r>
      <w:r w:rsidR="0072150C">
        <w:rPr>
          <w:lang w:val="fr-FR"/>
        </w:rPr>
        <w:t> </w:t>
      </w:r>
      <w:r>
        <w:rPr>
          <w:lang w:val="fr-FR"/>
        </w:rPr>
        <w:t>Juan</w:t>
      </w:r>
      <w:r w:rsidR="0072150C">
        <w:rPr>
          <w:lang w:val="fr-FR"/>
        </w:rPr>
        <w:t> </w:t>
      </w:r>
      <w:r>
        <w:rPr>
          <w:lang w:val="fr-FR"/>
        </w:rPr>
        <w:t>Pablo Moya</w:t>
      </w:r>
      <w:r w:rsidR="00F146D6">
        <w:rPr>
          <w:lang w:val="fr-FR"/>
        </w:rPr>
        <w:t> </w:t>
      </w:r>
      <w:proofErr w:type="spellStart"/>
      <w:r>
        <w:rPr>
          <w:lang w:val="fr-FR"/>
        </w:rPr>
        <w:t>Hoyos</w:t>
      </w:r>
      <w:proofErr w:type="spellEnd"/>
      <w:r>
        <w:rPr>
          <w:lang w:val="fr-FR"/>
        </w:rPr>
        <w:t>, juriste chargé du règlement des différends à l</w:t>
      </w:r>
      <w:r w:rsidR="004C5E26">
        <w:rPr>
          <w:lang w:val="fr-FR"/>
        </w:rPr>
        <w:t>’</w:t>
      </w:r>
      <w:r>
        <w:rPr>
          <w:lang w:val="fr-FR"/>
        </w:rPr>
        <w:t>OMC, leur ont présenté des exposés.</w:t>
      </w:r>
    </w:p>
    <w:p w14:paraId="4008ED28" w14:textId="4D68ABE3" w:rsidR="000E25A7" w:rsidRPr="00BF345F" w:rsidRDefault="000E25A7" w:rsidP="000E25A7">
      <w:pPr>
        <w:pStyle w:val="SingleTxtG"/>
        <w:rPr>
          <w:rFonts w:cstheme="majorBidi"/>
        </w:rPr>
      </w:pPr>
      <w:r>
        <w:rPr>
          <w:rFonts w:cstheme="majorBidi"/>
        </w:rPr>
        <w:t>478</w:t>
      </w:r>
      <w:r w:rsidRPr="00BF345F">
        <w:rPr>
          <w:rFonts w:cstheme="majorBidi"/>
        </w:rPr>
        <w:t>.</w:t>
      </w:r>
      <w:r w:rsidRPr="00BF345F">
        <w:rPr>
          <w:rFonts w:cstheme="majorBidi"/>
        </w:rPr>
        <w:tab/>
      </w:r>
      <w:r>
        <w:rPr>
          <w:lang w:val="fr-FR"/>
        </w:rPr>
        <w:t>Les participants ont assisté à un atelier organisé par l</w:t>
      </w:r>
      <w:r w:rsidR="004C5E26">
        <w:rPr>
          <w:lang w:val="fr-FR"/>
        </w:rPr>
        <w:t>’</w:t>
      </w:r>
      <w:r>
        <w:rPr>
          <w:lang w:val="fr-FR"/>
        </w:rPr>
        <w:t>Université de Genève sur le thème « L</w:t>
      </w:r>
      <w:r w:rsidR="004C5E26">
        <w:rPr>
          <w:lang w:val="fr-FR"/>
        </w:rPr>
        <w:t>’</w:t>
      </w:r>
      <w:r>
        <w:rPr>
          <w:lang w:val="fr-FR"/>
        </w:rPr>
        <w:t>avis consultatif du TIDM sur le changement climatique et le droit international », auquel ont participé M.</w:t>
      </w:r>
      <w:r w:rsidR="0072150C">
        <w:rPr>
          <w:lang w:val="fr-FR"/>
        </w:rPr>
        <w:t> </w:t>
      </w:r>
      <w:r>
        <w:rPr>
          <w:lang w:val="fr-FR"/>
        </w:rPr>
        <w:t>Frédéric</w:t>
      </w:r>
      <w:r w:rsidR="0072150C">
        <w:rPr>
          <w:lang w:val="fr-FR"/>
        </w:rPr>
        <w:t> </w:t>
      </w:r>
      <w:r>
        <w:rPr>
          <w:lang w:val="fr-FR"/>
        </w:rPr>
        <w:t>Bernard, professeur et directeur du département de droit public de l</w:t>
      </w:r>
      <w:r w:rsidR="004C5E26">
        <w:rPr>
          <w:lang w:val="fr-FR"/>
        </w:rPr>
        <w:t>’</w:t>
      </w:r>
      <w:r>
        <w:rPr>
          <w:lang w:val="fr-FR"/>
        </w:rPr>
        <w:t>Université de Genève, M.</w:t>
      </w:r>
      <w:r w:rsidR="0072150C">
        <w:rPr>
          <w:lang w:val="fr-FR"/>
        </w:rPr>
        <w:t> </w:t>
      </w:r>
      <w:r>
        <w:rPr>
          <w:lang w:val="fr-FR"/>
        </w:rPr>
        <w:t>Lucius</w:t>
      </w:r>
      <w:r w:rsidR="0072150C">
        <w:rPr>
          <w:lang w:val="fr-FR"/>
        </w:rPr>
        <w:t> </w:t>
      </w:r>
      <w:proofErr w:type="spellStart"/>
      <w:r>
        <w:rPr>
          <w:lang w:val="fr-FR"/>
        </w:rPr>
        <w:t>Caflisch</w:t>
      </w:r>
      <w:proofErr w:type="spellEnd"/>
      <w:r>
        <w:rPr>
          <w:lang w:val="fr-FR"/>
        </w:rPr>
        <w:t>, professeur honoraire de droit international à l</w:t>
      </w:r>
      <w:r w:rsidR="004C5E26">
        <w:rPr>
          <w:lang w:val="fr-FR"/>
        </w:rPr>
        <w:t>’</w:t>
      </w:r>
      <w:r>
        <w:rPr>
          <w:lang w:val="fr-FR"/>
        </w:rPr>
        <w:t>Institut de hautes études internationales et du développement de Genève, ancien juge de la Cour européenne des droits de l</w:t>
      </w:r>
      <w:r w:rsidR="004C5E26">
        <w:rPr>
          <w:lang w:val="fr-FR"/>
        </w:rPr>
        <w:t>’</w:t>
      </w:r>
      <w:r>
        <w:rPr>
          <w:lang w:val="fr-FR"/>
        </w:rPr>
        <w:t>homme et ancien membre de la Commission du droit international, M</w:t>
      </w:r>
      <w:r w:rsidRPr="00E04CC0">
        <w:rPr>
          <w:vertAlign w:val="superscript"/>
          <w:lang w:val="fr-FR"/>
        </w:rPr>
        <w:t>me</w:t>
      </w:r>
      <w:r w:rsidR="0072150C">
        <w:rPr>
          <w:lang w:val="fr-FR"/>
        </w:rPr>
        <w:t> </w:t>
      </w:r>
      <w:proofErr w:type="spellStart"/>
      <w:r>
        <w:rPr>
          <w:lang w:val="fr-FR"/>
        </w:rPr>
        <w:t>Mara</w:t>
      </w:r>
      <w:proofErr w:type="spellEnd"/>
      <w:r w:rsidR="0072150C">
        <w:rPr>
          <w:lang w:val="fr-FR"/>
        </w:rPr>
        <w:t> </w:t>
      </w:r>
      <w:proofErr w:type="spellStart"/>
      <w:r>
        <w:rPr>
          <w:lang w:val="fr-FR"/>
        </w:rPr>
        <w:t>Tignino</w:t>
      </w:r>
      <w:proofErr w:type="spellEnd"/>
      <w:r>
        <w:rPr>
          <w:lang w:val="fr-FR"/>
        </w:rPr>
        <w:t>, maître de conférences à l</w:t>
      </w:r>
      <w:r w:rsidR="004C5E26">
        <w:rPr>
          <w:lang w:val="fr-FR"/>
        </w:rPr>
        <w:t>’</w:t>
      </w:r>
      <w:r>
        <w:rPr>
          <w:lang w:val="fr-FR"/>
        </w:rPr>
        <w:t>Université de Genève, M.</w:t>
      </w:r>
      <w:r w:rsidR="0072150C">
        <w:rPr>
          <w:lang w:val="fr-FR"/>
        </w:rPr>
        <w:t> </w:t>
      </w:r>
      <w:r>
        <w:rPr>
          <w:lang w:val="fr-FR"/>
        </w:rPr>
        <w:t>Vittorio</w:t>
      </w:r>
      <w:r w:rsidR="0072150C">
        <w:rPr>
          <w:lang w:val="fr-FR"/>
        </w:rPr>
        <w:t> </w:t>
      </w:r>
      <w:proofErr w:type="spellStart"/>
      <w:r>
        <w:rPr>
          <w:lang w:val="fr-FR"/>
        </w:rPr>
        <w:t>Mainetti</w:t>
      </w:r>
      <w:proofErr w:type="spellEnd"/>
      <w:r>
        <w:rPr>
          <w:lang w:val="fr-FR"/>
        </w:rPr>
        <w:t>, professeur adjoint de droit international à l</w:t>
      </w:r>
      <w:r w:rsidR="004C5E26">
        <w:rPr>
          <w:lang w:val="fr-FR"/>
        </w:rPr>
        <w:t>’</w:t>
      </w:r>
      <w:r>
        <w:rPr>
          <w:lang w:val="fr-FR"/>
        </w:rPr>
        <w:t>Université de Milan et coordonnateur du Séminaire de droit international, ainsi que M.</w:t>
      </w:r>
      <w:r w:rsidR="0072150C">
        <w:rPr>
          <w:lang w:val="fr-FR"/>
        </w:rPr>
        <w:t> </w:t>
      </w:r>
      <w:r>
        <w:rPr>
          <w:lang w:val="fr-FR"/>
        </w:rPr>
        <w:t>Rolf</w:t>
      </w:r>
      <w:r w:rsidR="0072150C">
        <w:rPr>
          <w:lang w:val="fr-FR"/>
        </w:rPr>
        <w:t> </w:t>
      </w:r>
      <w:proofErr w:type="spellStart"/>
      <w:r>
        <w:rPr>
          <w:lang w:val="fr-FR"/>
        </w:rPr>
        <w:t>Einar</w:t>
      </w:r>
      <w:proofErr w:type="spellEnd"/>
      <w:r>
        <w:rPr>
          <w:lang w:val="fr-FR"/>
        </w:rPr>
        <w:t xml:space="preserve"> Fife, M. Mario</w:t>
      </w:r>
      <w:r w:rsidR="0072150C">
        <w:rPr>
          <w:lang w:val="fr-FR"/>
        </w:rPr>
        <w:t> </w:t>
      </w:r>
      <w:proofErr w:type="spellStart"/>
      <w:r>
        <w:rPr>
          <w:lang w:val="fr-FR"/>
        </w:rPr>
        <w:t>Oyarzábal</w:t>
      </w:r>
      <w:proofErr w:type="spellEnd"/>
      <w:r>
        <w:rPr>
          <w:lang w:val="fr-FR"/>
        </w:rPr>
        <w:t xml:space="preserve"> et M</w:t>
      </w:r>
      <w:r w:rsidRPr="00E04CC0">
        <w:rPr>
          <w:vertAlign w:val="superscript"/>
          <w:lang w:val="fr-FR"/>
        </w:rPr>
        <w:t>me</w:t>
      </w:r>
      <w:r w:rsidR="0072150C">
        <w:rPr>
          <w:lang w:val="fr-FR"/>
        </w:rPr>
        <w:t> </w:t>
      </w:r>
      <w:r>
        <w:rPr>
          <w:lang w:val="fr-FR"/>
        </w:rPr>
        <w:t>Penelope</w:t>
      </w:r>
      <w:r w:rsidR="0072150C">
        <w:rPr>
          <w:lang w:val="fr-FR"/>
        </w:rPr>
        <w:t> </w:t>
      </w:r>
      <w:proofErr w:type="spellStart"/>
      <w:r>
        <w:rPr>
          <w:lang w:val="fr-FR"/>
        </w:rPr>
        <w:t>Ridings</w:t>
      </w:r>
      <w:proofErr w:type="spellEnd"/>
      <w:r>
        <w:rPr>
          <w:lang w:val="fr-FR"/>
        </w:rPr>
        <w:t>, membres de la Commission.</w:t>
      </w:r>
    </w:p>
    <w:p w14:paraId="317EF677" w14:textId="7C1C604B" w:rsidR="000E25A7" w:rsidRPr="00BF345F" w:rsidRDefault="000E25A7" w:rsidP="000E25A7">
      <w:pPr>
        <w:pStyle w:val="SingleTxtG"/>
        <w:rPr>
          <w:rFonts w:cstheme="majorBidi"/>
        </w:rPr>
      </w:pPr>
      <w:r>
        <w:rPr>
          <w:rFonts w:cstheme="majorBidi"/>
        </w:rPr>
        <w:t>479</w:t>
      </w:r>
      <w:r w:rsidRPr="00BF345F">
        <w:rPr>
          <w:rFonts w:cstheme="majorBidi"/>
        </w:rPr>
        <w:t>.</w:t>
      </w:r>
      <w:r w:rsidRPr="00BF345F">
        <w:rPr>
          <w:rFonts w:cstheme="majorBidi"/>
        </w:rPr>
        <w:tab/>
      </w:r>
      <w:r>
        <w:rPr>
          <w:lang w:val="fr-FR"/>
        </w:rPr>
        <w:t>Un atelier destiné à faciliter les échanges entre les participants a été organisé, au cours duquel 14</w:t>
      </w:r>
      <w:r w:rsidR="00F146D6">
        <w:rPr>
          <w:lang w:val="fr-FR"/>
        </w:rPr>
        <w:t> </w:t>
      </w:r>
      <w:r>
        <w:rPr>
          <w:lang w:val="fr-FR"/>
        </w:rPr>
        <w:t>personnes ont pris la parole sur des questions très diverses du droit international.</w:t>
      </w:r>
    </w:p>
    <w:p w14:paraId="6EC21263" w14:textId="1FC04781" w:rsidR="000E25A7" w:rsidRPr="00BF345F" w:rsidRDefault="000E25A7" w:rsidP="000E25A7">
      <w:pPr>
        <w:pStyle w:val="SingleTxtG"/>
        <w:rPr>
          <w:rFonts w:cstheme="majorBidi"/>
        </w:rPr>
      </w:pPr>
      <w:r>
        <w:rPr>
          <w:rFonts w:cstheme="majorBidi"/>
        </w:rPr>
        <w:t>480</w:t>
      </w:r>
      <w:r w:rsidRPr="00BF345F">
        <w:rPr>
          <w:rFonts w:cstheme="majorBidi"/>
        </w:rPr>
        <w:t>.</w:t>
      </w:r>
      <w:r w:rsidRPr="00BF345F">
        <w:rPr>
          <w:rFonts w:cstheme="majorBidi"/>
        </w:rPr>
        <w:tab/>
      </w:r>
      <w:r>
        <w:rPr>
          <w:lang w:val="fr-FR"/>
        </w:rPr>
        <w:t>Deux groupes de travail ont été constitués, l</w:t>
      </w:r>
      <w:r w:rsidR="004C5E26">
        <w:rPr>
          <w:lang w:val="fr-FR"/>
        </w:rPr>
        <w:t>’</w:t>
      </w:r>
      <w:r>
        <w:rPr>
          <w:lang w:val="fr-FR"/>
        </w:rPr>
        <w:t>un sur le sujet « Immunité de juridiction pénale étrangère des représentants de l</w:t>
      </w:r>
      <w:r w:rsidR="004C5E26">
        <w:rPr>
          <w:lang w:val="fr-FR"/>
        </w:rPr>
        <w:t>’</w:t>
      </w:r>
      <w:r>
        <w:rPr>
          <w:lang w:val="fr-FR"/>
        </w:rPr>
        <w:t>État », l</w:t>
      </w:r>
      <w:r w:rsidR="004C5E26">
        <w:rPr>
          <w:lang w:val="fr-FR"/>
        </w:rPr>
        <w:t>’</w:t>
      </w:r>
      <w:r>
        <w:rPr>
          <w:lang w:val="fr-FR"/>
        </w:rPr>
        <w:t>autre sur le sujet « Prévention et répression de la piraterie et du vol à main armée en mer », et les participants ont été affectés à l</w:t>
      </w:r>
      <w:r w:rsidR="004C5E26">
        <w:rPr>
          <w:lang w:val="fr-FR"/>
        </w:rPr>
        <w:t>’</w:t>
      </w:r>
      <w:r>
        <w:rPr>
          <w:lang w:val="fr-FR"/>
        </w:rPr>
        <w:t>un ou l</w:t>
      </w:r>
      <w:r w:rsidR="004C5E26">
        <w:rPr>
          <w:lang w:val="fr-FR"/>
        </w:rPr>
        <w:t>’</w:t>
      </w:r>
      <w:r>
        <w:rPr>
          <w:lang w:val="fr-FR"/>
        </w:rPr>
        <w:t>autre groupe. Deux membres de la Commission, M.</w:t>
      </w:r>
      <w:r w:rsidR="00F146D6">
        <w:rPr>
          <w:lang w:val="fr-FR"/>
        </w:rPr>
        <w:t> </w:t>
      </w:r>
      <w:r>
        <w:rPr>
          <w:lang w:val="fr-FR"/>
        </w:rPr>
        <w:t>Claudio</w:t>
      </w:r>
      <w:r w:rsidR="00F146D6">
        <w:rPr>
          <w:lang w:val="fr-FR"/>
        </w:rPr>
        <w:t> </w:t>
      </w:r>
      <w:r>
        <w:rPr>
          <w:lang w:val="fr-FR"/>
        </w:rPr>
        <w:t xml:space="preserve">Grossman </w:t>
      </w:r>
      <w:proofErr w:type="spellStart"/>
      <w:r>
        <w:rPr>
          <w:lang w:val="fr-FR"/>
        </w:rPr>
        <w:t>Guiloff</w:t>
      </w:r>
      <w:proofErr w:type="spellEnd"/>
      <w:r>
        <w:rPr>
          <w:lang w:val="fr-FR"/>
        </w:rPr>
        <w:t xml:space="preserve"> et M. </w:t>
      </w:r>
      <w:proofErr w:type="spellStart"/>
      <w:r>
        <w:rPr>
          <w:lang w:val="fr-FR"/>
        </w:rPr>
        <w:t>Keun</w:t>
      </w:r>
      <w:r>
        <w:rPr>
          <w:lang w:val="fr-FR"/>
        </w:rPr>
        <w:noBreakHyphen/>
        <w:t>Gwan</w:t>
      </w:r>
      <w:proofErr w:type="spellEnd"/>
      <w:r>
        <w:rPr>
          <w:lang w:val="fr-FR"/>
        </w:rPr>
        <w:t xml:space="preserve"> Lee, respectivement, ont supervisé les groupes et donné des orientations aux participants. Chaque groupe a établi un rapport et présenté ses conclusions au cours de la dernière séance de travail du Séminaire. Les rapports ont été regroupés et distribués à tous les participants, ainsi qu</w:t>
      </w:r>
      <w:r w:rsidR="004C5E26">
        <w:rPr>
          <w:lang w:val="fr-FR"/>
        </w:rPr>
        <w:t>’</w:t>
      </w:r>
      <w:r>
        <w:rPr>
          <w:lang w:val="fr-FR"/>
        </w:rPr>
        <w:t>aux membres de la Commission.</w:t>
      </w:r>
    </w:p>
    <w:p w14:paraId="26485408" w14:textId="17854646" w:rsidR="000E25A7" w:rsidRPr="00BF345F" w:rsidRDefault="000E25A7" w:rsidP="000E25A7">
      <w:pPr>
        <w:pStyle w:val="SingleTxtG"/>
      </w:pPr>
      <w:r>
        <w:t>481</w:t>
      </w:r>
      <w:r w:rsidRPr="00BF345F">
        <w:t>.</w:t>
      </w:r>
      <w:r w:rsidRPr="00BF345F">
        <w:tab/>
      </w:r>
      <w:r>
        <w:rPr>
          <w:lang w:val="fr-FR"/>
        </w:rPr>
        <w:t>La République et canton de Genève a fait bénéficier les participants au séminaire de son hospitalité traditionnelle à l</w:t>
      </w:r>
      <w:r w:rsidR="004C5E26">
        <w:rPr>
          <w:lang w:val="fr-FR"/>
        </w:rPr>
        <w:t>’</w:t>
      </w:r>
      <w:r>
        <w:rPr>
          <w:lang w:val="fr-FR"/>
        </w:rPr>
        <w:t>Hôtel de Ville de Genève. Ceux-ci ont visité la salle Alabama et les locaux des autorités cantonales, guidés par le Service du protocole de la République et canton de Genève.</w:t>
      </w:r>
    </w:p>
    <w:p w14:paraId="3FCC7852" w14:textId="45CE1E61" w:rsidR="000E25A7" w:rsidRPr="00BF345F" w:rsidRDefault="000E25A7" w:rsidP="000E25A7">
      <w:pPr>
        <w:pStyle w:val="SingleTxtG"/>
        <w:rPr>
          <w:rFonts w:cstheme="majorBidi"/>
        </w:rPr>
      </w:pPr>
      <w:r>
        <w:rPr>
          <w:rFonts w:cstheme="majorBidi"/>
        </w:rPr>
        <w:t>482</w:t>
      </w:r>
      <w:r w:rsidRPr="00BF345F">
        <w:rPr>
          <w:rFonts w:cstheme="majorBidi"/>
        </w:rPr>
        <w:t>.</w:t>
      </w:r>
      <w:r w:rsidRPr="00BF345F">
        <w:rPr>
          <w:rFonts w:cstheme="majorBidi"/>
        </w:rPr>
        <w:tab/>
      </w:r>
      <w:r>
        <w:rPr>
          <w:lang w:val="fr-FR"/>
        </w:rPr>
        <w:t>Le Premier Vice-Président de la Commission, le Coordonnateur du Séminaire de droit international et M</w:t>
      </w:r>
      <w:r w:rsidRPr="00A66995">
        <w:rPr>
          <w:vertAlign w:val="superscript"/>
          <w:lang w:val="fr-FR"/>
        </w:rPr>
        <w:t>me</w:t>
      </w:r>
      <w:r w:rsidR="00F146D6">
        <w:rPr>
          <w:lang w:val="fr-FR"/>
        </w:rPr>
        <w:t> </w:t>
      </w:r>
      <w:r>
        <w:rPr>
          <w:lang w:val="fr-FR"/>
        </w:rPr>
        <w:t>Elizabeth</w:t>
      </w:r>
      <w:r w:rsidR="00F146D6">
        <w:rPr>
          <w:lang w:val="fr-FR"/>
        </w:rPr>
        <w:t> </w:t>
      </w:r>
      <w:proofErr w:type="spellStart"/>
      <w:r>
        <w:rPr>
          <w:lang w:val="fr-FR"/>
        </w:rPr>
        <w:t>Nwarueze</w:t>
      </w:r>
      <w:proofErr w:type="spellEnd"/>
      <w:r>
        <w:rPr>
          <w:lang w:val="fr-FR"/>
        </w:rPr>
        <w:t xml:space="preserve"> (Nigéria), au nom des participants au Séminaire, ont pris la parole devant la Commission lors de la cérémonie de remise des diplômes. Chaque participant a reçu un diplôme.</w:t>
      </w:r>
    </w:p>
    <w:p w14:paraId="2230AB39" w14:textId="2D2C874B" w:rsidR="000E25A7" w:rsidRPr="00BF345F" w:rsidRDefault="000E25A7" w:rsidP="000E25A7">
      <w:pPr>
        <w:pStyle w:val="SingleTxtG"/>
        <w:rPr>
          <w:rFonts w:eastAsia="Times New Roman" w:cstheme="majorBidi"/>
          <w:color w:val="000000"/>
        </w:rPr>
      </w:pPr>
      <w:r>
        <w:rPr>
          <w:rFonts w:eastAsia="Times New Roman" w:cstheme="majorBidi"/>
          <w:color w:val="000000"/>
        </w:rPr>
        <w:t>483</w:t>
      </w:r>
      <w:r w:rsidRPr="00BF345F">
        <w:rPr>
          <w:rFonts w:eastAsia="Times New Roman" w:cstheme="majorBidi"/>
          <w:color w:val="000000"/>
        </w:rPr>
        <w:t>.</w:t>
      </w:r>
      <w:r w:rsidRPr="00BF345F">
        <w:rPr>
          <w:rFonts w:eastAsia="Times New Roman" w:cstheme="majorBidi"/>
          <w:color w:val="000000"/>
        </w:rPr>
        <w:tab/>
      </w:r>
      <w:r>
        <w:rPr>
          <w:lang w:val="fr-FR"/>
        </w:rPr>
        <w:t>La Commission a noté avec préoccupation qu</w:t>
      </w:r>
      <w:r w:rsidR="004C5E26">
        <w:rPr>
          <w:lang w:val="fr-FR"/>
        </w:rPr>
        <w:t>’</w:t>
      </w:r>
      <w:r>
        <w:rPr>
          <w:lang w:val="fr-FR"/>
        </w:rPr>
        <w:t>au cours des dernières années, des facteurs économiques et financiers avaient pesé sur les finances du Séminaire de droit international, entraînant des répercussions sur les bourses que le Séminaire pouvait offrir. La situation s</w:t>
      </w:r>
      <w:r w:rsidR="004C5E26">
        <w:rPr>
          <w:lang w:val="fr-FR"/>
        </w:rPr>
        <w:t>’</w:t>
      </w:r>
      <w:r>
        <w:rPr>
          <w:lang w:val="fr-FR"/>
        </w:rPr>
        <w:t>est améliorée depuis 2022, grâce à deux importantes contributions volontaires d</w:t>
      </w:r>
      <w:r w:rsidR="004C5E26">
        <w:rPr>
          <w:lang w:val="fr-FR"/>
        </w:rPr>
        <w:t>’</w:t>
      </w:r>
      <w:r>
        <w:rPr>
          <w:lang w:val="fr-FR"/>
        </w:rPr>
        <w:t>États que le Séminaire obtient désormais de façon régulière. Cependant, le Séminaire doit réfléchir aux moyens d</w:t>
      </w:r>
      <w:r w:rsidR="004C5E26">
        <w:rPr>
          <w:lang w:val="fr-FR"/>
        </w:rPr>
        <w:t>’</w:t>
      </w:r>
      <w:r>
        <w:rPr>
          <w:lang w:val="fr-FR"/>
        </w:rPr>
        <w:t>élargir son assise financière à l</w:t>
      </w:r>
      <w:r w:rsidR="004C5E26">
        <w:rPr>
          <w:lang w:val="fr-FR"/>
        </w:rPr>
        <w:t>’</w:t>
      </w:r>
      <w:r>
        <w:rPr>
          <w:lang w:val="fr-FR"/>
        </w:rPr>
        <w:t>avenir. En 2024, 17</w:t>
      </w:r>
      <w:r w:rsidR="00F146D6">
        <w:rPr>
          <w:lang w:val="fr-FR"/>
        </w:rPr>
        <w:t> </w:t>
      </w:r>
      <w:r>
        <w:rPr>
          <w:lang w:val="fr-FR"/>
        </w:rPr>
        <w:t>bourses ont été accordées (13 couvrant les frais de voyage et de séjour et 4 couvrant les frais de séjour seulement).</w:t>
      </w:r>
    </w:p>
    <w:p w14:paraId="40255D7C" w14:textId="15406A29" w:rsidR="000E25A7" w:rsidRPr="00BF345F" w:rsidRDefault="000E25A7" w:rsidP="000E25A7">
      <w:pPr>
        <w:pStyle w:val="SingleTxtG"/>
        <w:rPr>
          <w:rFonts w:cstheme="majorBidi"/>
        </w:rPr>
      </w:pPr>
      <w:r>
        <w:rPr>
          <w:rFonts w:cstheme="majorBidi"/>
        </w:rPr>
        <w:t>484</w:t>
      </w:r>
      <w:r w:rsidRPr="00BF345F">
        <w:rPr>
          <w:rFonts w:cstheme="majorBidi"/>
        </w:rPr>
        <w:t>.</w:t>
      </w:r>
      <w:r w:rsidRPr="00BF345F">
        <w:rPr>
          <w:rFonts w:cstheme="majorBidi"/>
        </w:rPr>
        <w:tab/>
      </w:r>
      <w:r>
        <w:rPr>
          <w:lang w:val="fr-FR"/>
        </w:rPr>
        <w:t>Depuis la création du Séminaire en 1965, 1 334</w:t>
      </w:r>
      <w:r w:rsidR="00F146D6">
        <w:rPr>
          <w:lang w:val="fr-FR"/>
        </w:rPr>
        <w:t> </w:t>
      </w:r>
      <w:r>
        <w:rPr>
          <w:lang w:val="fr-FR"/>
        </w:rPr>
        <w:t>personnes, représentant 178 nationalités, y ont pris part. Quelque 814 d</w:t>
      </w:r>
      <w:r w:rsidR="004C5E26">
        <w:rPr>
          <w:lang w:val="fr-FR"/>
        </w:rPr>
        <w:t>’</w:t>
      </w:r>
      <w:r>
        <w:rPr>
          <w:lang w:val="fr-FR"/>
        </w:rPr>
        <w:t>entre elles ont reçu une bourse.</w:t>
      </w:r>
    </w:p>
    <w:p w14:paraId="51C051BC" w14:textId="294E492F" w:rsidR="005D2955" w:rsidRDefault="000E25A7" w:rsidP="008E3E7D">
      <w:pPr>
        <w:pStyle w:val="SingleTxtG"/>
        <w:rPr>
          <w:lang w:val="fr-FR"/>
        </w:rPr>
        <w:sectPr w:rsidR="005D2955" w:rsidSect="00145146">
          <w:headerReference w:type="default" r:id="rId102"/>
          <w:footerReference w:type="default" r:id="rId103"/>
          <w:endnotePr>
            <w:numFmt w:val="decimal"/>
          </w:endnotePr>
          <w:type w:val="oddPage"/>
          <w:pgSz w:w="11907" w:h="16840" w:code="9"/>
          <w:pgMar w:top="1417" w:right="1134" w:bottom="1134" w:left="1134" w:header="850" w:footer="567" w:gutter="0"/>
          <w:pgNumType w:start="1"/>
          <w:cols w:space="720"/>
          <w:docGrid w:linePitch="272"/>
        </w:sectPr>
      </w:pPr>
      <w:r>
        <w:t>485</w:t>
      </w:r>
      <w:r w:rsidRPr="00BF345F">
        <w:t>.</w:t>
      </w:r>
      <w:r w:rsidRPr="00BF345F">
        <w:tab/>
      </w:r>
      <w:r>
        <w:rPr>
          <w:lang w:val="fr-FR"/>
        </w:rPr>
        <w:t>La Commission souligne l</w:t>
      </w:r>
      <w:r w:rsidR="004C5E26">
        <w:rPr>
          <w:lang w:val="fr-FR"/>
        </w:rPr>
        <w:t>’</w:t>
      </w:r>
      <w:r>
        <w:rPr>
          <w:lang w:val="fr-FR"/>
        </w:rPr>
        <w:t>importance qu</w:t>
      </w:r>
      <w:r w:rsidR="004C5E26">
        <w:rPr>
          <w:lang w:val="fr-FR"/>
        </w:rPr>
        <w:t>’</w:t>
      </w:r>
      <w:r>
        <w:rPr>
          <w:lang w:val="fr-FR"/>
        </w:rPr>
        <w:t xml:space="preserve">elle attache au Séminaire, qui donne à de jeunes juristes, originaires notamment de pays en développement, la possibilité de se </w:t>
      </w:r>
      <w:r>
        <w:rPr>
          <w:lang w:val="fr-FR"/>
        </w:rPr>
        <w:lastRenderedPageBreak/>
        <w:t>familiariser avec ses travaux et les activités des nombreuses organisations internationales sises à Genève. Elle recommande à l</w:t>
      </w:r>
      <w:r w:rsidR="004C5E26">
        <w:rPr>
          <w:lang w:val="fr-FR"/>
        </w:rPr>
        <w:t>’</w:t>
      </w:r>
      <w:r>
        <w:rPr>
          <w:lang w:val="fr-FR"/>
        </w:rPr>
        <w:t>Assemblée générale d</w:t>
      </w:r>
      <w:r w:rsidR="004C5E26">
        <w:rPr>
          <w:lang w:val="fr-FR"/>
        </w:rPr>
        <w:t>’</w:t>
      </w:r>
      <w:r>
        <w:rPr>
          <w:lang w:val="fr-FR"/>
        </w:rPr>
        <w:t>inviter à nouveau les États à verser des contributions volontaires afin d</w:t>
      </w:r>
      <w:r w:rsidR="004C5E26">
        <w:rPr>
          <w:lang w:val="fr-FR"/>
        </w:rPr>
        <w:t>’</w:t>
      </w:r>
      <w:r>
        <w:rPr>
          <w:lang w:val="fr-FR"/>
        </w:rPr>
        <w:t>assurer au Séminaire de 2025 la plus large participation possible et une représentation géographique adéquate.</w:t>
      </w:r>
    </w:p>
    <w:p w14:paraId="768F0CAC" w14:textId="77777777" w:rsidR="005D2955" w:rsidRDefault="005D2955" w:rsidP="00C5181B">
      <w:pPr>
        <w:pStyle w:val="HChG"/>
        <w:rPr>
          <w:lang w:val="fr-FR"/>
        </w:rPr>
      </w:pPr>
      <w:r>
        <w:rPr>
          <w:lang w:val="fr-FR"/>
        </w:rPr>
        <w:lastRenderedPageBreak/>
        <w:t>Annexes</w:t>
      </w:r>
    </w:p>
    <w:p w14:paraId="68E6144C" w14:textId="77777777" w:rsidR="005D2955" w:rsidRPr="001448A7" w:rsidRDefault="005D2955" w:rsidP="00C5181B">
      <w:pPr>
        <w:pStyle w:val="HChG"/>
        <w:rPr>
          <w:lang w:val="fr-FR"/>
        </w:rPr>
      </w:pPr>
      <w:r w:rsidRPr="001448A7">
        <w:rPr>
          <w:lang w:val="fr-FR"/>
        </w:rPr>
        <w:t>Annexe I</w:t>
      </w:r>
    </w:p>
    <w:p w14:paraId="5DA5A483" w14:textId="77777777" w:rsidR="005D2955" w:rsidRPr="001448A7" w:rsidRDefault="005D2955" w:rsidP="005D2955">
      <w:pPr>
        <w:pStyle w:val="HChG"/>
        <w:rPr>
          <w:lang w:val="fr-FR"/>
        </w:rPr>
      </w:pPr>
      <w:r w:rsidRPr="001448A7">
        <w:rPr>
          <w:lang w:val="fr-FR"/>
        </w:rPr>
        <w:tab/>
      </w:r>
      <w:r w:rsidRPr="001448A7">
        <w:rPr>
          <w:lang w:val="fr-FR"/>
        </w:rPr>
        <w:tab/>
      </w:r>
      <w:bookmarkStart w:id="215" w:name="_Hlk175323021"/>
      <w:r w:rsidRPr="001448A7">
        <w:rPr>
          <w:lang w:val="fr-FR"/>
        </w:rPr>
        <w:t>Indemnisation des dommages causés par un fait internationalement illicite</w:t>
      </w:r>
      <w:bookmarkEnd w:id="215"/>
    </w:p>
    <w:p w14:paraId="36A52DED" w14:textId="77777777" w:rsidR="005D2955" w:rsidRPr="001448A7" w:rsidRDefault="005D2955" w:rsidP="005D2955">
      <w:pPr>
        <w:pStyle w:val="H1G"/>
      </w:pPr>
      <w:r w:rsidRPr="001448A7">
        <w:rPr>
          <w:lang w:val="fr-FR"/>
        </w:rPr>
        <w:tab/>
      </w:r>
      <w:r w:rsidRPr="001448A7">
        <w:rPr>
          <w:lang w:val="fr-FR"/>
        </w:rPr>
        <w:tab/>
      </w:r>
      <w:r>
        <w:rPr>
          <w:lang w:val="fr-FR"/>
        </w:rPr>
        <w:t>p</w:t>
      </w:r>
      <w:r w:rsidRPr="001448A7">
        <w:rPr>
          <w:lang w:val="fr-FR"/>
        </w:rPr>
        <w:t xml:space="preserve">ar </w:t>
      </w:r>
      <w:proofErr w:type="spellStart"/>
      <w:r w:rsidRPr="00A13883">
        <w:t>Mārtiņš</w:t>
      </w:r>
      <w:proofErr w:type="spellEnd"/>
      <w:r w:rsidRPr="00A13883">
        <w:t xml:space="preserve"> </w:t>
      </w:r>
      <w:proofErr w:type="spellStart"/>
      <w:r w:rsidRPr="001448A7">
        <w:rPr>
          <w:lang w:val="fr-FR"/>
        </w:rPr>
        <w:t>Paparinskis</w:t>
      </w:r>
      <w:proofErr w:type="spellEnd"/>
      <w:r w:rsidRPr="001448A7">
        <w:rPr>
          <w:b w:val="0"/>
          <w:bCs/>
          <w:sz w:val="20"/>
          <w:lang w:val="fr-FR"/>
        </w:rPr>
        <w:footnoteReference w:customMarkFollows="1" w:id="310"/>
        <w:t>*</w:t>
      </w:r>
    </w:p>
    <w:p w14:paraId="79DFABFE" w14:textId="77777777" w:rsidR="005D2955" w:rsidRPr="001448A7" w:rsidRDefault="005D2955" w:rsidP="005D2955">
      <w:pPr>
        <w:pStyle w:val="HChG"/>
      </w:pPr>
      <w:r w:rsidRPr="001448A7">
        <w:rPr>
          <w:lang w:val="fr-FR"/>
        </w:rPr>
        <w:tab/>
      </w:r>
      <w:r w:rsidRPr="001448A7">
        <w:rPr>
          <w:lang w:val="fr-FR"/>
        </w:rPr>
        <w:tab/>
      </w:r>
      <w:r w:rsidRPr="00A06EE6">
        <w:rPr>
          <w:lang w:val="fr-FR"/>
        </w:rPr>
        <w:t>Introduction</w:t>
      </w:r>
      <w:r w:rsidRPr="001448A7">
        <w:rPr>
          <w:lang w:val="fr-FR"/>
        </w:rPr>
        <w:t xml:space="preserve"> </w:t>
      </w:r>
    </w:p>
    <w:p w14:paraId="14D639BE" w14:textId="54DECEAF"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w:t>
      </w:r>
      <w:r w:rsidRPr="001448A7">
        <w:rPr>
          <w:rFonts w:asciiTheme="majorBidi" w:hAnsiTheme="majorBidi" w:cstheme="majorBidi"/>
          <w:bCs/>
        </w:rPr>
        <w:tab/>
      </w:r>
      <w:r w:rsidRPr="001448A7">
        <w:rPr>
          <w:lang w:val="fr-FR"/>
        </w:rPr>
        <w:t>L</w:t>
      </w:r>
      <w:r w:rsidR="004C5E26">
        <w:rPr>
          <w:lang w:val="fr-FR"/>
        </w:rPr>
        <w:t>’</w:t>
      </w:r>
      <w:r w:rsidRPr="001448A7">
        <w:rPr>
          <w:lang w:val="fr-FR"/>
        </w:rPr>
        <w:t>indemnisation au titre du droit international de la responsabilité, notamment de la responsabilité des États, est un sujet dont l</w:t>
      </w:r>
      <w:r w:rsidR="004C5E26">
        <w:rPr>
          <w:lang w:val="fr-FR"/>
        </w:rPr>
        <w:t>’</w:t>
      </w:r>
      <w:r w:rsidRPr="001448A7">
        <w:rPr>
          <w:lang w:val="fr-FR"/>
        </w:rPr>
        <w:t>origine en droit international public est très ancienne</w:t>
      </w:r>
      <w:bookmarkStart w:id="216" w:name="_Ref172533008"/>
      <w:r w:rsidRPr="00E9227E">
        <w:rPr>
          <w:rStyle w:val="Appelnotedebasdep"/>
        </w:rPr>
        <w:footnoteReference w:id="311"/>
      </w:r>
      <w:bookmarkEnd w:id="216"/>
      <w:r w:rsidRPr="001448A7">
        <w:rPr>
          <w:lang w:val="fr-FR"/>
        </w:rPr>
        <w:t>. La position traditionnelle en matière d</w:t>
      </w:r>
      <w:r w:rsidR="004C5E26">
        <w:rPr>
          <w:lang w:val="fr-FR"/>
        </w:rPr>
        <w:t>’</w:t>
      </w:r>
      <w:r w:rsidRPr="001448A7">
        <w:rPr>
          <w:lang w:val="fr-FR"/>
        </w:rPr>
        <w:t>indemnisation a été énoncée par la Cour permanente de Justice internationale dans le cadre de son argumentation sur le principe de réparation, contenue dans l</w:t>
      </w:r>
      <w:r w:rsidR="004C5E26">
        <w:rPr>
          <w:lang w:val="fr-FR"/>
        </w:rPr>
        <w:t>’</w:t>
      </w:r>
      <w:r w:rsidRPr="001448A7">
        <w:rPr>
          <w:lang w:val="fr-FR"/>
        </w:rPr>
        <w:t>arrêt qu</w:t>
      </w:r>
      <w:r w:rsidR="004C5E26">
        <w:rPr>
          <w:lang w:val="fr-FR"/>
        </w:rPr>
        <w:t>’</w:t>
      </w:r>
      <w:r w:rsidRPr="001448A7">
        <w:rPr>
          <w:lang w:val="fr-FR"/>
        </w:rPr>
        <w:t>elle a rendu dans l</w:t>
      </w:r>
      <w:r w:rsidR="004C5E26">
        <w:rPr>
          <w:lang w:val="fr-FR"/>
        </w:rPr>
        <w:t>’</w:t>
      </w:r>
      <w:r w:rsidRPr="001448A7">
        <w:rPr>
          <w:lang w:val="fr-FR"/>
        </w:rPr>
        <w:t>affaire relative à l</w:t>
      </w:r>
      <w:r w:rsidR="004C5E26">
        <w:rPr>
          <w:lang w:val="fr-FR"/>
        </w:rPr>
        <w:t>’</w:t>
      </w:r>
      <w:r w:rsidRPr="001448A7">
        <w:rPr>
          <w:i/>
          <w:iCs/>
          <w:lang w:val="fr-FR"/>
        </w:rPr>
        <w:t>Usine de Chorzów</w:t>
      </w:r>
      <w:r w:rsidRPr="001448A7">
        <w:rPr>
          <w:lang w:val="fr-FR"/>
        </w:rPr>
        <w:t> :</w:t>
      </w:r>
      <w:bookmarkStart w:id="217" w:name="_Ref169173301"/>
      <w:bookmarkEnd w:id="217"/>
    </w:p>
    <w:p w14:paraId="7971FB45" w14:textId="29F41A45" w:rsidR="005D2955" w:rsidRPr="001448A7" w:rsidRDefault="005D2955" w:rsidP="005D2955">
      <w:pPr>
        <w:pStyle w:val="SingleTxtG"/>
        <w:ind w:left="1701"/>
      </w:pPr>
      <w:r w:rsidRPr="001448A7">
        <w:rPr>
          <w:lang w:val="fr-FR"/>
        </w:rPr>
        <w:t>« paiement d</w:t>
      </w:r>
      <w:r w:rsidR="004C5E26">
        <w:rPr>
          <w:lang w:val="fr-FR"/>
        </w:rPr>
        <w:t>’</w:t>
      </w:r>
      <w:r w:rsidRPr="001448A7">
        <w:rPr>
          <w:lang w:val="fr-FR"/>
        </w:rPr>
        <w:t>une somme correspondant à la valeur qu</w:t>
      </w:r>
      <w:r w:rsidR="004C5E26">
        <w:rPr>
          <w:lang w:val="fr-FR"/>
        </w:rPr>
        <w:t>’</w:t>
      </w:r>
      <w:r w:rsidRPr="001448A7">
        <w:rPr>
          <w:lang w:val="fr-FR"/>
        </w:rPr>
        <w:t>aurait la restitution en nature ; allocation, s</w:t>
      </w:r>
      <w:r w:rsidR="004C5E26">
        <w:rPr>
          <w:lang w:val="fr-FR"/>
        </w:rPr>
        <w:t>’</w:t>
      </w:r>
      <w:r w:rsidRPr="001448A7">
        <w:rPr>
          <w:lang w:val="fr-FR"/>
        </w:rPr>
        <w:t>il y a lieu, de dommages-intérêts pour les pertes subies et qui ne seraient pas couvertes par la restitution en nature ou le paiement qui en prend la place ; tels sont les principes desquels doit s</w:t>
      </w:r>
      <w:r w:rsidR="004C5E26">
        <w:rPr>
          <w:lang w:val="fr-FR"/>
        </w:rPr>
        <w:t>’</w:t>
      </w:r>
      <w:r w:rsidRPr="001448A7">
        <w:rPr>
          <w:lang w:val="fr-FR"/>
        </w:rPr>
        <w:t>inspirer la détermination du montant de l</w:t>
      </w:r>
      <w:r w:rsidR="004C5E26">
        <w:rPr>
          <w:lang w:val="fr-FR"/>
        </w:rPr>
        <w:t>’</w:t>
      </w:r>
      <w:r w:rsidRPr="001448A7">
        <w:rPr>
          <w:lang w:val="fr-FR"/>
        </w:rPr>
        <w:t>indemnité due à cause d</w:t>
      </w:r>
      <w:r w:rsidR="004C5E26">
        <w:rPr>
          <w:lang w:val="fr-FR"/>
        </w:rPr>
        <w:t>’</w:t>
      </w:r>
      <w:r w:rsidRPr="001448A7">
        <w:rPr>
          <w:lang w:val="fr-FR"/>
        </w:rPr>
        <w:t>un fait contraire au droit international »</w:t>
      </w:r>
      <w:r w:rsidRPr="00E9227E">
        <w:rPr>
          <w:rStyle w:val="Appelnotedebasdep"/>
        </w:rPr>
        <w:footnoteReference w:id="312"/>
      </w:r>
      <w:r w:rsidRPr="001448A7">
        <w:rPr>
          <w:lang w:val="fr-FR"/>
        </w:rPr>
        <w:t>.</w:t>
      </w:r>
    </w:p>
    <w:p w14:paraId="24C190B0" w14:textId="5741792C" w:rsidR="005D2955" w:rsidRPr="001448A7" w:rsidRDefault="005D2955" w:rsidP="005D2955">
      <w:pPr>
        <w:pStyle w:val="SingleTxtG"/>
      </w:pPr>
      <w:r w:rsidRPr="001448A7">
        <w:rPr>
          <w:lang w:val="fr-FR"/>
        </w:rPr>
        <w:t>À la Conférence de la Société des Nations pour la codification du droit international, qui s</w:t>
      </w:r>
      <w:r w:rsidR="004C5E26">
        <w:rPr>
          <w:lang w:val="fr-FR"/>
        </w:rPr>
        <w:t>’</w:t>
      </w:r>
      <w:r w:rsidRPr="001448A7">
        <w:rPr>
          <w:lang w:val="fr-FR"/>
        </w:rPr>
        <w:t>est tenue à La Haye en 1930, les États ont dit adhérer, dans l</w:t>
      </w:r>
      <w:r w:rsidR="004C5E26">
        <w:rPr>
          <w:lang w:val="fr-FR"/>
        </w:rPr>
        <w:t>’</w:t>
      </w:r>
      <w:r w:rsidRPr="001448A7">
        <w:rPr>
          <w:lang w:val="fr-FR"/>
        </w:rPr>
        <w:t>ensemble, au principe de réparation, mais sans donner de détails sur la question de l</w:t>
      </w:r>
      <w:r w:rsidR="004C5E26">
        <w:rPr>
          <w:lang w:val="fr-FR"/>
        </w:rPr>
        <w:t>’</w:t>
      </w:r>
      <w:r w:rsidRPr="001448A7">
        <w:rPr>
          <w:lang w:val="fr-FR"/>
        </w:rPr>
        <w:t>indemnisation</w:t>
      </w:r>
      <w:r w:rsidRPr="00E9227E">
        <w:rPr>
          <w:rStyle w:val="Appelnotedebasdep"/>
        </w:rPr>
        <w:footnoteReference w:id="313"/>
      </w:r>
      <w:r w:rsidRPr="001448A7">
        <w:rPr>
          <w:lang w:val="fr-FR"/>
        </w:rPr>
        <w:t xml:space="preserve"> qui, dans la pratique d</w:t>
      </w:r>
      <w:r w:rsidR="004C5E26">
        <w:rPr>
          <w:lang w:val="fr-FR"/>
        </w:rPr>
        <w:t>’</w:t>
      </w:r>
      <w:r w:rsidRPr="001448A7">
        <w:rPr>
          <w:lang w:val="fr-FR"/>
        </w:rPr>
        <w:t xml:space="preserve">avant </w:t>
      </w:r>
      <w:r w:rsidRPr="001448A7">
        <w:rPr>
          <w:lang w:val="fr-FR"/>
        </w:rPr>
        <w:lastRenderedPageBreak/>
        <w:t>la Seconde Guerre mondiale, était surtout abordée dans des décisions de tribunaux arbitraux internationaux</w:t>
      </w:r>
      <w:r w:rsidRPr="00E9227E">
        <w:rPr>
          <w:rStyle w:val="Appelnotedebasdep"/>
        </w:rPr>
        <w:footnoteReference w:id="314"/>
      </w:r>
      <w:r w:rsidRPr="001448A7">
        <w:rPr>
          <w:lang w:val="fr-FR"/>
        </w:rPr>
        <w:t>.</w:t>
      </w:r>
    </w:p>
    <w:p w14:paraId="30D864EA" w14:textId="7BB640BB" w:rsidR="005D2955" w:rsidRPr="001448A7" w:rsidRDefault="005D2955" w:rsidP="005D2955">
      <w:pPr>
        <w:pStyle w:val="SingleTxtG"/>
        <w:tabs>
          <w:tab w:val="clear" w:pos="2268"/>
        </w:tabs>
        <w:rPr>
          <w:rFonts w:asciiTheme="majorBidi" w:eastAsia="Times New Roman" w:hAnsiTheme="majorBidi" w:cstheme="majorBidi"/>
          <w:color w:val="1C1D1E"/>
        </w:rPr>
      </w:pPr>
      <w:r w:rsidRPr="001448A7">
        <w:rPr>
          <w:rFonts w:asciiTheme="majorBidi" w:eastAsia="Times New Roman" w:hAnsiTheme="majorBidi" w:cstheme="majorBidi"/>
          <w:bCs/>
          <w:color w:val="1C1D1E"/>
        </w:rPr>
        <w:t>2.</w:t>
      </w:r>
      <w:r w:rsidRPr="001448A7">
        <w:rPr>
          <w:rFonts w:asciiTheme="majorBidi" w:eastAsia="Times New Roman" w:hAnsiTheme="majorBidi" w:cstheme="majorBidi"/>
          <w:bCs/>
          <w:color w:val="1C1D1E"/>
        </w:rPr>
        <w:tab/>
      </w:r>
      <w:r w:rsidRPr="001448A7">
        <w:rPr>
          <w:lang w:val="fr-FR"/>
        </w:rPr>
        <w:t>La contribution des décisions des juridictions internationales à la question de l</w:t>
      </w:r>
      <w:r w:rsidR="004C5E26">
        <w:rPr>
          <w:lang w:val="fr-FR"/>
        </w:rPr>
        <w:t>’</w:t>
      </w:r>
      <w:r w:rsidRPr="001448A7">
        <w:rPr>
          <w:lang w:val="fr-FR"/>
        </w:rPr>
        <w:t>indemnisation a été plus limitée dans l</w:t>
      </w:r>
      <w:r w:rsidR="004C5E26">
        <w:rPr>
          <w:lang w:val="fr-FR"/>
        </w:rPr>
        <w:t>’</w:t>
      </w:r>
      <w:r w:rsidRPr="001448A7">
        <w:rPr>
          <w:lang w:val="fr-FR"/>
        </w:rPr>
        <w:t>ordre juridique international de l</w:t>
      </w:r>
      <w:r w:rsidR="004C5E26">
        <w:rPr>
          <w:lang w:val="fr-FR"/>
        </w:rPr>
        <w:t>’</w:t>
      </w:r>
      <w:r w:rsidRPr="001448A7">
        <w:rPr>
          <w:lang w:val="fr-FR"/>
        </w:rPr>
        <w:t>après-guerre, dans la seconde moitié du siècle dernier. À titre d</w:t>
      </w:r>
      <w:r w:rsidR="004C5E26">
        <w:rPr>
          <w:lang w:val="fr-FR"/>
        </w:rPr>
        <w:t>’</w:t>
      </w:r>
      <w:r w:rsidRPr="001448A7">
        <w:rPr>
          <w:lang w:val="fr-FR"/>
        </w:rPr>
        <w:t>exemple, l</w:t>
      </w:r>
      <w:r w:rsidR="004C5E26">
        <w:rPr>
          <w:lang w:val="fr-FR"/>
        </w:rPr>
        <w:t>’</w:t>
      </w:r>
      <w:r w:rsidRPr="001448A7">
        <w:rPr>
          <w:lang w:val="fr-FR"/>
        </w:rPr>
        <w:t>arrêt rendu en 1949 par la Cour internationale de Justice dans l</w:t>
      </w:r>
      <w:r w:rsidR="004C5E26">
        <w:rPr>
          <w:lang w:val="fr-FR"/>
        </w:rPr>
        <w:t>’</w:t>
      </w:r>
      <w:r w:rsidRPr="001448A7">
        <w:rPr>
          <w:lang w:val="fr-FR"/>
        </w:rPr>
        <w:t xml:space="preserve">affaire du </w:t>
      </w:r>
      <w:r w:rsidRPr="001448A7">
        <w:rPr>
          <w:i/>
          <w:iCs/>
          <w:lang w:val="fr-FR"/>
        </w:rPr>
        <w:t>Détroit de Corfou</w:t>
      </w:r>
      <w:r w:rsidRPr="001448A7">
        <w:rPr>
          <w:lang w:val="fr-FR"/>
        </w:rPr>
        <w:t>, la première affaire contentieuse sur laquelle elle a statué, est resté la seule décision du XX</w:t>
      </w:r>
      <w:r w:rsidRPr="001448A7">
        <w:rPr>
          <w:vertAlign w:val="superscript"/>
          <w:lang w:val="fr-FR"/>
        </w:rPr>
        <w:t>e</w:t>
      </w:r>
      <w:r w:rsidRPr="001448A7">
        <w:rPr>
          <w:lang w:val="fr-FR"/>
        </w:rPr>
        <w:t xml:space="preserve"> siècle dans laquelle celle-ci a ordonné le paiement d</w:t>
      </w:r>
      <w:r w:rsidR="004C5E26">
        <w:rPr>
          <w:lang w:val="fr-FR"/>
        </w:rPr>
        <w:t>’</w:t>
      </w:r>
      <w:r w:rsidRPr="001448A7">
        <w:rPr>
          <w:lang w:val="fr-FR"/>
        </w:rPr>
        <w:t>indemnités</w:t>
      </w:r>
      <w:bookmarkStart w:id="218" w:name="_Ref172534363"/>
      <w:r w:rsidRPr="00E9227E">
        <w:rPr>
          <w:rStyle w:val="Appelnotedebasdep"/>
        </w:rPr>
        <w:footnoteReference w:id="315"/>
      </w:r>
      <w:bookmarkEnd w:id="218"/>
      <w:r w:rsidRPr="001448A7">
        <w:rPr>
          <w:lang w:val="fr-FR"/>
        </w:rPr>
        <w:t>. Lorsque la question de l</w:t>
      </w:r>
      <w:r w:rsidR="004C5E26">
        <w:rPr>
          <w:lang w:val="fr-FR"/>
        </w:rPr>
        <w:t>’</w:t>
      </w:r>
      <w:r w:rsidRPr="001448A7">
        <w:rPr>
          <w:lang w:val="fr-FR"/>
        </w:rPr>
        <w:t>indemnisation a été soulevée sous une forme ou une autre dans des affaires ultérieures, soit les États n</w:t>
      </w:r>
      <w:r w:rsidR="004C5E26">
        <w:rPr>
          <w:lang w:val="fr-FR"/>
        </w:rPr>
        <w:t>’</w:t>
      </w:r>
      <w:r w:rsidRPr="001448A7">
        <w:rPr>
          <w:lang w:val="fr-FR"/>
        </w:rPr>
        <w:t>ont pas demandé à la Cour de déterminer le montant des dommages et intérêts dus</w:t>
      </w:r>
      <w:bookmarkStart w:id="219" w:name="_Ref172542559"/>
      <w:r w:rsidRPr="00E9227E">
        <w:rPr>
          <w:rStyle w:val="Appelnotedebasdep"/>
        </w:rPr>
        <w:footnoteReference w:id="316"/>
      </w:r>
      <w:bookmarkEnd w:id="219"/>
      <w:r w:rsidRPr="001448A7">
        <w:rPr>
          <w:lang w:val="fr-FR"/>
        </w:rPr>
        <w:t>, soit ils n</w:t>
      </w:r>
      <w:r w:rsidR="004C5E26">
        <w:rPr>
          <w:lang w:val="fr-FR"/>
        </w:rPr>
        <w:t>’</w:t>
      </w:r>
      <w:r w:rsidRPr="001448A7">
        <w:rPr>
          <w:lang w:val="fr-FR"/>
        </w:rPr>
        <w:t>ont pas donné de justifications détaillées</w:t>
      </w:r>
      <w:r w:rsidRPr="00E9227E">
        <w:rPr>
          <w:rStyle w:val="Appelnotedebasdep"/>
        </w:rPr>
        <w:footnoteReference w:id="317"/>
      </w:r>
      <w:r w:rsidRPr="001448A7">
        <w:rPr>
          <w:lang w:val="fr-FR"/>
        </w:rPr>
        <w:t>, soit, dans le seul cas où des arguments de droit et de fait ont été présentés en détail</w:t>
      </w:r>
      <w:r w:rsidRPr="00E9227E">
        <w:rPr>
          <w:rStyle w:val="Appelnotedebasdep"/>
        </w:rPr>
        <w:footnoteReference w:id="318"/>
      </w:r>
      <w:r w:rsidRPr="001448A7">
        <w:rPr>
          <w:lang w:val="fr-FR"/>
        </w:rPr>
        <w:t>, ils se sont désistés de l</w:t>
      </w:r>
      <w:r w:rsidR="004C5E26">
        <w:rPr>
          <w:lang w:val="fr-FR"/>
        </w:rPr>
        <w:t>’</w:t>
      </w:r>
      <w:r w:rsidRPr="001448A7">
        <w:rPr>
          <w:lang w:val="fr-FR"/>
        </w:rPr>
        <w:t>instance</w:t>
      </w:r>
      <w:r w:rsidRPr="00E9227E">
        <w:rPr>
          <w:rStyle w:val="Appelnotedebasdep"/>
        </w:rPr>
        <w:footnoteReference w:id="319"/>
      </w:r>
      <w:r w:rsidRPr="001448A7">
        <w:rPr>
          <w:lang w:val="fr-FR"/>
        </w:rPr>
        <w:t xml:space="preserve"> (et même dans l</w:t>
      </w:r>
      <w:r w:rsidR="004C5E26">
        <w:rPr>
          <w:lang w:val="fr-FR"/>
        </w:rPr>
        <w:t>’</w:t>
      </w:r>
      <w:r w:rsidRPr="001448A7">
        <w:rPr>
          <w:lang w:val="fr-FR"/>
        </w:rPr>
        <w:t>arrêt rendu dans l</w:t>
      </w:r>
      <w:r w:rsidR="004C5E26">
        <w:rPr>
          <w:lang w:val="fr-FR"/>
        </w:rPr>
        <w:t>’</w:t>
      </w:r>
      <w:r w:rsidRPr="001448A7">
        <w:rPr>
          <w:lang w:val="fr-FR"/>
        </w:rPr>
        <w:t xml:space="preserve">affaire du </w:t>
      </w:r>
      <w:r w:rsidRPr="001448A7">
        <w:rPr>
          <w:i/>
          <w:iCs/>
          <w:lang w:val="fr-FR"/>
        </w:rPr>
        <w:t>Détroit de Corfou</w:t>
      </w:r>
      <w:r w:rsidRPr="001448A7">
        <w:rPr>
          <w:lang w:val="fr-FR"/>
        </w:rPr>
        <w:t xml:space="preserve"> on ne trouve pratiquement aucune indication sur la méthode employée par la Cour pour fixer les indemnités)</w:t>
      </w:r>
      <w:r w:rsidRPr="00E9227E">
        <w:rPr>
          <w:rStyle w:val="Appelnotedebasdep"/>
        </w:rPr>
        <w:footnoteReference w:id="320"/>
      </w:r>
      <w:r w:rsidRPr="001448A7">
        <w:rPr>
          <w:lang w:val="fr-FR"/>
        </w:rPr>
        <w:t>. Lorsque la Commission du droit international s</w:t>
      </w:r>
      <w:r w:rsidR="004C5E26">
        <w:rPr>
          <w:lang w:val="fr-FR"/>
        </w:rPr>
        <w:t>’</w:t>
      </w:r>
      <w:r w:rsidRPr="001448A7">
        <w:rPr>
          <w:lang w:val="fr-FR"/>
        </w:rPr>
        <w:t>est penchée sur la question de l</w:t>
      </w:r>
      <w:r w:rsidR="004C5E26">
        <w:rPr>
          <w:lang w:val="fr-FR"/>
        </w:rPr>
        <w:t>’</w:t>
      </w:r>
      <w:r w:rsidRPr="001448A7">
        <w:rPr>
          <w:lang w:val="fr-FR"/>
        </w:rPr>
        <w:t>indemnisation dans les années 1990, elle n</w:t>
      </w:r>
      <w:r w:rsidR="004C5E26">
        <w:rPr>
          <w:lang w:val="fr-FR"/>
        </w:rPr>
        <w:t>’</w:t>
      </w:r>
      <w:r w:rsidRPr="001448A7">
        <w:rPr>
          <w:lang w:val="fr-FR"/>
        </w:rPr>
        <w:t>a donc pu s</w:t>
      </w:r>
      <w:r w:rsidR="004C5E26">
        <w:rPr>
          <w:lang w:val="fr-FR"/>
        </w:rPr>
        <w:t>’</w:t>
      </w:r>
      <w:r w:rsidRPr="001448A7">
        <w:rPr>
          <w:lang w:val="fr-FR"/>
        </w:rPr>
        <w:t>appuyer que sur « relativement peu de décisions récentes traitant dans le détail de la détermination du dommage matériel entre États »</w:t>
      </w:r>
      <w:r w:rsidRPr="00E9227E">
        <w:rPr>
          <w:rStyle w:val="Appelnotedebasdep"/>
        </w:rPr>
        <w:footnoteReference w:id="321"/>
      </w:r>
      <w:r w:rsidRPr="001448A7">
        <w:rPr>
          <w:lang w:val="fr-FR"/>
        </w:rPr>
        <w:t>.</w:t>
      </w:r>
      <w:bookmarkStart w:id="220" w:name="_Ref169182181"/>
      <w:bookmarkStart w:id="221" w:name="_Ref169182748"/>
      <w:bookmarkStart w:id="222" w:name="_Ref169183874"/>
      <w:bookmarkEnd w:id="220"/>
      <w:bookmarkEnd w:id="221"/>
      <w:bookmarkEnd w:id="222"/>
    </w:p>
    <w:p w14:paraId="78A42897" w14:textId="2B35156C" w:rsidR="005D2955" w:rsidRPr="001448A7" w:rsidRDefault="005D2955" w:rsidP="005D2955">
      <w:pPr>
        <w:pStyle w:val="SingleTxtG"/>
        <w:tabs>
          <w:tab w:val="clear" w:pos="2268"/>
        </w:tabs>
        <w:rPr>
          <w:rFonts w:asciiTheme="majorBidi" w:eastAsia="Times New Roman" w:hAnsiTheme="majorBidi" w:cstheme="majorBidi"/>
          <w:color w:val="1C1D1E"/>
        </w:rPr>
      </w:pPr>
      <w:r w:rsidRPr="001448A7">
        <w:rPr>
          <w:rFonts w:asciiTheme="majorBidi" w:eastAsia="Times New Roman" w:hAnsiTheme="majorBidi" w:cstheme="majorBidi"/>
          <w:bCs/>
          <w:color w:val="1C1D1E"/>
        </w:rPr>
        <w:t>3.</w:t>
      </w:r>
      <w:r w:rsidRPr="001448A7">
        <w:rPr>
          <w:rFonts w:asciiTheme="majorBidi" w:eastAsia="Times New Roman" w:hAnsiTheme="majorBidi" w:cstheme="majorBidi"/>
          <w:bCs/>
          <w:color w:val="1C1D1E"/>
        </w:rPr>
        <w:tab/>
      </w:r>
      <w:r w:rsidRPr="001448A7">
        <w:rPr>
          <w:lang w:val="fr-FR"/>
        </w:rPr>
        <w:t>La Commission s</w:t>
      </w:r>
      <w:r w:rsidR="004C5E26">
        <w:rPr>
          <w:lang w:val="fr-FR"/>
        </w:rPr>
        <w:t>’</w:t>
      </w:r>
      <w:r w:rsidRPr="001448A7">
        <w:rPr>
          <w:lang w:val="fr-FR"/>
        </w:rPr>
        <w:t>est intéressée aux règles relatives à l</w:t>
      </w:r>
      <w:r w:rsidR="004C5E26">
        <w:rPr>
          <w:lang w:val="fr-FR"/>
        </w:rPr>
        <w:t>’</w:t>
      </w:r>
      <w:r w:rsidRPr="001448A7">
        <w:rPr>
          <w:lang w:val="fr-FR"/>
        </w:rPr>
        <w:t>indemnisation dans son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322"/>
      </w:r>
      <w:r w:rsidRPr="001448A7">
        <w:rPr>
          <w:lang w:val="fr-FR"/>
        </w:rPr>
        <w:t>, qui sont réputés refléter le droit international coutumier</w:t>
      </w:r>
      <w:bookmarkStart w:id="223" w:name="_Ref172534951"/>
      <w:r w:rsidRPr="00E9227E">
        <w:rPr>
          <w:rStyle w:val="Appelnotedebasdep"/>
        </w:rPr>
        <w:footnoteReference w:id="323"/>
      </w:r>
      <w:bookmarkEnd w:id="223"/>
      <w:r w:rsidRPr="001448A7">
        <w:rPr>
          <w:lang w:val="fr-FR"/>
        </w:rPr>
        <w:t>. L</w:t>
      </w:r>
      <w:r w:rsidR="004C5E26">
        <w:rPr>
          <w:lang w:val="fr-FR"/>
        </w:rPr>
        <w:t>’</w:t>
      </w:r>
      <w:r w:rsidRPr="001448A7">
        <w:rPr>
          <w:lang w:val="fr-FR"/>
        </w:rPr>
        <w:t>article 36 du projet d</w:t>
      </w:r>
      <w:r w:rsidR="004C5E26">
        <w:rPr>
          <w:lang w:val="fr-FR"/>
        </w:rPr>
        <w:t>’</w:t>
      </w:r>
      <w:r w:rsidRPr="001448A7">
        <w:rPr>
          <w:lang w:val="fr-FR"/>
        </w:rPr>
        <w:t>articles présente l</w:t>
      </w:r>
      <w:r w:rsidR="004C5E26">
        <w:rPr>
          <w:lang w:val="fr-FR"/>
        </w:rPr>
        <w:t>’</w:t>
      </w:r>
      <w:r w:rsidRPr="001448A7">
        <w:rPr>
          <w:lang w:val="fr-FR"/>
        </w:rPr>
        <w:t>indemnisation comme un principe général sans énoncer de critères détaillés (ce qui est conforme à l</w:t>
      </w:r>
      <w:r w:rsidR="004C5E26">
        <w:rPr>
          <w:lang w:val="fr-FR"/>
        </w:rPr>
        <w:t>’</w:t>
      </w:r>
      <w:r w:rsidRPr="001448A7">
        <w:rPr>
          <w:lang w:val="fr-FR"/>
        </w:rPr>
        <w:t>approche adoptée à l</w:t>
      </w:r>
      <w:r w:rsidR="004C5E26">
        <w:rPr>
          <w:lang w:val="fr-FR"/>
        </w:rPr>
        <w:t>’</w:t>
      </w:r>
      <w:r w:rsidRPr="001448A7">
        <w:rPr>
          <w:lang w:val="fr-FR"/>
        </w:rPr>
        <w:t>origine en première lecture)</w:t>
      </w:r>
      <w:r w:rsidRPr="00E9227E">
        <w:rPr>
          <w:rStyle w:val="Appelnotedebasdep"/>
        </w:rPr>
        <w:footnoteReference w:id="324"/>
      </w:r>
      <w:r w:rsidRPr="001448A7">
        <w:rPr>
          <w:lang w:val="fr-FR"/>
        </w:rPr>
        <w:t> :</w:t>
      </w:r>
      <w:bookmarkStart w:id="224" w:name="_Ref169186039"/>
      <w:bookmarkStart w:id="225" w:name="_Ref169616661"/>
      <w:bookmarkEnd w:id="224"/>
      <w:bookmarkEnd w:id="225"/>
    </w:p>
    <w:p w14:paraId="4CB622EA" w14:textId="6BA44AB8" w:rsidR="005D2955" w:rsidRPr="001448A7" w:rsidRDefault="005D2955" w:rsidP="005D2955">
      <w:pPr>
        <w:pStyle w:val="SingleTxtG"/>
        <w:ind w:left="1701"/>
      </w:pPr>
      <w:r w:rsidRPr="001448A7">
        <w:rPr>
          <w:lang w:val="fr-FR"/>
        </w:rPr>
        <w:t>1.</w:t>
      </w:r>
      <w:r w:rsidRPr="001448A7">
        <w:rPr>
          <w:lang w:val="fr-FR"/>
        </w:rPr>
        <w:tab/>
        <w:t>L</w:t>
      </w:r>
      <w:r w:rsidR="004C5E26">
        <w:rPr>
          <w:lang w:val="fr-FR"/>
        </w:rPr>
        <w:t>’</w:t>
      </w:r>
      <w:r w:rsidRPr="001448A7">
        <w:rPr>
          <w:lang w:val="fr-FR"/>
        </w:rPr>
        <w:t>État responsable du fait internationalement illicite est tenu d</w:t>
      </w:r>
      <w:r w:rsidR="004C5E26">
        <w:rPr>
          <w:lang w:val="fr-FR"/>
        </w:rPr>
        <w:t>’</w:t>
      </w:r>
      <w:r w:rsidRPr="001448A7">
        <w:rPr>
          <w:lang w:val="fr-FR"/>
        </w:rPr>
        <w:t>indemniser le dommage causé par ce fait dans la mesure où ce dommage n</w:t>
      </w:r>
      <w:r w:rsidR="004C5E26">
        <w:rPr>
          <w:lang w:val="fr-FR"/>
        </w:rPr>
        <w:t>’</w:t>
      </w:r>
      <w:r w:rsidRPr="001448A7">
        <w:rPr>
          <w:lang w:val="fr-FR"/>
        </w:rPr>
        <w:t>est pas réparé par la restitution</w:t>
      </w:r>
      <w:r w:rsidR="00727DFE">
        <w:rPr>
          <w:lang w:val="fr-FR"/>
        </w:rPr>
        <w:t> ;</w:t>
      </w:r>
    </w:p>
    <w:p w14:paraId="026640CE" w14:textId="39E33E3D" w:rsidR="005D2955" w:rsidRPr="001448A7" w:rsidRDefault="005D2955" w:rsidP="005D2955">
      <w:pPr>
        <w:pStyle w:val="SingleTxtG"/>
        <w:ind w:left="1701"/>
      </w:pPr>
      <w:r w:rsidRPr="001448A7">
        <w:rPr>
          <w:lang w:val="fr-FR"/>
        </w:rPr>
        <w:lastRenderedPageBreak/>
        <w:t>2.</w:t>
      </w:r>
      <w:r w:rsidRPr="001448A7">
        <w:rPr>
          <w:lang w:val="fr-FR"/>
        </w:rPr>
        <w:tab/>
        <w:t>L</w:t>
      </w:r>
      <w:r w:rsidR="004C5E26">
        <w:rPr>
          <w:lang w:val="fr-FR"/>
        </w:rPr>
        <w:t>’</w:t>
      </w:r>
      <w:r w:rsidRPr="001448A7">
        <w:rPr>
          <w:lang w:val="fr-FR"/>
        </w:rPr>
        <w:t>indemnité couvre tout dommage susceptible d</w:t>
      </w:r>
      <w:r w:rsidR="004C5E26">
        <w:rPr>
          <w:lang w:val="fr-FR"/>
        </w:rPr>
        <w:t>’</w:t>
      </w:r>
      <w:r w:rsidRPr="001448A7">
        <w:rPr>
          <w:lang w:val="fr-FR"/>
        </w:rPr>
        <w:t>évaluation financière, y compris le manque à gagner dans la mesure où celui-ci est établi</w:t>
      </w:r>
      <w:r w:rsidRPr="00E9227E">
        <w:rPr>
          <w:rStyle w:val="Appelnotedebasdep"/>
        </w:rPr>
        <w:footnoteReference w:id="325"/>
      </w:r>
      <w:r w:rsidRPr="001448A7">
        <w:rPr>
          <w:lang w:val="fr-FR"/>
        </w:rPr>
        <w:t>.</w:t>
      </w:r>
    </w:p>
    <w:p w14:paraId="27D0D17D" w14:textId="1F445452" w:rsidR="005D2955" w:rsidRPr="001448A7" w:rsidRDefault="005D2955" w:rsidP="005D2955">
      <w:pPr>
        <w:pStyle w:val="SingleTxtG"/>
        <w:ind w:firstLine="567"/>
      </w:pPr>
      <w:r w:rsidRPr="001448A7">
        <w:rPr>
          <w:lang w:val="fr-FR"/>
        </w:rPr>
        <w:t>Bien que l</w:t>
      </w:r>
      <w:r w:rsidR="004C5E26">
        <w:rPr>
          <w:lang w:val="fr-FR"/>
        </w:rPr>
        <w:t>’</w:t>
      </w:r>
      <w:r w:rsidRPr="001448A7">
        <w:rPr>
          <w:lang w:val="fr-FR"/>
        </w:rPr>
        <w:t>article 36 ait été rédigé avec prudence compte tenu des éléments disponibles et qu</w:t>
      </w:r>
      <w:r w:rsidR="004C5E26">
        <w:rPr>
          <w:lang w:val="fr-FR"/>
        </w:rPr>
        <w:t>’</w:t>
      </w:r>
      <w:r w:rsidRPr="001448A7">
        <w:rPr>
          <w:lang w:val="fr-FR"/>
        </w:rPr>
        <w:t>il doive être lu conjointement avec son commentaire très détaillé</w:t>
      </w:r>
      <w:r w:rsidRPr="00E9227E">
        <w:rPr>
          <w:rStyle w:val="Appelnotedebasdep"/>
        </w:rPr>
        <w:footnoteReference w:id="326"/>
      </w:r>
      <w:r w:rsidRPr="001448A7">
        <w:rPr>
          <w:lang w:val="fr-FR"/>
        </w:rPr>
        <w:t>, d</w:t>
      </w:r>
      <w:r w:rsidR="004C5E26">
        <w:rPr>
          <w:lang w:val="fr-FR"/>
        </w:rPr>
        <w:t>’</w:t>
      </w:r>
      <w:r w:rsidRPr="001448A7">
        <w:rPr>
          <w:lang w:val="fr-FR"/>
        </w:rPr>
        <w:t>aucuns ont depuis estimé que la Commission n</w:t>
      </w:r>
      <w:r w:rsidR="004C5E26">
        <w:rPr>
          <w:lang w:val="fr-FR"/>
        </w:rPr>
        <w:t>’</w:t>
      </w:r>
      <w:r w:rsidRPr="001448A7">
        <w:rPr>
          <w:lang w:val="fr-FR"/>
        </w:rPr>
        <w:t>était pas allée assez loin dans l</w:t>
      </w:r>
      <w:r w:rsidR="004C5E26">
        <w:rPr>
          <w:lang w:val="fr-FR"/>
        </w:rPr>
        <w:t>’</w:t>
      </w:r>
      <w:r w:rsidRPr="001448A7">
        <w:rPr>
          <w:lang w:val="fr-FR"/>
        </w:rPr>
        <w:t>examen des problèmes nombreux et complexes que cette question posait en réalité</w:t>
      </w:r>
      <w:bookmarkStart w:id="226" w:name="_Ref172541658"/>
      <w:r w:rsidRPr="00E9227E">
        <w:rPr>
          <w:rStyle w:val="Appelnotedebasdep"/>
        </w:rPr>
        <w:footnoteReference w:id="327"/>
      </w:r>
      <w:bookmarkEnd w:id="226"/>
      <w:r w:rsidRPr="001448A7">
        <w:rPr>
          <w:lang w:val="fr-FR"/>
        </w:rPr>
        <w:t>. De la même façon, le Secrétariat a indiqué en 2016 dans son document de travail sur le programme de travail à long terme que, « [s]i les États préfèrent souvent l</w:t>
      </w:r>
      <w:r w:rsidR="004C5E26">
        <w:rPr>
          <w:lang w:val="fr-FR"/>
        </w:rPr>
        <w:t>’</w:t>
      </w:r>
      <w:r w:rsidRPr="001448A7">
        <w:rPr>
          <w:lang w:val="fr-FR"/>
        </w:rPr>
        <w:t>indemnisation à d</w:t>
      </w:r>
      <w:r w:rsidR="004C5E26">
        <w:rPr>
          <w:lang w:val="fr-FR"/>
        </w:rPr>
        <w:t>’</w:t>
      </w:r>
      <w:r w:rsidRPr="001448A7">
        <w:rPr>
          <w:lang w:val="fr-FR"/>
        </w:rPr>
        <w:t>autres formes de réparation, les articles de 2001 ne donnent guère d</w:t>
      </w:r>
      <w:r w:rsidR="004C5E26">
        <w:rPr>
          <w:lang w:val="fr-FR"/>
        </w:rPr>
        <w:t>’</w:t>
      </w:r>
      <w:r w:rsidRPr="001448A7">
        <w:rPr>
          <w:lang w:val="fr-FR"/>
        </w:rPr>
        <w:t>indications sur la fixation du quantum de l</w:t>
      </w:r>
      <w:r w:rsidR="004C5E26">
        <w:rPr>
          <w:lang w:val="fr-FR"/>
        </w:rPr>
        <w:t>’</w:t>
      </w:r>
      <w:r w:rsidRPr="001448A7">
        <w:rPr>
          <w:lang w:val="fr-FR"/>
        </w:rPr>
        <w:t>indemnité »</w:t>
      </w:r>
      <w:bookmarkStart w:id="227" w:name="_Ref172536875"/>
      <w:r w:rsidRPr="00E9227E">
        <w:rPr>
          <w:rStyle w:val="Appelnotedebasdep"/>
        </w:rPr>
        <w:footnoteReference w:id="328"/>
      </w:r>
      <w:bookmarkEnd w:id="227"/>
      <w:r w:rsidRPr="001448A7">
        <w:rPr>
          <w:lang w:val="fr-FR"/>
        </w:rPr>
        <w:t>. Certaines décisions rendues par des juridictions internationales donnent l</w:t>
      </w:r>
      <w:r w:rsidR="004C5E26">
        <w:rPr>
          <w:lang w:val="fr-FR"/>
        </w:rPr>
        <w:t>’</w:t>
      </w:r>
      <w:r w:rsidRPr="001448A7">
        <w:rPr>
          <w:lang w:val="fr-FR"/>
        </w:rPr>
        <w:t>impression que ces dernières partagent les préoccupations relatives au manque de détails des travaux de la Commission sur le sujet ; par exemple, des juridictions ont préféré s</w:t>
      </w:r>
      <w:r w:rsidR="004C5E26">
        <w:rPr>
          <w:lang w:val="fr-FR"/>
        </w:rPr>
        <w:t>’</w:t>
      </w:r>
      <w:r w:rsidRPr="001448A7">
        <w:rPr>
          <w:lang w:val="fr-FR"/>
        </w:rPr>
        <w:t>appuyer sur la doctrine traitant du droit interne de la responsabilité civile délictuelle pour exposer les règles internationales relatives à l</w:t>
      </w:r>
      <w:r w:rsidR="004C5E26">
        <w:rPr>
          <w:lang w:val="fr-FR"/>
        </w:rPr>
        <w:t>’</w:t>
      </w:r>
      <w:r w:rsidRPr="001448A7">
        <w:rPr>
          <w:lang w:val="fr-FR"/>
        </w:rPr>
        <w:t>indemnisation</w:t>
      </w:r>
      <w:bookmarkStart w:id="228" w:name="_Ref172535352"/>
      <w:r w:rsidRPr="00E9227E">
        <w:rPr>
          <w:rStyle w:val="Appelnotedebasdep"/>
        </w:rPr>
        <w:footnoteReference w:id="329"/>
      </w:r>
      <w:bookmarkEnd w:id="228"/>
      <w:r w:rsidRPr="001448A7">
        <w:rPr>
          <w:lang w:val="fr-FR"/>
        </w:rPr>
        <w:t xml:space="preserve">. </w:t>
      </w:r>
      <w:bookmarkStart w:id="229" w:name="_Ref169614569"/>
      <w:bookmarkStart w:id="230" w:name="_Ref169615909"/>
      <w:bookmarkStart w:id="231" w:name="_Ref169701549"/>
      <w:bookmarkEnd w:id="229"/>
      <w:bookmarkEnd w:id="230"/>
      <w:bookmarkEnd w:id="231"/>
    </w:p>
    <w:p w14:paraId="11017A2A" w14:textId="16AB8ACA"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4.</w:t>
      </w:r>
      <w:r w:rsidRPr="001448A7">
        <w:rPr>
          <w:rFonts w:asciiTheme="majorBidi" w:hAnsiTheme="majorBidi" w:cstheme="majorBidi"/>
          <w:bCs/>
        </w:rPr>
        <w:tab/>
      </w:r>
      <w:r w:rsidRPr="001448A7">
        <w:rPr>
          <w:lang w:val="fr-FR"/>
        </w:rPr>
        <w:t>La pratique pertinente est aujourd</w:t>
      </w:r>
      <w:r w:rsidR="004C5E26">
        <w:rPr>
          <w:lang w:val="fr-FR"/>
        </w:rPr>
        <w:t>’</w:t>
      </w:r>
      <w:r w:rsidRPr="001448A7">
        <w:rPr>
          <w:lang w:val="fr-FR"/>
        </w:rPr>
        <w:t>hui beaucoup plus importante que lorsque la Commission a adopté le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en 2001. L</w:t>
      </w:r>
      <w:r w:rsidR="004C5E26">
        <w:rPr>
          <w:lang w:val="fr-FR"/>
        </w:rPr>
        <w:t>’</w:t>
      </w:r>
      <w:r w:rsidRPr="001448A7">
        <w:rPr>
          <w:lang w:val="fr-FR"/>
        </w:rPr>
        <w:t>indemnisation fait l</w:t>
      </w:r>
      <w:r w:rsidR="004C5E26">
        <w:rPr>
          <w:lang w:val="fr-FR"/>
        </w:rPr>
        <w:t>’</w:t>
      </w:r>
      <w:r w:rsidRPr="001448A7">
        <w:rPr>
          <w:lang w:val="fr-FR"/>
        </w:rPr>
        <w:t>objet d</w:t>
      </w:r>
      <w:r w:rsidR="004C5E26">
        <w:rPr>
          <w:lang w:val="fr-FR"/>
        </w:rPr>
        <w:t>’</w:t>
      </w:r>
      <w:r w:rsidRPr="001448A7">
        <w:rPr>
          <w:lang w:val="fr-FR"/>
        </w:rPr>
        <w:t>un grand nombre de décisions motivées rendues par des juridictions interétatiques, ainsi que par des organes chargés d</w:t>
      </w:r>
      <w:r w:rsidR="004C5E26">
        <w:rPr>
          <w:lang w:val="fr-FR"/>
        </w:rPr>
        <w:t>’</w:t>
      </w:r>
      <w:r w:rsidRPr="001448A7">
        <w:rPr>
          <w:lang w:val="fr-FR"/>
        </w:rPr>
        <w:t>examiner les plaintes présentées par des particuliers et d</w:t>
      </w:r>
      <w:r w:rsidR="004C5E26">
        <w:rPr>
          <w:lang w:val="fr-FR"/>
        </w:rPr>
        <w:t>’</w:t>
      </w:r>
      <w:r w:rsidRPr="001448A7">
        <w:rPr>
          <w:lang w:val="fr-FR"/>
        </w:rPr>
        <w:t>autres entités non étatiques</w:t>
      </w:r>
      <w:bookmarkStart w:id="232" w:name="_Ref172535375"/>
      <w:r w:rsidRPr="00E9227E">
        <w:rPr>
          <w:rStyle w:val="Appelnotedebasdep"/>
        </w:rPr>
        <w:footnoteReference w:id="330"/>
      </w:r>
      <w:bookmarkEnd w:id="232"/>
      <w:r w:rsidRPr="001448A7">
        <w:rPr>
          <w:lang w:val="fr-FR"/>
        </w:rPr>
        <w:t>. La Cour internationale de Justice a examiné la question de l</w:t>
      </w:r>
      <w:r w:rsidR="004C5E26">
        <w:rPr>
          <w:lang w:val="fr-FR"/>
        </w:rPr>
        <w:t>’</w:t>
      </w:r>
      <w:r w:rsidRPr="001448A7">
        <w:rPr>
          <w:lang w:val="fr-FR"/>
        </w:rPr>
        <w:t>indemnisation dans trois affaires relevant de divers domaines du droit international : dans l</w:t>
      </w:r>
      <w:r w:rsidR="004C5E26">
        <w:rPr>
          <w:lang w:val="fr-FR"/>
        </w:rPr>
        <w:t>’</w:t>
      </w:r>
      <w:r w:rsidRPr="001448A7">
        <w:rPr>
          <w:lang w:val="fr-FR"/>
        </w:rPr>
        <w:t xml:space="preserve">affaire </w:t>
      </w:r>
      <w:r w:rsidRPr="001448A7">
        <w:rPr>
          <w:i/>
          <w:iCs/>
          <w:lang w:val="fr-FR"/>
        </w:rPr>
        <w:t>Ahmadou Sadio Diallo</w:t>
      </w:r>
      <w:r w:rsidRPr="001448A7">
        <w:rPr>
          <w:lang w:val="fr-FR"/>
        </w:rPr>
        <w:t>, qui avait trait aux droits de l</w:t>
      </w:r>
      <w:r w:rsidR="004C5E26">
        <w:rPr>
          <w:lang w:val="fr-FR"/>
        </w:rPr>
        <w:t>’</w:t>
      </w:r>
      <w:r w:rsidRPr="001448A7">
        <w:rPr>
          <w:lang w:val="fr-FR"/>
        </w:rPr>
        <w:t>homme</w:t>
      </w:r>
      <w:r w:rsidRPr="00E9227E">
        <w:rPr>
          <w:rStyle w:val="Appelnotedebasdep"/>
        </w:rPr>
        <w:footnoteReference w:id="331"/>
      </w:r>
      <w:r w:rsidRPr="001448A7">
        <w:rPr>
          <w:lang w:val="fr-FR"/>
        </w:rPr>
        <w:t> ; dans l</w:t>
      </w:r>
      <w:r w:rsidR="004C5E26">
        <w:rPr>
          <w:lang w:val="fr-FR"/>
        </w:rPr>
        <w:t>’</w:t>
      </w:r>
      <w:r w:rsidRPr="001448A7">
        <w:rPr>
          <w:lang w:val="fr-FR"/>
        </w:rPr>
        <w:t xml:space="preserve">affaire </w:t>
      </w:r>
      <w:r w:rsidRPr="001448A7">
        <w:rPr>
          <w:i/>
          <w:iCs/>
          <w:lang w:val="fr-FR"/>
        </w:rPr>
        <w:t>Certaines activités menées par le Nicaragua dans la région frontalière</w:t>
      </w:r>
      <w:r w:rsidRPr="001448A7">
        <w:rPr>
          <w:lang w:val="fr-FR"/>
        </w:rPr>
        <w:t>, qui portait sur les dommages environnementaux</w:t>
      </w:r>
      <w:bookmarkStart w:id="233" w:name="_Ref172537287"/>
      <w:r w:rsidRPr="00E9227E">
        <w:rPr>
          <w:rStyle w:val="Appelnotedebasdep"/>
        </w:rPr>
        <w:footnoteReference w:id="332"/>
      </w:r>
      <w:bookmarkEnd w:id="233"/>
      <w:r w:rsidRPr="001448A7">
        <w:rPr>
          <w:lang w:val="fr-FR"/>
        </w:rPr>
        <w:t> ; dans l</w:t>
      </w:r>
      <w:r w:rsidR="004C5E26">
        <w:rPr>
          <w:lang w:val="fr-FR"/>
        </w:rPr>
        <w:t>’</w:t>
      </w:r>
      <w:r w:rsidRPr="001448A7">
        <w:rPr>
          <w:lang w:val="fr-FR"/>
        </w:rPr>
        <w:t xml:space="preserve">affaire </w:t>
      </w:r>
      <w:r w:rsidRPr="001448A7">
        <w:rPr>
          <w:i/>
          <w:iCs/>
          <w:lang w:val="fr-FR"/>
        </w:rPr>
        <w:t>Activités armées sur le territoire du Congo</w:t>
      </w:r>
      <w:r w:rsidRPr="001448A7">
        <w:rPr>
          <w:lang w:val="fr-FR"/>
        </w:rPr>
        <w:t>, qui concernait l</w:t>
      </w:r>
      <w:r w:rsidR="004C5E26">
        <w:rPr>
          <w:lang w:val="fr-FR"/>
        </w:rPr>
        <w:t>’</w:t>
      </w:r>
      <w:r w:rsidRPr="001448A7">
        <w:rPr>
          <w:lang w:val="fr-FR"/>
        </w:rPr>
        <w:t>emploi de la force, le droit humanitaire, les droits de l</w:t>
      </w:r>
      <w:r w:rsidR="004C5E26">
        <w:rPr>
          <w:lang w:val="fr-FR"/>
        </w:rPr>
        <w:t>’</w:t>
      </w:r>
      <w:r w:rsidRPr="001448A7">
        <w:rPr>
          <w:lang w:val="fr-FR"/>
        </w:rPr>
        <w:t xml:space="preserve">homme ainsi que les dommages environnementaux et </w:t>
      </w:r>
      <w:proofErr w:type="spellStart"/>
      <w:r w:rsidRPr="001448A7">
        <w:rPr>
          <w:lang w:val="fr-FR"/>
        </w:rPr>
        <w:t>macroéconomiques</w:t>
      </w:r>
      <w:bookmarkStart w:id="234" w:name="_Ref172537296"/>
      <w:proofErr w:type="spellEnd"/>
      <w:r w:rsidRPr="00E9227E">
        <w:rPr>
          <w:rStyle w:val="Appelnotedebasdep"/>
        </w:rPr>
        <w:footnoteReference w:id="333"/>
      </w:r>
      <w:bookmarkEnd w:id="234"/>
      <w:r w:rsidRPr="001448A7">
        <w:rPr>
          <w:lang w:val="fr-FR"/>
        </w:rPr>
        <w:t xml:space="preserve"> (de plus, d</w:t>
      </w:r>
      <w:r w:rsidR="004C5E26">
        <w:rPr>
          <w:lang w:val="fr-FR"/>
        </w:rPr>
        <w:t>’</w:t>
      </w:r>
      <w:r w:rsidRPr="001448A7">
        <w:rPr>
          <w:lang w:val="fr-FR"/>
        </w:rPr>
        <w:t>autres décisions pourraient être rendues à un stade ultérieur de la procédure dans des affaires actuellement pendantes)</w:t>
      </w:r>
      <w:bookmarkStart w:id="235" w:name="_Ref172541388"/>
      <w:r w:rsidRPr="00E9227E">
        <w:rPr>
          <w:rStyle w:val="Appelnotedebasdep"/>
        </w:rPr>
        <w:footnoteReference w:id="334"/>
      </w:r>
      <w:bookmarkEnd w:id="235"/>
      <w:r w:rsidRPr="001448A7">
        <w:rPr>
          <w:lang w:val="fr-FR"/>
        </w:rPr>
        <w:t>. En outre, des décisions motivées sur l</w:t>
      </w:r>
      <w:r w:rsidR="004C5E26">
        <w:rPr>
          <w:lang w:val="fr-FR"/>
        </w:rPr>
        <w:t>’</w:t>
      </w:r>
      <w:r w:rsidRPr="001448A7">
        <w:rPr>
          <w:lang w:val="fr-FR"/>
        </w:rPr>
        <w:t>indemnisation ont été rendues depuis 2001 dans des</w:t>
      </w:r>
      <w:r w:rsidRPr="001448A7">
        <w:t xml:space="preserve"> </w:t>
      </w:r>
      <w:r w:rsidRPr="001448A7">
        <w:rPr>
          <w:lang w:val="fr-FR"/>
        </w:rPr>
        <w:lastRenderedPageBreak/>
        <w:t>affaires interétatiques concernant le droit de la mer</w:t>
      </w:r>
      <w:bookmarkStart w:id="236" w:name="_Ref172539203"/>
      <w:r w:rsidRPr="00E9227E">
        <w:rPr>
          <w:rStyle w:val="Appelnotedebasdep"/>
        </w:rPr>
        <w:footnoteReference w:id="335"/>
      </w:r>
      <w:bookmarkEnd w:id="236"/>
      <w:r w:rsidRPr="001448A7">
        <w:rPr>
          <w:lang w:val="fr-FR"/>
        </w:rPr>
        <w:t xml:space="preserve"> et les droits de l</w:t>
      </w:r>
      <w:r w:rsidR="004C5E26">
        <w:rPr>
          <w:lang w:val="fr-FR"/>
        </w:rPr>
        <w:t>’</w:t>
      </w:r>
      <w:r w:rsidRPr="001448A7">
        <w:rPr>
          <w:lang w:val="fr-FR"/>
        </w:rPr>
        <w:t>homme</w:t>
      </w:r>
      <w:bookmarkStart w:id="237" w:name="_Ref172541891"/>
      <w:r w:rsidRPr="00E9227E">
        <w:rPr>
          <w:rStyle w:val="Appelnotedebasdep"/>
        </w:rPr>
        <w:footnoteReference w:id="336"/>
      </w:r>
      <w:bookmarkEnd w:id="237"/>
      <w:r w:rsidRPr="001448A7">
        <w:rPr>
          <w:lang w:val="fr-FR"/>
        </w:rPr>
        <w:t>, dans des affaires portées devant le Tribunal des réclamations Iran-États-Unis</w:t>
      </w:r>
      <w:r w:rsidRPr="00E9227E">
        <w:rPr>
          <w:rStyle w:val="Appelnotedebasdep"/>
        </w:rPr>
        <w:footnoteReference w:id="337"/>
      </w:r>
      <w:r w:rsidRPr="001448A7">
        <w:rPr>
          <w:lang w:val="fr-FR"/>
        </w:rPr>
        <w:t xml:space="preserve"> et la Commission des </w:t>
      </w:r>
      <w:r w:rsidR="00F81BE0">
        <w:rPr>
          <w:lang w:val="fr-FR"/>
        </w:rPr>
        <w:t>réclamations</w:t>
      </w:r>
      <w:r w:rsidRPr="00C92339">
        <w:rPr>
          <w:lang w:val="fr-FR"/>
        </w:rPr>
        <w:t xml:space="preserve"> </w:t>
      </w:r>
      <w:r w:rsidR="00F81BE0" w:rsidRPr="00C92339">
        <w:rPr>
          <w:lang w:val="fr-FR"/>
        </w:rPr>
        <w:t>Érythrée</w:t>
      </w:r>
      <w:r w:rsidR="00F81BE0">
        <w:rPr>
          <w:lang w:val="fr-FR"/>
        </w:rPr>
        <w:t>-</w:t>
      </w:r>
      <w:r w:rsidRPr="00C92339">
        <w:rPr>
          <w:lang w:val="fr-FR"/>
        </w:rPr>
        <w:t>Éthiopie</w:t>
      </w:r>
      <w:bookmarkStart w:id="238" w:name="_Ref172539195"/>
      <w:r w:rsidRPr="00C92339">
        <w:rPr>
          <w:rStyle w:val="Appelnotedebasdep"/>
        </w:rPr>
        <w:footnoteReference w:id="338"/>
      </w:r>
      <w:bookmarkEnd w:id="238"/>
      <w:r w:rsidRPr="00C92339">
        <w:rPr>
          <w:lang w:val="fr-FR"/>
        </w:rPr>
        <w:t>, ainsi</w:t>
      </w:r>
      <w:r w:rsidRPr="001448A7">
        <w:rPr>
          <w:lang w:val="fr-FR"/>
        </w:rPr>
        <w:t xml:space="preserve"> que dans des affaires soumises par des particuliers et d</w:t>
      </w:r>
      <w:r w:rsidR="004C5E26">
        <w:rPr>
          <w:lang w:val="fr-FR"/>
        </w:rPr>
        <w:t>’</w:t>
      </w:r>
      <w:r w:rsidRPr="001448A7">
        <w:rPr>
          <w:lang w:val="fr-FR"/>
        </w:rPr>
        <w:t>autres entités non étatiques aux cours régionales des droits de l</w:t>
      </w:r>
      <w:r w:rsidR="004C5E26">
        <w:rPr>
          <w:lang w:val="fr-FR"/>
        </w:rPr>
        <w:t>’</w:t>
      </w:r>
      <w:r w:rsidRPr="001448A7">
        <w:rPr>
          <w:lang w:val="fr-FR"/>
        </w:rPr>
        <w:t>homme en Afrique, en Amérique et en Europe et à des tribunaux arbitraux chargés de régler les différends entre investisseurs et États</w:t>
      </w:r>
      <w:r w:rsidRPr="00E9227E">
        <w:rPr>
          <w:rStyle w:val="Appelnotedebasdep"/>
        </w:rPr>
        <w:footnoteReference w:id="339"/>
      </w:r>
      <w:r w:rsidRPr="001448A7">
        <w:rPr>
          <w:lang w:val="fr-FR"/>
        </w:rPr>
        <w:t>. La question de l</w:t>
      </w:r>
      <w:r w:rsidR="004C5E26">
        <w:rPr>
          <w:lang w:val="fr-FR"/>
        </w:rPr>
        <w:t>’</w:t>
      </w:r>
      <w:r w:rsidRPr="001448A7">
        <w:rPr>
          <w:lang w:val="fr-FR"/>
        </w:rPr>
        <w:t>indemnisation dans le domaine des droits de l</w:t>
      </w:r>
      <w:r w:rsidR="004C5E26">
        <w:rPr>
          <w:lang w:val="fr-FR"/>
        </w:rPr>
        <w:t>’</w:t>
      </w:r>
      <w:r w:rsidRPr="001448A7">
        <w:rPr>
          <w:lang w:val="fr-FR"/>
        </w:rPr>
        <w:t>homme a également été abordée dans les travaux d</w:t>
      </w:r>
      <w:r w:rsidR="004C5E26">
        <w:rPr>
          <w:lang w:val="fr-FR"/>
        </w:rPr>
        <w:t>’</w:t>
      </w:r>
      <w:r w:rsidRPr="001448A7">
        <w:rPr>
          <w:lang w:val="fr-FR"/>
        </w:rPr>
        <w:t>organisations internationales</w:t>
      </w:r>
      <w:bookmarkStart w:id="239" w:name="_Ref172537578"/>
      <w:r w:rsidRPr="00E9227E">
        <w:rPr>
          <w:rStyle w:val="Appelnotedebasdep"/>
        </w:rPr>
        <w:footnoteReference w:id="340"/>
      </w:r>
      <w:bookmarkEnd w:id="239"/>
      <w:r w:rsidRPr="001448A7">
        <w:rPr>
          <w:lang w:val="fr-FR"/>
        </w:rPr>
        <w:t xml:space="preserve"> et d</w:t>
      </w:r>
      <w:r w:rsidR="004C5E26">
        <w:rPr>
          <w:lang w:val="fr-FR"/>
        </w:rPr>
        <w:t>’</w:t>
      </w:r>
      <w:r w:rsidRPr="001448A7">
        <w:rPr>
          <w:lang w:val="fr-FR"/>
        </w:rPr>
        <w:t>organes d</w:t>
      </w:r>
      <w:r w:rsidR="004C5E26">
        <w:rPr>
          <w:lang w:val="fr-FR"/>
        </w:rPr>
        <w:t>’</w:t>
      </w:r>
      <w:r w:rsidRPr="001448A7">
        <w:rPr>
          <w:lang w:val="fr-FR"/>
        </w:rPr>
        <w:t>experts créés par des États et des organisations internationales</w:t>
      </w:r>
      <w:r w:rsidRPr="00E9227E">
        <w:rPr>
          <w:rStyle w:val="Appelnotedebasdep"/>
        </w:rPr>
        <w:footnoteReference w:id="341"/>
      </w:r>
      <w:r w:rsidRPr="001448A7">
        <w:rPr>
          <w:lang w:val="fr-FR"/>
        </w:rPr>
        <w:t>. Les registres des dommages, en particulier ceux établis par l</w:t>
      </w:r>
      <w:r w:rsidR="004C5E26">
        <w:rPr>
          <w:lang w:val="fr-FR"/>
        </w:rPr>
        <w:t>’</w:t>
      </w:r>
      <w:r w:rsidRPr="001448A7">
        <w:rPr>
          <w:lang w:val="fr-FR"/>
        </w:rPr>
        <w:t>Organisation des Nations Unies (ONU), peuvent également constituer un exemple de pratique pertinente</w:t>
      </w:r>
      <w:bookmarkStart w:id="240" w:name="_Ref172541028"/>
      <w:r w:rsidRPr="00E9227E">
        <w:rPr>
          <w:rStyle w:val="Appelnotedebasdep"/>
        </w:rPr>
        <w:footnoteReference w:id="342"/>
      </w:r>
      <w:bookmarkEnd w:id="240"/>
      <w:r w:rsidRPr="001448A7">
        <w:rPr>
          <w:lang w:val="fr-FR"/>
        </w:rPr>
        <w:t>.</w:t>
      </w:r>
      <w:bookmarkStart w:id="241" w:name="_Ref169265531"/>
      <w:bookmarkStart w:id="242" w:name="_Ref169688327"/>
      <w:bookmarkStart w:id="243" w:name="_Ref169688837"/>
      <w:bookmarkStart w:id="244" w:name="_Ref169697272"/>
      <w:bookmarkStart w:id="245" w:name="_Ref169698224"/>
      <w:bookmarkStart w:id="246" w:name="_Ref169700447"/>
      <w:bookmarkStart w:id="247" w:name="_Ref169702274"/>
      <w:bookmarkStart w:id="248" w:name="_Ref170380238"/>
      <w:bookmarkStart w:id="249" w:name="_Ref170809389"/>
      <w:bookmarkEnd w:id="241"/>
      <w:bookmarkEnd w:id="242"/>
      <w:bookmarkEnd w:id="243"/>
      <w:bookmarkEnd w:id="244"/>
      <w:bookmarkEnd w:id="245"/>
      <w:bookmarkEnd w:id="246"/>
      <w:bookmarkEnd w:id="247"/>
      <w:bookmarkEnd w:id="248"/>
      <w:bookmarkEnd w:id="249"/>
    </w:p>
    <w:p w14:paraId="00B847E5" w14:textId="4FE011F4"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lastRenderedPageBreak/>
        <w:t>5.</w:t>
      </w:r>
      <w:r w:rsidRPr="001448A7">
        <w:rPr>
          <w:rFonts w:asciiTheme="majorBidi" w:hAnsiTheme="majorBidi" w:cstheme="majorBidi"/>
          <w:bCs/>
        </w:rPr>
        <w:tab/>
      </w:r>
      <w:r w:rsidRPr="001448A7">
        <w:rPr>
          <w:lang w:val="fr-FR"/>
        </w:rPr>
        <w:t>Il y a deux bonnes raisons d</w:t>
      </w:r>
      <w:r w:rsidR="004C5E26">
        <w:rPr>
          <w:lang w:val="fr-FR"/>
        </w:rPr>
        <w:t>’</w:t>
      </w:r>
      <w:r w:rsidRPr="001448A7">
        <w:rPr>
          <w:lang w:val="fr-FR"/>
        </w:rPr>
        <w:t>inscrire le sujet de l</w:t>
      </w:r>
      <w:r w:rsidR="004C5E26">
        <w:rPr>
          <w:lang w:val="fr-FR"/>
        </w:rPr>
        <w:t>’</w:t>
      </w:r>
      <w:r w:rsidRPr="001448A7">
        <w:rPr>
          <w:lang w:val="fr-FR"/>
        </w:rPr>
        <w:t>indemnisation au programme de travail de la Commission. Premièrement, la Commission pourrait procéder à un examen qui aurait une portée générale tout en étant suffisamment détaillé sur le fond pour rendre compte de l</w:t>
      </w:r>
      <w:r w:rsidR="004C5E26">
        <w:rPr>
          <w:lang w:val="fr-FR"/>
        </w:rPr>
        <w:t>’</w:t>
      </w:r>
      <w:r w:rsidRPr="001448A7">
        <w:rPr>
          <w:lang w:val="fr-FR"/>
        </w:rPr>
        <w:t>importance de la question en droit de la responsabilité</w:t>
      </w:r>
      <w:r w:rsidRPr="00E9227E">
        <w:rPr>
          <w:rStyle w:val="Appelnotedebasdep"/>
        </w:rPr>
        <w:footnoteReference w:id="343"/>
      </w:r>
      <w:r w:rsidRPr="001448A7">
        <w:rPr>
          <w:lang w:val="fr-FR"/>
        </w:rPr>
        <w:t>. Elle s</w:t>
      </w:r>
      <w:r w:rsidR="004C5E26">
        <w:rPr>
          <w:lang w:val="fr-FR"/>
        </w:rPr>
        <w:t>’</w:t>
      </w:r>
      <w:r w:rsidRPr="001448A7">
        <w:rPr>
          <w:lang w:val="fr-FR"/>
        </w:rPr>
        <w:t>inspirerait de ses travaux sur la responsabilité de l</w:t>
      </w:r>
      <w:r w:rsidR="004C5E26">
        <w:rPr>
          <w:lang w:val="fr-FR"/>
        </w:rPr>
        <w:t>’</w:t>
      </w:r>
      <w:r w:rsidRPr="001448A7">
        <w:rPr>
          <w:lang w:val="fr-FR"/>
        </w:rPr>
        <w:t>État en particulier</w:t>
      </w:r>
      <w:r w:rsidRPr="00E9227E">
        <w:rPr>
          <w:rStyle w:val="Appelnotedebasdep"/>
        </w:rPr>
        <w:footnoteReference w:id="344"/>
      </w:r>
      <w:r w:rsidRPr="001448A7">
        <w:rPr>
          <w:lang w:val="fr-FR"/>
        </w:rPr>
        <w:t xml:space="preserve"> (dans lesquels il est question des règles secondaires d</w:t>
      </w:r>
      <w:r w:rsidR="004C5E26">
        <w:rPr>
          <w:lang w:val="fr-FR"/>
        </w:rPr>
        <w:t>’</w:t>
      </w:r>
      <w:r w:rsidRPr="001448A7">
        <w:rPr>
          <w:lang w:val="fr-FR"/>
        </w:rPr>
        <w:t>indemnisation applicables dans le cadre de la réparation d</w:t>
      </w:r>
      <w:r w:rsidR="004C5E26">
        <w:rPr>
          <w:lang w:val="fr-FR"/>
        </w:rPr>
        <w:t>’</w:t>
      </w:r>
      <w:r w:rsidRPr="001448A7">
        <w:rPr>
          <w:lang w:val="fr-FR"/>
        </w:rPr>
        <w:t>un préjudice causé par un fait internationalement illicite</w:t>
      </w:r>
      <w:r w:rsidRPr="00E9227E">
        <w:rPr>
          <w:rStyle w:val="Appelnotedebasdep"/>
        </w:rPr>
        <w:footnoteReference w:id="345"/>
      </w:r>
      <w:r w:rsidRPr="001448A7">
        <w:rPr>
          <w:lang w:val="fr-FR"/>
        </w:rPr>
        <w:t>), et approfondirait la question tout en resserrant davantage le champ de son examen que ce qui avait été possible dans ses travaux antérieurs sur la responsabilité, dont le champ était plus large</w:t>
      </w:r>
      <w:r w:rsidRPr="00E9227E">
        <w:rPr>
          <w:rStyle w:val="Appelnotedebasdep"/>
        </w:rPr>
        <w:footnoteReference w:id="346"/>
      </w:r>
      <w:r w:rsidRPr="001448A7">
        <w:rPr>
          <w:lang w:val="fr-FR"/>
        </w:rPr>
        <w:t>. Un exemple analogue dans les travaux antérieurs de la Commission, qui montre qu</w:t>
      </w:r>
      <w:r w:rsidR="004C5E26">
        <w:rPr>
          <w:lang w:val="fr-FR"/>
        </w:rPr>
        <w:t>’</w:t>
      </w:r>
      <w:r w:rsidRPr="001448A7">
        <w:rPr>
          <w:lang w:val="fr-FR"/>
        </w:rPr>
        <w:t>elle a déjà apporté des précisions juridiques à des règles acceptées en matière de responsabilité, est le projet d</w:t>
      </w:r>
      <w:r w:rsidR="004C5E26">
        <w:rPr>
          <w:lang w:val="fr-FR"/>
        </w:rPr>
        <w:t>’</w:t>
      </w:r>
      <w:r w:rsidRPr="001448A7">
        <w:rPr>
          <w:lang w:val="fr-FR"/>
        </w:rPr>
        <w:t>articles de 2006 sur la protection diplomatique, qui visait également à « donne[r] corps à [une] disposition »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347"/>
      </w:r>
      <w:r w:rsidRPr="001448A7">
        <w:rPr>
          <w:lang w:val="fr-FR"/>
        </w:rPr>
        <w:t>. Deuxièmement, la Commission examinerait ce sujet dans une perspective pratique, en exploitant les décisions de juridictions internationales concernant l</w:t>
      </w:r>
      <w:r w:rsidR="004C5E26">
        <w:rPr>
          <w:lang w:val="fr-FR"/>
        </w:rPr>
        <w:t>’</w:t>
      </w:r>
      <w:r w:rsidRPr="001448A7">
        <w:rPr>
          <w:lang w:val="fr-FR"/>
        </w:rPr>
        <w:t>indemnisation qui se sont multipliées et diversifiées depuis l</w:t>
      </w:r>
      <w:r w:rsidR="004C5E26">
        <w:rPr>
          <w:lang w:val="fr-FR"/>
        </w:rPr>
        <w:t>’</w:t>
      </w:r>
      <w:r w:rsidRPr="001448A7">
        <w:rPr>
          <w:lang w:val="fr-FR"/>
        </w:rPr>
        <w:t>adoption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comme cela a été mentionné au paragraphe précédent, et fournissent de nouveaux éléments rendant le sujet concret et suffisamment facile à traiter du point de vue de la codification et du développement progressif</w:t>
      </w:r>
      <w:r w:rsidRPr="00E9227E">
        <w:rPr>
          <w:rStyle w:val="Appelnotedebasdep"/>
        </w:rPr>
        <w:footnoteReference w:id="348"/>
      </w:r>
      <w:r w:rsidRPr="001448A7">
        <w:rPr>
          <w:lang w:val="fr-FR"/>
        </w:rPr>
        <w:t>. Dans tous les cas, la proposition s</w:t>
      </w:r>
      <w:r w:rsidR="004C5E26">
        <w:rPr>
          <w:lang w:val="fr-FR"/>
        </w:rPr>
        <w:t>’</w:t>
      </w:r>
      <w:r w:rsidRPr="001448A7">
        <w:rPr>
          <w:lang w:val="fr-FR"/>
        </w:rPr>
        <w:t>appuie sur la position exprimée dans le document de travail de 2016, qui n</w:t>
      </w:r>
      <w:r w:rsidR="004C5E26">
        <w:rPr>
          <w:lang w:val="fr-FR"/>
        </w:rPr>
        <w:t>’</w:t>
      </w:r>
      <w:r w:rsidRPr="001448A7">
        <w:rPr>
          <w:lang w:val="fr-FR"/>
        </w:rPr>
        <w:t>a fait que gagner en pertinence au cours des huit dernières années</w:t>
      </w:r>
      <w:r w:rsidRPr="00E9227E">
        <w:rPr>
          <w:rStyle w:val="Appelnotedebasdep"/>
        </w:rPr>
        <w:footnoteReference w:id="349"/>
      </w:r>
      <w:r w:rsidRPr="001448A7">
        <w:rPr>
          <w:lang w:val="fr-FR"/>
        </w:rPr>
        <w:t>.</w:t>
      </w:r>
    </w:p>
    <w:p w14:paraId="38AADD3B" w14:textId="27067BCD"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6.</w:t>
      </w:r>
      <w:r w:rsidRPr="001448A7">
        <w:rPr>
          <w:rFonts w:asciiTheme="majorBidi" w:hAnsiTheme="majorBidi" w:cstheme="majorBidi"/>
          <w:bCs/>
        </w:rPr>
        <w:tab/>
      </w:r>
      <w:r w:rsidRPr="001448A7">
        <w:rPr>
          <w:lang w:val="fr-FR"/>
        </w:rPr>
        <w:t>Les sections suivantes portent sur le champ d</w:t>
      </w:r>
      <w:r w:rsidR="004C5E26">
        <w:rPr>
          <w:lang w:val="fr-FR"/>
        </w:rPr>
        <w:t>’</w:t>
      </w:r>
      <w:r w:rsidRPr="001448A7">
        <w:rPr>
          <w:lang w:val="fr-FR"/>
        </w:rPr>
        <w:t>application du sujet proposé et les questions à traiter (sect. I), la conformité du sujet aux critères de sélection des nouveaux sujets (sect. II), les travaux antérieurs de la Commission sur le sujet proposé (sect.</w:t>
      </w:r>
      <w:r w:rsidRPr="001448A7">
        <w:t> </w:t>
      </w:r>
      <w:r w:rsidRPr="001448A7">
        <w:rPr>
          <w:lang w:val="fr-FR"/>
        </w:rPr>
        <w:t xml:space="preserve">III) et la forme que pourrait prendre le résultat des travaux de la Commission (sect. IV). On trouvera également une bibliographie sélective. </w:t>
      </w:r>
    </w:p>
    <w:p w14:paraId="0DF5ED64" w14:textId="2236BA7B" w:rsidR="005D2955" w:rsidRPr="001448A7" w:rsidRDefault="005D2955" w:rsidP="005D2955">
      <w:pPr>
        <w:pStyle w:val="HChG"/>
        <w:rPr>
          <w:lang w:val="fr-FR"/>
        </w:rPr>
      </w:pPr>
      <w:r w:rsidRPr="001448A7">
        <w:rPr>
          <w:lang w:val="fr-FR"/>
        </w:rPr>
        <w:tab/>
        <w:t>I.</w:t>
      </w:r>
      <w:r w:rsidRPr="001448A7">
        <w:rPr>
          <w:lang w:val="fr-FR"/>
        </w:rPr>
        <w:tab/>
        <w:t>Champ d</w:t>
      </w:r>
      <w:r w:rsidR="004C5E26">
        <w:rPr>
          <w:lang w:val="fr-FR"/>
        </w:rPr>
        <w:t>’</w:t>
      </w:r>
      <w:r w:rsidRPr="001448A7">
        <w:rPr>
          <w:lang w:val="fr-FR"/>
        </w:rPr>
        <w:t>application du sujet proposé et questions à traiter</w:t>
      </w:r>
    </w:p>
    <w:p w14:paraId="2EA0C2D0" w14:textId="1321DDB3" w:rsidR="005D2955" w:rsidRPr="001448A7" w:rsidRDefault="005D2955" w:rsidP="005D2955">
      <w:pPr>
        <w:pStyle w:val="SingleTxtG"/>
        <w:tabs>
          <w:tab w:val="clear" w:pos="2268"/>
        </w:tabs>
        <w:rPr>
          <w:rFonts w:ascii="Times" w:hAnsi="Times" w:cstheme="majorBidi"/>
        </w:rPr>
      </w:pPr>
      <w:r w:rsidRPr="001448A7">
        <w:rPr>
          <w:rFonts w:ascii="Times" w:hAnsi="Times" w:cstheme="majorBidi"/>
          <w:bCs/>
        </w:rPr>
        <w:t>7.</w:t>
      </w:r>
      <w:r w:rsidRPr="001448A7">
        <w:rPr>
          <w:rFonts w:ascii="Times" w:hAnsi="Times" w:cstheme="majorBidi"/>
          <w:bCs/>
        </w:rPr>
        <w:tab/>
      </w:r>
      <w:r w:rsidRPr="001448A7">
        <w:rPr>
          <w:lang w:val="fr-FR"/>
        </w:rPr>
        <w:t>Le sujet s</w:t>
      </w:r>
      <w:r w:rsidR="004C5E26">
        <w:rPr>
          <w:lang w:val="fr-FR"/>
        </w:rPr>
        <w:t>’</w:t>
      </w:r>
      <w:r w:rsidRPr="001448A7">
        <w:rPr>
          <w:lang w:val="fr-FR"/>
        </w:rPr>
        <w:t>inscrirait résolument dans le cadre des travaux de la Commission sur la responsabilité et respecterait son cadre conceptuel et ses distinctions analytiques, en particulier à deux égards. Premièrement, on tiendra pour acquise la distinction générale entre règles primaires et règles secondaires et, en particulier, entre, d</w:t>
      </w:r>
      <w:r w:rsidR="004C5E26">
        <w:rPr>
          <w:lang w:val="fr-FR"/>
        </w:rPr>
        <w:t>’</w:t>
      </w:r>
      <w:r w:rsidRPr="001448A7">
        <w:rPr>
          <w:lang w:val="fr-FR"/>
        </w:rPr>
        <w:t>une part, l</w:t>
      </w:r>
      <w:r w:rsidR="004C5E26">
        <w:rPr>
          <w:lang w:val="fr-FR"/>
        </w:rPr>
        <w:t>’</w:t>
      </w:r>
      <w:r w:rsidRPr="001448A7">
        <w:rPr>
          <w:lang w:val="fr-FR"/>
        </w:rPr>
        <w:t>obligation d</w:t>
      </w:r>
      <w:r w:rsidR="004C5E26">
        <w:rPr>
          <w:lang w:val="fr-FR"/>
        </w:rPr>
        <w:t>’</w:t>
      </w:r>
      <w:r w:rsidRPr="001448A7">
        <w:rPr>
          <w:lang w:val="fr-FR"/>
        </w:rPr>
        <w:t>indemnisation pour un comportement qui est internationalement illicite et, d</w:t>
      </w:r>
      <w:r w:rsidR="004C5E26">
        <w:rPr>
          <w:lang w:val="fr-FR"/>
        </w:rPr>
        <w:t>’</w:t>
      </w:r>
      <w:r w:rsidRPr="001448A7">
        <w:rPr>
          <w:lang w:val="fr-FR"/>
        </w:rPr>
        <w:t>autre part, l</w:t>
      </w:r>
      <w:r w:rsidR="004C5E26">
        <w:rPr>
          <w:lang w:val="fr-FR"/>
        </w:rPr>
        <w:t>’</w:t>
      </w:r>
      <w:r w:rsidRPr="001448A7">
        <w:rPr>
          <w:lang w:val="fr-FR"/>
        </w:rPr>
        <w:t>obligation qu</w:t>
      </w:r>
      <w:r w:rsidR="004C5E26">
        <w:rPr>
          <w:lang w:val="fr-FR"/>
        </w:rPr>
        <w:t>’</w:t>
      </w:r>
      <w:r w:rsidRPr="001448A7">
        <w:rPr>
          <w:lang w:val="fr-FR"/>
        </w:rPr>
        <w:t>ont les États de réparer les conséquences préjudiciables d</w:t>
      </w:r>
      <w:r w:rsidR="004C5E26">
        <w:rPr>
          <w:lang w:val="fr-FR"/>
        </w:rPr>
        <w:t>’</w:t>
      </w:r>
      <w:r w:rsidRPr="001448A7">
        <w:rPr>
          <w:lang w:val="fr-FR"/>
        </w:rPr>
        <w:t xml:space="preserve">un comportement </w:t>
      </w:r>
      <w:r w:rsidRPr="001448A7">
        <w:rPr>
          <w:lang w:val="fr-FR"/>
        </w:rPr>
        <w:lastRenderedPageBreak/>
        <w:t>que le droit international n</w:t>
      </w:r>
      <w:r w:rsidR="004C5E26">
        <w:rPr>
          <w:lang w:val="fr-FR"/>
        </w:rPr>
        <w:t>’</w:t>
      </w:r>
      <w:r w:rsidRPr="001448A7">
        <w:rPr>
          <w:lang w:val="fr-FR"/>
        </w:rPr>
        <w:t>interdit pas (« </w:t>
      </w:r>
      <w:proofErr w:type="spellStart"/>
      <w:r w:rsidRPr="001448A7">
        <w:rPr>
          <w:i/>
          <w:iCs/>
          <w:lang w:val="fr-FR"/>
        </w:rPr>
        <w:t>liability</w:t>
      </w:r>
      <w:proofErr w:type="spellEnd"/>
      <w:r w:rsidR="002243AC">
        <w:rPr>
          <w:lang w:val="fr-FR"/>
        </w:rPr>
        <w:t> </w:t>
      </w:r>
      <w:r w:rsidRPr="001448A7">
        <w:rPr>
          <w:lang w:val="fr-FR"/>
        </w:rPr>
        <w:t>»)</w:t>
      </w:r>
      <w:bookmarkStart w:id="250" w:name="_Ref172537446"/>
      <w:r w:rsidRPr="00E9227E">
        <w:rPr>
          <w:rStyle w:val="Appelnotedebasdep"/>
        </w:rPr>
        <w:footnoteReference w:id="350"/>
      </w:r>
      <w:bookmarkEnd w:id="250"/>
      <w:r w:rsidRPr="001448A7">
        <w:rPr>
          <w:lang w:val="fr-FR"/>
        </w:rPr>
        <w:t>. Deuxièmement, on partira du principe que les relations juridiques nouvelles qui résultent de la commission par un État d</w:t>
      </w:r>
      <w:r w:rsidR="004C5E26">
        <w:rPr>
          <w:lang w:val="fr-FR"/>
        </w:rPr>
        <w:t>’</w:t>
      </w:r>
      <w:r w:rsidRPr="001448A7">
        <w:rPr>
          <w:lang w:val="fr-FR"/>
        </w:rPr>
        <w:t>un fait internationalement illicite, notamment en ce qui concerne la réparation des éventuels préjudices, ont un caractère général et ne varient pas en fonction de la nature de la règle primaire sous-jacente concernée (en l</w:t>
      </w:r>
      <w:r w:rsidR="004C5E26">
        <w:rPr>
          <w:lang w:val="fr-FR"/>
        </w:rPr>
        <w:t>’</w:t>
      </w:r>
      <w:r w:rsidRPr="001448A7">
        <w:rPr>
          <w:lang w:val="fr-FR"/>
        </w:rPr>
        <w:t xml:space="preserve">absence de </w:t>
      </w:r>
      <w:proofErr w:type="spellStart"/>
      <w:r w:rsidRPr="001448A7">
        <w:rPr>
          <w:i/>
          <w:iCs/>
          <w:lang w:val="fr-FR"/>
        </w:rPr>
        <w:t>lex</w:t>
      </w:r>
      <w:proofErr w:type="spellEnd"/>
      <w:r w:rsidRPr="001448A7">
        <w:rPr>
          <w:i/>
          <w:iCs/>
          <w:lang w:val="fr-FR"/>
        </w:rPr>
        <w:t xml:space="preserve"> </w:t>
      </w:r>
      <w:proofErr w:type="spellStart"/>
      <w:r w:rsidRPr="001448A7">
        <w:rPr>
          <w:i/>
          <w:iCs/>
          <w:lang w:val="fr-FR"/>
        </w:rPr>
        <w:t>specialis</w:t>
      </w:r>
      <w:proofErr w:type="spellEnd"/>
      <w:r w:rsidRPr="001448A7">
        <w:rPr>
          <w:lang w:val="fr-FR"/>
        </w:rPr>
        <w:t>)</w:t>
      </w:r>
      <w:r w:rsidRPr="00E9227E">
        <w:rPr>
          <w:rStyle w:val="Appelnotedebasdep"/>
        </w:rPr>
        <w:footnoteReference w:id="351"/>
      </w:r>
      <w:r w:rsidRPr="001448A7">
        <w:rPr>
          <w:lang w:val="fr-FR"/>
        </w:rPr>
        <w:t xml:space="preserve">. </w:t>
      </w:r>
      <w:bookmarkStart w:id="251" w:name="_Ref169706230"/>
      <w:bookmarkEnd w:id="251"/>
    </w:p>
    <w:p w14:paraId="685E62DA" w14:textId="66A0D390"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8.</w:t>
      </w:r>
      <w:r w:rsidRPr="001448A7">
        <w:rPr>
          <w:rFonts w:asciiTheme="majorBidi" w:hAnsiTheme="majorBidi" w:cstheme="majorBidi"/>
          <w:bCs/>
        </w:rPr>
        <w:tab/>
      </w:r>
      <w:r w:rsidRPr="001448A7">
        <w:rPr>
          <w:lang w:val="fr-FR"/>
        </w:rPr>
        <w:t>Cette section traite, tour à tour, de l</w:t>
      </w:r>
      <w:r w:rsidR="004C5E26">
        <w:rPr>
          <w:lang w:val="fr-FR"/>
        </w:rPr>
        <w:t>’</w:t>
      </w:r>
      <w:r w:rsidRPr="001448A7">
        <w:rPr>
          <w:lang w:val="fr-FR"/>
        </w:rPr>
        <w:t>intitulé du sujet proposé, du champ d</w:t>
      </w:r>
      <w:r w:rsidR="004C5E26">
        <w:rPr>
          <w:lang w:val="fr-FR"/>
        </w:rPr>
        <w:t>’</w:t>
      </w:r>
      <w:r w:rsidRPr="001448A7">
        <w:rPr>
          <w:lang w:val="fr-FR"/>
        </w:rPr>
        <w:t>application de ce dernier et de la détermination et de l</w:t>
      </w:r>
      <w:r w:rsidR="004C5E26">
        <w:rPr>
          <w:lang w:val="fr-FR"/>
        </w:rPr>
        <w:t>’</w:t>
      </w:r>
      <w:r w:rsidRPr="001448A7">
        <w:rPr>
          <w:lang w:val="fr-FR"/>
        </w:rPr>
        <w:t>application des règles du droit international relatives à l</w:t>
      </w:r>
      <w:r w:rsidR="004C5E26">
        <w:rPr>
          <w:lang w:val="fr-FR"/>
        </w:rPr>
        <w:t>’</w:t>
      </w:r>
      <w:r w:rsidRPr="001448A7">
        <w:rPr>
          <w:lang w:val="fr-FR"/>
        </w:rPr>
        <w:t>indemnisation. Pour la distinction entre détermination et application, on reprend l</w:t>
      </w:r>
      <w:r w:rsidR="004C5E26">
        <w:rPr>
          <w:lang w:val="fr-FR"/>
        </w:rPr>
        <w:t>’</w:t>
      </w:r>
      <w:r w:rsidRPr="001448A7">
        <w:rPr>
          <w:lang w:val="fr-FR"/>
        </w:rPr>
        <w:t>approche suivie par la Cour internationale de Justice dans ses arrêts récents sur l</w:t>
      </w:r>
      <w:r w:rsidR="004C5E26">
        <w:rPr>
          <w:lang w:val="fr-FR"/>
        </w:rPr>
        <w:t>’</w:t>
      </w:r>
      <w:r w:rsidRPr="001448A7">
        <w:rPr>
          <w:lang w:val="fr-FR"/>
        </w:rPr>
        <w:t>indemnisation, dans lesquels elle formule la question de droit qui lui est soumise au regard des principes généraux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ou compte tenu de celui-ci</w:t>
      </w:r>
      <w:r w:rsidRPr="00E9227E">
        <w:rPr>
          <w:rStyle w:val="Appelnotedebasdep"/>
        </w:rPr>
        <w:footnoteReference w:id="352"/>
      </w:r>
      <w:r w:rsidRPr="001448A7">
        <w:rPr>
          <w:lang w:val="fr-FR"/>
        </w:rPr>
        <w:t>, et y répond en se référant à diverses affaires de la jurisprudence qui fournissent les meilleurs exemples dans le domaine concerné du droit international</w:t>
      </w:r>
      <w:r w:rsidRPr="00E9227E">
        <w:rPr>
          <w:rStyle w:val="Appelnotedebasdep"/>
        </w:rPr>
        <w:footnoteReference w:id="353"/>
      </w:r>
      <w:r w:rsidRPr="001448A7">
        <w:rPr>
          <w:lang w:val="fr-FR"/>
        </w:rPr>
        <w:t>.</w:t>
      </w:r>
    </w:p>
    <w:p w14:paraId="0803355E" w14:textId="77777777" w:rsidR="005D2955" w:rsidRPr="001448A7" w:rsidRDefault="005D2955" w:rsidP="005D2955">
      <w:pPr>
        <w:pStyle w:val="H1G"/>
      </w:pPr>
      <w:r w:rsidRPr="001448A7">
        <w:rPr>
          <w:lang w:val="fr-FR"/>
        </w:rPr>
        <w:tab/>
        <w:t>A.</w:t>
      </w:r>
      <w:r w:rsidRPr="001448A7">
        <w:rPr>
          <w:lang w:val="fr-FR"/>
        </w:rPr>
        <w:tab/>
        <w:t xml:space="preserve">Intitulé du sujet proposé </w:t>
      </w:r>
    </w:p>
    <w:p w14:paraId="7E230766" w14:textId="30272559"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9.</w:t>
      </w:r>
      <w:r w:rsidRPr="001448A7">
        <w:rPr>
          <w:rFonts w:asciiTheme="majorBidi" w:hAnsiTheme="majorBidi" w:cstheme="majorBidi"/>
          <w:bCs/>
        </w:rPr>
        <w:tab/>
      </w:r>
      <w:r w:rsidRPr="001448A7">
        <w:rPr>
          <w:lang w:val="fr-FR"/>
        </w:rPr>
        <w:t>L</w:t>
      </w:r>
      <w:r w:rsidR="004C5E26">
        <w:rPr>
          <w:lang w:val="fr-FR"/>
        </w:rPr>
        <w:t>’</w:t>
      </w:r>
      <w:r w:rsidRPr="001448A7">
        <w:rPr>
          <w:lang w:val="fr-FR"/>
        </w:rPr>
        <w:t>intitulé du sujet proposé est « Indemnisation des dommages causés par un fait internationalement illicite ». Il est inspiré de l</w:t>
      </w:r>
      <w:r w:rsidR="004C5E26">
        <w:rPr>
          <w:lang w:val="fr-FR"/>
        </w:rPr>
        <w:t>’</w:t>
      </w:r>
      <w:r w:rsidRPr="001448A7">
        <w:rPr>
          <w:lang w:val="fr-FR"/>
        </w:rPr>
        <w:t>intitulé proposé dans le document de travail de 2016 (« Indemnisation en droit international »)</w:t>
      </w:r>
      <w:r w:rsidRPr="00E9227E">
        <w:rPr>
          <w:rStyle w:val="Appelnotedebasdep"/>
        </w:rPr>
        <w:footnoteReference w:id="354"/>
      </w:r>
      <w:r w:rsidRPr="001448A7">
        <w:rPr>
          <w:lang w:val="fr-FR"/>
        </w:rPr>
        <w:t>, modifié eu égard au paragraphe 1 de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 L</w:t>
      </w:r>
      <w:r w:rsidR="004C5E26">
        <w:rPr>
          <w:lang w:val="fr-FR"/>
        </w:rPr>
        <w:t>’</w:t>
      </w:r>
      <w:r w:rsidRPr="001448A7">
        <w:rPr>
          <w:lang w:val="fr-FR"/>
        </w:rPr>
        <w:t>État responsable du fait internationalement illicite est tenu d</w:t>
      </w:r>
      <w:r w:rsidR="004C5E26">
        <w:rPr>
          <w:lang w:val="fr-FR"/>
        </w:rPr>
        <w:t>’</w:t>
      </w:r>
      <w:r w:rsidRPr="001448A7">
        <w:rPr>
          <w:lang w:val="fr-FR"/>
        </w:rPr>
        <w:t>indemniser le dommage causé par ce fait »)</w:t>
      </w:r>
      <w:r w:rsidRPr="00E9227E">
        <w:rPr>
          <w:rStyle w:val="Appelnotedebasdep"/>
        </w:rPr>
        <w:footnoteReference w:id="355"/>
      </w:r>
      <w:r w:rsidRPr="001448A7">
        <w:rPr>
          <w:lang w:val="fr-FR"/>
        </w:rPr>
        <w:t>. Il inscrit le sujet dans le cadre conceptuel des travaux antérieurs de la Commission sur la responsabilité internationale, en renvoyant clairement aux questions traitées par l</w:t>
      </w:r>
      <w:r w:rsidR="004C5E26">
        <w:rPr>
          <w:lang w:val="fr-FR"/>
        </w:rPr>
        <w:t>’</w:t>
      </w:r>
      <w:r w:rsidRPr="001448A7">
        <w:rPr>
          <w:lang w:val="fr-FR"/>
        </w:rPr>
        <w:t>article 36. Il met l</w:t>
      </w:r>
      <w:r w:rsidR="004C5E26">
        <w:rPr>
          <w:lang w:val="fr-FR"/>
        </w:rPr>
        <w:t>’</w:t>
      </w:r>
      <w:r w:rsidRPr="001448A7">
        <w:rPr>
          <w:lang w:val="fr-FR"/>
        </w:rPr>
        <w:t>accent sur le fait illicite et non sur le type d</w:t>
      </w:r>
      <w:r w:rsidR="004C5E26">
        <w:rPr>
          <w:lang w:val="fr-FR"/>
        </w:rPr>
        <w:t>’</w:t>
      </w:r>
      <w:r w:rsidRPr="001448A7">
        <w:rPr>
          <w:lang w:val="fr-FR"/>
        </w:rPr>
        <w:t>entité qui en est responsable, de manière à inclure tant la responsabilité des États que celles des organisations internationales</w:t>
      </w:r>
      <w:r w:rsidRPr="00E9227E">
        <w:rPr>
          <w:rStyle w:val="Appelnotedebasdep"/>
        </w:rPr>
        <w:footnoteReference w:id="356"/>
      </w:r>
      <w:r w:rsidRPr="001448A7">
        <w:rPr>
          <w:lang w:val="fr-FR"/>
        </w:rPr>
        <w:t>. De cette façon, il montre aussi que l</w:t>
      </w:r>
      <w:r w:rsidR="004C5E26">
        <w:rPr>
          <w:lang w:val="fr-FR"/>
        </w:rPr>
        <w:t>’</w:t>
      </w:r>
      <w:r w:rsidRPr="001448A7">
        <w:rPr>
          <w:lang w:val="fr-FR"/>
        </w:rPr>
        <w:t>indemnisation due au titre des règles primaires en l</w:t>
      </w:r>
      <w:r w:rsidR="004C5E26">
        <w:rPr>
          <w:lang w:val="fr-FR"/>
        </w:rPr>
        <w:t>’</w:t>
      </w:r>
      <w:r w:rsidRPr="001448A7">
        <w:rPr>
          <w:lang w:val="fr-FR"/>
        </w:rPr>
        <w:t>absence de fait internationalement illicite (« </w:t>
      </w:r>
      <w:proofErr w:type="spellStart"/>
      <w:r w:rsidRPr="001448A7">
        <w:rPr>
          <w:i/>
          <w:iCs/>
          <w:lang w:val="fr-FR"/>
        </w:rPr>
        <w:t>liability</w:t>
      </w:r>
      <w:proofErr w:type="spellEnd"/>
      <w:r w:rsidRPr="001448A7">
        <w:rPr>
          <w:lang w:val="fr-FR"/>
        </w:rPr>
        <w:t> ») est exclue du champ d</w:t>
      </w:r>
      <w:r w:rsidR="004C5E26">
        <w:rPr>
          <w:lang w:val="fr-FR"/>
        </w:rPr>
        <w:t>’</w:t>
      </w:r>
      <w:r w:rsidRPr="001448A7">
        <w:rPr>
          <w:lang w:val="fr-FR"/>
        </w:rPr>
        <w:t>application du sujet</w:t>
      </w:r>
      <w:r w:rsidRPr="00E9227E">
        <w:rPr>
          <w:rStyle w:val="Appelnotedebasdep"/>
        </w:rPr>
        <w:footnoteReference w:id="357"/>
      </w:r>
      <w:r w:rsidRPr="001448A7">
        <w:rPr>
          <w:lang w:val="fr-FR"/>
        </w:rPr>
        <w:t>.</w:t>
      </w:r>
    </w:p>
    <w:p w14:paraId="20DFD35C" w14:textId="24EC7BDE" w:rsidR="005D2955" w:rsidRPr="001448A7" w:rsidRDefault="005D2955" w:rsidP="005D2955">
      <w:pPr>
        <w:pStyle w:val="H1G"/>
      </w:pPr>
      <w:r w:rsidRPr="001448A7">
        <w:rPr>
          <w:lang w:val="fr-FR"/>
        </w:rPr>
        <w:lastRenderedPageBreak/>
        <w:tab/>
        <w:t>B.</w:t>
      </w:r>
      <w:r w:rsidRPr="001448A7">
        <w:rPr>
          <w:lang w:val="fr-FR"/>
        </w:rPr>
        <w:tab/>
      </w:r>
      <w:r w:rsidRPr="00222253">
        <w:rPr>
          <w:lang w:val="fr-FR"/>
        </w:rPr>
        <w:t>Champ d</w:t>
      </w:r>
      <w:r w:rsidR="004C5E26">
        <w:rPr>
          <w:lang w:val="fr-FR"/>
        </w:rPr>
        <w:t>’</w:t>
      </w:r>
      <w:r w:rsidRPr="00222253">
        <w:rPr>
          <w:lang w:val="fr-FR"/>
        </w:rPr>
        <w:t>application du sujet</w:t>
      </w:r>
      <w:r w:rsidRPr="001448A7">
        <w:rPr>
          <w:lang w:val="fr-FR"/>
        </w:rPr>
        <w:t xml:space="preserve"> proposé</w:t>
      </w:r>
    </w:p>
    <w:p w14:paraId="45BC3B46" w14:textId="25DF5FB4"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10.</w:t>
      </w:r>
      <w:r w:rsidRPr="001448A7">
        <w:rPr>
          <w:rFonts w:asciiTheme="majorBidi" w:hAnsiTheme="majorBidi" w:cstheme="majorBidi"/>
          <w:bCs/>
        </w:rPr>
        <w:tab/>
      </w:r>
      <w:r w:rsidRPr="001448A7">
        <w:rPr>
          <w:lang w:val="fr-FR"/>
        </w:rPr>
        <w:t>Si le sujet se concentre principalement sur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il traite également d</w:t>
      </w:r>
      <w:r w:rsidR="004C5E26">
        <w:rPr>
          <w:lang w:val="fr-FR"/>
        </w:rPr>
        <w:t>’</w:t>
      </w:r>
      <w:r w:rsidRPr="001448A7">
        <w:rPr>
          <w:lang w:val="fr-FR"/>
        </w:rPr>
        <w:t>autres questions qui se posent nécessairement dans le cadre de la détermination des règles relatives à l</w:t>
      </w:r>
      <w:r w:rsidR="004C5E26">
        <w:rPr>
          <w:lang w:val="fr-FR"/>
        </w:rPr>
        <w:t>’</w:t>
      </w:r>
      <w:r w:rsidRPr="001448A7">
        <w:rPr>
          <w:lang w:val="fr-FR"/>
        </w:rPr>
        <w:t>indemnisation et couramment dans le cadre de leur application dans la pratique. Il porte sur l</w:t>
      </w:r>
      <w:r w:rsidR="004C5E26">
        <w:rPr>
          <w:lang w:val="fr-FR"/>
        </w:rPr>
        <w:t>’</w:t>
      </w:r>
      <w:r w:rsidRPr="001448A7">
        <w:rPr>
          <w:lang w:val="fr-FR"/>
        </w:rPr>
        <w:t>indemnisation due en raison de faits internationalement illicites, indépendamment de l</w:t>
      </w:r>
      <w:r w:rsidR="004C5E26">
        <w:rPr>
          <w:lang w:val="fr-FR"/>
        </w:rPr>
        <w:t>’</w:t>
      </w:r>
      <w:r w:rsidRPr="001448A7">
        <w:rPr>
          <w:lang w:val="fr-FR"/>
        </w:rPr>
        <w:t>origine et de la nature des règles primaires applicables</w:t>
      </w:r>
      <w:r w:rsidRPr="00E9227E">
        <w:rPr>
          <w:rStyle w:val="Appelnotedebasdep"/>
        </w:rPr>
        <w:footnoteReference w:id="358"/>
      </w:r>
      <w:r>
        <w:rPr>
          <w:lang w:val="fr-FR"/>
        </w:rPr>
        <w:t> </w:t>
      </w:r>
      <w:r w:rsidRPr="001448A7">
        <w:rPr>
          <w:lang w:val="fr-FR"/>
        </w:rPr>
        <w:t>; en ce sens, il se distingue des sujets qui portaient sur l</w:t>
      </w:r>
      <w:r w:rsidR="004C5E26">
        <w:rPr>
          <w:lang w:val="fr-FR"/>
        </w:rPr>
        <w:t>’</w:t>
      </w:r>
      <w:r w:rsidRPr="001448A7">
        <w:rPr>
          <w:lang w:val="fr-FR"/>
        </w:rPr>
        <w:t>indemnisation découlant de la violation de règles primaires particulières</w:t>
      </w:r>
      <w:bookmarkStart w:id="252" w:name="_Ref172538024"/>
      <w:r w:rsidRPr="00E9227E">
        <w:rPr>
          <w:rStyle w:val="Appelnotedebasdep"/>
        </w:rPr>
        <w:footnoteReference w:id="359"/>
      </w:r>
      <w:bookmarkEnd w:id="252"/>
      <w:r w:rsidRPr="001448A7">
        <w:rPr>
          <w:lang w:val="fr-FR"/>
        </w:rPr>
        <w:t>. En outre, il ne couvre que l</w:t>
      </w:r>
      <w:r w:rsidR="004C5E26">
        <w:rPr>
          <w:lang w:val="fr-FR"/>
        </w:rPr>
        <w:t>’</w:t>
      </w:r>
      <w:r w:rsidRPr="001448A7">
        <w:rPr>
          <w:lang w:val="fr-FR"/>
        </w:rPr>
        <w:t>indemnisation et est sans préjudice des autres conséquences d</w:t>
      </w:r>
      <w:r w:rsidR="004C5E26">
        <w:rPr>
          <w:lang w:val="fr-FR"/>
        </w:rPr>
        <w:t>’</w:t>
      </w:r>
      <w:r w:rsidRPr="001448A7">
        <w:rPr>
          <w:lang w:val="fr-FR"/>
        </w:rPr>
        <w:t>un fait internationalement illicite, telles que les autres formes de réparation (restitution et satisfaction), la cessation et les garanties de non-répétition</w:t>
      </w:r>
      <w:r w:rsidRPr="00E9227E">
        <w:rPr>
          <w:rStyle w:val="Appelnotedebasdep"/>
        </w:rPr>
        <w:footnoteReference w:id="360"/>
      </w:r>
      <w:r w:rsidRPr="001448A7">
        <w:rPr>
          <w:lang w:val="fr-FR"/>
        </w:rPr>
        <w:t>. Le sujet s</w:t>
      </w:r>
      <w:r w:rsidR="004C5E26">
        <w:rPr>
          <w:lang w:val="fr-FR"/>
        </w:rPr>
        <w:t>’</w:t>
      </w:r>
      <w:r w:rsidRPr="001448A7">
        <w:rPr>
          <w:lang w:val="fr-FR"/>
        </w:rPr>
        <w:t>inscrit pleinement dans le cadre des obligations coutumières et conventionnelles de réparation intégrale</w:t>
      </w:r>
      <w:r w:rsidRPr="00E9227E">
        <w:rPr>
          <w:rStyle w:val="Appelnotedebasdep"/>
        </w:rPr>
        <w:footnoteReference w:id="361"/>
      </w:r>
      <w:r w:rsidRPr="001448A7">
        <w:rPr>
          <w:lang w:val="fr-FR"/>
        </w:rPr>
        <w:t>, laquelle peut prendre différentes formes, dont l</w:t>
      </w:r>
      <w:r w:rsidR="004C5E26">
        <w:rPr>
          <w:lang w:val="fr-FR"/>
        </w:rPr>
        <w:t>’</w:t>
      </w:r>
      <w:r w:rsidRPr="001448A7">
        <w:rPr>
          <w:lang w:val="fr-FR"/>
        </w:rPr>
        <w:t>indemnisation</w:t>
      </w:r>
      <w:r w:rsidRPr="00E9227E">
        <w:rPr>
          <w:rStyle w:val="Appelnotedebasdep"/>
        </w:rPr>
        <w:footnoteReference w:id="362"/>
      </w:r>
      <w:r w:rsidRPr="001448A7">
        <w:rPr>
          <w:lang w:val="fr-FR"/>
        </w:rPr>
        <w:t>, et ne les remet pas en question. Le sujet ne porte pas sur les questions abordées dans la première partie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 Le fait internationalement illicite de l</w:t>
      </w:r>
      <w:r w:rsidR="004C5E26">
        <w:rPr>
          <w:lang w:val="fr-FR"/>
        </w:rPr>
        <w:t>’</w:t>
      </w:r>
      <w:r w:rsidRPr="001448A7">
        <w:rPr>
          <w:lang w:val="fr-FR"/>
        </w:rPr>
        <w:t>État »), telles que les obligations internationales en vigueur à l</w:t>
      </w:r>
      <w:r w:rsidR="004C5E26">
        <w:rPr>
          <w:lang w:val="fr-FR"/>
        </w:rPr>
        <w:t>’</w:t>
      </w:r>
      <w:r w:rsidRPr="001448A7">
        <w:rPr>
          <w:lang w:val="fr-FR"/>
        </w:rPr>
        <w:t>égard de l</w:t>
      </w:r>
      <w:r w:rsidR="004C5E26">
        <w:rPr>
          <w:lang w:val="fr-FR"/>
        </w:rPr>
        <w:t>’</w:t>
      </w:r>
      <w:r w:rsidRPr="001448A7">
        <w:rPr>
          <w:lang w:val="fr-FR"/>
        </w:rPr>
        <w:t>État ou l</w:t>
      </w:r>
      <w:r w:rsidR="004C5E26">
        <w:rPr>
          <w:lang w:val="fr-FR"/>
        </w:rPr>
        <w:t>’</w:t>
      </w:r>
      <w:r w:rsidRPr="001448A7">
        <w:rPr>
          <w:lang w:val="fr-FR"/>
        </w:rPr>
        <w:t>indemnisation de toute perte effective causée par le fait pour lequel une circonstance excluant l</w:t>
      </w:r>
      <w:r w:rsidR="004C5E26">
        <w:rPr>
          <w:lang w:val="fr-FR"/>
        </w:rPr>
        <w:t>’</w:t>
      </w:r>
      <w:r w:rsidRPr="001448A7">
        <w:rPr>
          <w:lang w:val="fr-FR"/>
        </w:rPr>
        <w:t>illicéité a été invoquée</w:t>
      </w:r>
      <w:r w:rsidRPr="00E9227E">
        <w:rPr>
          <w:rStyle w:val="Appelnotedebasdep"/>
        </w:rPr>
        <w:footnoteReference w:id="363"/>
      </w:r>
      <w:r w:rsidRPr="001448A7">
        <w:rPr>
          <w:lang w:val="fr-FR"/>
        </w:rPr>
        <w:t>. Il n</w:t>
      </w:r>
      <w:r w:rsidR="004C5E26">
        <w:rPr>
          <w:lang w:val="fr-FR"/>
        </w:rPr>
        <w:t>’</w:t>
      </w:r>
      <w:r w:rsidRPr="001448A7">
        <w:rPr>
          <w:lang w:val="fr-FR"/>
        </w:rPr>
        <w:t>aborde pas non plus les questions soulevées dans la troisième partie du projet d</w:t>
      </w:r>
      <w:r w:rsidR="004C5E26">
        <w:rPr>
          <w:lang w:val="fr-FR"/>
        </w:rPr>
        <w:t>’</w:t>
      </w:r>
      <w:r w:rsidRPr="001448A7">
        <w:rPr>
          <w:lang w:val="fr-FR"/>
        </w:rPr>
        <w:t>articles (« Mise en œuvre de la responsabilité internationale de l</w:t>
      </w:r>
      <w:r w:rsidR="004C5E26">
        <w:rPr>
          <w:lang w:val="fr-FR"/>
        </w:rPr>
        <w:t>’</w:t>
      </w:r>
      <w:r w:rsidRPr="001448A7">
        <w:rPr>
          <w:lang w:val="fr-FR"/>
        </w:rPr>
        <w:t>État »), telles que l</w:t>
      </w:r>
      <w:r w:rsidR="004C5E26">
        <w:rPr>
          <w:lang w:val="fr-FR"/>
        </w:rPr>
        <w:t>’</w:t>
      </w:r>
      <w:r w:rsidRPr="001448A7">
        <w:rPr>
          <w:lang w:val="fr-FR"/>
        </w:rPr>
        <w:t>invocation de la responsabilité de l</w:t>
      </w:r>
      <w:r w:rsidR="004C5E26">
        <w:rPr>
          <w:lang w:val="fr-FR"/>
        </w:rPr>
        <w:t>’</w:t>
      </w:r>
      <w:r w:rsidRPr="001448A7">
        <w:rPr>
          <w:lang w:val="fr-FR"/>
        </w:rPr>
        <w:t>État ou les contre</w:t>
      </w:r>
      <w:r w:rsidR="00222253">
        <w:rPr>
          <w:lang w:val="fr-FR"/>
        </w:rPr>
        <w:noBreakHyphen/>
      </w:r>
      <w:r w:rsidRPr="001448A7">
        <w:rPr>
          <w:lang w:val="fr-FR"/>
        </w:rPr>
        <w:t>mesures, ou, plus généralement, la mise en œuvre de la responsabilité</w:t>
      </w:r>
      <w:r w:rsidRPr="00E9227E">
        <w:rPr>
          <w:rStyle w:val="Appelnotedebasdep"/>
        </w:rPr>
        <w:footnoteReference w:id="364"/>
      </w:r>
      <w:r w:rsidRPr="001448A7">
        <w:rPr>
          <w:lang w:val="fr-FR"/>
        </w:rPr>
        <w:t>.</w:t>
      </w:r>
      <w:bookmarkStart w:id="253" w:name="_Ref169615449"/>
      <w:bookmarkEnd w:id="253"/>
    </w:p>
    <w:p w14:paraId="613AD7E0" w14:textId="1891C51D"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11.</w:t>
      </w:r>
      <w:r w:rsidRPr="001448A7">
        <w:rPr>
          <w:rFonts w:asciiTheme="majorBidi" w:hAnsiTheme="majorBidi" w:cstheme="majorBidi"/>
          <w:bCs/>
        </w:rPr>
        <w:tab/>
      </w:r>
      <w:r w:rsidRPr="001448A7">
        <w:rPr>
          <w:lang w:val="fr-FR"/>
        </w:rPr>
        <w:t>Le champ d</w:t>
      </w:r>
      <w:r w:rsidR="004C5E26">
        <w:rPr>
          <w:lang w:val="fr-FR"/>
        </w:rPr>
        <w:t>’</w:t>
      </w:r>
      <w:r w:rsidRPr="001448A7">
        <w:rPr>
          <w:lang w:val="fr-FR"/>
        </w:rPr>
        <w:t>application du sujet est circonscrit par deux éléments</w:t>
      </w:r>
      <w:r w:rsidR="00222253">
        <w:rPr>
          <w:lang w:val="fr-FR"/>
        </w:rPr>
        <w:t> </w:t>
      </w:r>
      <w:r w:rsidRPr="001448A7">
        <w:rPr>
          <w:lang w:val="fr-FR"/>
        </w:rPr>
        <w:t>: les entités qui ont le droit d</w:t>
      </w:r>
      <w:r w:rsidR="004C5E26">
        <w:rPr>
          <w:lang w:val="fr-FR"/>
        </w:rPr>
        <w:t>’</w:t>
      </w:r>
      <w:r w:rsidRPr="001448A7">
        <w:rPr>
          <w:lang w:val="fr-FR"/>
        </w:rPr>
        <w:t>être indemnisées et les entités qui sont tenues de fournir une indemnisation.</w:t>
      </w:r>
    </w:p>
    <w:p w14:paraId="29789859" w14:textId="698F8281"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lastRenderedPageBreak/>
        <w:t>12.</w:t>
      </w:r>
      <w:r w:rsidRPr="001448A7">
        <w:rPr>
          <w:rFonts w:asciiTheme="majorBidi" w:hAnsiTheme="majorBidi" w:cstheme="majorBidi"/>
          <w:bCs/>
        </w:rPr>
        <w:tab/>
      </w:r>
      <w:r w:rsidRPr="001448A7">
        <w:rPr>
          <w:lang w:val="fr-FR"/>
        </w:rPr>
        <w:t>Premièrement, le sujet traite de l</w:t>
      </w:r>
      <w:r w:rsidR="004C5E26">
        <w:rPr>
          <w:lang w:val="fr-FR"/>
        </w:rPr>
        <w:t>’</w:t>
      </w:r>
      <w:r w:rsidRPr="001448A7">
        <w:rPr>
          <w:lang w:val="fr-FR"/>
        </w:rPr>
        <w:t>indemnisation due dans le cadre interétatique</w:t>
      </w:r>
      <w:r w:rsidRPr="00E9227E">
        <w:rPr>
          <w:rStyle w:val="Appelnotedebasdep"/>
        </w:rPr>
        <w:footnoteReference w:id="365"/>
      </w:r>
      <w:r w:rsidRPr="001448A7">
        <w:rPr>
          <w:lang w:val="fr-FR"/>
        </w:rPr>
        <w:t xml:space="preserve"> ainsi que des situations où le droit à indemnisation naît directement au profit d</w:t>
      </w:r>
      <w:r w:rsidR="004C5E26">
        <w:rPr>
          <w:lang w:val="fr-FR"/>
        </w:rPr>
        <w:t>’</w:t>
      </w:r>
      <w:r w:rsidRPr="001448A7">
        <w:rPr>
          <w:lang w:val="fr-FR"/>
        </w:rPr>
        <w:t>une personne ou d</w:t>
      </w:r>
      <w:r w:rsidR="004C5E26">
        <w:rPr>
          <w:lang w:val="fr-FR"/>
        </w:rPr>
        <w:t>’</w:t>
      </w:r>
      <w:r w:rsidRPr="001448A7">
        <w:rPr>
          <w:lang w:val="fr-FR"/>
        </w:rPr>
        <w:t>une entité autre qu</w:t>
      </w:r>
      <w:r w:rsidR="004C5E26">
        <w:rPr>
          <w:lang w:val="fr-FR"/>
        </w:rPr>
        <w:t>’</w:t>
      </w:r>
      <w:r w:rsidRPr="001448A7">
        <w:rPr>
          <w:lang w:val="fr-FR"/>
        </w:rPr>
        <w:t>un État</w:t>
      </w:r>
      <w:r w:rsidRPr="00E9227E">
        <w:rPr>
          <w:rStyle w:val="Appelnotedebasdep"/>
        </w:rPr>
        <w:footnoteReference w:id="366"/>
      </w:r>
      <w:r w:rsidRPr="001448A7">
        <w:rPr>
          <w:lang w:val="fr-FR"/>
        </w:rPr>
        <w:t>. Cela découle du fait que, comme de coutume, il a été fait mention d</w:t>
      </w:r>
      <w:r w:rsidR="004C5E26">
        <w:rPr>
          <w:lang w:val="fr-FR"/>
        </w:rPr>
        <w:t>’</w:t>
      </w:r>
      <w:r w:rsidRPr="001448A7">
        <w:rPr>
          <w:lang w:val="fr-FR"/>
        </w:rPr>
        <w:t>éléments ne se limitant pas au cadre interétatique dans le commentaire de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367"/>
      </w:r>
      <w:r w:rsidRPr="001448A7">
        <w:rPr>
          <w:lang w:val="fr-FR"/>
        </w:rPr>
        <w:t xml:space="preserve"> et dans l</w:t>
      </w:r>
      <w:r w:rsidR="004C5E26">
        <w:rPr>
          <w:lang w:val="fr-FR"/>
        </w:rPr>
        <w:t>’</w:t>
      </w:r>
      <w:r w:rsidRPr="001448A7">
        <w:rPr>
          <w:lang w:val="fr-FR"/>
        </w:rPr>
        <w:t xml:space="preserve">arrêt </w:t>
      </w:r>
      <w:r w:rsidRPr="001448A7">
        <w:rPr>
          <w:i/>
          <w:iCs/>
          <w:lang w:val="fr-FR"/>
        </w:rPr>
        <w:t>Ahmadou Sadio Diallo</w:t>
      </w:r>
      <w:r w:rsidRPr="00E9227E">
        <w:rPr>
          <w:rStyle w:val="Appelnotedebasdep"/>
        </w:rPr>
        <w:footnoteReference w:id="368"/>
      </w:r>
      <w:r w:rsidRPr="001448A7">
        <w:rPr>
          <w:lang w:val="fr-FR"/>
        </w:rPr>
        <w:t>, ainsi que du fait que de nombreuses décisions récentes sur le sujet ont été rendues dans des affaires portées par des particuliers et d</w:t>
      </w:r>
      <w:r w:rsidR="004C5E26">
        <w:rPr>
          <w:lang w:val="fr-FR"/>
        </w:rPr>
        <w:t>’</w:t>
      </w:r>
      <w:r w:rsidRPr="001448A7">
        <w:rPr>
          <w:lang w:val="fr-FR"/>
        </w:rPr>
        <w:t>autres entités non étatiques devant des cours régionales des droits de l</w:t>
      </w:r>
      <w:r w:rsidR="004C5E26">
        <w:rPr>
          <w:lang w:val="fr-FR"/>
        </w:rPr>
        <w:t>’</w:t>
      </w:r>
      <w:r w:rsidRPr="001448A7">
        <w:rPr>
          <w:lang w:val="fr-FR"/>
        </w:rPr>
        <w:t>homme et des tribunaux arbitraux chargés de régler les différends entre investisseurs et États</w:t>
      </w:r>
      <w:r w:rsidRPr="00E9227E">
        <w:rPr>
          <w:rStyle w:val="Appelnotedebasdep"/>
        </w:rPr>
        <w:footnoteReference w:id="369"/>
      </w:r>
      <w:r w:rsidRPr="001448A7">
        <w:rPr>
          <w:lang w:val="fr-FR"/>
        </w:rPr>
        <w:t>.</w:t>
      </w:r>
    </w:p>
    <w:p w14:paraId="12795E5C" w14:textId="3643B276"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13.</w:t>
      </w:r>
      <w:r w:rsidRPr="001448A7">
        <w:rPr>
          <w:rFonts w:asciiTheme="majorBidi" w:hAnsiTheme="majorBidi" w:cstheme="majorBidi"/>
          <w:bCs/>
        </w:rPr>
        <w:tab/>
      </w:r>
      <w:r w:rsidRPr="001448A7">
        <w:rPr>
          <w:lang w:val="fr-FR"/>
        </w:rPr>
        <w:t>Deuxièmement, le sujet porte sur l</w:t>
      </w:r>
      <w:r w:rsidR="004C5E26">
        <w:rPr>
          <w:lang w:val="fr-FR"/>
        </w:rPr>
        <w:t>’</w:t>
      </w:r>
      <w:r w:rsidRPr="001448A7">
        <w:rPr>
          <w:lang w:val="fr-FR"/>
        </w:rPr>
        <w:t>indemnisation découlant du droit de la responsabilité des États et des organisations internationales</w:t>
      </w:r>
      <w:r w:rsidRPr="00E9227E">
        <w:rPr>
          <w:rStyle w:val="Appelnotedebasdep"/>
        </w:rPr>
        <w:footnoteReference w:id="370"/>
      </w:r>
      <w:r w:rsidRPr="001448A7">
        <w:rPr>
          <w:lang w:val="fr-FR"/>
        </w:rPr>
        <w:t>. Ce qui est logique, puisque les règles relatives à l</w:t>
      </w:r>
      <w:r w:rsidR="004C5E26">
        <w:rPr>
          <w:lang w:val="fr-FR"/>
        </w:rPr>
        <w:t>’</w:t>
      </w:r>
      <w:r w:rsidRPr="001448A7">
        <w:rPr>
          <w:lang w:val="fr-FR"/>
        </w:rPr>
        <w:t>indemnisation sont exprimées de façon identique dans le projet d</w:t>
      </w:r>
      <w:r w:rsidR="004C5E26">
        <w:rPr>
          <w:lang w:val="fr-FR"/>
        </w:rPr>
        <w:t>’</w:t>
      </w:r>
      <w:r w:rsidRPr="001448A7">
        <w:rPr>
          <w:lang w:val="fr-FR"/>
        </w:rPr>
        <w:t>articles de 2011 sur la responsabilité des organisations internationales</w:t>
      </w:r>
      <w:bookmarkStart w:id="254" w:name="_Ref172542789"/>
      <w:r w:rsidRPr="00E9227E">
        <w:rPr>
          <w:rStyle w:val="Appelnotedebasdep"/>
        </w:rPr>
        <w:footnoteReference w:id="371"/>
      </w:r>
      <w:bookmarkEnd w:id="254"/>
      <w:r w:rsidRPr="001448A7">
        <w:rPr>
          <w:lang w:val="fr-FR"/>
        </w:rPr>
        <w:t xml:space="preserve"> et que d</w:t>
      </w:r>
      <w:r w:rsidR="004C5E26">
        <w:rPr>
          <w:lang w:val="fr-FR"/>
        </w:rPr>
        <w:t>’</w:t>
      </w:r>
      <w:r w:rsidRPr="001448A7">
        <w:rPr>
          <w:lang w:val="fr-FR"/>
        </w:rPr>
        <w:t>autres éléments pertinents pourraient être tirés des travaux de la Commission sur le règlement des différends auxquels des organisations internationales sont parties</w:t>
      </w:r>
      <w:r w:rsidRPr="00E9227E">
        <w:rPr>
          <w:rStyle w:val="Appelnotedebasdep"/>
        </w:rPr>
        <w:footnoteReference w:id="372"/>
      </w:r>
      <w:r w:rsidRPr="001448A7">
        <w:rPr>
          <w:lang w:val="fr-FR"/>
        </w:rPr>
        <w:t xml:space="preserve">. Les travaux sur le sujet seraient axés sur les aspects du droit de la responsabilité des organisations internationales qui ne soulèvent pas de questions distinctes de celles que pose la </w:t>
      </w:r>
      <w:r w:rsidRPr="00690A7C">
        <w:rPr>
          <w:lang w:val="fr-FR"/>
        </w:rPr>
        <w:t>responsabilité des États et s</w:t>
      </w:r>
      <w:r w:rsidR="004C5E26">
        <w:rPr>
          <w:lang w:val="fr-FR"/>
        </w:rPr>
        <w:t>’</w:t>
      </w:r>
      <w:r w:rsidRPr="00690A7C">
        <w:rPr>
          <w:lang w:val="fr-FR"/>
        </w:rPr>
        <w:t>appuierai</w:t>
      </w:r>
      <w:r w:rsidR="00690A7C" w:rsidRPr="00690A7C">
        <w:rPr>
          <w:lang w:val="fr-FR"/>
        </w:rPr>
        <w:t>ent</w:t>
      </w:r>
      <w:r w:rsidRPr="00690A7C">
        <w:rPr>
          <w:lang w:val="fr-FR"/>
        </w:rPr>
        <w:t xml:space="preserve"> sur </w:t>
      </w:r>
      <w:r w:rsidR="00690A7C" w:rsidRPr="00690A7C">
        <w:rPr>
          <w:lang w:val="fr-FR"/>
        </w:rPr>
        <w:t>l</w:t>
      </w:r>
      <w:r w:rsidRPr="00690A7C">
        <w:rPr>
          <w:lang w:val="fr-FR"/>
        </w:rPr>
        <w:t>es travaux de la Commission sur d</w:t>
      </w:r>
      <w:r w:rsidR="004C5E26">
        <w:rPr>
          <w:lang w:val="fr-FR"/>
        </w:rPr>
        <w:t>’</w:t>
      </w:r>
      <w:r w:rsidRPr="00690A7C">
        <w:rPr>
          <w:lang w:val="fr-FR"/>
        </w:rPr>
        <w:t>autres sujets et les compléterai</w:t>
      </w:r>
      <w:r w:rsidR="00690A7C" w:rsidRPr="00690A7C">
        <w:rPr>
          <w:lang w:val="fr-FR"/>
        </w:rPr>
        <w:t>en</w:t>
      </w:r>
      <w:r w:rsidRPr="00690A7C">
        <w:rPr>
          <w:lang w:val="fr-FR"/>
        </w:rPr>
        <w:t>t sans faire double emploi. Par souci de sécurité, le sujet ne traiterait pas de la réparation à accorder</w:t>
      </w:r>
      <w:r w:rsidRPr="001448A7">
        <w:rPr>
          <w:lang w:val="fr-FR"/>
        </w:rPr>
        <w:t xml:space="preserve"> par une personne condamnée par une juridiction internationale comme la Cour pénale internationale aux victimes ou à leurs ayants droit</w:t>
      </w:r>
      <w:r w:rsidRPr="00E9227E">
        <w:rPr>
          <w:rStyle w:val="Appelnotedebasdep"/>
        </w:rPr>
        <w:footnoteReference w:id="373"/>
      </w:r>
      <w:r w:rsidRPr="001448A7">
        <w:rPr>
          <w:lang w:val="fr-FR"/>
        </w:rPr>
        <w:t xml:space="preserve">. </w:t>
      </w:r>
      <w:bookmarkStart w:id="255" w:name="_Ref171002475"/>
      <w:bookmarkEnd w:id="255"/>
    </w:p>
    <w:p w14:paraId="5525A299" w14:textId="5D9082FF" w:rsidR="005D2955" w:rsidRPr="001448A7" w:rsidRDefault="005D2955" w:rsidP="005D2955">
      <w:pPr>
        <w:pStyle w:val="H1G"/>
      </w:pPr>
      <w:r w:rsidRPr="001448A7">
        <w:rPr>
          <w:lang w:val="fr-FR"/>
        </w:rPr>
        <w:tab/>
        <w:t>C.</w:t>
      </w:r>
      <w:r w:rsidRPr="001448A7">
        <w:rPr>
          <w:lang w:val="fr-FR"/>
        </w:rPr>
        <w:tab/>
        <w:t xml:space="preserve">Détermination des règles de droit international relatives </w:t>
      </w:r>
      <w:r w:rsidR="003B594B">
        <w:rPr>
          <w:lang w:val="fr-FR"/>
        </w:rPr>
        <w:br/>
      </w:r>
      <w:r w:rsidRPr="001448A7">
        <w:rPr>
          <w:lang w:val="fr-FR"/>
        </w:rPr>
        <w:t>à l</w:t>
      </w:r>
      <w:r w:rsidR="004C5E26">
        <w:rPr>
          <w:lang w:val="fr-FR"/>
        </w:rPr>
        <w:t>’</w:t>
      </w:r>
      <w:r w:rsidRPr="001448A7">
        <w:rPr>
          <w:lang w:val="fr-FR"/>
        </w:rPr>
        <w:t>indemnisation</w:t>
      </w:r>
    </w:p>
    <w:p w14:paraId="1FDBA3BF" w14:textId="1DDE2369"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14.</w:t>
      </w:r>
      <w:r w:rsidRPr="001448A7">
        <w:rPr>
          <w:rFonts w:asciiTheme="majorBidi" w:hAnsiTheme="majorBidi" w:cstheme="majorBidi"/>
          <w:bCs/>
        </w:rPr>
        <w:tab/>
      </w:r>
      <w:r w:rsidRPr="001448A7">
        <w:rPr>
          <w:lang w:val="fr-FR"/>
        </w:rPr>
        <w:t>En prenant le document de travail de 2016 comme point de départ, la Commission pourrait examiner un ensemble de questions ayant trait à la détermination et la clarification des règles applicables en matière d</w:t>
      </w:r>
      <w:r w:rsidR="004C5E26">
        <w:rPr>
          <w:lang w:val="fr-FR"/>
        </w:rPr>
        <w:t>’</w:t>
      </w:r>
      <w:r w:rsidRPr="001448A7">
        <w:rPr>
          <w:lang w:val="fr-FR"/>
        </w:rPr>
        <w:t>indemnisation qui sont énoncées à l</w:t>
      </w:r>
      <w:r w:rsidR="004C5E26">
        <w:rPr>
          <w:lang w:val="fr-FR"/>
        </w:rPr>
        <w:t>’</w:t>
      </w:r>
      <w:r w:rsidRPr="001448A7">
        <w:rPr>
          <w:lang w:val="fr-FR"/>
        </w:rPr>
        <w:t>article 36 et dans d</w:t>
      </w:r>
      <w:r w:rsidR="004C5E26">
        <w:rPr>
          <w:lang w:val="fr-FR"/>
        </w:rPr>
        <w:t>’</w:t>
      </w:r>
      <w:r w:rsidRPr="001448A7">
        <w:rPr>
          <w:lang w:val="fr-FR"/>
        </w:rPr>
        <w:t>autres dispositions portant plus généralement sur la réparation. Premièrement, elle s</w:t>
      </w:r>
      <w:r w:rsidR="004C5E26">
        <w:rPr>
          <w:lang w:val="fr-FR"/>
        </w:rPr>
        <w:t>’</w:t>
      </w:r>
      <w:r w:rsidRPr="001448A7">
        <w:rPr>
          <w:lang w:val="fr-FR"/>
        </w:rPr>
        <w:t>intéresserait aux conditions dans lesquelles une indemnisation est applicable, confirmant ainsi que l</w:t>
      </w:r>
      <w:r w:rsidR="004C5E26">
        <w:rPr>
          <w:lang w:val="fr-FR"/>
        </w:rPr>
        <w:t>’</w:t>
      </w:r>
      <w:r w:rsidRPr="001448A7">
        <w:rPr>
          <w:lang w:val="fr-FR"/>
        </w:rPr>
        <w:t>indemnisation n</w:t>
      </w:r>
      <w:r w:rsidR="004C5E26">
        <w:rPr>
          <w:lang w:val="fr-FR"/>
        </w:rPr>
        <w:t>’</w:t>
      </w:r>
      <w:r w:rsidRPr="001448A7">
        <w:rPr>
          <w:lang w:val="fr-FR"/>
        </w:rPr>
        <w:t>est ni la première ni la seule forme de réparation</w:t>
      </w:r>
      <w:r w:rsidRPr="00E9227E">
        <w:rPr>
          <w:rStyle w:val="Appelnotedebasdep"/>
        </w:rPr>
        <w:footnoteReference w:id="374"/>
      </w:r>
      <w:r w:rsidRPr="001448A7">
        <w:rPr>
          <w:lang w:val="fr-FR"/>
        </w:rPr>
        <w:t xml:space="preserve">. </w:t>
      </w:r>
      <w:r w:rsidRPr="001448A7">
        <w:rPr>
          <w:lang w:val="fr-FR"/>
        </w:rPr>
        <w:lastRenderedPageBreak/>
        <w:t>Deuxièmement, concernant la notion de « dommage », elle devrait tenir compte de l</w:t>
      </w:r>
      <w:r w:rsidR="004C5E26">
        <w:rPr>
          <w:lang w:val="fr-FR"/>
        </w:rPr>
        <w:t>’</w:t>
      </w:r>
      <w:r w:rsidRPr="001448A7">
        <w:rPr>
          <w:lang w:val="fr-FR"/>
        </w:rPr>
        <w:t>article 36 et du paragraphe 2 de l</w:t>
      </w:r>
      <w:r w:rsidR="004C5E26">
        <w:rPr>
          <w:lang w:val="fr-FR"/>
        </w:rPr>
        <w:t>’</w:t>
      </w:r>
      <w:r w:rsidRPr="001448A7">
        <w:rPr>
          <w:lang w:val="fr-FR"/>
        </w:rPr>
        <w:t>article 31, examiner la question des dommages matériels et moraux ainsi que confirmer l</w:t>
      </w:r>
      <w:r w:rsidR="004C5E26">
        <w:rPr>
          <w:lang w:val="fr-FR"/>
        </w:rPr>
        <w:t>’</w:t>
      </w:r>
      <w:r w:rsidRPr="001448A7">
        <w:rPr>
          <w:lang w:val="fr-FR"/>
        </w:rPr>
        <w:t>illicéité des dommages et intérêts punitifs</w:t>
      </w:r>
      <w:r w:rsidRPr="00E9227E">
        <w:rPr>
          <w:rStyle w:val="Appelnotedebasdep"/>
        </w:rPr>
        <w:footnoteReference w:id="375"/>
      </w:r>
      <w:r w:rsidRPr="001448A7">
        <w:rPr>
          <w:lang w:val="fr-FR"/>
        </w:rPr>
        <w:t>. Elle pourrait également aborder la question laissée sans réponse par la Cour internationale de Justice dans l</w:t>
      </w:r>
      <w:r w:rsidR="004C5E26">
        <w:rPr>
          <w:lang w:val="fr-FR"/>
        </w:rPr>
        <w:t>’</w:t>
      </w:r>
      <w:r w:rsidRPr="001448A7">
        <w:rPr>
          <w:lang w:val="fr-FR"/>
        </w:rPr>
        <w:t xml:space="preserve">affaire des </w:t>
      </w:r>
      <w:r w:rsidRPr="001448A7">
        <w:rPr>
          <w:i/>
          <w:iCs/>
          <w:lang w:val="fr-FR"/>
        </w:rPr>
        <w:t xml:space="preserve">Activités armées sur le territoire du Congo </w:t>
      </w:r>
      <w:r w:rsidRPr="001448A7">
        <w:rPr>
          <w:lang w:val="fr-FR"/>
        </w:rPr>
        <w:t>et se demander « si un dommage macroéconomique résultant d</w:t>
      </w:r>
      <w:r w:rsidR="004C5E26">
        <w:rPr>
          <w:lang w:val="fr-FR"/>
        </w:rPr>
        <w:t>’</w:t>
      </w:r>
      <w:r w:rsidRPr="001448A7">
        <w:rPr>
          <w:lang w:val="fr-FR"/>
        </w:rPr>
        <w:t>une violation de l</w:t>
      </w:r>
      <w:r w:rsidR="004C5E26">
        <w:rPr>
          <w:lang w:val="fr-FR"/>
        </w:rPr>
        <w:t>’</w:t>
      </w:r>
      <w:r w:rsidRPr="001448A7">
        <w:rPr>
          <w:lang w:val="fr-FR"/>
        </w:rPr>
        <w:t>interdiction de l</w:t>
      </w:r>
      <w:r w:rsidR="004C5E26">
        <w:rPr>
          <w:lang w:val="fr-FR"/>
        </w:rPr>
        <w:t>’</w:t>
      </w:r>
      <w:r w:rsidRPr="001448A7">
        <w:rPr>
          <w:lang w:val="fr-FR"/>
        </w:rPr>
        <w:t>emploi de la force, ou, plus généralement, tout dommage de ce type, ouvre droit à indemnisation en droit international »</w:t>
      </w:r>
      <w:r w:rsidRPr="00E9227E">
        <w:rPr>
          <w:rStyle w:val="Appelnotedebasdep"/>
        </w:rPr>
        <w:footnoteReference w:id="376"/>
      </w:r>
      <w:r w:rsidRPr="001448A7">
        <w:rPr>
          <w:lang w:val="fr-FR"/>
        </w:rPr>
        <w:t>. Troisièmement, le terme « causé », qui figure aussi à l</w:t>
      </w:r>
      <w:r w:rsidR="004C5E26">
        <w:rPr>
          <w:lang w:val="fr-FR"/>
        </w:rPr>
        <w:t>’</w:t>
      </w:r>
      <w:r w:rsidRPr="001448A7">
        <w:rPr>
          <w:lang w:val="fr-FR"/>
        </w:rPr>
        <w:t>article 36 et au paragraphe 1 de l</w:t>
      </w:r>
      <w:r w:rsidR="004C5E26">
        <w:rPr>
          <w:lang w:val="fr-FR"/>
        </w:rPr>
        <w:t>’</w:t>
      </w:r>
      <w:r w:rsidRPr="001448A7">
        <w:rPr>
          <w:lang w:val="fr-FR"/>
        </w:rPr>
        <w:t>article 31, appellerait un examen des facteurs qui peuvent être pertinents pour l</w:t>
      </w:r>
      <w:r w:rsidR="004C5E26">
        <w:rPr>
          <w:lang w:val="fr-FR"/>
        </w:rPr>
        <w:t>’</w:t>
      </w:r>
      <w:r w:rsidRPr="001448A7">
        <w:rPr>
          <w:lang w:val="fr-FR"/>
        </w:rPr>
        <w:t>appréciation de la causalité, une distinction entre la causalité de fait et la causalité en droit, ainsi qu</w:t>
      </w:r>
      <w:r w:rsidR="004C5E26">
        <w:rPr>
          <w:lang w:val="fr-FR"/>
        </w:rPr>
        <w:t>’</w:t>
      </w:r>
      <w:r w:rsidRPr="001448A7">
        <w:rPr>
          <w:lang w:val="fr-FR"/>
        </w:rPr>
        <w:t>une discussion sur l</w:t>
      </w:r>
      <w:r w:rsidR="004C5E26">
        <w:rPr>
          <w:lang w:val="fr-FR"/>
        </w:rPr>
        <w:t>’</w:t>
      </w:r>
      <w:r w:rsidRPr="001448A7">
        <w:rPr>
          <w:lang w:val="fr-FR"/>
        </w:rPr>
        <w:t>effet de l</w:t>
      </w:r>
      <w:r w:rsidR="004C5E26">
        <w:rPr>
          <w:lang w:val="fr-FR"/>
        </w:rPr>
        <w:t>’</w:t>
      </w:r>
      <w:r w:rsidRPr="001448A7">
        <w:rPr>
          <w:lang w:val="fr-FR"/>
        </w:rPr>
        <w:t>atténuation du dommage, de la concomitance de plusieurs facteurs et de la responsabilité concurrente de plusieurs facteurs ou acteurs</w:t>
      </w:r>
      <w:r w:rsidRPr="00E9227E">
        <w:rPr>
          <w:rStyle w:val="Appelnotedebasdep"/>
        </w:rPr>
        <w:footnoteReference w:id="377"/>
      </w:r>
      <w:r w:rsidRPr="001448A7">
        <w:rPr>
          <w:lang w:val="fr-FR"/>
        </w:rPr>
        <w:t>. Quatrièmement, la Commission pourrait souhaiter examiner ou réexaminer une autre question laissée sans réponse dans l</w:t>
      </w:r>
      <w:r w:rsidR="004C5E26">
        <w:rPr>
          <w:lang w:val="fr-FR"/>
        </w:rPr>
        <w:t>’</w:t>
      </w:r>
      <w:r w:rsidRPr="001448A7">
        <w:rPr>
          <w:lang w:val="fr-FR"/>
        </w:rPr>
        <w:t xml:space="preserve">affaire des </w:t>
      </w:r>
      <w:r w:rsidRPr="001448A7">
        <w:rPr>
          <w:i/>
          <w:iCs/>
          <w:lang w:val="fr-FR"/>
        </w:rPr>
        <w:t>Activités armées sur le territoire du Congo</w:t>
      </w:r>
      <w:r w:rsidRPr="001448A7">
        <w:rPr>
          <w:lang w:val="fr-FR"/>
        </w:rPr>
        <w:t xml:space="preserve"> et se demander « si, la détermination du montant de l</w:t>
      </w:r>
      <w:r w:rsidR="004C5E26">
        <w:rPr>
          <w:lang w:val="fr-FR"/>
        </w:rPr>
        <w:t>’</w:t>
      </w:r>
      <w:r w:rsidRPr="001448A7">
        <w:rPr>
          <w:lang w:val="fr-FR"/>
        </w:rPr>
        <w:t>indemnisation devrait prendre en compte le fardeau financier imposé à l</w:t>
      </w:r>
      <w:r w:rsidR="004C5E26">
        <w:rPr>
          <w:lang w:val="fr-FR"/>
        </w:rPr>
        <w:t>’</w:t>
      </w:r>
      <w:r w:rsidRPr="001448A7">
        <w:rPr>
          <w:lang w:val="fr-FR"/>
        </w:rPr>
        <w:t>État responsable, eu égard à sa situation économique »</w:t>
      </w:r>
      <w:r w:rsidRPr="00E9227E">
        <w:rPr>
          <w:rStyle w:val="Appelnotedebasdep"/>
        </w:rPr>
        <w:footnoteReference w:id="378"/>
      </w:r>
      <w:r w:rsidRPr="001448A7">
        <w:rPr>
          <w:lang w:val="fr-FR"/>
        </w:rPr>
        <w:t>. Cinquièmement, elle pourrait étudier la pertinence de l</w:t>
      </w:r>
      <w:r w:rsidR="004C5E26">
        <w:rPr>
          <w:lang w:val="fr-FR"/>
        </w:rPr>
        <w:t>’</w:t>
      </w:r>
      <w:r w:rsidRPr="001448A7">
        <w:rPr>
          <w:lang w:val="fr-FR"/>
        </w:rPr>
        <w:t>équité</w:t>
      </w:r>
      <w:r w:rsidRPr="00E9227E">
        <w:rPr>
          <w:rStyle w:val="Appelnotedebasdep"/>
        </w:rPr>
        <w:footnoteReference w:id="379"/>
      </w:r>
      <w:r w:rsidRPr="001448A7">
        <w:rPr>
          <w:lang w:val="fr-FR"/>
        </w:rPr>
        <w:t xml:space="preserve"> et des principes généraux du droit</w:t>
      </w:r>
      <w:r w:rsidRPr="00E9227E">
        <w:rPr>
          <w:rStyle w:val="Appelnotedebasdep"/>
        </w:rPr>
        <w:footnoteReference w:id="380"/>
      </w:r>
      <w:r w:rsidR="003B594B">
        <w:rPr>
          <w:lang w:val="fr-FR"/>
        </w:rPr>
        <w:t xml:space="preserve"> </w:t>
      </w:r>
      <w:r w:rsidRPr="001448A7">
        <w:rPr>
          <w:lang w:val="fr-FR"/>
        </w:rPr>
        <w:t>pour ce sujet. Sixièmement, les questions connexes des intérêts et de la contribution au préjudice, qui font respectivement l</w:t>
      </w:r>
      <w:r w:rsidR="004C5E26">
        <w:rPr>
          <w:lang w:val="fr-FR"/>
        </w:rPr>
        <w:t>’</w:t>
      </w:r>
      <w:r w:rsidRPr="001448A7">
        <w:rPr>
          <w:lang w:val="fr-FR"/>
        </w:rPr>
        <w:t>objet des articles 38 et 39, pourraient également être examinées, étant donné que, dans la pratique, ces éléments jouent un rôle important dans la détermination de l</w:t>
      </w:r>
      <w:r w:rsidR="004C5E26">
        <w:rPr>
          <w:lang w:val="fr-FR"/>
        </w:rPr>
        <w:t>’</w:t>
      </w:r>
      <w:r w:rsidRPr="001448A7">
        <w:rPr>
          <w:lang w:val="fr-FR"/>
        </w:rPr>
        <w:t>indemnisation</w:t>
      </w:r>
      <w:bookmarkStart w:id="257" w:name="_Ref172541674"/>
      <w:r w:rsidRPr="00E9227E">
        <w:rPr>
          <w:rStyle w:val="Appelnotedebasdep"/>
        </w:rPr>
        <w:footnoteReference w:id="381"/>
      </w:r>
      <w:bookmarkEnd w:id="257"/>
      <w:r w:rsidRPr="001448A7">
        <w:rPr>
          <w:lang w:val="fr-FR"/>
        </w:rPr>
        <w:t>. Enfin, un dernier point auquel la Commission pourrait s</w:t>
      </w:r>
      <w:r w:rsidR="004C5E26">
        <w:rPr>
          <w:lang w:val="fr-FR"/>
        </w:rPr>
        <w:t>’</w:t>
      </w:r>
      <w:r w:rsidRPr="001448A7">
        <w:rPr>
          <w:lang w:val="fr-FR"/>
        </w:rPr>
        <w:t>intéresser est celui plus général de l</w:t>
      </w:r>
      <w:r w:rsidR="004C5E26">
        <w:rPr>
          <w:lang w:val="fr-FR"/>
        </w:rPr>
        <w:t>’</w:t>
      </w:r>
      <w:r w:rsidRPr="001448A7">
        <w:rPr>
          <w:lang w:val="fr-FR"/>
        </w:rPr>
        <w:t>indemnisation devant les différentes juridictions, et il comporte deux volets. Le premier concerne la question de savoir si et dans quelle mesure les règles secondaires applicables peuvent être affectées par la nature de l</w:t>
      </w:r>
      <w:r w:rsidR="004C5E26">
        <w:rPr>
          <w:lang w:val="fr-FR"/>
        </w:rPr>
        <w:t>’</w:t>
      </w:r>
      <w:r w:rsidRPr="001448A7">
        <w:rPr>
          <w:lang w:val="fr-FR"/>
        </w:rPr>
        <w:t>entité invoquant la responsabilité, en particulier des entités non étatiques (ou certaines d</w:t>
      </w:r>
      <w:r w:rsidR="004C5E26">
        <w:rPr>
          <w:lang w:val="fr-FR"/>
        </w:rPr>
        <w:t>’</w:t>
      </w:r>
      <w:r w:rsidRPr="001448A7">
        <w:rPr>
          <w:lang w:val="fr-FR"/>
        </w:rPr>
        <w:t>entre elles). Le deuxième concerne l</w:t>
      </w:r>
      <w:r w:rsidR="004C5E26">
        <w:rPr>
          <w:lang w:val="fr-FR"/>
        </w:rPr>
        <w:t>’</w:t>
      </w:r>
      <w:r w:rsidRPr="001448A7">
        <w:rPr>
          <w:lang w:val="fr-FR"/>
        </w:rPr>
        <w:t>uniformité des approches suivies dans différents contextes et la question de savoir si ces principes sont susceptibles d</w:t>
      </w:r>
      <w:r w:rsidR="004C5E26">
        <w:rPr>
          <w:lang w:val="fr-FR"/>
        </w:rPr>
        <w:t>’</w:t>
      </w:r>
      <w:r w:rsidRPr="001448A7">
        <w:rPr>
          <w:lang w:val="fr-FR"/>
        </w:rPr>
        <w:t>être appliqués de manière systématique et cohérente, de sorte que le montant des indemnités allouées puisse être considéré comme juste par rapport à celui des indemnités accordées dans d</w:t>
      </w:r>
      <w:r w:rsidR="004C5E26">
        <w:rPr>
          <w:lang w:val="fr-FR"/>
        </w:rPr>
        <w:t>’</w:t>
      </w:r>
      <w:r w:rsidRPr="001448A7">
        <w:rPr>
          <w:lang w:val="fr-FR"/>
        </w:rPr>
        <w:t>autres affaires</w:t>
      </w:r>
      <w:r w:rsidRPr="00E9227E">
        <w:rPr>
          <w:rStyle w:val="Appelnotedebasdep"/>
        </w:rPr>
        <w:footnoteReference w:id="382"/>
      </w:r>
      <w:r w:rsidRPr="001448A7">
        <w:rPr>
          <w:lang w:val="fr-FR"/>
        </w:rPr>
        <w:t>.</w:t>
      </w:r>
      <w:bookmarkStart w:id="258" w:name="_Ref169614846"/>
      <w:bookmarkEnd w:id="258"/>
    </w:p>
    <w:p w14:paraId="482599E6" w14:textId="423859A0" w:rsidR="005D2955" w:rsidRPr="001448A7" w:rsidRDefault="005D2955" w:rsidP="005D2955">
      <w:pPr>
        <w:pStyle w:val="H1G"/>
      </w:pPr>
      <w:r w:rsidRPr="001448A7">
        <w:rPr>
          <w:bCs/>
          <w:lang w:val="fr-FR"/>
        </w:rPr>
        <w:lastRenderedPageBreak/>
        <w:tab/>
        <w:t>D.</w:t>
      </w:r>
      <w:r w:rsidRPr="001448A7">
        <w:rPr>
          <w:lang w:val="fr-FR"/>
        </w:rPr>
        <w:tab/>
      </w:r>
      <w:r w:rsidRPr="001448A7">
        <w:rPr>
          <w:bCs/>
          <w:lang w:val="fr-FR"/>
        </w:rPr>
        <w:t>Application des règles de droit international relatives à l</w:t>
      </w:r>
      <w:r w:rsidR="004C5E26">
        <w:rPr>
          <w:bCs/>
          <w:lang w:val="fr-FR"/>
        </w:rPr>
        <w:t>’</w:t>
      </w:r>
      <w:r w:rsidRPr="001448A7">
        <w:rPr>
          <w:bCs/>
          <w:lang w:val="fr-FR"/>
        </w:rPr>
        <w:t>indemnisation</w:t>
      </w:r>
    </w:p>
    <w:p w14:paraId="658DD947" w14:textId="3910021D" w:rsidR="005D2955" w:rsidRPr="001448A7" w:rsidRDefault="005D2955" w:rsidP="005D2955">
      <w:pPr>
        <w:pStyle w:val="SingleTxtG"/>
        <w:rPr>
          <w:lang w:val="fr-FR"/>
        </w:rPr>
      </w:pPr>
      <w:r w:rsidRPr="001448A7">
        <w:rPr>
          <w:rFonts w:asciiTheme="majorBidi" w:hAnsiTheme="majorBidi" w:cstheme="majorBidi"/>
          <w:bCs/>
        </w:rPr>
        <w:t>15.</w:t>
      </w:r>
      <w:r w:rsidRPr="001448A7">
        <w:rPr>
          <w:rFonts w:asciiTheme="majorBidi" w:hAnsiTheme="majorBidi" w:cstheme="majorBidi"/>
          <w:bCs/>
        </w:rPr>
        <w:tab/>
      </w:r>
      <w:r w:rsidRPr="001448A7">
        <w:rPr>
          <w:lang w:val="fr-FR"/>
        </w:rPr>
        <w:t>Un autre ensemble de questions, qui avaient elles aussi été évoquées dans le document de travail de 2016, concerne l</w:t>
      </w:r>
      <w:r w:rsidR="004C5E26">
        <w:rPr>
          <w:lang w:val="fr-FR"/>
        </w:rPr>
        <w:t>’</w:t>
      </w:r>
      <w:r w:rsidRPr="001448A7">
        <w:rPr>
          <w:lang w:val="fr-FR"/>
        </w:rPr>
        <w:t>application des règles relatives au quantum de l</w:t>
      </w:r>
      <w:r w:rsidR="004C5E26">
        <w:rPr>
          <w:lang w:val="fr-FR"/>
        </w:rPr>
        <w:t>’</w:t>
      </w:r>
      <w:r w:rsidRPr="001448A7">
        <w:rPr>
          <w:lang w:val="fr-FR"/>
        </w:rPr>
        <w:t>indemnisation et la détermination de celui-ci, compte tenu du paragraphe 2 de l</w:t>
      </w:r>
      <w:r w:rsidR="004C5E26">
        <w:rPr>
          <w:lang w:val="fr-FR"/>
        </w:rPr>
        <w:t>’</w:t>
      </w:r>
      <w:r w:rsidRPr="001448A7">
        <w:rPr>
          <w:lang w:val="fr-FR"/>
        </w:rPr>
        <w:t>article 36 et de l</w:t>
      </w:r>
      <w:r w:rsidR="004C5E26">
        <w:rPr>
          <w:lang w:val="fr-FR"/>
        </w:rPr>
        <w:t>’</w:t>
      </w:r>
      <w:r w:rsidRPr="001448A7">
        <w:rPr>
          <w:lang w:val="fr-FR"/>
        </w:rPr>
        <w:t>article 38 (« Intérêts »). Les questions juridiques pertinentes porteraient, en premier lieu, sur la détermination des principes applicables à l</w:t>
      </w:r>
      <w:r w:rsidR="004C5E26">
        <w:rPr>
          <w:lang w:val="fr-FR"/>
        </w:rPr>
        <w:t>’</w:t>
      </w:r>
      <w:r w:rsidRPr="001448A7">
        <w:rPr>
          <w:lang w:val="fr-FR"/>
        </w:rPr>
        <w:t>indemnisation et les différentes méthodes d</w:t>
      </w:r>
      <w:r w:rsidR="004C5E26">
        <w:rPr>
          <w:lang w:val="fr-FR"/>
        </w:rPr>
        <w:t>’</w:t>
      </w:r>
      <w:r w:rsidRPr="001448A7">
        <w:rPr>
          <w:lang w:val="fr-FR"/>
        </w:rPr>
        <w:t>évaluation de la juste valeur marchande, y compris les rapports qu</w:t>
      </w:r>
      <w:r w:rsidR="004C5E26">
        <w:rPr>
          <w:lang w:val="fr-FR"/>
        </w:rPr>
        <w:t>’</w:t>
      </w:r>
      <w:r w:rsidRPr="001448A7">
        <w:rPr>
          <w:lang w:val="fr-FR"/>
        </w:rPr>
        <w:t>elles entretiennent les unes avec les autres</w:t>
      </w:r>
      <w:r w:rsidRPr="00E9227E">
        <w:rPr>
          <w:rStyle w:val="Appelnotedebasdep"/>
        </w:rPr>
        <w:footnoteReference w:id="383"/>
      </w:r>
      <w:r w:rsidRPr="001448A7">
        <w:rPr>
          <w:lang w:val="fr-FR"/>
        </w:rPr>
        <w:t>. En deuxième lieu, il faudrait s</w:t>
      </w:r>
      <w:r w:rsidR="004C5E26">
        <w:rPr>
          <w:lang w:val="fr-FR"/>
        </w:rPr>
        <w:t>’</w:t>
      </w:r>
      <w:r w:rsidRPr="001448A7">
        <w:rPr>
          <w:lang w:val="fr-FR"/>
        </w:rPr>
        <w:t>intéresser au calcul du manque à gagner</w:t>
      </w:r>
      <w:r w:rsidRPr="00E9227E">
        <w:rPr>
          <w:rStyle w:val="Appelnotedebasdep"/>
        </w:rPr>
        <w:footnoteReference w:id="384"/>
      </w:r>
      <w:r w:rsidRPr="001448A7">
        <w:rPr>
          <w:lang w:val="fr-FR"/>
        </w:rPr>
        <w:t>. La Commission pourrait étudier la manière dont ont été abordés dans les décisions rendues depuis 2001 les aspects négatifs de la règle (la circonspection avec laquelle sont généralement reçues les réclamations émaillées d</w:t>
      </w:r>
      <w:r w:rsidR="004C5E26">
        <w:rPr>
          <w:lang w:val="fr-FR"/>
        </w:rPr>
        <w:t>’</w:t>
      </w:r>
      <w:r w:rsidRPr="001448A7">
        <w:rPr>
          <w:lang w:val="fr-FR"/>
        </w:rPr>
        <w:t>éléments relevant foncièrement du domaine de la spéculation</w:t>
      </w:r>
      <w:r w:rsidRPr="00E9227E">
        <w:rPr>
          <w:rStyle w:val="Appelnotedebasdep"/>
        </w:rPr>
        <w:footnoteReference w:id="385"/>
      </w:r>
      <w:r w:rsidRPr="001448A7">
        <w:rPr>
          <w:lang w:val="fr-FR"/>
        </w:rPr>
        <w:t xml:space="preserve"> et, surtout, le fait qu</w:t>
      </w:r>
      <w:r w:rsidR="004C5E26">
        <w:rPr>
          <w:lang w:val="fr-FR"/>
        </w:rPr>
        <w:t>’</w:t>
      </w:r>
      <w:r w:rsidRPr="001448A7">
        <w:rPr>
          <w:lang w:val="fr-FR"/>
        </w:rPr>
        <w:t>il n</w:t>
      </w:r>
      <w:r w:rsidR="004C5E26">
        <w:rPr>
          <w:lang w:val="fr-FR"/>
        </w:rPr>
        <w:t>’</w:t>
      </w:r>
      <w:r w:rsidRPr="001448A7">
        <w:rPr>
          <w:lang w:val="fr-FR"/>
        </w:rPr>
        <w:t>est, de manière générale, pas recommandé d</w:t>
      </w:r>
      <w:r w:rsidR="004C5E26">
        <w:rPr>
          <w:lang w:val="fr-FR"/>
        </w:rPr>
        <w:t>’</w:t>
      </w:r>
      <w:r w:rsidRPr="001448A7">
        <w:rPr>
          <w:lang w:val="fr-FR"/>
        </w:rPr>
        <w:t>allouer des indemnités pour manque à gagner et des intérêts sur les capitaux productifs de profits pendant la même période afin d</w:t>
      </w:r>
      <w:r w:rsidR="004C5E26">
        <w:rPr>
          <w:lang w:val="fr-FR"/>
        </w:rPr>
        <w:t>’</w:t>
      </w:r>
      <w:r w:rsidRPr="001448A7">
        <w:rPr>
          <w:lang w:val="fr-FR"/>
        </w:rPr>
        <w:t>éviter une double indemnisation</w:t>
      </w:r>
      <w:r w:rsidRPr="00E9227E">
        <w:rPr>
          <w:rStyle w:val="Appelnotedebasdep"/>
        </w:rPr>
        <w:footnoteReference w:id="386"/>
      </w:r>
      <w:r w:rsidRPr="001448A7">
        <w:rPr>
          <w:lang w:val="fr-FR"/>
        </w:rPr>
        <w:t>), ainsi que les catégories d</w:t>
      </w:r>
      <w:r w:rsidR="004C5E26">
        <w:rPr>
          <w:lang w:val="fr-FR"/>
        </w:rPr>
        <w:t>’</w:t>
      </w:r>
      <w:r w:rsidRPr="001448A7">
        <w:rPr>
          <w:lang w:val="fr-FR"/>
        </w:rPr>
        <w:t>indemnités pour manque à gagner qui ont été recensées</w:t>
      </w:r>
      <w:r w:rsidRPr="00E9227E">
        <w:rPr>
          <w:rStyle w:val="Appelnotedebasdep"/>
        </w:rPr>
        <w:footnoteReference w:id="387"/>
      </w:r>
      <w:r w:rsidRPr="001448A7">
        <w:rPr>
          <w:lang w:val="fr-FR"/>
        </w:rPr>
        <w:t>. Une autre question, qui n</w:t>
      </w:r>
      <w:r w:rsidR="004C5E26">
        <w:rPr>
          <w:lang w:val="fr-FR"/>
        </w:rPr>
        <w:t>’</w:t>
      </w:r>
      <w:r w:rsidRPr="001448A7">
        <w:rPr>
          <w:lang w:val="fr-FR"/>
        </w:rPr>
        <w:t>a pas occupé une place prépondérante dans les débats de la Commission, est celle de savoir si l</w:t>
      </w:r>
      <w:r w:rsidR="004C5E26">
        <w:rPr>
          <w:lang w:val="fr-FR"/>
        </w:rPr>
        <w:t>’</w:t>
      </w:r>
      <w:r w:rsidRPr="001448A7">
        <w:rPr>
          <w:lang w:val="fr-FR"/>
        </w:rPr>
        <w:t>octroi d</w:t>
      </w:r>
      <w:r w:rsidR="004C5E26">
        <w:rPr>
          <w:lang w:val="fr-FR"/>
        </w:rPr>
        <w:t>’</w:t>
      </w:r>
      <w:r w:rsidRPr="001448A7">
        <w:rPr>
          <w:lang w:val="fr-FR"/>
        </w:rPr>
        <w:t>indemnités pour manque à gagner dans le cas où l</w:t>
      </w:r>
      <w:r w:rsidR="004C5E26">
        <w:rPr>
          <w:lang w:val="fr-FR"/>
        </w:rPr>
        <w:t>’</w:t>
      </w:r>
      <w:r w:rsidRPr="001448A7">
        <w:rPr>
          <w:lang w:val="fr-FR"/>
        </w:rPr>
        <w:t>évaluation des actifs productifs de revenus a déjà pris en compte leur efficacité dans la production de profits futurs entraîne une double indemnisation</w:t>
      </w:r>
      <w:bookmarkStart w:id="259" w:name="_Ref172541684"/>
      <w:r w:rsidRPr="00E9227E">
        <w:rPr>
          <w:rStyle w:val="Appelnotedebasdep"/>
        </w:rPr>
        <w:footnoteReference w:id="388"/>
      </w:r>
      <w:bookmarkEnd w:id="259"/>
      <w:r w:rsidRPr="001448A7">
        <w:rPr>
          <w:lang w:val="fr-FR"/>
        </w:rPr>
        <w:t>. En troisième lieu, la Commission pourrait se pencher sur le choix du taux d</w:t>
      </w:r>
      <w:r w:rsidR="004C5E26">
        <w:rPr>
          <w:lang w:val="fr-FR"/>
        </w:rPr>
        <w:t>’</w:t>
      </w:r>
      <w:r w:rsidRPr="001448A7">
        <w:rPr>
          <w:lang w:val="fr-FR"/>
        </w:rPr>
        <w:t>intérêt et sur l</w:t>
      </w:r>
      <w:r w:rsidR="004C5E26">
        <w:rPr>
          <w:lang w:val="fr-FR"/>
        </w:rPr>
        <w:t>’</w:t>
      </w:r>
      <w:r w:rsidRPr="001448A7">
        <w:rPr>
          <w:lang w:val="fr-FR"/>
        </w:rPr>
        <w:t>alternative entre intérêts simples et intérêts composés</w:t>
      </w:r>
      <w:r w:rsidRPr="00E9227E">
        <w:rPr>
          <w:rStyle w:val="Appelnotedebasdep"/>
        </w:rPr>
        <w:footnoteReference w:id="389"/>
      </w:r>
      <w:r w:rsidRPr="001448A7">
        <w:rPr>
          <w:lang w:val="fr-FR"/>
        </w:rPr>
        <w:t>, de sorte à reconsidérer, compte tenu de la pratique depuis 2001, les intérêts composés, à l</w:t>
      </w:r>
      <w:r w:rsidR="004C5E26">
        <w:rPr>
          <w:lang w:val="fr-FR"/>
        </w:rPr>
        <w:t>’</w:t>
      </w:r>
      <w:r w:rsidRPr="001448A7">
        <w:rPr>
          <w:lang w:val="fr-FR"/>
        </w:rPr>
        <w:t>égard desquels elle avait fait preuve de scepticisme dans le commentaire de l</w:t>
      </w:r>
      <w:r w:rsidR="004C5E26">
        <w:rPr>
          <w:lang w:val="fr-FR"/>
        </w:rPr>
        <w:t>’</w:t>
      </w:r>
      <w:r w:rsidRPr="001448A7">
        <w:rPr>
          <w:lang w:val="fr-FR"/>
        </w:rPr>
        <w:t>article 38</w:t>
      </w:r>
      <w:r w:rsidRPr="00690A7C">
        <w:rPr>
          <w:rStyle w:val="Appelnotedebasdep"/>
        </w:rPr>
        <w:footnoteReference w:id="390"/>
      </w:r>
      <w:r w:rsidRPr="00690A7C">
        <w:rPr>
          <w:lang w:val="fr-FR"/>
        </w:rPr>
        <w:t>. Enfin, dans le droit fil de l</w:t>
      </w:r>
      <w:r w:rsidR="004C5E26">
        <w:rPr>
          <w:lang w:val="fr-FR"/>
        </w:rPr>
        <w:t>’</w:t>
      </w:r>
      <w:r w:rsidRPr="00690A7C">
        <w:rPr>
          <w:lang w:val="fr-FR"/>
        </w:rPr>
        <w:t>approche de la</w:t>
      </w:r>
      <w:r w:rsidRPr="001448A7">
        <w:rPr>
          <w:lang w:val="fr-FR"/>
        </w:rPr>
        <w:t xml:space="preserve"> Cour internationale de Justice décrite au paragraphe 8 ci-dessus, la Commission recenserait les meilleures pratiques et méthodes de calcul des indemnités dans des domaines spécialisés donnés, comme cela a été fait dans le commentaire de l</w:t>
      </w:r>
      <w:r w:rsidR="004C5E26">
        <w:rPr>
          <w:lang w:val="fr-FR"/>
        </w:rPr>
        <w:t>’</w:t>
      </w:r>
      <w:r w:rsidRPr="001448A7">
        <w:rPr>
          <w:lang w:val="fr-FR"/>
        </w:rPr>
        <w:t>article 36</w:t>
      </w:r>
      <w:r w:rsidRPr="00E9227E">
        <w:rPr>
          <w:rStyle w:val="Appelnotedebasdep"/>
        </w:rPr>
        <w:footnoteReference w:id="391"/>
      </w:r>
      <w:r w:rsidRPr="001448A7">
        <w:rPr>
          <w:lang w:val="fr-FR"/>
        </w:rPr>
        <w:t>. Pour donner un exemple de ce que cet exercice pourrait impliquer, on peut indiquer que l</w:t>
      </w:r>
      <w:r w:rsidR="004C5E26">
        <w:rPr>
          <w:lang w:val="fr-FR"/>
        </w:rPr>
        <w:t>’</w:t>
      </w:r>
      <w:r w:rsidRPr="001448A7">
        <w:rPr>
          <w:lang w:val="fr-FR"/>
        </w:rPr>
        <w:t>octroi d</w:t>
      </w:r>
      <w:r w:rsidR="004C5E26">
        <w:rPr>
          <w:lang w:val="fr-FR"/>
        </w:rPr>
        <w:t>’</w:t>
      </w:r>
      <w:r w:rsidRPr="001448A7">
        <w:rPr>
          <w:lang w:val="fr-FR"/>
        </w:rPr>
        <w:t>une somme globale dans l</w:t>
      </w:r>
      <w:r w:rsidR="004C5E26">
        <w:rPr>
          <w:lang w:val="fr-FR"/>
        </w:rPr>
        <w:t>’</w:t>
      </w:r>
      <w:r w:rsidRPr="001448A7">
        <w:rPr>
          <w:lang w:val="fr-FR"/>
        </w:rPr>
        <w:t xml:space="preserve">affaire des </w:t>
      </w:r>
      <w:r w:rsidRPr="001448A7">
        <w:rPr>
          <w:i/>
          <w:iCs/>
          <w:lang w:val="fr-FR"/>
        </w:rPr>
        <w:t>Activités armées sur le territoire du Congo</w:t>
      </w:r>
      <w:r w:rsidRPr="001448A7">
        <w:rPr>
          <w:lang w:val="fr-FR"/>
        </w:rPr>
        <w:t xml:space="preserve"> a donné lieu à des avis juridiques très divers, lesquels </w:t>
      </w:r>
      <w:r w:rsidRPr="001448A7">
        <w:rPr>
          <w:lang w:val="fr-FR"/>
        </w:rPr>
        <w:lastRenderedPageBreak/>
        <w:t>pourraient nourrir les débats sur le fondement juridique de cette décision ainsi que les conditions et les modalités pratiques de son exécution</w:t>
      </w:r>
      <w:r w:rsidRPr="00E9227E">
        <w:rPr>
          <w:rStyle w:val="Appelnotedebasdep"/>
        </w:rPr>
        <w:footnoteReference w:id="392"/>
      </w:r>
      <w:r w:rsidRPr="001448A7">
        <w:rPr>
          <w:lang w:val="fr-FR"/>
        </w:rPr>
        <w:t>.</w:t>
      </w:r>
    </w:p>
    <w:p w14:paraId="0DD57900" w14:textId="1E295B9A" w:rsidR="005D2955" w:rsidRPr="001448A7" w:rsidRDefault="005D2955" w:rsidP="005D2955">
      <w:pPr>
        <w:pStyle w:val="HChG"/>
      </w:pPr>
      <w:r w:rsidRPr="001448A7">
        <w:rPr>
          <w:lang w:val="fr-FR"/>
        </w:rPr>
        <w:tab/>
        <w:t>II.</w:t>
      </w:r>
      <w:r w:rsidRPr="001448A7">
        <w:rPr>
          <w:lang w:val="fr-FR"/>
        </w:rPr>
        <w:tab/>
        <w:t xml:space="preserve">Le sujet proposé et les critères de sélection des nouveaux sujets </w:t>
      </w:r>
    </w:p>
    <w:p w14:paraId="518FA04F" w14:textId="77777777" w:rsidR="005D2955" w:rsidRPr="001448A7" w:rsidRDefault="005D2955" w:rsidP="005D2955">
      <w:pPr>
        <w:pStyle w:val="SingleTxtG"/>
        <w:rPr>
          <w:rFonts w:asciiTheme="majorBidi" w:hAnsiTheme="majorBidi" w:cstheme="majorBidi"/>
        </w:rPr>
      </w:pPr>
      <w:r w:rsidRPr="001448A7">
        <w:rPr>
          <w:rFonts w:asciiTheme="majorBidi" w:hAnsiTheme="majorBidi" w:cstheme="majorBidi"/>
          <w:bCs/>
        </w:rPr>
        <w:t>16.</w:t>
      </w:r>
      <w:r w:rsidRPr="001448A7">
        <w:rPr>
          <w:rFonts w:asciiTheme="majorBidi" w:hAnsiTheme="majorBidi" w:cstheme="majorBidi"/>
          <w:bCs/>
        </w:rPr>
        <w:tab/>
      </w:r>
      <w:r w:rsidRPr="001448A7">
        <w:rPr>
          <w:lang w:val="fr-FR"/>
        </w:rPr>
        <w:t>Le sujet proposé satisfait aux critères de choix des nouveaux sujets fixés par la Commission</w:t>
      </w:r>
      <w:r w:rsidRPr="00E9227E">
        <w:rPr>
          <w:rStyle w:val="Appelnotedebasdep"/>
        </w:rPr>
        <w:footnoteReference w:id="393"/>
      </w:r>
      <w:r w:rsidRPr="001448A7">
        <w:rPr>
          <w:lang w:val="fr-FR"/>
        </w:rPr>
        <w:t>.</w:t>
      </w:r>
    </w:p>
    <w:p w14:paraId="0E05D018" w14:textId="16F3D5C3" w:rsidR="005D2955" w:rsidRPr="001448A7" w:rsidRDefault="005D2955" w:rsidP="005D2955">
      <w:pPr>
        <w:pStyle w:val="SingleTxtG"/>
        <w:rPr>
          <w:rFonts w:asciiTheme="majorBidi" w:hAnsiTheme="majorBidi" w:cstheme="majorBidi"/>
        </w:rPr>
      </w:pPr>
      <w:r w:rsidRPr="001448A7">
        <w:rPr>
          <w:rFonts w:asciiTheme="majorBidi" w:hAnsiTheme="majorBidi" w:cstheme="majorBidi"/>
          <w:bCs/>
        </w:rPr>
        <w:t>17.</w:t>
      </w:r>
      <w:r w:rsidRPr="001448A7">
        <w:rPr>
          <w:rFonts w:asciiTheme="majorBidi" w:hAnsiTheme="majorBidi" w:cstheme="majorBidi"/>
          <w:bCs/>
        </w:rPr>
        <w:tab/>
      </w:r>
      <w:r w:rsidRPr="001448A7">
        <w:rPr>
          <w:lang w:val="fr-FR"/>
        </w:rPr>
        <w:t>Premièrement, le sujet proposé correspond aux besoins des États</w:t>
      </w:r>
      <w:r w:rsidRPr="00E9227E">
        <w:rPr>
          <w:rStyle w:val="Appelnotedebasdep"/>
        </w:rPr>
        <w:footnoteReference w:id="394"/>
      </w:r>
      <w:r w:rsidRPr="001448A7">
        <w:rPr>
          <w:lang w:val="fr-FR"/>
        </w:rPr>
        <w:t>. Les règles secondaires de responsabilité en matière d</w:t>
      </w:r>
      <w:r w:rsidR="004C5E26">
        <w:rPr>
          <w:lang w:val="fr-FR"/>
        </w:rPr>
        <w:t>’</w:t>
      </w:r>
      <w:r w:rsidRPr="001448A7">
        <w:rPr>
          <w:lang w:val="fr-FR"/>
        </w:rPr>
        <w:t>indemnisation revêtent une importance pratique croissante pour les États dans différents domaines du droit international et devant différentes juridictions internationales, comme en témoigne l</w:t>
      </w:r>
      <w:r w:rsidR="004C5E26">
        <w:rPr>
          <w:lang w:val="fr-FR"/>
        </w:rPr>
        <w:t>’</w:t>
      </w:r>
      <w:r w:rsidRPr="001448A7">
        <w:rPr>
          <w:lang w:val="fr-FR"/>
        </w:rPr>
        <w:t>invocation explicite fréquente, devant les juridictions internationales et dans les décisions qu</w:t>
      </w:r>
      <w:r w:rsidR="004C5E26">
        <w:rPr>
          <w:lang w:val="fr-FR"/>
        </w:rPr>
        <w:t>’</w:t>
      </w:r>
      <w:r w:rsidRPr="001448A7">
        <w:rPr>
          <w:lang w:val="fr-FR"/>
        </w:rPr>
        <w:t>elles rendent, de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et des dispositions connexes</w:t>
      </w:r>
      <w:r w:rsidRPr="00E9227E">
        <w:rPr>
          <w:rStyle w:val="Appelnotedebasdep"/>
        </w:rPr>
        <w:footnoteReference w:id="395"/>
      </w:r>
      <w:r w:rsidRPr="001448A7">
        <w:rPr>
          <w:lang w:val="fr-FR"/>
        </w:rPr>
        <w:t>. Tous les États peuvent être visés par des demandes d</w:t>
      </w:r>
      <w:r w:rsidR="004C5E26">
        <w:rPr>
          <w:lang w:val="fr-FR"/>
        </w:rPr>
        <w:t>’</w:t>
      </w:r>
      <w:r w:rsidRPr="001448A7">
        <w:rPr>
          <w:lang w:val="fr-FR"/>
        </w:rPr>
        <w:t xml:space="preserve">indemnisation </w:t>
      </w:r>
      <w:r w:rsidRPr="001448A7">
        <w:rPr>
          <w:i/>
          <w:iCs/>
          <w:lang w:val="fr-FR"/>
        </w:rPr>
        <w:t>et</w:t>
      </w:r>
      <w:r w:rsidRPr="001448A7">
        <w:rPr>
          <w:lang w:val="fr-FR"/>
        </w:rPr>
        <w:t xml:space="preserve"> eux</w:t>
      </w:r>
      <w:r w:rsidRPr="001448A7">
        <w:rPr>
          <w:lang w:val="fr-FR"/>
        </w:rPr>
        <w:noBreakHyphen/>
        <w:t>mêmes, ou leurs ressortissants directement, peuvent invoquer la responsabilité d</w:t>
      </w:r>
      <w:r w:rsidR="004C5E26">
        <w:rPr>
          <w:lang w:val="fr-FR"/>
        </w:rPr>
        <w:t>’</w:t>
      </w:r>
      <w:r w:rsidRPr="001448A7">
        <w:rPr>
          <w:lang w:val="fr-FR"/>
        </w:rPr>
        <w:t>autres États. On a montré dans l</w:t>
      </w:r>
      <w:r w:rsidR="004C5E26">
        <w:rPr>
          <w:lang w:val="fr-FR"/>
        </w:rPr>
        <w:t>’</w:t>
      </w:r>
      <w:r w:rsidRPr="001448A7">
        <w:rPr>
          <w:lang w:val="fr-FR"/>
        </w:rPr>
        <w:t xml:space="preserve">introduction </w:t>
      </w:r>
      <w:r w:rsidRPr="001448A7">
        <w:t>la quantité de faits nouveaux intervenus depuis 2001</w:t>
      </w:r>
      <w:r w:rsidRPr="001448A7">
        <w:rPr>
          <w:lang w:val="fr-FR"/>
        </w:rPr>
        <w:t xml:space="preserve">, notamment les décisions de la Cour internationale de Justice, des tribunaux statuant sur des plaintes déposées au titre de la Convention des Nations Unies sur le droit de la mer, du Tribunal des réclamations Iran-États-Unis, de la Commission des </w:t>
      </w:r>
      <w:r w:rsidR="000B7A07">
        <w:rPr>
          <w:lang w:val="fr-FR"/>
        </w:rPr>
        <w:t>réclamations</w:t>
      </w:r>
      <w:r w:rsidRPr="001448A7">
        <w:rPr>
          <w:lang w:val="fr-FR"/>
        </w:rPr>
        <w:t xml:space="preserve"> Érythrée</w:t>
      </w:r>
      <w:r w:rsidR="000B7A07">
        <w:rPr>
          <w:lang w:val="fr-FR"/>
        </w:rPr>
        <w:noBreakHyphen/>
      </w:r>
      <w:r w:rsidR="000B7A07" w:rsidRPr="001448A7">
        <w:rPr>
          <w:lang w:val="fr-FR"/>
        </w:rPr>
        <w:t>Éthiopie</w:t>
      </w:r>
      <w:r w:rsidRPr="001448A7">
        <w:rPr>
          <w:lang w:val="fr-FR"/>
        </w:rPr>
        <w:t>, des cours régionales et des organes universels d</w:t>
      </w:r>
      <w:r w:rsidR="004C5E26">
        <w:rPr>
          <w:lang w:val="fr-FR"/>
        </w:rPr>
        <w:t>’</w:t>
      </w:r>
      <w:r w:rsidRPr="001448A7">
        <w:rPr>
          <w:lang w:val="fr-FR"/>
        </w:rPr>
        <w:t>experts traitant des droits de l</w:t>
      </w:r>
      <w:r w:rsidR="004C5E26">
        <w:rPr>
          <w:lang w:val="fr-FR"/>
        </w:rPr>
        <w:t>’</w:t>
      </w:r>
      <w:r w:rsidRPr="001448A7">
        <w:rPr>
          <w:lang w:val="fr-FR"/>
        </w:rPr>
        <w:t>homme, des tribunaux d</w:t>
      </w:r>
      <w:r w:rsidR="004C5E26">
        <w:rPr>
          <w:lang w:val="fr-FR"/>
        </w:rPr>
        <w:t>’</w:t>
      </w:r>
      <w:r w:rsidRPr="001448A7">
        <w:rPr>
          <w:lang w:val="fr-FR"/>
        </w:rPr>
        <w:t>arbitrage entre investisseurs et États et des registres des dommages</w:t>
      </w:r>
      <w:r w:rsidRPr="00E9227E">
        <w:rPr>
          <w:rStyle w:val="Appelnotedebasdep"/>
        </w:rPr>
        <w:footnoteReference w:id="396"/>
      </w:r>
      <w:r w:rsidRPr="001448A7">
        <w:rPr>
          <w:lang w:val="fr-FR"/>
        </w:rPr>
        <w:t>. Des procédures contentieuses récemment engagées devant la Cour internationale de Justice dans le but précis d</w:t>
      </w:r>
      <w:r w:rsidR="004C5E26">
        <w:rPr>
          <w:lang w:val="fr-FR"/>
        </w:rPr>
        <w:t>’</w:t>
      </w:r>
      <w:r w:rsidRPr="001448A7">
        <w:rPr>
          <w:lang w:val="fr-FR"/>
        </w:rPr>
        <w:t>obtenir une indemnisation donnent à penser que la question de l</w:t>
      </w:r>
      <w:r w:rsidR="004C5E26">
        <w:rPr>
          <w:lang w:val="fr-FR"/>
        </w:rPr>
        <w:t>’</w:t>
      </w:r>
      <w:r w:rsidRPr="001448A7">
        <w:rPr>
          <w:lang w:val="fr-FR"/>
        </w:rPr>
        <w:t>indemnisation restera globalement importante à l</w:t>
      </w:r>
      <w:r w:rsidR="004C5E26">
        <w:rPr>
          <w:lang w:val="fr-FR"/>
        </w:rPr>
        <w:t>’</w:t>
      </w:r>
      <w:r w:rsidRPr="001448A7">
        <w:rPr>
          <w:lang w:val="fr-FR"/>
        </w:rPr>
        <w:t>avenir</w:t>
      </w:r>
      <w:bookmarkStart w:id="260" w:name="_Ref172535188"/>
      <w:r w:rsidRPr="00E9227E">
        <w:rPr>
          <w:rStyle w:val="Appelnotedebasdep"/>
        </w:rPr>
        <w:footnoteReference w:id="397"/>
      </w:r>
      <w:bookmarkEnd w:id="260"/>
      <w:r w:rsidRPr="001448A7">
        <w:rPr>
          <w:lang w:val="fr-FR"/>
        </w:rPr>
        <w:t>. Dans ces conditions, il semblerait qu</w:t>
      </w:r>
      <w:r w:rsidR="004C5E26">
        <w:rPr>
          <w:lang w:val="fr-FR"/>
        </w:rPr>
        <w:t>’</w:t>
      </w:r>
      <w:r w:rsidRPr="001448A7">
        <w:rPr>
          <w:lang w:val="fr-FR"/>
        </w:rPr>
        <w:t>il soit dans l</w:t>
      </w:r>
      <w:r w:rsidR="004C5E26">
        <w:rPr>
          <w:lang w:val="fr-FR"/>
        </w:rPr>
        <w:t>’</w:t>
      </w:r>
      <w:r w:rsidRPr="001448A7">
        <w:rPr>
          <w:lang w:val="fr-FR"/>
        </w:rPr>
        <w:t>intérêt commun des États de disposer de règles plus claires et de connaître les meilleurs exemples de leur application, afin de favoriser un règlement pacifique des différends internationaux devant des juridictions internationales, ou dans le cadre d</w:t>
      </w:r>
      <w:r w:rsidR="004C5E26">
        <w:rPr>
          <w:lang w:val="fr-FR"/>
        </w:rPr>
        <w:t>’</w:t>
      </w:r>
      <w:r w:rsidRPr="001448A7">
        <w:rPr>
          <w:lang w:val="fr-FR"/>
        </w:rPr>
        <w:t>autres instances moins formelles où des demandes d</w:t>
      </w:r>
      <w:r w:rsidR="004C5E26">
        <w:rPr>
          <w:lang w:val="fr-FR"/>
        </w:rPr>
        <w:t>’</w:t>
      </w:r>
      <w:r w:rsidRPr="001448A7">
        <w:rPr>
          <w:lang w:val="fr-FR"/>
        </w:rPr>
        <w:t xml:space="preserve">indemnisation − ou la </w:t>
      </w:r>
      <w:r w:rsidRPr="001448A7">
        <w:rPr>
          <w:lang w:val="fr-FR"/>
        </w:rPr>
        <w:lastRenderedPageBreak/>
        <w:t>défense contre de telles demandes − sont examinées, préparées et réglées</w:t>
      </w:r>
      <w:r w:rsidRPr="00E9227E">
        <w:rPr>
          <w:rStyle w:val="Appelnotedebasdep"/>
        </w:rPr>
        <w:footnoteReference w:id="398"/>
      </w:r>
      <w:r w:rsidRPr="001448A7">
        <w:rPr>
          <w:lang w:val="fr-FR"/>
        </w:rPr>
        <w:t>. Les travaux que la Commission a consacrés à la responsabilité internationale sont au cœur de cette évolution et la Commission, tenant compte des contributions importantes des juridictions ainsi que des organisations spécialisées, serait la mieux placée pour traiter le sujet au niveau général et universel</w:t>
      </w:r>
      <w:r w:rsidRPr="00E9227E">
        <w:rPr>
          <w:rStyle w:val="Appelnotedebasdep"/>
        </w:rPr>
        <w:footnoteReference w:id="399"/>
      </w:r>
      <w:r w:rsidRPr="001448A7">
        <w:rPr>
          <w:lang w:val="fr-FR"/>
        </w:rPr>
        <w:t>.</w:t>
      </w:r>
      <w:bookmarkStart w:id="261" w:name="_Ref170808674"/>
      <w:bookmarkEnd w:id="261"/>
    </w:p>
    <w:p w14:paraId="100CD095" w14:textId="2707BE04"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18.</w:t>
      </w:r>
      <w:r w:rsidRPr="001448A7">
        <w:rPr>
          <w:rFonts w:asciiTheme="majorBidi" w:hAnsiTheme="majorBidi" w:cstheme="majorBidi"/>
          <w:bCs/>
        </w:rPr>
        <w:tab/>
      </w:r>
      <w:r w:rsidRPr="001448A7">
        <w:rPr>
          <w:lang w:val="fr-FR"/>
        </w:rPr>
        <w:t>Deuxièmement, le sujet est suffisamment mûr sur le terrain de la pratique des États et des décisions judiciaires pour se prêter à une codification et un développement progressif</w:t>
      </w:r>
      <w:r w:rsidR="00916621">
        <w:rPr>
          <w:lang w:val="fr-FR"/>
        </w:rPr>
        <w:t>.</w:t>
      </w:r>
      <w:r w:rsidRPr="001448A7">
        <w:rPr>
          <w:lang w:val="fr-FR"/>
        </w:rPr>
        <w:t xml:space="preserve"> La Commission pourrait s</w:t>
      </w:r>
      <w:r w:rsidR="004C5E26">
        <w:rPr>
          <w:lang w:val="fr-FR"/>
        </w:rPr>
        <w:t>’</w:t>
      </w:r>
      <w:r w:rsidRPr="001448A7">
        <w:rPr>
          <w:lang w:val="fr-FR"/>
        </w:rPr>
        <w:t>appuyer sur ses précédents travaux concernant la responsabilité des États, la responsabilité des organisations internationales et la protection de l</w:t>
      </w:r>
      <w:r w:rsidR="004C5E26">
        <w:rPr>
          <w:lang w:val="fr-FR"/>
        </w:rPr>
        <w:t>’</w:t>
      </w:r>
      <w:r w:rsidRPr="001448A7">
        <w:rPr>
          <w:lang w:val="fr-FR"/>
        </w:rPr>
        <w:t>environnement en rapport avec les conflits armés, ainsi que sur les décisions rendues par des juridictions internationales dans différents domaines du droit international</w:t>
      </w:r>
      <w:r w:rsidRPr="00E9227E">
        <w:rPr>
          <w:rStyle w:val="Appelnotedebasdep"/>
        </w:rPr>
        <w:footnoteReference w:id="400"/>
      </w:r>
      <w:r w:rsidRPr="001448A7">
        <w:rPr>
          <w:lang w:val="fr-FR"/>
        </w:rPr>
        <w:t>. Grâce à la richesse et à la représentativité du corpus de décisions, en particulier celles rendues depuis l</w:t>
      </w:r>
      <w:r w:rsidR="004C5E26">
        <w:rPr>
          <w:lang w:val="fr-FR"/>
        </w:rPr>
        <w:t>’</w:t>
      </w:r>
      <w:r w:rsidRPr="001448A7">
        <w:rPr>
          <w:lang w:val="fr-FR"/>
        </w:rPr>
        <w:t>adoption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401"/>
      </w:r>
      <w:r w:rsidRPr="001448A7">
        <w:rPr>
          <w:lang w:val="fr-FR"/>
        </w:rPr>
        <w:t>, il devrait être possible, après une évaluation minutieuse, de déterminer des règles d</w:t>
      </w:r>
      <w:r w:rsidR="004C5E26">
        <w:rPr>
          <w:lang w:val="fr-FR"/>
        </w:rPr>
        <w:t>’</w:t>
      </w:r>
      <w:r w:rsidRPr="001448A7">
        <w:rPr>
          <w:lang w:val="fr-FR"/>
        </w:rPr>
        <w:t>indemnisation véritablement universelles qui reflètent les points de vue des différents systèmes juridiques et des différentes régions du monde</w:t>
      </w:r>
      <w:r w:rsidRPr="00E9227E">
        <w:rPr>
          <w:rStyle w:val="Appelnotedebasdep"/>
        </w:rPr>
        <w:footnoteReference w:id="402"/>
      </w:r>
      <w:r w:rsidRPr="001448A7">
        <w:rPr>
          <w:lang w:val="fr-FR"/>
        </w:rPr>
        <w:t>. Les principales décisions récentes ont été rendues au sujet de différends qui concernaient seulement des États africains ou seulement des États latino-américains</w:t>
      </w:r>
      <w:r w:rsidRPr="00E9227E">
        <w:rPr>
          <w:rStyle w:val="Appelnotedebasdep"/>
        </w:rPr>
        <w:footnoteReference w:id="403"/>
      </w:r>
      <w:r w:rsidRPr="001448A7">
        <w:rPr>
          <w:lang w:val="fr-FR"/>
        </w:rPr>
        <w:t xml:space="preserve"> (et dans d</w:t>
      </w:r>
      <w:r w:rsidR="004C5E26">
        <w:rPr>
          <w:lang w:val="fr-FR"/>
        </w:rPr>
        <w:t>’</w:t>
      </w:r>
      <w:r w:rsidRPr="001448A7">
        <w:rPr>
          <w:lang w:val="fr-FR"/>
        </w:rPr>
        <w:t>autres cas, des États d</w:t>
      </w:r>
      <w:r w:rsidR="004C5E26">
        <w:rPr>
          <w:lang w:val="fr-FR"/>
        </w:rPr>
        <w:t>’</w:t>
      </w:r>
      <w:r w:rsidRPr="001448A7">
        <w:rPr>
          <w:lang w:val="fr-FR"/>
        </w:rPr>
        <w:t>Europe occidentale et d</w:t>
      </w:r>
      <w:r w:rsidR="004C5E26">
        <w:rPr>
          <w:lang w:val="fr-FR"/>
        </w:rPr>
        <w:t>’</w:t>
      </w:r>
      <w:r w:rsidRPr="001448A7">
        <w:rPr>
          <w:lang w:val="fr-FR"/>
        </w:rPr>
        <w:t>autres États ont souvent été mis en cause)</w:t>
      </w:r>
      <w:r w:rsidRPr="00E9227E">
        <w:rPr>
          <w:rStyle w:val="Appelnotedebasdep"/>
        </w:rPr>
        <w:footnoteReference w:id="404"/>
      </w:r>
      <w:r w:rsidRPr="001448A7">
        <w:rPr>
          <w:lang w:val="fr-FR"/>
        </w:rPr>
        <w:t>, et les règles récentes ont été fortement influencées par les contributions des institutions régionales africaines et américaines</w:t>
      </w:r>
      <w:r w:rsidRPr="00E9227E">
        <w:rPr>
          <w:rStyle w:val="Appelnotedebasdep"/>
        </w:rPr>
        <w:footnoteReference w:id="405"/>
      </w:r>
      <w:r w:rsidRPr="001448A7">
        <w:rPr>
          <w:lang w:val="fr-FR"/>
        </w:rPr>
        <w:t xml:space="preserve">. Les principaux textes de </w:t>
      </w:r>
      <w:r w:rsidRPr="001448A7">
        <w:rPr>
          <w:lang w:val="fr-FR"/>
        </w:rPr>
        <w:lastRenderedPageBreak/>
        <w:t>la doctrine sur l</w:t>
      </w:r>
      <w:r w:rsidR="004C5E26">
        <w:rPr>
          <w:lang w:val="fr-FR"/>
        </w:rPr>
        <w:t>’</w:t>
      </w:r>
      <w:r w:rsidRPr="001448A7">
        <w:rPr>
          <w:lang w:val="fr-FR"/>
        </w:rPr>
        <w:t>indemnisation et la réparation sont aussi le reflet d</w:t>
      </w:r>
      <w:r w:rsidR="004C5E26">
        <w:rPr>
          <w:lang w:val="fr-FR"/>
        </w:rPr>
        <w:t>’</w:t>
      </w:r>
      <w:r w:rsidRPr="001448A7">
        <w:rPr>
          <w:lang w:val="fr-FR"/>
        </w:rPr>
        <w:t>une grande diversité de genres</w:t>
      </w:r>
      <w:r w:rsidRPr="00E9227E">
        <w:rPr>
          <w:rStyle w:val="Appelnotedebasdep"/>
        </w:rPr>
        <w:footnoteReference w:id="406"/>
      </w:r>
      <w:r w:rsidRPr="001448A7">
        <w:rPr>
          <w:lang w:val="fr-FR"/>
        </w:rPr>
        <w:t>.</w:t>
      </w:r>
    </w:p>
    <w:p w14:paraId="56AAAFE1" w14:textId="12EAF1BC"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19.</w:t>
      </w:r>
      <w:r w:rsidRPr="001448A7">
        <w:rPr>
          <w:rFonts w:asciiTheme="majorBidi" w:hAnsiTheme="majorBidi" w:cstheme="majorBidi"/>
          <w:bCs/>
        </w:rPr>
        <w:tab/>
      </w:r>
      <w:r w:rsidRPr="001448A7">
        <w:rPr>
          <w:lang w:val="fr-FR"/>
        </w:rPr>
        <w:t>Troisièmement, le sujet est concret et suffisamment facile à traiter aux fins du développement progressif et de la codification</w:t>
      </w:r>
      <w:r w:rsidRPr="00E9227E">
        <w:rPr>
          <w:rStyle w:val="Appelnotedebasdep"/>
        </w:rPr>
        <w:footnoteReference w:id="407"/>
      </w:r>
      <w:r w:rsidRPr="001448A7">
        <w:rPr>
          <w:lang w:val="fr-FR"/>
        </w:rPr>
        <w:t>. Le sujet relève du droit de la responsabilité internationale, qui est l</w:t>
      </w:r>
      <w:r w:rsidR="004C5E26">
        <w:rPr>
          <w:lang w:val="fr-FR"/>
        </w:rPr>
        <w:t>’</w:t>
      </w:r>
      <w:r w:rsidRPr="001448A7">
        <w:rPr>
          <w:lang w:val="fr-FR"/>
        </w:rPr>
        <w:t>un des domaines dans lesquels, en raison de son caractère universaliste et généraliste, la Commission a depuis longtemps une expertise considérable</w:t>
      </w:r>
      <w:r w:rsidRPr="00E9227E">
        <w:rPr>
          <w:rStyle w:val="Appelnotedebasdep"/>
        </w:rPr>
        <w:footnoteReference w:id="408"/>
      </w:r>
      <w:r w:rsidRPr="001448A7">
        <w:rPr>
          <w:lang w:val="fr-FR"/>
        </w:rPr>
        <w:t>. Des juridictions internationales ont considéré que le projet d</w:t>
      </w:r>
      <w:r w:rsidR="004C5E26">
        <w:rPr>
          <w:lang w:val="fr-FR"/>
        </w:rPr>
        <w:t>’</w:t>
      </w:r>
      <w:r w:rsidRPr="001448A7">
        <w:rPr>
          <w:lang w:val="fr-FR"/>
        </w:rPr>
        <w:t>articles sur la protection diplomatique, quelque peu similaire au présent sujet proposé par la façon dont il a été circonscrit, reflétait le droit international coutumier sur plusieurs points</w:t>
      </w:r>
      <w:r w:rsidRPr="00E9227E">
        <w:rPr>
          <w:rStyle w:val="Appelnotedebasdep"/>
        </w:rPr>
        <w:footnoteReference w:id="409"/>
      </w:r>
      <w:r w:rsidRPr="001448A7">
        <w:rPr>
          <w:lang w:val="fr-FR"/>
        </w:rPr>
        <w:t>.</w:t>
      </w:r>
    </w:p>
    <w:p w14:paraId="6D2A3D14" w14:textId="2AE2D83C"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20.</w:t>
      </w:r>
      <w:r w:rsidRPr="001448A7">
        <w:rPr>
          <w:rFonts w:asciiTheme="majorBidi" w:hAnsiTheme="majorBidi" w:cstheme="majorBidi"/>
          <w:bCs/>
        </w:rPr>
        <w:tab/>
      </w:r>
      <w:r w:rsidRPr="001448A7">
        <w:rPr>
          <w:lang w:val="fr-FR"/>
        </w:rPr>
        <w:t>Quatrièmement, si l</w:t>
      </w:r>
      <w:r w:rsidR="004C5E26">
        <w:rPr>
          <w:lang w:val="fr-FR"/>
        </w:rPr>
        <w:t>’</w:t>
      </w:r>
      <w:r w:rsidRPr="001448A7">
        <w:rPr>
          <w:lang w:val="fr-FR"/>
        </w:rPr>
        <w:t>indemnisation est un sujet traditionnel dans le domaine de la responsabilité des États, la présente proposition est motivée par l</w:t>
      </w:r>
      <w:r w:rsidR="004C5E26">
        <w:rPr>
          <w:lang w:val="fr-FR"/>
        </w:rPr>
        <w:t>’</w:t>
      </w:r>
      <w:r w:rsidRPr="001448A7">
        <w:rPr>
          <w:lang w:val="fr-FR"/>
        </w:rPr>
        <w:t>évolution constatée en droit international, en particulier le nombre de décisions adoptées par des juridictions internationales sur le sujet depuis l</w:t>
      </w:r>
      <w:r w:rsidR="004C5E26">
        <w:rPr>
          <w:lang w:val="fr-FR"/>
        </w:rPr>
        <w:t>’</w:t>
      </w:r>
      <w:r w:rsidRPr="001448A7">
        <w:rPr>
          <w:lang w:val="fr-FR"/>
        </w:rPr>
        <w:t>adoption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la qualité de ces décisions, ainsi que leur importance accrue dans les relations internationales</w:t>
      </w:r>
      <w:r w:rsidRPr="00E9227E">
        <w:rPr>
          <w:rStyle w:val="Appelnotedebasdep"/>
        </w:rPr>
        <w:footnoteReference w:id="410"/>
      </w:r>
      <w:r w:rsidRPr="001448A7">
        <w:rPr>
          <w:lang w:val="fr-FR"/>
        </w:rPr>
        <w:t>.</w:t>
      </w:r>
    </w:p>
    <w:p w14:paraId="08760927" w14:textId="61E36FC0" w:rsidR="005D2955" w:rsidRPr="001448A7" w:rsidRDefault="005D2955" w:rsidP="005D2955">
      <w:pPr>
        <w:pStyle w:val="SingleTxtG"/>
        <w:tabs>
          <w:tab w:val="clear" w:pos="2268"/>
        </w:tabs>
        <w:rPr>
          <w:rFonts w:asciiTheme="majorBidi" w:hAnsiTheme="majorBidi" w:cstheme="majorBidi"/>
          <w:b/>
          <w:bCs/>
        </w:rPr>
      </w:pPr>
      <w:r w:rsidRPr="001448A7">
        <w:rPr>
          <w:rFonts w:asciiTheme="majorBidi" w:hAnsiTheme="majorBidi" w:cstheme="majorBidi"/>
          <w:bCs/>
        </w:rPr>
        <w:t>21.</w:t>
      </w:r>
      <w:r w:rsidRPr="001448A7">
        <w:rPr>
          <w:rFonts w:asciiTheme="majorBidi" w:hAnsiTheme="majorBidi" w:cstheme="majorBidi"/>
          <w:bCs/>
        </w:rPr>
        <w:tab/>
      </w:r>
      <w:r w:rsidRPr="001448A7">
        <w:rPr>
          <w:lang w:val="fr-FR"/>
        </w:rPr>
        <w:t>Enfin, la pratique récente de la Commission permet de conclure que le sujet de l</w:t>
      </w:r>
      <w:r w:rsidR="004C5E26">
        <w:rPr>
          <w:lang w:val="fr-FR"/>
        </w:rPr>
        <w:t>’</w:t>
      </w:r>
      <w:r w:rsidRPr="001448A7">
        <w:rPr>
          <w:lang w:val="fr-FR"/>
        </w:rPr>
        <w:t>indemnisation satisfait aux critères. En 2019, la Commission a inclus dans le programme de travail à long terme le sujet proposé par M.</w:t>
      </w:r>
      <w:r w:rsidR="00916621">
        <w:rPr>
          <w:lang w:val="fr-FR"/>
        </w:rPr>
        <w:t> </w:t>
      </w:r>
      <w:r w:rsidRPr="001448A7">
        <w:rPr>
          <w:lang w:val="fr-FR"/>
        </w:rPr>
        <w:t>Claudio</w:t>
      </w:r>
      <w:r w:rsidR="00916621">
        <w:rPr>
          <w:lang w:val="fr-FR"/>
        </w:rPr>
        <w:t> </w:t>
      </w:r>
      <w:r w:rsidRPr="001448A7">
        <w:rPr>
          <w:lang w:val="fr-FR"/>
        </w:rPr>
        <w:t xml:space="preserve">Grossman </w:t>
      </w:r>
      <w:proofErr w:type="spellStart"/>
      <w:r w:rsidRPr="001448A7">
        <w:rPr>
          <w:lang w:val="fr-FR"/>
        </w:rPr>
        <w:t>Guiloff</w:t>
      </w:r>
      <w:proofErr w:type="spellEnd"/>
      <w:r w:rsidRPr="001448A7">
        <w:rPr>
          <w:lang w:val="fr-FR"/>
        </w:rPr>
        <w:t>, « Réparation due aux personnes victimes de violations flagrantes du droit international des droits de l</w:t>
      </w:r>
      <w:r w:rsidR="004C5E26">
        <w:rPr>
          <w:lang w:val="fr-FR"/>
        </w:rPr>
        <w:t>’</w:t>
      </w:r>
      <w:r w:rsidRPr="001448A7">
        <w:rPr>
          <w:lang w:val="fr-FR"/>
        </w:rPr>
        <w:t>homme et de violations graves du droit international humanitaire », dans le cadre duquel l</w:t>
      </w:r>
      <w:r w:rsidR="004C5E26">
        <w:rPr>
          <w:lang w:val="fr-FR"/>
        </w:rPr>
        <w:t>’</w:t>
      </w:r>
      <w:r w:rsidRPr="001448A7">
        <w:rPr>
          <w:lang w:val="fr-FR"/>
        </w:rPr>
        <w:t>indemnisation est considérée comme l</w:t>
      </w:r>
      <w:r w:rsidR="004C5E26">
        <w:rPr>
          <w:lang w:val="fr-FR"/>
        </w:rPr>
        <w:t>’</w:t>
      </w:r>
      <w:r w:rsidRPr="001448A7">
        <w:rPr>
          <w:lang w:val="fr-FR"/>
        </w:rPr>
        <w:t>un des éléments de la réparation intégrale en cas de violation de ces obligations primaires</w:t>
      </w:r>
      <w:r w:rsidRPr="00E9227E">
        <w:rPr>
          <w:rStyle w:val="Appelnotedebasdep"/>
        </w:rPr>
        <w:footnoteReference w:id="411"/>
      </w:r>
      <w:r w:rsidRPr="001448A7">
        <w:rPr>
          <w:lang w:val="fr-FR"/>
        </w:rPr>
        <w:t>. Dans le cadre d</w:t>
      </w:r>
      <w:r w:rsidR="004C5E26">
        <w:rPr>
          <w:lang w:val="fr-FR"/>
        </w:rPr>
        <w:t>’</w:t>
      </w:r>
      <w:r w:rsidRPr="001448A7">
        <w:rPr>
          <w:lang w:val="fr-FR"/>
        </w:rPr>
        <w:t>autres sujets dont l</w:t>
      </w:r>
      <w:r w:rsidR="004C5E26">
        <w:rPr>
          <w:lang w:val="fr-FR"/>
        </w:rPr>
        <w:t>’</w:t>
      </w:r>
      <w:r w:rsidRPr="001448A7">
        <w:rPr>
          <w:lang w:val="fr-FR"/>
        </w:rPr>
        <w:t>examen est achevé, l</w:t>
      </w:r>
      <w:r w:rsidR="004C5E26">
        <w:rPr>
          <w:lang w:val="fr-FR"/>
        </w:rPr>
        <w:t>’</w:t>
      </w:r>
      <w:r w:rsidRPr="001448A7">
        <w:rPr>
          <w:lang w:val="fr-FR"/>
        </w:rPr>
        <w:t>indemnisation a été vue comme un élément d</w:t>
      </w:r>
      <w:r w:rsidR="004C5E26">
        <w:rPr>
          <w:lang w:val="fr-FR"/>
        </w:rPr>
        <w:t>’</w:t>
      </w:r>
      <w:r w:rsidRPr="001448A7">
        <w:rPr>
          <w:lang w:val="fr-FR"/>
        </w:rPr>
        <w:t>une réparation intégrale en cas de violation des obligations primaires concernées</w:t>
      </w:r>
      <w:r w:rsidRPr="00E9227E">
        <w:rPr>
          <w:rStyle w:val="Appelnotedebasdep"/>
        </w:rPr>
        <w:footnoteReference w:id="412"/>
      </w:r>
      <w:r w:rsidRPr="001448A7">
        <w:rPr>
          <w:lang w:val="fr-FR"/>
        </w:rPr>
        <w:t xml:space="preserve">. Ces exemples, quoique très différents du </w:t>
      </w:r>
      <w:r w:rsidRPr="001448A7">
        <w:rPr>
          <w:lang w:val="fr-FR"/>
        </w:rPr>
        <w:lastRenderedPageBreak/>
        <w:t>sujet proposé qui porte sur l</w:t>
      </w:r>
      <w:r w:rsidR="004C5E26">
        <w:rPr>
          <w:lang w:val="fr-FR"/>
        </w:rPr>
        <w:t>’</w:t>
      </w:r>
      <w:r w:rsidRPr="001448A7">
        <w:rPr>
          <w:lang w:val="fr-FR"/>
        </w:rPr>
        <w:t>indemnisation au titre de règles secondaires générales et ne se limite pas à la responsabilité en cas de violation d</w:t>
      </w:r>
      <w:r w:rsidR="004C5E26">
        <w:rPr>
          <w:lang w:val="fr-FR"/>
        </w:rPr>
        <w:t>’</w:t>
      </w:r>
      <w:r w:rsidRPr="001448A7">
        <w:rPr>
          <w:lang w:val="fr-FR"/>
        </w:rPr>
        <w:t>obligations primaires particulières, montrent que la Commission a récemment considéré certaines questions connexes comme relevant de son mandat.</w:t>
      </w:r>
    </w:p>
    <w:p w14:paraId="3349CB66" w14:textId="77777777" w:rsidR="005D2955" w:rsidRPr="001448A7" w:rsidRDefault="005D2955" w:rsidP="005D2955">
      <w:pPr>
        <w:pStyle w:val="HChG"/>
      </w:pPr>
      <w:r w:rsidRPr="001448A7">
        <w:rPr>
          <w:lang w:val="fr-FR"/>
        </w:rPr>
        <w:tab/>
        <w:t>III.</w:t>
      </w:r>
      <w:r w:rsidRPr="001448A7">
        <w:rPr>
          <w:lang w:val="fr-FR"/>
        </w:rPr>
        <w:tab/>
        <w:t>Travaux antérieurs de la Commission sur le sujet proposé</w:t>
      </w:r>
    </w:p>
    <w:p w14:paraId="310CE4AB" w14:textId="2DECC5CC" w:rsidR="005D2955" w:rsidRPr="001448A7" w:rsidRDefault="005D2955" w:rsidP="005D2955">
      <w:pPr>
        <w:pStyle w:val="SingleTxtG"/>
        <w:tabs>
          <w:tab w:val="clear" w:pos="2268"/>
        </w:tabs>
        <w:rPr>
          <w:rFonts w:asciiTheme="majorBidi" w:hAnsiTheme="majorBidi" w:cstheme="majorBidi"/>
        </w:rPr>
      </w:pPr>
      <w:r w:rsidRPr="001448A7">
        <w:rPr>
          <w:rFonts w:asciiTheme="majorBidi" w:hAnsiTheme="majorBidi" w:cstheme="majorBidi"/>
          <w:bCs/>
        </w:rPr>
        <w:t>22.</w:t>
      </w:r>
      <w:r w:rsidRPr="001448A7">
        <w:rPr>
          <w:rFonts w:asciiTheme="majorBidi" w:hAnsiTheme="majorBidi" w:cstheme="majorBidi"/>
          <w:bCs/>
        </w:rPr>
        <w:tab/>
      </w:r>
      <w:r w:rsidRPr="001448A7">
        <w:rPr>
          <w:lang w:val="fr-FR"/>
        </w:rPr>
        <w:t>La position de la Commission sur l</w:t>
      </w:r>
      <w:r w:rsidR="004C5E26">
        <w:rPr>
          <w:lang w:val="fr-FR"/>
        </w:rPr>
        <w:t>’</w:t>
      </w:r>
      <w:r w:rsidRPr="001448A7">
        <w:rPr>
          <w:lang w:val="fr-FR"/>
        </w:rPr>
        <w:t>indemnisation dans le cadre du droit international de la responsabilité des États, qu</w:t>
      </w:r>
      <w:r w:rsidR="004C5E26">
        <w:rPr>
          <w:lang w:val="fr-FR"/>
        </w:rPr>
        <w:t>’</w:t>
      </w:r>
      <w:r w:rsidRPr="001448A7">
        <w:rPr>
          <w:lang w:val="fr-FR"/>
        </w:rPr>
        <w:t>elle a adoptée dans le cadre de son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remonte à l</w:t>
      </w:r>
      <w:r w:rsidR="004C5E26">
        <w:rPr>
          <w:lang w:val="fr-FR"/>
        </w:rPr>
        <w:t>’</w:t>
      </w:r>
      <w:r w:rsidRPr="001448A7">
        <w:rPr>
          <w:lang w:val="fr-FR"/>
        </w:rPr>
        <w:t xml:space="preserve">époque du quatrième Rapporteur spécial sur la responsabilité des États, M. Gaetano </w:t>
      </w:r>
      <w:proofErr w:type="spellStart"/>
      <w:r w:rsidRPr="001448A7">
        <w:rPr>
          <w:lang w:val="fr-FR"/>
        </w:rPr>
        <w:t>Arangio</w:t>
      </w:r>
      <w:proofErr w:type="spellEnd"/>
      <w:r w:rsidRPr="001448A7">
        <w:rPr>
          <w:lang w:val="fr-FR"/>
        </w:rPr>
        <w:t>-Ruiz</w:t>
      </w:r>
      <w:r w:rsidRPr="00E9227E">
        <w:rPr>
          <w:rStyle w:val="Appelnotedebasdep"/>
        </w:rPr>
        <w:footnoteReference w:id="413"/>
      </w:r>
      <w:r w:rsidRPr="001448A7">
        <w:rPr>
          <w:lang w:val="fr-FR"/>
        </w:rPr>
        <w:t>. En 1993, la Commission a adopté en première lecture le projet d</w:t>
      </w:r>
      <w:r w:rsidR="004C5E26">
        <w:rPr>
          <w:lang w:val="fr-FR"/>
        </w:rPr>
        <w:t>’</w:t>
      </w:r>
      <w:r w:rsidRPr="001448A7">
        <w:rPr>
          <w:lang w:val="fr-FR"/>
        </w:rPr>
        <w:t>article 8 (« Indemnisation ») et les commentaires y relatifs</w:t>
      </w:r>
      <w:r w:rsidRPr="00E9227E">
        <w:rPr>
          <w:rStyle w:val="Appelnotedebasdep"/>
        </w:rPr>
        <w:footnoteReference w:id="414"/>
      </w:r>
      <w:r w:rsidRPr="001448A7">
        <w:rPr>
          <w:lang w:val="fr-FR"/>
        </w:rPr>
        <w:t xml:space="preserve"> (ce projet est devenu, après renumérotation, l</w:t>
      </w:r>
      <w:r w:rsidR="004C5E26">
        <w:rPr>
          <w:lang w:val="fr-FR"/>
        </w:rPr>
        <w:t>’</w:t>
      </w:r>
      <w:r w:rsidRPr="001448A7">
        <w:rPr>
          <w:lang w:val="fr-FR"/>
        </w:rPr>
        <w:t>article 44 dans le projet d</w:t>
      </w:r>
      <w:r w:rsidR="004C5E26">
        <w:rPr>
          <w:lang w:val="fr-FR"/>
        </w:rPr>
        <w:t>’</w:t>
      </w:r>
      <w:r w:rsidRPr="001448A7">
        <w:rPr>
          <w:lang w:val="fr-FR"/>
        </w:rPr>
        <w:t>articles de 1996 sur la responsabilité des États) :</w:t>
      </w:r>
    </w:p>
    <w:p w14:paraId="56AD3B14" w14:textId="5F85864E" w:rsidR="005D2955" w:rsidRPr="001448A7" w:rsidRDefault="005D2955" w:rsidP="005D2955">
      <w:pPr>
        <w:pStyle w:val="SingleTxtG"/>
        <w:ind w:left="1701"/>
      </w:pPr>
      <w:r w:rsidRPr="001448A7">
        <w:rPr>
          <w:lang w:val="fr-FR"/>
        </w:rPr>
        <w:t>« 1.</w:t>
      </w:r>
      <w:r w:rsidRPr="001448A7">
        <w:rPr>
          <w:lang w:val="fr-FR"/>
        </w:rPr>
        <w:tab/>
        <w:t>L</w:t>
      </w:r>
      <w:r w:rsidR="004C5E26">
        <w:rPr>
          <w:lang w:val="fr-FR"/>
        </w:rPr>
        <w:t>’</w:t>
      </w:r>
      <w:r w:rsidRPr="001448A7">
        <w:rPr>
          <w:lang w:val="fr-FR"/>
        </w:rPr>
        <w:t>État lésé est en droit d</w:t>
      </w:r>
      <w:r w:rsidR="004C5E26">
        <w:rPr>
          <w:lang w:val="fr-FR"/>
        </w:rPr>
        <w:t>’</w:t>
      </w:r>
      <w:r w:rsidRPr="001448A7">
        <w:rPr>
          <w:lang w:val="fr-FR"/>
        </w:rPr>
        <w:t>obtenir de l</w:t>
      </w:r>
      <w:r w:rsidR="004C5E26">
        <w:rPr>
          <w:lang w:val="fr-FR"/>
        </w:rPr>
        <w:t>’</w:t>
      </w:r>
      <w:r w:rsidRPr="001448A7">
        <w:rPr>
          <w:lang w:val="fr-FR"/>
        </w:rPr>
        <w:t>État qui a commis un fait internationalement illicite une indemnisation pour le dommage causé par ce fait si, et dans la mesure où, le dommage n</w:t>
      </w:r>
      <w:r w:rsidR="004C5E26">
        <w:rPr>
          <w:lang w:val="fr-FR"/>
        </w:rPr>
        <w:t>’</w:t>
      </w:r>
      <w:r w:rsidRPr="001448A7">
        <w:rPr>
          <w:lang w:val="fr-FR"/>
        </w:rPr>
        <w:t>est pas réparé par la restitution en nature</w:t>
      </w:r>
      <w:r w:rsidR="00F37F9F">
        <w:rPr>
          <w:lang w:val="fr-FR"/>
        </w:rPr>
        <w:t> ;</w:t>
      </w:r>
    </w:p>
    <w:p w14:paraId="4EC048A1" w14:textId="549993DF" w:rsidR="005D2955" w:rsidRPr="001448A7" w:rsidRDefault="005D2955" w:rsidP="005D2955">
      <w:pPr>
        <w:pStyle w:val="SingleTxtG"/>
        <w:ind w:left="1701"/>
      </w:pPr>
      <w:r w:rsidRPr="001448A7">
        <w:rPr>
          <w:lang w:val="fr-FR"/>
        </w:rPr>
        <w:t>2.</w:t>
      </w:r>
      <w:r w:rsidRPr="001448A7">
        <w:rPr>
          <w:lang w:val="fr-FR"/>
        </w:rPr>
        <w:tab/>
        <w:t>Aux fins du présent article, l</w:t>
      </w:r>
      <w:r w:rsidR="004C5E26">
        <w:rPr>
          <w:lang w:val="fr-FR"/>
        </w:rPr>
        <w:t>’</w:t>
      </w:r>
      <w:r w:rsidRPr="001448A7">
        <w:rPr>
          <w:lang w:val="fr-FR"/>
        </w:rPr>
        <w:t>indemnisation couvre tout dommage susceptible d</w:t>
      </w:r>
      <w:r w:rsidR="004C5E26">
        <w:rPr>
          <w:lang w:val="fr-FR"/>
        </w:rPr>
        <w:t>’</w:t>
      </w:r>
      <w:r w:rsidRPr="001448A7">
        <w:rPr>
          <w:lang w:val="fr-FR"/>
        </w:rPr>
        <w:t>évaluation économique subi par l</w:t>
      </w:r>
      <w:r w:rsidR="004C5E26">
        <w:rPr>
          <w:lang w:val="fr-FR"/>
        </w:rPr>
        <w:t>’</w:t>
      </w:r>
      <w:r w:rsidRPr="001448A7">
        <w:rPr>
          <w:lang w:val="fr-FR"/>
        </w:rPr>
        <w:t>État lésé et peut comprendre des intérêts et, le cas échéant, le manque à gagner. »</w:t>
      </w:r>
      <w:r w:rsidRPr="00E9227E">
        <w:rPr>
          <w:rStyle w:val="Appelnotedebasdep"/>
        </w:rPr>
        <w:footnoteReference w:id="415"/>
      </w:r>
      <w:r w:rsidRPr="001448A7">
        <w:rPr>
          <w:lang w:val="fr-FR"/>
        </w:rPr>
        <w:t>.</w:t>
      </w:r>
    </w:p>
    <w:p w14:paraId="41AF2493" w14:textId="15770709" w:rsidR="005D2955" w:rsidRPr="001448A7" w:rsidRDefault="005D2955" w:rsidP="005D2955">
      <w:pPr>
        <w:pStyle w:val="SingleTxtG"/>
        <w:tabs>
          <w:tab w:val="clear" w:pos="2268"/>
        </w:tabs>
        <w:rPr>
          <w:rFonts w:asciiTheme="majorBidi" w:hAnsiTheme="majorBidi" w:cstheme="majorBidi"/>
          <w:b/>
          <w:lang w:val="fr-FR"/>
        </w:rPr>
      </w:pPr>
      <w:r w:rsidRPr="001448A7">
        <w:rPr>
          <w:rFonts w:asciiTheme="majorBidi" w:hAnsiTheme="majorBidi" w:cstheme="majorBidi"/>
          <w:bCs/>
          <w:lang w:val="fr-FR"/>
        </w:rPr>
        <w:t>23.</w:t>
      </w:r>
      <w:r w:rsidRPr="001448A7">
        <w:rPr>
          <w:rFonts w:asciiTheme="majorBidi" w:hAnsiTheme="majorBidi" w:cstheme="majorBidi"/>
          <w:bCs/>
          <w:lang w:val="fr-FR"/>
        </w:rPr>
        <w:tab/>
      </w:r>
      <w:r w:rsidRPr="001448A7">
        <w:rPr>
          <w:lang w:val="fr-FR"/>
        </w:rPr>
        <w:t>Le cinquième Rapporteur spécial sur la responsabilité des États, M. James</w:t>
      </w:r>
      <w:r w:rsidR="00F37F9F">
        <w:rPr>
          <w:lang w:val="fr-FR"/>
        </w:rPr>
        <w:t> </w:t>
      </w:r>
      <w:r w:rsidRPr="001448A7">
        <w:rPr>
          <w:lang w:val="fr-FR"/>
        </w:rPr>
        <w:t>Crawford, a abordé la question de l</w:t>
      </w:r>
      <w:r w:rsidR="004C5E26">
        <w:rPr>
          <w:lang w:val="fr-FR"/>
        </w:rPr>
        <w:t>’</w:t>
      </w:r>
      <w:r w:rsidRPr="001448A7">
        <w:rPr>
          <w:lang w:val="fr-FR"/>
        </w:rPr>
        <w:t>indemnisation en 2000 dans son troisième rapport sur la responsabilité des États</w:t>
      </w:r>
      <w:r w:rsidRPr="00E9227E">
        <w:rPr>
          <w:rStyle w:val="Appelnotedebasdep"/>
        </w:rPr>
        <w:footnoteReference w:id="416"/>
      </w:r>
      <w:r w:rsidRPr="001448A7">
        <w:rPr>
          <w:lang w:val="fr-FR"/>
        </w:rPr>
        <w:t>. Selon lui, la Commission « était placée devant une alternative : elle pouvait soit rédiger l</w:t>
      </w:r>
      <w:r w:rsidR="004C5E26">
        <w:rPr>
          <w:lang w:val="fr-FR"/>
        </w:rPr>
        <w:t>’</w:t>
      </w:r>
      <w:r w:rsidRPr="001448A7">
        <w:rPr>
          <w:lang w:val="fr-FR"/>
        </w:rPr>
        <w:t>article 44 de façon succincte et y fixer un principe très général en termes souples, soit s</w:t>
      </w:r>
      <w:r w:rsidR="004C5E26">
        <w:rPr>
          <w:lang w:val="fr-FR"/>
        </w:rPr>
        <w:t>’</w:t>
      </w:r>
      <w:r w:rsidRPr="001448A7">
        <w:rPr>
          <w:lang w:val="fr-FR"/>
        </w:rPr>
        <w:t>avancer quelque peu dans le détail et chercher à être exhaustive »</w:t>
      </w:r>
      <w:r w:rsidRPr="00E9227E">
        <w:rPr>
          <w:rStyle w:val="Appelnotedebasdep"/>
        </w:rPr>
        <w:footnoteReference w:id="417"/>
      </w:r>
      <w:r w:rsidRPr="001448A7">
        <w:rPr>
          <w:lang w:val="fr-FR"/>
        </w:rPr>
        <w:t>. Crawford a souligné qu</w:t>
      </w:r>
      <w:r w:rsidR="004C5E26">
        <w:rPr>
          <w:lang w:val="fr-FR"/>
        </w:rPr>
        <w:t>’</w:t>
      </w:r>
      <w:r w:rsidRPr="001448A7">
        <w:rPr>
          <w:lang w:val="fr-FR"/>
        </w:rPr>
        <w:t>il était indispensable de tenir compte des différentes relations juridiques en cause, y compris des relations juridiques avec des entités non étatiques</w:t>
      </w:r>
      <w:r w:rsidRPr="00E9227E">
        <w:rPr>
          <w:rStyle w:val="Appelnotedebasdep"/>
        </w:rPr>
        <w:footnoteReference w:id="418"/>
      </w:r>
      <w:r w:rsidRPr="001448A7">
        <w:rPr>
          <w:lang w:val="fr-FR"/>
        </w:rPr>
        <w:t>. Compte tenu de cette discussion, en 2000, le Comité de rédaction a provisoirement adopté en seconde lecture le projet d</w:t>
      </w:r>
      <w:r w:rsidR="004C5E26">
        <w:rPr>
          <w:lang w:val="fr-FR"/>
        </w:rPr>
        <w:t>’</w:t>
      </w:r>
      <w:r w:rsidRPr="001448A7">
        <w:rPr>
          <w:lang w:val="fr-FR"/>
        </w:rPr>
        <w:t>article 37 (« Indemnisation »), dont le libellé était identique à celui de l</w:t>
      </w:r>
      <w:r w:rsidR="004C5E26">
        <w:rPr>
          <w:lang w:val="fr-FR"/>
        </w:rPr>
        <w:t>’</w:t>
      </w:r>
      <w:r w:rsidRPr="001448A7">
        <w:rPr>
          <w:lang w:val="fr-FR"/>
        </w:rPr>
        <w:t>article</w:t>
      </w:r>
      <w:r w:rsidR="00F37F9F">
        <w:rPr>
          <w:lang w:val="fr-FR"/>
        </w:rPr>
        <w:t> </w:t>
      </w:r>
      <w:r w:rsidRPr="001448A7">
        <w:rPr>
          <w:lang w:val="fr-FR"/>
        </w:rPr>
        <w:t>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419"/>
      </w:r>
      <w:r w:rsidRPr="001448A7">
        <w:rPr>
          <w:lang w:val="fr-FR"/>
        </w:rPr>
        <w:t>. L</w:t>
      </w:r>
      <w:r w:rsidR="004C5E26">
        <w:rPr>
          <w:lang w:val="fr-FR"/>
        </w:rPr>
        <w:t>’</w:t>
      </w:r>
      <w:r w:rsidRPr="001448A7">
        <w:rPr>
          <w:lang w:val="fr-FR"/>
        </w:rPr>
        <w:t>accueil des États a été généralement bon</w:t>
      </w:r>
      <w:r w:rsidRPr="00E9227E">
        <w:rPr>
          <w:rStyle w:val="Appelnotedebasdep"/>
        </w:rPr>
        <w:footnoteReference w:id="420"/>
      </w:r>
      <w:r w:rsidRPr="001448A7">
        <w:rPr>
          <w:lang w:val="fr-FR"/>
        </w:rPr>
        <w:t xml:space="preserve"> et, en 2001, le Comité de rédaction a décidé de conserver le texte de l</w:t>
      </w:r>
      <w:r w:rsidR="004C5E26">
        <w:rPr>
          <w:lang w:val="fr-FR"/>
        </w:rPr>
        <w:t>’</w:t>
      </w:r>
      <w:r w:rsidRPr="001448A7">
        <w:rPr>
          <w:lang w:val="fr-FR"/>
        </w:rPr>
        <w:t>année précédente sans aucune modification</w:t>
      </w:r>
      <w:r w:rsidRPr="00E9227E">
        <w:rPr>
          <w:rStyle w:val="Appelnotedebasdep"/>
        </w:rPr>
        <w:footnoteReference w:id="421"/>
      </w:r>
      <w:r w:rsidRPr="001448A7">
        <w:rPr>
          <w:lang w:val="fr-FR"/>
        </w:rPr>
        <w:t>.</w:t>
      </w:r>
    </w:p>
    <w:p w14:paraId="771AFE4E" w14:textId="3EBD7A19" w:rsidR="005D2955" w:rsidRPr="001448A7" w:rsidRDefault="005D2955" w:rsidP="005D2955">
      <w:pPr>
        <w:pStyle w:val="SingleTxtG"/>
        <w:tabs>
          <w:tab w:val="clear" w:pos="2268"/>
        </w:tabs>
        <w:rPr>
          <w:rFonts w:asciiTheme="majorBidi" w:hAnsiTheme="majorBidi" w:cstheme="majorBidi"/>
          <w:b/>
        </w:rPr>
      </w:pPr>
      <w:r w:rsidRPr="001448A7">
        <w:rPr>
          <w:rFonts w:asciiTheme="majorBidi" w:hAnsiTheme="majorBidi" w:cstheme="majorBidi"/>
          <w:bCs/>
        </w:rPr>
        <w:lastRenderedPageBreak/>
        <w:t>24.</w:t>
      </w:r>
      <w:r w:rsidRPr="001448A7">
        <w:rPr>
          <w:rFonts w:asciiTheme="majorBidi" w:hAnsiTheme="majorBidi" w:cstheme="majorBidi"/>
          <w:bCs/>
        </w:rPr>
        <w:tab/>
      </w:r>
      <w:r w:rsidRPr="001448A7">
        <w:rPr>
          <w:lang w:val="fr-FR"/>
        </w:rPr>
        <w:t>Pour apprécier pleinement le droit en matière d</w:t>
      </w:r>
      <w:r w:rsidR="004C5E26">
        <w:rPr>
          <w:lang w:val="fr-FR"/>
        </w:rPr>
        <w:t>’</w:t>
      </w:r>
      <w:r w:rsidRPr="001448A7">
        <w:rPr>
          <w:lang w:val="fr-FR"/>
        </w:rPr>
        <w:t>indemnisation de dommages causés par un fait internationalement illicite, il faut lire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en parallèle avec d</w:t>
      </w:r>
      <w:r w:rsidR="004C5E26">
        <w:rPr>
          <w:lang w:val="fr-FR"/>
        </w:rPr>
        <w:t>’</w:t>
      </w:r>
      <w:r w:rsidRPr="001448A7">
        <w:rPr>
          <w:lang w:val="fr-FR"/>
        </w:rPr>
        <w:t>autres dispositions de la deuxième partie (« Contenu de la responsabilité internationale de l</w:t>
      </w:r>
      <w:r w:rsidR="004C5E26">
        <w:rPr>
          <w:lang w:val="fr-FR"/>
        </w:rPr>
        <w:t>’</w:t>
      </w:r>
      <w:r w:rsidRPr="001448A7">
        <w:rPr>
          <w:lang w:val="fr-FR"/>
        </w:rPr>
        <w:t>État »). Le terme « dommage » et la notion de cause sont développés à l</w:t>
      </w:r>
      <w:r w:rsidR="004C5E26">
        <w:rPr>
          <w:lang w:val="fr-FR"/>
        </w:rPr>
        <w:t>’</w:t>
      </w:r>
      <w:r w:rsidRPr="001448A7">
        <w:rPr>
          <w:lang w:val="fr-FR"/>
        </w:rPr>
        <w:t>article 31 (« Réparation »). En seconde lecture, la Commission a choisi de présenter ces points comme relevant du principe général de la réparation intégrale, et non spécialement de l</w:t>
      </w:r>
      <w:r w:rsidR="004C5E26">
        <w:rPr>
          <w:lang w:val="fr-FR"/>
        </w:rPr>
        <w:t>’</w:t>
      </w:r>
      <w:r w:rsidRPr="001448A7">
        <w:rPr>
          <w:lang w:val="fr-FR"/>
        </w:rPr>
        <w:t>indemnisation (comme en première lecture)</w:t>
      </w:r>
      <w:r w:rsidRPr="00E9227E">
        <w:rPr>
          <w:rStyle w:val="Appelnotedebasdep"/>
        </w:rPr>
        <w:footnoteReference w:id="422"/>
      </w:r>
      <w:r w:rsidRPr="001448A7">
        <w:rPr>
          <w:lang w:val="fr-FR"/>
        </w:rPr>
        <w:t>. La notion de cause est développée dans le paragraphe 1 du commentaire de l</w:t>
      </w:r>
      <w:r w:rsidR="004C5E26">
        <w:rPr>
          <w:lang w:val="fr-FR"/>
        </w:rPr>
        <w:t>’</w:t>
      </w:r>
      <w:r w:rsidRPr="001448A7">
        <w:rPr>
          <w:lang w:val="fr-FR"/>
        </w:rPr>
        <w:t>article 31 : il est expliqué que divers facteurs peuvent entrer en ligne de compte pour établir le lien de causalité dans le cas de différentes violations d</w:t>
      </w:r>
      <w:r w:rsidR="004C5E26">
        <w:rPr>
          <w:lang w:val="fr-FR"/>
        </w:rPr>
        <w:t>’</w:t>
      </w:r>
      <w:r w:rsidRPr="001448A7">
        <w:rPr>
          <w:lang w:val="fr-FR"/>
        </w:rPr>
        <w:t>obligations internationales</w:t>
      </w:r>
      <w:r w:rsidRPr="00E9227E">
        <w:rPr>
          <w:rStyle w:val="Appelnotedebasdep"/>
        </w:rPr>
        <w:footnoteReference w:id="423"/>
      </w:r>
      <w:r w:rsidRPr="001448A7">
        <w:rPr>
          <w:lang w:val="fr-FR"/>
        </w:rPr>
        <w:t>, que l</w:t>
      </w:r>
      <w:r w:rsidR="004C5E26">
        <w:rPr>
          <w:lang w:val="fr-FR"/>
        </w:rPr>
        <w:t>’</w:t>
      </w:r>
      <w:r w:rsidRPr="001448A7">
        <w:rPr>
          <w:lang w:val="fr-FR"/>
        </w:rPr>
        <w:t>atténuation des dommages est envisageable</w:t>
      </w:r>
      <w:r w:rsidRPr="00E9227E">
        <w:rPr>
          <w:rStyle w:val="Appelnotedebasdep"/>
        </w:rPr>
        <w:footnoteReference w:id="424"/>
      </w:r>
      <w:r w:rsidRPr="001448A7">
        <w:rPr>
          <w:lang w:val="fr-FR"/>
        </w:rPr>
        <w:t xml:space="preserve"> mais (à la différence de la première lecture)</w:t>
      </w:r>
      <w:r w:rsidRPr="00E9227E">
        <w:rPr>
          <w:rStyle w:val="Appelnotedebasdep"/>
        </w:rPr>
        <w:footnoteReference w:id="425"/>
      </w:r>
      <w:r w:rsidRPr="001448A7">
        <w:rPr>
          <w:lang w:val="fr-FR"/>
        </w:rPr>
        <w:t>, qu</w:t>
      </w:r>
      <w:r w:rsidR="004C5E26">
        <w:rPr>
          <w:lang w:val="fr-FR"/>
        </w:rPr>
        <w:t>’</w:t>
      </w:r>
      <w:r w:rsidRPr="001448A7">
        <w:rPr>
          <w:lang w:val="fr-FR"/>
        </w:rPr>
        <w:t>une concomitance de causes n</w:t>
      </w:r>
      <w:r w:rsidR="004C5E26">
        <w:rPr>
          <w:lang w:val="fr-FR"/>
        </w:rPr>
        <w:t>’</w:t>
      </w:r>
      <w:r w:rsidRPr="001448A7">
        <w:rPr>
          <w:lang w:val="fr-FR"/>
        </w:rPr>
        <w:t>a aucune influence sur l</w:t>
      </w:r>
      <w:r w:rsidR="004C5E26">
        <w:rPr>
          <w:lang w:val="fr-FR"/>
        </w:rPr>
        <w:t>’</w:t>
      </w:r>
      <w:r w:rsidRPr="001448A7">
        <w:rPr>
          <w:lang w:val="fr-FR"/>
        </w:rPr>
        <w:t>étendue de la réparation</w:t>
      </w:r>
      <w:r w:rsidRPr="00E9227E">
        <w:rPr>
          <w:rStyle w:val="Appelnotedebasdep"/>
        </w:rPr>
        <w:footnoteReference w:id="426"/>
      </w:r>
      <w:r w:rsidRPr="001448A7">
        <w:rPr>
          <w:lang w:val="fr-FR"/>
        </w:rPr>
        <w:t>. La notion de « dommage » renvoie au paragraphe 2 de l</w:t>
      </w:r>
      <w:r w:rsidR="004C5E26">
        <w:rPr>
          <w:lang w:val="fr-FR"/>
        </w:rPr>
        <w:t>’</w:t>
      </w:r>
      <w:r w:rsidRPr="001448A7">
        <w:rPr>
          <w:lang w:val="fr-FR"/>
        </w:rPr>
        <w:t>article 31 ; il s</w:t>
      </w:r>
      <w:r w:rsidR="004C5E26">
        <w:rPr>
          <w:lang w:val="fr-FR"/>
        </w:rPr>
        <w:t>’</w:t>
      </w:r>
      <w:r w:rsidRPr="001448A7">
        <w:rPr>
          <w:lang w:val="fr-FR"/>
        </w:rPr>
        <w:t>agit de tout dommage, tant matériel que moral</w:t>
      </w:r>
      <w:r w:rsidRPr="00E9227E">
        <w:rPr>
          <w:rStyle w:val="Appelnotedebasdep"/>
        </w:rPr>
        <w:footnoteReference w:id="427"/>
      </w:r>
      <w:r w:rsidRPr="001448A7">
        <w:rPr>
          <w:lang w:val="fr-FR"/>
        </w:rPr>
        <w:t>, des notion</w:t>
      </w:r>
      <w:r w:rsidR="00F37F9F">
        <w:rPr>
          <w:lang w:val="fr-FR"/>
        </w:rPr>
        <w:t>s</w:t>
      </w:r>
      <w:r w:rsidRPr="001448A7">
        <w:rPr>
          <w:lang w:val="fr-FR"/>
        </w:rPr>
        <w:t xml:space="preserve"> explicitées dans le commentaire comme devant s</w:t>
      </w:r>
      <w:r w:rsidR="004C5E26">
        <w:rPr>
          <w:lang w:val="fr-FR"/>
        </w:rPr>
        <w:t>’</w:t>
      </w:r>
      <w:r w:rsidRPr="001448A7">
        <w:rPr>
          <w:lang w:val="fr-FR"/>
        </w:rPr>
        <w:t>entendre, respectivement, de tout dommage causé à des biens ou à d</w:t>
      </w:r>
      <w:r w:rsidR="004C5E26">
        <w:rPr>
          <w:lang w:val="fr-FR"/>
        </w:rPr>
        <w:t>’</w:t>
      </w:r>
      <w:r w:rsidRPr="001448A7">
        <w:rPr>
          <w:lang w:val="fr-FR"/>
        </w:rPr>
        <w:t>autres intérêts de l</w:t>
      </w:r>
      <w:r w:rsidR="004C5E26">
        <w:rPr>
          <w:lang w:val="fr-FR"/>
        </w:rPr>
        <w:t>’</w:t>
      </w:r>
      <w:r w:rsidRPr="001448A7">
        <w:rPr>
          <w:lang w:val="fr-FR"/>
        </w:rPr>
        <w:t>État ou de ses nationaux susceptible d</w:t>
      </w:r>
      <w:r w:rsidR="004C5E26">
        <w:rPr>
          <w:lang w:val="fr-FR"/>
        </w:rPr>
        <w:t>’</w:t>
      </w:r>
      <w:r w:rsidRPr="001448A7">
        <w:rPr>
          <w:lang w:val="fr-FR"/>
        </w:rPr>
        <w:t>être évalué en termes pécuniaires, et des souffrances causées à l</w:t>
      </w:r>
      <w:r w:rsidR="004C5E26">
        <w:rPr>
          <w:lang w:val="fr-FR"/>
        </w:rPr>
        <w:t>’</w:t>
      </w:r>
      <w:r w:rsidRPr="001448A7">
        <w:rPr>
          <w:lang w:val="fr-FR"/>
        </w:rPr>
        <w:t>individu, de la perte d</w:t>
      </w:r>
      <w:r w:rsidR="004C5E26">
        <w:rPr>
          <w:lang w:val="fr-FR"/>
        </w:rPr>
        <w:t>’</w:t>
      </w:r>
      <w:r w:rsidRPr="001448A7">
        <w:rPr>
          <w:lang w:val="fr-FR"/>
        </w:rPr>
        <w:t>êtres chers ou d</w:t>
      </w:r>
      <w:r w:rsidR="004C5E26">
        <w:rPr>
          <w:lang w:val="fr-FR"/>
        </w:rPr>
        <w:t>’</w:t>
      </w:r>
      <w:r w:rsidRPr="001448A7">
        <w:rPr>
          <w:lang w:val="fr-FR"/>
        </w:rPr>
        <w:t>une injure personnelle</w:t>
      </w:r>
      <w:r w:rsidRPr="00E9227E">
        <w:rPr>
          <w:rStyle w:val="Appelnotedebasdep"/>
        </w:rPr>
        <w:footnoteReference w:id="428"/>
      </w:r>
      <w:r w:rsidRPr="001448A7">
        <w:rPr>
          <w:lang w:val="fr-FR"/>
        </w:rPr>
        <w:t>. Deux autres dispositions sont formulées de manière à s</w:t>
      </w:r>
      <w:r w:rsidR="004C5E26">
        <w:rPr>
          <w:lang w:val="fr-FR"/>
        </w:rPr>
        <w:t>’</w:t>
      </w:r>
      <w:r w:rsidRPr="001448A7">
        <w:rPr>
          <w:lang w:val="fr-FR"/>
        </w:rPr>
        <w:t>appliquer à toutes les formes de réparation mais sont particulièrement importantes pour l</w:t>
      </w:r>
      <w:r w:rsidR="004C5E26">
        <w:rPr>
          <w:lang w:val="fr-FR"/>
        </w:rPr>
        <w:t>’</w:t>
      </w:r>
      <w:r w:rsidRPr="001448A7">
        <w:rPr>
          <w:lang w:val="fr-FR"/>
        </w:rPr>
        <w:t>indemnisation dans la pratique : il s</w:t>
      </w:r>
      <w:r w:rsidR="004C5E26">
        <w:rPr>
          <w:lang w:val="fr-FR"/>
        </w:rPr>
        <w:t>’</w:t>
      </w:r>
      <w:r w:rsidRPr="001448A7">
        <w:rPr>
          <w:lang w:val="fr-FR"/>
        </w:rPr>
        <w:t>agit de l</w:t>
      </w:r>
      <w:r w:rsidR="004C5E26">
        <w:rPr>
          <w:lang w:val="fr-FR"/>
        </w:rPr>
        <w:t>’</w:t>
      </w:r>
      <w:r w:rsidRPr="001448A7">
        <w:rPr>
          <w:lang w:val="fr-FR"/>
        </w:rPr>
        <w:t>article 38 (« Intérêts »)</w:t>
      </w:r>
      <w:r w:rsidRPr="00E9227E">
        <w:rPr>
          <w:rStyle w:val="Appelnotedebasdep"/>
        </w:rPr>
        <w:footnoteReference w:id="429"/>
      </w:r>
      <w:r w:rsidRPr="001448A7">
        <w:rPr>
          <w:lang w:val="fr-FR"/>
        </w:rPr>
        <w:t xml:space="preserve"> et de l</w:t>
      </w:r>
      <w:r w:rsidR="004C5E26">
        <w:rPr>
          <w:lang w:val="fr-FR"/>
        </w:rPr>
        <w:t>’</w:t>
      </w:r>
      <w:r w:rsidRPr="001448A7">
        <w:rPr>
          <w:lang w:val="fr-FR"/>
        </w:rPr>
        <w:t>article 39 (« Contribution au préjudice »)</w:t>
      </w:r>
      <w:r w:rsidRPr="00E9227E">
        <w:rPr>
          <w:rStyle w:val="Appelnotedebasdep"/>
        </w:rPr>
        <w:footnoteReference w:id="430"/>
      </w:r>
      <w:r w:rsidRPr="001448A7">
        <w:rPr>
          <w:lang w:val="fr-FR"/>
        </w:rPr>
        <w:t>.</w:t>
      </w:r>
    </w:p>
    <w:p w14:paraId="619AED8C" w14:textId="4D85EC45" w:rsidR="005D2955" w:rsidRPr="001448A7" w:rsidRDefault="005D2955" w:rsidP="005D2955">
      <w:pPr>
        <w:pStyle w:val="SingleTxtG"/>
        <w:tabs>
          <w:tab w:val="clear" w:pos="2268"/>
        </w:tabs>
        <w:rPr>
          <w:rFonts w:asciiTheme="majorBidi" w:hAnsiTheme="majorBidi" w:cstheme="majorBidi"/>
          <w:b/>
        </w:rPr>
      </w:pPr>
      <w:r w:rsidRPr="001448A7">
        <w:rPr>
          <w:rFonts w:asciiTheme="majorBidi" w:hAnsiTheme="majorBidi" w:cstheme="majorBidi"/>
          <w:bCs/>
        </w:rPr>
        <w:t>25.</w:t>
      </w:r>
      <w:r w:rsidRPr="001448A7">
        <w:rPr>
          <w:rFonts w:asciiTheme="majorBidi" w:hAnsiTheme="majorBidi" w:cstheme="majorBidi"/>
          <w:bCs/>
        </w:rPr>
        <w:tab/>
      </w:r>
      <w:r w:rsidRPr="001448A7">
        <w:rPr>
          <w:lang w:val="fr-FR"/>
        </w:rPr>
        <w:t>La question de l</w:t>
      </w:r>
      <w:r w:rsidR="004C5E26">
        <w:rPr>
          <w:lang w:val="fr-FR"/>
        </w:rPr>
        <w:t>’</w:t>
      </w:r>
      <w:r w:rsidRPr="001448A7">
        <w:rPr>
          <w:lang w:val="fr-FR"/>
        </w:rPr>
        <w:t>indemnisation s</w:t>
      </w:r>
      <w:r w:rsidR="004C5E26">
        <w:rPr>
          <w:lang w:val="fr-FR"/>
        </w:rPr>
        <w:t>’</w:t>
      </w:r>
      <w:r w:rsidRPr="001448A7">
        <w:rPr>
          <w:lang w:val="fr-FR"/>
        </w:rPr>
        <w:t>est encore posée à la Commission après l</w:t>
      </w:r>
      <w:r w:rsidR="004C5E26">
        <w:rPr>
          <w:lang w:val="fr-FR"/>
        </w:rPr>
        <w:t>’</w:t>
      </w:r>
      <w:r w:rsidRPr="001448A7">
        <w:rPr>
          <w:lang w:val="fr-FR"/>
        </w:rPr>
        <w:t>adoption du projet d</w:t>
      </w:r>
      <w:r w:rsidR="004C5E26">
        <w:rPr>
          <w:lang w:val="fr-FR"/>
        </w:rPr>
        <w:t>’</w:t>
      </w:r>
      <w:r w:rsidRPr="001448A7">
        <w:rPr>
          <w:lang w:val="fr-FR"/>
        </w:rPr>
        <w:t>articles sur la responsabilité de l</w:t>
      </w:r>
      <w:r w:rsidR="004C5E26">
        <w:rPr>
          <w:lang w:val="fr-FR"/>
        </w:rPr>
        <w:t>’</w:t>
      </w:r>
      <w:r w:rsidRPr="001448A7">
        <w:rPr>
          <w:lang w:val="fr-FR"/>
        </w:rPr>
        <w:t xml:space="preserve">État pour fait internationalement illicite. Dans </w:t>
      </w:r>
      <w:r w:rsidRPr="001448A7">
        <w:rPr>
          <w:lang w:val="fr-FR"/>
        </w:rPr>
        <w:lastRenderedPageBreak/>
        <w:t>le cadre du projet d</w:t>
      </w:r>
      <w:r w:rsidR="004C5E26">
        <w:rPr>
          <w:lang w:val="fr-FR"/>
        </w:rPr>
        <w:t>’</w:t>
      </w:r>
      <w:r w:rsidRPr="001448A7">
        <w:rPr>
          <w:lang w:val="fr-FR"/>
        </w:rPr>
        <w:t>articles sur la protection diplomatique, en dépit de ce qu</w:t>
      </w:r>
      <w:r w:rsidR="004C5E26">
        <w:rPr>
          <w:lang w:val="fr-FR"/>
        </w:rPr>
        <w:t>’</w:t>
      </w:r>
      <w:r w:rsidRPr="001448A7">
        <w:rPr>
          <w:lang w:val="fr-FR"/>
        </w:rPr>
        <w:t>attendait M. Crawford</w:t>
      </w:r>
      <w:r w:rsidRPr="00E9227E">
        <w:rPr>
          <w:rStyle w:val="Appelnotedebasdep"/>
        </w:rPr>
        <w:footnoteReference w:id="431"/>
      </w:r>
      <w:r w:rsidRPr="001448A7">
        <w:rPr>
          <w:lang w:val="fr-FR"/>
        </w:rPr>
        <w:t>, la question de la quantification de l</w:t>
      </w:r>
      <w:r w:rsidR="004C5E26">
        <w:rPr>
          <w:lang w:val="fr-FR"/>
        </w:rPr>
        <w:t>’</w:t>
      </w:r>
      <w:r w:rsidRPr="001448A7">
        <w:rPr>
          <w:lang w:val="fr-FR"/>
        </w:rPr>
        <w:t>indemnisation dans le cadre d</w:t>
      </w:r>
      <w:r w:rsidR="004C5E26">
        <w:rPr>
          <w:lang w:val="fr-FR"/>
        </w:rPr>
        <w:t>’</w:t>
      </w:r>
      <w:r w:rsidRPr="001448A7">
        <w:rPr>
          <w:lang w:val="fr-FR"/>
        </w:rPr>
        <w:t>un préjudice causé à des étrangers n</w:t>
      </w:r>
      <w:r w:rsidR="004C5E26">
        <w:rPr>
          <w:lang w:val="fr-FR"/>
        </w:rPr>
        <w:t>’</w:t>
      </w:r>
      <w:r w:rsidRPr="001448A7">
        <w:rPr>
          <w:lang w:val="fr-FR"/>
        </w:rPr>
        <w:t>a pas été retenue</w:t>
      </w:r>
      <w:r w:rsidRPr="00E9227E">
        <w:rPr>
          <w:rStyle w:val="Appelnotedebasdep"/>
        </w:rPr>
        <w:footnoteReference w:id="432"/>
      </w:r>
      <w:r w:rsidRPr="001448A7">
        <w:rPr>
          <w:lang w:val="fr-FR"/>
        </w:rPr>
        <w:t>. Le projet d</w:t>
      </w:r>
      <w:r w:rsidR="004C5E26">
        <w:rPr>
          <w:lang w:val="fr-FR"/>
        </w:rPr>
        <w:t>’</w:t>
      </w:r>
      <w:r w:rsidRPr="001448A7">
        <w:rPr>
          <w:lang w:val="fr-FR"/>
        </w:rPr>
        <w:t>articles sur la responsabilité des organisations internationales reproduit pour l</w:t>
      </w:r>
      <w:r w:rsidR="004C5E26">
        <w:rPr>
          <w:lang w:val="fr-FR"/>
        </w:rPr>
        <w:t>’</w:t>
      </w:r>
      <w:r w:rsidRPr="001448A7">
        <w:rPr>
          <w:lang w:val="fr-FR"/>
        </w:rPr>
        <w:t>essentiel le texte de l</w:t>
      </w:r>
      <w:r w:rsidR="004C5E26">
        <w:rPr>
          <w:lang w:val="fr-FR"/>
        </w:rPr>
        <w:t>’</w:t>
      </w:r>
      <w:r w:rsidRPr="001448A7">
        <w:rPr>
          <w:lang w:val="fr-FR"/>
        </w:rPr>
        <w:t>article 36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dans la disposition relative à l</w:t>
      </w:r>
      <w:r w:rsidR="004C5E26">
        <w:rPr>
          <w:lang w:val="fr-FR"/>
        </w:rPr>
        <w:t>’</w:t>
      </w:r>
      <w:r w:rsidRPr="001448A7">
        <w:rPr>
          <w:lang w:val="fr-FR"/>
        </w:rPr>
        <w:t>indemnisation</w:t>
      </w:r>
      <w:r w:rsidRPr="00E9227E">
        <w:rPr>
          <w:rStyle w:val="Appelnotedebasdep"/>
        </w:rPr>
        <w:footnoteReference w:id="433"/>
      </w:r>
      <w:r w:rsidRPr="001448A7">
        <w:rPr>
          <w:lang w:val="fr-FR"/>
        </w:rPr>
        <w:t>. Il a aussi été question d</w:t>
      </w:r>
      <w:r w:rsidR="004C5E26">
        <w:rPr>
          <w:lang w:val="fr-FR"/>
        </w:rPr>
        <w:t>’</w:t>
      </w:r>
      <w:r w:rsidRPr="001448A7">
        <w:rPr>
          <w:lang w:val="fr-FR"/>
        </w:rPr>
        <w:t>indemnisation dans le cadre du sujet Succession d</w:t>
      </w:r>
      <w:r w:rsidR="004C5E26">
        <w:rPr>
          <w:lang w:val="fr-FR"/>
        </w:rPr>
        <w:t>’</w:t>
      </w:r>
      <w:r w:rsidRPr="001448A7">
        <w:rPr>
          <w:lang w:val="fr-FR"/>
        </w:rPr>
        <w:t>États en matière de responsabilité de l</w:t>
      </w:r>
      <w:r w:rsidR="004C5E26">
        <w:rPr>
          <w:lang w:val="fr-FR"/>
        </w:rPr>
        <w:t>’</w:t>
      </w:r>
      <w:r w:rsidRPr="001448A7">
        <w:rPr>
          <w:lang w:val="fr-FR"/>
        </w:rPr>
        <w:t>État</w:t>
      </w:r>
      <w:r w:rsidRPr="00E9227E">
        <w:rPr>
          <w:rStyle w:val="Appelnotedebasdep"/>
        </w:rPr>
        <w:footnoteReference w:id="434"/>
      </w:r>
      <w:r w:rsidRPr="001448A7">
        <w:rPr>
          <w:lang w:val="fr-FR"/>
        </w:rPr>
        <w:t>. Comme on l</w:t>
      </w:r>
      <w:r w:rsidR="004C5E26">
        <w:rPr>
          <w:lang w:val="fr-FR"/>
        </w:rPr>
        <w:t>’</w:t>
      </w:r>
      <w:r w:rsidRPr="001448A7">
        <w:rPr>
          <w:lang w:val="fr-FR"/>
        </w:rPr>
        <w:t>a déjà fait observer aux paragraphes</w:t>
      </w:r>
      <w:r w:rsidR="00F37F9F">
        <w:rPr>
          <w:lang w:val="fr-FR"/>
        </w:rPr>
        <w:t> </w:t>
      </w:r>
      <w:r w:rsidRPr="001448A7">
        <w:rPr>
          <w:lang w:val="fr-FR"/>
        </w:rPr>
        <w:t>3 et 21 ci-dessus, respectivement, le Secrétariat a considéré l</w:t>
      </w:r>
      <w:r w:rsidR="004C5E26">
        <w:rPr>
          <w:lang w:val="fr-FR"/>
        </w:rPr>
        <w:t>’</w:t>
      </w:r>
      <w:r w:rsidRPr="001448A7">
        <w:rPr>
          <w:lang w:val="fr-FR"/>
        </w:rPr>
        <w:t>indemnisation comme un futur sujet possible</w:t>
      </w:r>
      <w:r w:rsidRPr="00E9227E">
        <w:rPr>
          <w:rStyle w:val="Appelnotedebasdep"/>
        </w:rPr>
        <w:footnoteReference w:id="435"/>
      </w:r>
      <w:r w:rsidRPr="001448A7">
        <w:rPr>
          <w:lang w:val="fr-FR"/>
        </w:rPr>
        <w:t>, et il en a été question dans le plan d</w:t>
      </w:r>
      <w:r w:rsidR="004C5E26">
        <w:rPr>
          <w:lang w:val="fr-FR"/>
        </w:rPr>
        <w:t>’</w:t>
      </w:r>
      <w:r w:rsidRPr="001448A7">
        <w:rPr>
          <w:lang w:val="fr-FR"/>
        </w:rPr>
        <w:t>étude du sujet « Réparation due aux personnes victimes de violations flagrantes du droit international des droits de l</w:t>
      </w:r>
      <w:r w:rsidR="004C5E26">
        <w:rPr>
          <w:lang w:val="fr-FR"/>
        </w:rPr>
        <w:t>’</w:t>
      </w:r>
      <w:r w:rsidRPr="001448A7">
        <w:rPr>
          <w:lang w:val="fr-FR"/>
        </w:rPr>
        <w:t>homme et de violations graves du droit international humanitaire »</w:t>
      </w:r>
      <w:r w:rsidRPr="00E9227E">
        <w:rPr>
          <w:rStyle w:val="Appelnotedebasdep"/>
        </w:rPr>
        <w:footnoteReference w:id="436"/>
      </w:r>
      <w:r w:rsidRPr="001448A7">
        <w:rPr>
          <w:lang w:val="fr-FR"/>
        </w:rPr>
        <w:t xml:space="preserve"> et dans divers sujets dont l</w:t>
      </w:r>
      <w:r w:rsidR="004C5E26">
        <w:rPr>
          <w:lang w:val="fr-FR"/>
        </w:rPr>
        <w:t>’</w:t>
      </w:r>
      <w:r w:rsidRPr="001448A7">
        <w:rPr>
          <w:lang w:val="fr-FR"/>
        </w:rPr>
        <w:t>examen est achevé</w:t>
      </w:r>
      <w:r w:rsidRPr="00E9227E">
        <w:rPr>
          <w:rStyle w:val="Appelnotedebasdep"/>
        </w:rPr>
        <w:footnoteReference w:id="437"/>
      </w:r>
      <w:r w:rsidRPr="001448A7">
        <w:rPr>
          <w:lang w:val="fr-FR"/>
        </w:rPr>
        <w:t>.</w:t>
      </w:r>
    </w:p>
    <w:p w14:paraId="0F97ED67" w14:textId="77777777" w:rsidR="005D2955" w:rsidRPr="001448A7" w:rsidRDefault="005D2955" w:rsidP="005D2955">
      <w:pPr>
        <w:pStyle w:val="HChG"/>
      </w:pPr>
      <w:r w:rsidRPr="001448A7">
        <w:rPr>
          <w:lang w:val="fr-FR"/>
        </w:rPr>
        <w:tab/>
        <w:t>IV.</w:t>
      </w:r>
      <w:r w:rsidRPr="001448A7">
        <w:rPr>
          <w:lang w:val="fr-FR"/>
        </w:rPr>
        <w:tab/>
        <w:t xml:space="preserve">La forme que pourrait prendre le résultat des travaux </w:t>
      </w:r>
      <w:r w:rsidRPr="001448A7">
        <w:rPr>
          <w:lang w:val="fr-FR"/>
        </w:rPr>
        <w:br/>
        <w:t xml:space="preserve">de la Commission </w:t>
      </w:r>
    </w:p>
    <w:p w14:paraId="527B3E37" w14:textId="7B0910D8" w:rsidR="005D2955" w:rsidRPr="001448A7" w:rsidRDefault="005D2955" w:rsidP="005D2955">
      <w:pPr>
        <w:pStyle w:val="SingleTxtG"/>
        <w:tabs>
          <w:tab w:val="clear" w:pos="2268"/>
        </w:tabs>
        <w:rPr>
          <w:rFonts w:ascii="Times" w:hAnsi="Times"/>
        </w:rPr>
      </w:pPr>
      <w:r w:rsidRPr="001448A7">
        <w:rPr>
          <w:rFonts w:ascii="Times" w:hAnsi="Times"/>
          <w:bCs/>
        </w:rPr>
        <w:t>26.</w:t>
      </w:r>
      <w:r w:rsidRPr="001448A7">
        <w:rPr>
          <w:rFonts w:ascii="Times" w:hAnsi="Times"/>
          <w:bCs/>
        </w:rPr>
        <w:tab/>
      </w:r>
      <w:r w:rsidRPr="001448A7">
        <w:rPr>
          <w:lang w:val="fr-FR"/>
        </w:rPr>
        <w:t>Les travaux de la Commission pourraient prendre la forme de principes, comme ceux dans le cadre desquels la réparation et l</w:t>
      </w:r>
      <w:r w:rsidR="004C5E26">
        <w:rPr>
          <w:lang w:val="fr-FR"/>
        </w:rPr>
        <w:t>’</w:t>
      </w:r>
      <w:r w:rsidRPr="001448A7">
        <w:rPr>
          <w:lang w:val="fr-FR"/>
        </w:rPr>
        <w:t>indemnisation ont été abordées très récemment par la Commission</w:t>
      </w:r>
      <w:r w:rsidRPr="00E9227E">
        <w:rPr>
          <w:rStyle w:val="Appelnotedebasdep"/>
        </w:rPr>
        <w:footnoteReference w:id="438"/>
      </w:r>
      <w:r w:rsidRPr="001448A7">
        <w:rPr>
          <w:lang w:val="fr-FR"/>
        </w:rPr>
        <w:t>. Cette forme conviendrait à l</w:t>
      </w:r>
      <w:r w:rsidR="004C5E26">
        <w:rPr>
          <w:lang w:val="fr-FR"/>
        </w:rPr>
        <w:t>’</w:t>
      </w:r>
      <w:r w:rsidRPr="001448A7">
        <w:rPr>
          <w:lang w:val="fr-FR"/>
        </w:rPr>
        <w:t>orientation pratique du sujet et montrerait qu</w:t>
      </w:r>
      <w:r w:rsidR="004C5E26">
        <w:rPr>
          <w:lang w:val="fr-FR"/>
        </w:rPr>
        <w:t>’</w:t>
      </w:r>
      <w:r w:rsidRPr="001448A7">
        <w:rPr>
          <w:lang w:val="fr-FR"/>
        </w:rPr>
        <w:t>il est admis que l</w:t>
      </w:r>
      <w:r w:rsidR="004C5E26">
        <w:rPr>
          <w:lang w:val="fr-FR"/>
        </w:rPr>
        <w:t>’</w:t>
      </w:r>
      <w:r w:rsidRPr="001448A7">
        <w:rPr>
          <w:lang w:val="fr-FR"/>
        </w:rPr>
        <w:t>article 36</w:t>
      </w:r>
      <w:r w:rsidRPr="00E9227E">
        <w:rPr>
          <w:rStyle w:val="Appelnotedebasdep"/>
        </w:rPr>
        <w:footnoteReference w:id="439"/>
      </w:r>
      <w:r w:rsidRPr="001448A7">
        <w:rPr>
          <w:lang w:val="fr-FR"/>
        </w:rPr>
        <w:t xml:space="preserve"> et d</w:t>
      </w:r>
      <w:r w:rsidR="004C5E26">
        <w:rPr>
          <w:lang w:val="fr-FR"/>
        </w:rPr>
        <w:t>’</w:t>
      </w:r>
      <w:r w:rsidRPr="001448A7">
        <w:rPr>
          <w:lang w:val="fr-FR"/>
        </w:rPr>
        <w:t>autres dispositions connexes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w:t>
      </w:r>
      <w:r w:rsidRPr="00E9227E">
        <w:rPr>
          <w:rStyle w:val="Appelnotedebasdep"/>
        </w:rPr>
        <w:footnoteReference w:id="440"/>
      </w:r>
      <w:r w:rsidRPr="001448A7">
        <w:rPr>
          <w:lang w:val="fr-FR"/>
        </w:rPr>
        <w:t xml:space="preserve"> reflètent le droit international coutumier. Autrement, sous la forme d</w:t>
      </w:r>
      <w:r w:rsidR="004C5E26">
        <w:rPr>
          <w:lang w:val="fr-FR"/>
        </w:rPr>
        <w:t>’</w:t>
      </w:r>
      <w:r w:rsidRPr="001448A7">
        <w:rPr>
          <w:lang w:val="fr-FR"/>
        </w:rPr>
        <w:t>un projet d</w:t>
      </w:r>
      <w:r w:rsidR="004C5E26">
        <w:rPr>
          <w:lang w:val="fr-FR"/>
        </w:rPr>
        <w:t>’</w:t>
      </w:r>
      <w:r w:rsidRPr="001448A7">
        <w:rPr>
          <w:lang w:val="fr-FR"/>
        </w:rPr>
        <w:t>articles, le texte s</w:t>
      </w:r>
      <w:r w:rsidR="004C5E26">
        <w:rPr>
          <w:lang w:val="fr-FR"/>
        </w:rPr>
        <w:t>’</w:t>
      </w:r>
      <w:r w:rsidRPr="001448A7">
        <w:rPr>
          <w:lang w:val="fr-FR"/>
        </w:rPr>
        <w:t>inscrirait dans la suite des travaux déjà menés sur les règles secondaires de la responsabilité internationale, à l</w:t>
      </w:r>
      <w:r w:rsidR="004C5E26">
        <w:rPr>
          <w:lang w:val="fr-FR"/>
        </w:rPr>
        <w:t>’</w:t>
      </w:r>
      <w:r w:rsidRPr="001448A7">
        <w:rPr>
          <w:lang w:val="fr-FR"/>
        </w:rPr>
        <w:t>instar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du projet d</w:t>
      </w:r>
      <w:r w:rsidR="004C5E26">
        <w:rPr>
          <w:lang w:val="fr-FR"/>
        </w:rPr>
        <w:t>’</w:t>
      </w:r>
      <w:r w:rsidRPr="001448A7">
        <w:rPr>
          <w:lang w:val="fr-FR"/>
        </w:rPr>
        <w:t>articles sur la protection diplomatique et du projet d</w:t>
      </w:r>
      <w:r w:rsidR="004C5E26">
        <w:rPr>
          <w:lang w:val="fr-FR"/>
        </w:rPr>
        <w:t>’</w:t>
      </w:r>
      <w:r w:rsidRPr="001448A7">
        <w:rPr>
          <w:lang w:val="fr-FR"/>
        </w:rPr>
        <w:t>articles sur la responsabilité des organisations internationales. Les commentaires de l</w:t>
      </w:r>
      <w:r w:rsidR="004C5E26">
        <w:rPr>
          <w:lang w:val="fr-FR"/>
        </w:rPr>
        <w:t>’</w:t>
      </w:r>
      <w:r w:rsidRPr="001448A7">
        <w:rPr>
          <w:lang w:val="fr-FR"/>
        </w:rPr>
        <w:t>article 36 et d</w:t>
      </w:r>
      <w:r w:rsidR="004C5E26">
        <w:rPr>
          <w:lang w:val="fr-FR"/>
        </w:rPr>
        <w:t>’</w:t>
      </w:r>
      <w:r w:rsidRPr="001448A7">
        <w:rPr>
          <w:lang w:val="fr-FR"/>
        </w:rPr>
        <w:t>autres dispositions connexes du projet d</w:t>
      </w:r>
      <w:r w:rsidR="004C5E26">
        <w:rPr>
          <w:lang w:val="fr-FR"/>
        </w:rPr>
        <w:t>’</w:t>
      </w:r>
      <w:r w:rsidRPr="001448A7">
        <w:rPr>
          <w:lang w:val="fr-FR"/>
        </w:rPr>
        <w:t>articles sur la responsabilité de l</w:t>
      </w:r>
      <w:r w:rsidR="004C5E26">
        <w:rPr>
          <w:lang w:val="fr-FR"/>
        </w:rPr>
        <w:t>’</w:t>
      </w:r>
      <w:r w:rsidRPr="001448A7">
        <w:rPr>
          <w:lang w:val="fr-FR"/>
        </w:rPr>
        <w:t>État pour fait internationalement illicite montrent qu</w:t>
      </w:r>
      <w:r w:rsidR="004C5E26">
        <w:rPr>
          <w:lang w:val="fr-FR"/>
        </w:rPr>
        <w:t>’</w:t>
      </w:r>
      <w:r w:rsidRPr="001448A7">
        <w:rPr>
          <w:lang w:val="fr-FR"/>
        </w:rPr>
        <w:t xml:space="preserve">il est possible de traiter de manière satisfaisante des questions pratiques </w:t>
      </w:r>
      <w:r w:rsidRPr="001448A7">
        <w:rPr>
          <w:lang w:val="fr-FR"/>
        </w:rPr>
        <w:lastRenderedPageBreak/>
        <w:t>sous cette forme et que le résultat est bien accueilli</w:t>
      </w:r>
      <w:r w:rsidRPr="00E9227E">
        <w:rPr>
          <w:rStyle w:val="Appelnotedebasdep"/>
        </w:rPr>
        <w:footnoteReference w:id="441"/>
      </w:r>
      <w:r w:rsidRPr="001448A7">
        <w:rPr>
          <w:lang w:val="fr-FR"/>
        </w:rPr>
        <w:t>. Dans l</w:t>
      </w:r>
      <w:r w:rsidR="004C5E26">
        <w:rPr>
          <w:lang w:val="fr-FR"/>
        </w:rPr>
        <w:t>’</w:t>
      </w:r>
      <w:r w:rsidRPr="001448A7">
        <w:rPr>
          <w:lang w:val="fr-FR"/>
        </w:rPr>
        <w:t>ensemble, des principes conviendraient le mieux à ce sujet en lien avec les règles de responsabilité internationale reflétant le droit international coutumier et les meilleures pratiques de leur application.</w:t>
      </w:r>
    </w:p>
    <w:p w14:paraId="2CC94B37" w14:textId="074CFDE7" w:rsidR="005D2955" w:rsidRDefault="005D2955">
      <w:pPr>
        <w:suppressAutoHyphens w:val="0"/>
        <w:kinsoku/>
        <w:overflowPunct/>
        <w:autoSpaceDE/>
        <w:autoSpaceDN/>
        <w:adjustRightInd/>
        <w:snapToGrid/>
        <w:spacing w:line="240" w:lineRule="auto"/>
        <w:rPr>
          <w:lang w:val="fr-FR"/>
        </w:rPr>
      </w:pPr>
      <w:r>
        <w:rPr>
          <w:lang w:val="fr-FR"/>
        </w:rPr>
        <w:br w:type="page"/>
      </w:r>
    </w:p>
    <w:p w14:paraId="2641124E" w14:textId="77777777" w:rsidR="00164B95" w:rsidRPr="001448A7" w:rsidRDefault="00164B95" w:rsidP="00164B95">
      <w:pPr>
        <w:pStyle w:val="HChG"/>
        <w:rPr>
          <w:lang w:val="en-US"/>
        </w:rPr>
      </w:pPr>
      <w:bookmarkStart w:id="262" w:name="_Hlk169101495"/>
      <w:r w:rsidRPr="001448A7">
        <w:rPr>
          <w:lang w:val="fr-FR"/>
        </w:rPr>
        <w:lastRenderedPageBreak/>
        <w:tab/>
      </w:r>
      <w:r w:rsidRPr="001448A7">
        <w:rPr>
          <w:lang w:val="fr-FR"/>
        </w:rPr>
        <w:tab/>
      </w:r>
      <w:proofErr w:type="spellStart"/>
      <w:r w:rsidRPr="001448A7">
        <w:rPr>
          <w:lang w:val="en-US"/>
        </w:rPr>
        <w:t>Bibliographie</w:t>
      </w:r>
      <w:proofErr w:type="spellEnd"/>
      <w:r w:rsidRPr="001448A7">
        <w:rPr>
          <w:lang w:val="en-US"/>
        </w:rPr>
        <w:t xml:space="preserve"> </w:t>
      </w:r>
      <w:proofErr w:type="spellStart"/>
      <w:r w:rsidRPr="001448A7">
        <w:rPr>
          <w:lang w:val="en-US"/>
        </w:rPr>
        <w:t>sélective</w:t>
      </w:r>
      <w:bookmarkEnd w:id="262"/>
      <w:proofErr w:type="spellEnd"/>
    </w:p>
    <w:p w14:paraId="10352298" w14:textId="77777777" w:rsidR="00164B95" w:rsidRPr="009426A8" w:rsidRDefault="00164B95" w:rsidP="00164B95">
      <w:pPr>
        <w:pStyle w:val="SingleTxtG"/>
        <w:rPr>
          <w:lang w:val="en-US"/>
        </w:rPr>
      </w:pPr>
      <w:r w:rsidRPr="00271D06">
        <w:rPr>
          <w:smallCaps/>
          <w:lang w:val="en-US"/>
        </w:rPr>
        <w:t>Anaya</w:t>
      </w:r>
      <w:r w:rsidRPr="000F53DA">
        <w:rPr>
          <w:lang w:val="en-US"/>
        </w:rPr>
        <w:t xml:space="preserve">, </w:t>
      </w:r>
      <w:r w:rsidRPr="00271D06">
        <w:rPr>
          <w:lang w:val="en-US"/>
        </w:rPr>
        <w:t>S. J. and C. Grossman</w:t>
      </w:r>
      <w:r w:rsidRPr="000F53DA">
        <w:rPr>
          <w:lang w:val="en-US"/>
        </w:rPr>
        <w:t>.</w:t>
      </w:r>
      <w:r w:rsidRPr="00271D06">
        <w:rPr>
          <w:lang w:val="en-US"/>
        </w:rPr>
        <w:t xml:space="preserve"> “The case of </w:t>
      </w:r>
      <w:r w:rsidRPr="00271D06">
        <w:rPr>
          <w:i/>
          <w:iCs/>
          <w:lang w:val="en-US"/>
        </w:rPr>
        <w:t>Awas Tingni</w:t>
      </w:r>
      <w:r w:rsidRPr="00271D06">
        <w:rPr>
          <w:lang w:val="en-US"/>
        </w:rPr>
        <w:t xml:space="preserve"> v. </w:t>
      </w:r>
      <w:r w:rsidRPr="00271D06">
        <w:rPr>
          <w:i/>
          <w:iCs/>
          <w:lang w:val="en-US"/>
        </w:rPr>
        <w:t>Nicaragua</w:t>
      </w:r>
      <w:r w:rsidRPr="00271D06">
        <w:rPr>
          <w:lang w:val="en-US"/>
        </w:rPr>
        <w:t xml:space="preserve">: a new step in the international law of indigenous peoples”, </w:t>
      </w:r>
      <w:r w:rsidRPr="00271D06">
        <w:rPr>
          <w:i/>
          <w:iCs/>
          <w:lang w:val="en-US"/>
        </w:rPr>
        <w:t>Arizona Journal of International and Comparative Law</w:t>
      </w:r>
      <w:r w:rsidRPr="00271D06">
        <w:rPr>
          <w:lang w:val="en-US"/>
        </w:rPr>
        <w:t xml:space="preserve">, vol. 19 (2002), p. </w:t>
      </w:r>
      <w:r w:rsidRPr="009426A8">
        <w:rPr>
          <w:lang w:val="en-US"/>
        </w:rPr>
        <w:t>1.</w:t>
      </w:r>
    </w:p>
    <w:p w14:paraId="617CED7E" w14:textId="79D58A7B" w:rsidR="00164B95" w:rsidRPr="000F53DA" w:rsidRDefault="00164B95" w:rsidP="00164B95">
      <w:pPr>
        <w:pStyle w:val="SingleTxtG"/>
        <w:rPr>
          <w:rFonts w:asciiTheme="majorBidi" w:hAnsiTheme="majorBidi" w:cstheme="majorBidi"/>
          <w:lang w:val="fr-FR"/>
        </w:rPr>
      </w:pPr>
      <w:r w:rsidRPr="00271D06">
        <w:rPr>
          <w:smallCaps/>
          <w:lang w:val="fr-FR"/>
        </w:rPr>
        <w:t>d</w:t>
      </w:r>
      <w:r w:rsidR="004C5E26">
        <w:rPr>
          <w:smallCaps/>
          <w:lang w:val="fr-FR"/>
        </w:rPr>
        <w:t>’</w:t>
      </w:r>
      <w:r w:rsidRPr="00271D06">
        <w:rPr>
          <w:smallCaps/>
          <w:lang w:val="fr-FR"/>
        </w:rPr>
        <w:t>Argent</w:t>
      </w:r>
      <w:r w:rsidRPr="000F53DA">
        <w:rPr>
          <w:rFonts w:asciiTheme="majorBidi" w:hAnsiTheme="majorBidi" w:cstheme="majorBidi"/>
          <w:lang w:val="fr-FR"/>
        </w:rPr>
        <w:t xml:space="preserve">, P. </w:t>
      </w:r>
      <w:r w:rsidRPr="000F53DA">
        <w:rPr>
          <w:rFonts w:asciiTheme="majorBidi" w:hAnsiTheme="majorBidi" w:cstheme="majorBidi"/>
          <w:i/>
          <w:iCs/>
          <w:lang w:val="fr-FR"/>
        </w:rPr>
        <w:t>Les réparations de guerre en droit international public</w:t>
      </w:r>
      <w:r w:rsidR="00F37F9F">
        <w:rPr>
          <w:rFonts w:asciiTheme="majorBidi" w:hAnsiTheme="majorBidi" w:cstheme="majorBidi"/>
          <w:i/>
          <w:iCs/>
          <w:lang w:val="fr-FR"/>
        </w:rPr>
        <w:t> </w:t>
      </w:r>
      <w:r w:rsidRPr="000F53DA">
        <w:rPr>
          <w:rFonts w:asciiTheme="majorBidi" w:hAnsiTheme="majorBidi" w:cstheme="majorBidi"/>
          <w:i/>
          <w:iCs/>
          <w:lang w:val="fr-FR"/>
        </w:rPr>
        <w:t>: la responsabilité internationale des États à l</w:t>
      </w:r>
      <w:r w:rsidR="004C5E26">
        <w:rPr>
          <w:rFonts w:asciiTheme="majorBidi" w:hAnsiTheme="majorBidi" w:cstheme="majorBidi"/>
          <w:i/>
          <w:iCs/>
          <w:lang w:val="fr-FR"/>
        </w:rPr>
        <w:t>’</w:t>
      </w:r>
      <w:r w:rsidRPr="000F53DA">
        <w:rPr>
          <w:rFonts w:asciiTheme="majorBidi" w:hAnsiTheme="majorBidi" w:cstheme="majorBidi"/>
          <w:i/>
          <w:iCs/>
          <w:lang w:val="fr-FR"/>
        </w:rPr>
        <w:t>épreuve de la guerre</w:t>
      </w:r>
      <w:r w:rsidRPr="000F53DA">
        <w:rPr>
          <w:rFonts w:asciiTheme="majorBidi" w:hAnsiTheme="majorBidi" w:cstheme="majorBidi"/>
          <w:lang w:val="fr-FR"/>
        </w:rPr>
        <w:t xml:space="preserve">, Bruylant, 2002. </w:t>
      </w:r>
    </w:p>
    <w:p w14:paraId="10AFF788" w14:textId="77777777" w:rsidR="00164B95" w:rsidRPr="00271D06" w:rsidRDefault="00164B95" w:rsidP="00164B95">
      <w:pPr>
        <w:pStyle w:val="SingleTxtG"/>
        <w:rPr>
          <w:rFonts w:asciiTheme="majorBidi" w:hAnsiTheme="majorBidi" w:cstheme="majorBidi"/>
          <w:lang w:val="en-US"/>
        </w:rPr>
      </w:pPr>
      <w:r w:rsidRPr="00271D06">
        <w:rPr>
          <w:rFonts w:asciiTheme="majorBidi" w:eastAsia="Calibri" w:hAnsiTheme="majorBidi" w:cstheme="majorBidi"/>
          <w:lang w:val="en-US"/>
        </w:rPr>
        <w:t xml:space="preserve">—— </w:t>
      </w:r>
      <w:r w:rsidRPr="000F53DA">
        <w:rPr>
          <w:rFonts w:asciiTheme="majorBidi" w:hAnsiTheme="majorBidi" w:cstheme="majorBidi"/>
          <w:lang w:val="en-US"/>
        </w:rPr>
        <w:t>.</w:t>
      </w:r>
      <w:r w:rsidRPr="00271D06">
        <w:rPr>
          <w:rFonts w:asciiTheme="majorBidi" w:hAnsiTheme="majorBidi" w:cstheme="majorBidi"/>
          <w:lang w:val="en-US"/>
        </w:rPr>
        <w:t xml:space="preserve"> “Reparation, cessation, assurances and guarantees of non-repetition”, </w:t>
      </w:r>
      <w:r w:rsidRPr="00271D06">
        <w:rPr>
          <w:rFonts w:asciiTheme="majorBidi" w:hAnsiTheme="majorBidi" w:cstheme="majorBidi"/>
          <w:i/>
          <w:iCs/>
          <w:lang w:val="en-US"/>
        </w:rPr>
        <w:t>in</w:t>
      </w:r>
      <w:r w:rsidRPr="00271D06">
        <w:rPr>
          <w:rFonts w:asciiTheme="majorBidi" w:hAnsiTheme="majorBidi" w:cstheme="majorBidi"/>
          <w:lang w:val="en-US"/>
        </w:rPr>
        <w:t xml:space="preserve"> A. </w:t>
      </w:r>
      <w:proofErr w:type="spellStart"/>
      <w:r w:rsidRPr="00271D06">
        <w:rPr>
          <w:rFonts w:asciiTheme="majorBidi" w:hAnsiTheme="majorBidi" w:cstheme="majorBidi"/>
          <w:lang w:val="en-US"/>
        </w:rPr>
        <w:t>Nollkaemper</w:t>
      </w:r>
      <w:proofErr w:type="spellEnd"/>
      <w:r w:rsidRPr="00271D06">
        <w:rPr>
          <w:rFonts w:asciiTheme="majorBidi" w:hAnsiTheme="majorBidi" w:cstheme="majorBidi"/>
          <w:lang w:val="en-US"/>
        </w:rPr>
        <w:t xml:space="preserve"> and I. </w:t>
      </w:r>
      <w:proofErr w:type="spellStart"/>
      <w:r w:rsidRPr="00271D06">
        <w:rPr>
          <w:rFonts w:asciiTheme="majorBidi" w:hAnsiTheme="majorBidi" w:cstheme="majorBidi"/>
          <w:lang w:val="en-US"/>
        </w:rPr>
        <w:t>Plakokefalos</w:t>
      </w:r>
      <w:proofErr w:type="spellEnd"/>
      <w:r w:rsidRPr="00271D06">
        <w:rPr>
          <w:rFonts w:asciiTheme="majorBidi" w:hAnsiTheme="majorBidi" w:cstheme="majorBidi"/>
          <w:lang w:val="en-US"/>
        </w:rPr>
        <w:t xml:space="preserve"> (eds.), </w:t>
      </w:r>
      <w:r w:rsidRPr="00271D06">
        <w:rPr>
          <w:rFonts w:asciiTheme="majorBidi" w:hAnsiTheme="majorBidi" w:cstheme="majorBidi"/>
          <w:i/>
          <w:iCs/>
          <w:lang w:val="en-US"/>
        </w:rPr>
        <w:t>Principles of Shared Responsibility in International Law: an Appraisal of the State of the Art</w:t>
      </w:r>
      <w:r w:rsidRPr="00271D06">
        <w:rPr>
          <w:rFonts w:asciiTheme="majorBidi" w:hAnsiTheme="majorBidi" w:cstheme="majorBidi"/>
          <w:lang w:val="en-US"/>
        </w:rPr>
        <w:t xml:space="preserve">, </w:t>
      </w:r>
      <w:r w:rsidRPr="00271D06">
        <w:rPr>
          <w:rFonts w:asciiTheme="majorBidi" w:eastAsia="Calibri" w:hAnsiTheme="majorBidi" w:cstheme="majorBidi"/>
          <w:lang w:val="en-US"/>
        </w:rPr>
        <w:t>Cambridge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2014, p. 208.</w:t>
      </w:r>
    </w:p>
    <w:p w14:paraId="49B7E071" w14:textId="77777777" w:rsidR="00164B95" w:rsidRPr="00271D06" w:rsidRDefault="00164B95" w:rsidP="00164B95">
      <w:pPr>
        <w:pStyle w:val="SingleTxtG"/>
        <w:rPr>
          <w:rFonts w:asciiTheme="majorBidi" w:hAnsiTheme="majorBidi" w:cstheme="majorBidi"/>
          <w:lang w:val="en-US"/>
        </w:rPr>
      </w:pPr>
      <w:r w:rsidRPr="00271D06">
        <w:rPr>
          <w:smallCaps/>
          <w:lang w:val="en-US"/>
        </w:rPr>
        <w:t>Asada</w:t>
      </w:r>
      <w:r w:rsidRPr="000F53DA">
        <w:rPr>
          <w:rFonts w:asciiTheme="majorBidi" w:hAnsiTheme="majorBidi" w:cstheme="majorBidi"/>
          <w:lang w:val="en-US"/>
        </w:rPr>
        <w:t xml:space="preserve">, M. </w:t>
      </w:r>
      <w:proofErr w:type="spellStart"/>
      <w:r w:rsidRPr="000F53DA">
        <w:rPr>
          <w:rFonts w:asciiTheme="majorBidi" w:eastAsia="MS Gothic" w:hAnsiTheme="majorBidi" w:cstheme="majorBidi" w:hint="eastAsia"/>
          <w:i/>
          <w:iCs/>
          <w:lang w:val="en-US"/>
        </w:rPr>
        <w:t>日中戦後賠償と国際法</w:t>
      </w:r>
      <w:proofErr w:type="spellEnd"/>
      <w:r w:rsidRPr="00271D06">
        <w:rPr>
          <w:rFonts w:asciiTheme="majorBidi" w:eastAsia="MS Gothic" w:hAnsiTheme="majorBidi" w:cstheme="majorBidi"/>
          <w:lang w:val="en-US"/>
        </w:rPr>
        <w:t>,</w:t>
      </w:r>
      <w:r w:rsidRPr="000F53DA">
        <w:rPr>
          <w:rFonts w:asciiTheme="majorBidi" w:hAnsiTheme="majorBidi" w:cstheme="majorBidi"/>
          <w:i/>
          <w:iCs/>
          <w:lang w:val="en-US"/>
        </w:rPr>
        <w:t xml:space="preserve"> </w:t>
      </w:r>
      <w:proofErr w:type="spellStart"/>
      <w:r w:rsidRPr="00271D06">
        <w:rPr>
          <w:rFonts w:asciiTheme="majorBidi" w:eastAsia="MS Gothic" w:hAnsiTheme="majorBidi" w:cstheme="majorBidi" w:hint="eastAsia"/>
          <w:lang w:val="en-US"/>
        </w:rPr>
        <w:t>東信堂</w:t>
      </w:r>
      <w:proofErr w:type="spellEnd"/>
      <w:r w:rsidRPr="00271D06">
        <w:rPr>
          <w:rFonts w:asciiTheme="majorBidi" w:hAnsiTheme="majorBidi" w:cstheme="majorBidi"/>
          <w:lang w:val="en-US" w:eastAsia="ko-KR"/>
        </w:rPr>
        <w:t>, 2015</w:t>
      </w:r>
      <w:r w:rsidRPr="000F53DA">
        <w:rPr>
          <w:rFonts w:asciiTheme="majorBidi" w:hAnsiTheme="majorBidi" w:cstheme="majorBidi"/>
          <w:i/>
          <w:iCs/>
          <w:lang w:val="en-US" w:eastAsia="ko-KR"/>
        </w:rPr>
        <w:t xml:space="preserve"> </w:t>
      </w:r>
      <w:r w:rsidRPr="00271D06">
        <w:rPr>
          <w:rFonts w:asciiTheme="majorBidi" w:hAnsiTheme="majorBidi" w:cstheme="majorBidi"/>
          <w:lang w:val="en-US" w:eastAsia="ko-KR"/>
        </w:rPr>
        <w:t>[</w:t>
      </w:r>
      <w:r w:rsidRPr="000F53DA">
        <w:rPr>
          <w:rFonts w:asciiTheme="majorBidi" w:hAnsiTheme="majorBidi" w:cstheme="majorBidi"/>
          <w:i/>
          <w:iCs/>
          <w:lang w:val="en-US"/>
        </w:rPr>
        <w:t>Post-war Reparations between Japan and China under International Law</w:t>
      </w:r>
      <w:r w:rsidRPr="000F53DA">
        <w:rPr>
          <w:rFonts w:asciiTheme="majorBidi" w:hAnsiTheme="majorBidi" w:cstheme="majorBidi"/>
          <w:lang w:val="en-US"/>
        </w:rPr>
        <w:t>,</w:t>
      </w:r>
      <w:r w:rsidRPr="000F53DA">
        <w:rPr>
          <w:rFonts w:asciiTheme="majorBidi" w:hAnsiTheme="majorBidi" w:cstheme="majorBidi"/>
          <w:i/>
          <w:iCs/>
          <w:lang w:val="en-US"/>
        </w:rPr>
        <w:t xml:space="preserve"> </w:t>
      </w:r>
      <w:proofErr w:type="spellStart"/>
      <w:r w:rsidRPr="000F53DA">
        <w:rPr>
          <w:rFonts w:asciiTheme="majorBidi" w:hAnsiTheme="majorBidi" w:cstheme="majorBidi"/>
          <w:lang w:val="en-US"/>
        </w:rPr>
        <w:t>Toshindo</w:t>
      </w:r>
      <w:proofErr w:type="spellEnd"/>
      <w:r w:rsidRPr="000F53DA">
        <w:rPr>
          <w:rFonts w:asciiTheme="majorBidi" w:hAnsiTheme="majorBidi" w:cstheme="majorBidi"/>
          <w:lang w:val="en-US"/>
        </w:rPr>
        <w:t>, 2015].</w:t>
      </w:r>
    </w:p>
    <w:p w14:paraId="2E2A2632" w14:textId="77777777" w:rsidR="00164B95" w:rsidRPr="00271D06" w:rsidRDefault="00164B95" w:rsidP="00164B95">
      <w:pPr>
        <w:pStyle w:val="SingleTxtG"/>
        <w:rPr>
          <w:rFonts w:asciiTheme="majorBidi" w:eastAsia="Calibri" w:hAnsiTheme="majorBidi" w:cstheme="majorBidi"/>
          <w:lang w:val="en-US"/>
        </w:rPr>
      </w:pPr>
      <w:r w:rsidRPr="00271D06">
        <w:rPr>
          <w:rFonts w:eastAsia="Calibri"/>
          <w:smallCaps/>
          <w:lang w:val="en-US"/>
        </w:rPr>
        <w:t>Barker</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J. “Compensation”, </w:t>
      </w:r>
      <w:r w:rsidRPr="00271D06">
        <w:rPr>
          <w:rFonts w:asciiTheme="majorBidi" w:eastAsia="Calibri" w:hAnsiTheme="majorBidi" w:cstheme="majorBidi"/>
          <w:i/>
          <w:iCs/>
          <w:lang w:val="en-US"/>
        </w:rPr>
        <w:t>in</w:t>
      </w:r>
      <w:r w:rsidRPr="00271D06">
        <w:rPr>
          <w:rFonts w:asciiTheme="majorBidi" w:eastAsia="Calibri" w:hAnsiTheme="majorBidi" w:cstheme="majorBidi"/>
          <w:lang w:val="en-US"/>
        </w:rPr>
        <w:t xml:space="preserve"> J. Crawford, </w:t>
      </w:r>
      <w:r w:rsidRPr="009426A8">
        <w:rPr>
          <w:rFonts w:eastAsia="Calibri"/>
          <w:i/>
          <w:kern w:val="2"/>
          <w:lang w:val="en-US"/>
          <w14:ligatures w14:val="standardContextual"/>
        </w:rPr>
        <w:t xml:space="preserve">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w:t>
      </w:r>
      <w:r w:rsidRPr="00271D06" w:rsidDel="00E745AC">
        <w:rPr>
          <w:rFonts w:asciiTheme="majorBidi" w:eastAsia="Calibri" w:hAnsiTheme="majorBidi" w:cstheme="majorBidi"/>
          <w:lang w:val="en-US"/>
        </w:rPr>
        <w:t xml:space="preserve"> </w:t>
      </w:r>
      <w:r w:rsidRPr="00271D06">
        <w:rPr>
          <w:rFonts w:asciiTheme="majorBidi" w:eastAsia="Calibri" w:hAnsiTheme="majorBidi" w:cstheme="majorBidi"/>
          <w:lang w:val="en-US"/>
        </w:rPr>
        <w:t>2010, p. 599.</w:t>
      </w:r>
    </w:p>
    <w:p w14:paraId="22080928" w14:textId="77777777" w:rsidR="00164B95" w:rsidRPr="00271D06" w:rsidRDefault="00164B95" w:rsidP="00164B95">
      <w:pPr>
        <w:pStyle w:val="SingleTxtG"/>
        <w:rPr>
          <w:rFonts w:asciiTheme="majorBidi" w:eastAsia="Calibri" w:hAnsiTheme="majorBidi" w:cstheme="majorBidi"/>
          <w:lang w:val="en-US"/>
        </w:rPr>
      </w:pPr>
      <w:r w:rsidRPr="00271D06">
        <w:rPr>
          <w:rFonts w:eastAsia="Calibri"/>
          <w:smallCaps/>
          <w:lang w:val="en-US"/>
        </w:rPr>
        <w:t>Barnes</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A. “Reconsidering international compensation in historical context”, </w:t>
      </w:r>
      <w:r w:rsidRPr="00271D06">
        <w:rPr>
          <w:rFonts w:asciiTheme="majorBidi" w:eastAsia="Calibri" w:hAnsiTheme="majorBidi" w:cstheme="majorBidi"/>
          <w:i/>
          <w:iCs/>
          <w:lang w:val="en-US"/>
        </w:rPr>
        <w:t>Journal of International Dispute Settlement</w:t>
      </w:r>
      <w:r w:rsidRPr="00271D06">
        <w:rPr>
          <w:rFonts w:asciiTheme="majorBidi" w:eastAsia="Calibri" w:hAnsiTheme="majorBidi" w:cstheme="majorBidi"/>
          <w:lang w:val="en-US"/>
        </w:rPr>
        <w:t>, vol. 13 (2022), p. 443.</w:t>
      </w:r>
    </w:p>
    <w:p w14:paraId="295417D4" w14:textId="66DAB661" w:rsidR="00164B95" w:rsidRPr="000F53DA" w:rsidRDefault="00164B95" w:rsidP="00164B95">
      <w:pPr>
        <w:pStyle w:val="SingleTxtG"/>
        <w:rPr>
          <w:rFonts w:asciiTheme="majorBidi" w:hAnsiTheme="majorBidi" w:cstheme="majorBidi"/>
          <w:lang w:val="it-IT"/>
        </w:rPr>
      </w:pPr>
      <w:r w:rsidRPr="00271D06">
        <w:rPr>
          <w:smallCaps/>
          <w:lang w:val="it-IT"/>
        </w:rPr>
        <w:t>Bartolini</w:t>
      </w:r>
      <w:r w:rsidRPr="000F53DA">
        <w:rPr>
          <w:rFonts w:asciiTheme="majorBidi" w:hAnsiTheme="majorBidi" w:cstheme="majorBidi"/>
          <w:lang w:val="it-IT"/>
        </w:rPr>
        <w:t>, G. “Le misure di riparazione dell</w:t>
      </w:r>
      <w:r w:rsidR="004C5E26">
        <w:rPr>
          <w:rFonts w:asciiTheme="majorBidi" w:hAnsiTheme="majorBidi" w:cstheme="majorBidi"/>
          <w:lang w:val="it-IT"/>
        </w:rPr>
        <w:t>’</w:t>
      </w:r>
      <w:r w:rsidRPr="000F53DA">
        <w:rPr>
          <w:rFonts w:asciiTheme="majorBidi" w:hAnsiTheme="majorBidi" w:cstheme="majorBidi"/>
          <w:lang w:val="it-IT"/>
        </w:rPr>
        <w:t xml:space="preserve">illecito a favore dei beneficiari degli obblighi violati diversi dallo Stato leso”, </w:t>
      </w:r>
      <w:r w:rsidRPr="00271D06">
        <w:rPr>
          <w:rFonts w:asciiTheme="majorBidi" w:hAnsiTheme="majorBidi" w:cstheme="majorBidi"/>
          <w:i/>
          <w:iCs/>
          <w:lang w:val="it-IT"/>
        </w:rPr>
        <w:t>Rivista di diritto internazionale</w:t>
      </w:r>
      <w:r w:rsidRPr="000F53DA">
        <w:rPr>
          <w:rFonts w:asciiTheme="majorBidi" w:hAnsiTheme="majorBidi" w:cstheme="majorBidi"/>
          <w:lang w:val="it-IT"/>
        </w:rPr>
        <w:t>, vol. 105 (2022), p. 407.</w:t>
      </w:r>
    </w:p>
    <w:p w14:paraId="1A22E0C2" w14:textId="77777777" w:rsidR="00164B95" w:rsidRPr="00271D06" w:rsidRDefault="00164B95" w:rsidP="00164B95">
      <w:pPr>
        <w:pStyle w:val="SingleTxtG"/>
        <w:rPr>
          <w:rFonts w:asciiTheme="majorBidi" w:hAnsiTheme="majorBidi" w:cstheme="majorBidi"/>
          <w:lang w:val="en-US"/>
        </w:rPr>
      </w:pPr>
      <w:r w:rsidRPr="00271D06">
        <w:rPr>
          <w:smallCaps/>
          <w:lang w:val="en-US"/>
        </w:rPr>
        <w:t>Beharry</w:t>
      </w:r>
      <w:r w:rsidRPr="00271D06">
        <w:rPr>
          <w:rFonts w:asciiTheme="majorBidi" w:hAnsiTheme="majorBidi" w:cstheme="majorBidi"/>
          <w:lang w:val="en-US"/>
        </w:rPr>
        <w:t xml:space="preserve">, </w:t>
      </w:r>
      <w:r w:rsidRPr="000F53DA">
        <w:rPr>
          <w:rFonts w:asciiTheme="majorBidi" w:hAnsiTheme="majorBidi" w:cstheme="majorBidi"/>
          <w:lang w:val="lv-LV"/>
        </w:rPr>
        <w:t xml:space="preserve">C. </w:t>
      </w:r>
      <w:r w:rsidRPr="00271D06">
        <w:rPr>
          <w:rFonts w:asciiTheme="majorBidi" w:hAnsiTheme="majorBidi" w:cstheme="majorBidi"/>
          <w:lang w:val="lv-LV"/>
        </w:rPr>
        <w:t xml:space="preserve">L. </w:t>
      </w:r>
      <w:r w:rsidRPr="00271D06">
        <w:rPr>
          <w:rFonts w:asciiTheme="majorBidi" w:hAnsiTheme="majorBidi" w:cstheme="majorBidi"/>
          <w:lang w:val="en-US"/>
        </w:rPr>
        <w:t>(ed.). </w:t>
      </w:r>
      <w:r w:rsidRPr="00271D06">
        <w:rPr>
          <w:rFonts w:asciiTheme="majorBidi" w:hAnsiTheme="majorBidi" w:cstheme="majorBidi"/>
          <w:i/>
          <w:iCs/>
          <w:lang w:val="en-US"/>
        </w:rPr>
        <w:t>Contemporary and Emerging Issues on the Law of Damages and Valuation in International Investment Arbitration</w:t>
      </w:r>
      <w:r w:rsidRPr="00271D06">
        <w:rPr>
          <w:rFonts w:asciiTheme="majorBidi" w:hAnsiTheme="majorBidi" w:cstheme="majorBidi"/>
          <w:lang w:val="en-US"/>
        </w:rPr>
        <w:t>,</w:t>
      </w:r>
      <w:r w:rsidRPr="00271D06">
        <w:rPr>
          <w:rFonts w:asciiTheme="majorBidi" w:hAnsiTheme="majorBidi" w:cstheme="majorBidi"/>
          <w:i/>
          <w:iCs/>
          <w:lang w:val="en-US"/>
        </w:rPr>
        <w:t xml:space="preserve"> </w:t>
      </w:r>
      <w:r w:rsidRPr="00271D06">
        <w:rPr>
          <w:rFonts w:asciiTheme="majorBidi" w:hAnsiTheme="majorBidi" w:cstheme="majorBidi"/>
          <w:iCs/>
          <w:lang w:val="en-US"/>
        </w:rPr>
        <w:t xml:space="preserve">Leiden, </w:t>
      </w:r>
      <w:r w:rsidRPr="00271D06">
        <w:rPr>
          <w:rFonts w:asciiTheme="majorBidi" w:hAnsiTheme="majorBidi" w:cstheme="majorBidi"/>
          <w:lang w:val="en-US"/>
        </w:rPr>
        <w:t>Brill Nijhoff, 2018.</w:t>
      </w:r>
    </w:p>
    <w:p w14:paraId="4715238E" w14:textId="77777777" w:rsidR="00164B95" w:rsidRPr="00271D06" w:rsidRDefault="00164B95" w:rsidP="00164B95">
      <w:pPr>
        <w:pStyle w:val="SingleTxtG"/>
        <w:rPr>
          <w:rFonts w:asciiTheme="majorBidi" w:hAnsiTheme="majorBidi" w:cstheme="majorBidi"/>
          <w:lang w:val="en-US"/>
        </w:rPr>
      </w:pPr>
      <w:r w:rsidRPr="00271D06">
        <w:rPr>
          <w:rFonts w:asciiTheme="majorBidi" w:eastAsia="Calibri" w:hAnsiTheme="majorBidi" w:cstheme="majorBidi"/>
          <w:lang w:val="en-US"/>
        </w:rPr>
        <w:t xml:space="preserve">—— </w:t>
      </w:r>
      <w:r w:rsidRPr="00271D06">
        <w:rPr>
          <w:rFonts w:asciiTheme="majorBidi" w:hAnsiTheme="majorBidi" w:cstheme="majorBidi"/>
          <w:lang w:val="en-US"/>
        </w:rPr>
        <w:t xml:space="preserve">and J. P. Hugues, “Article 38: the treatment of interest in international investment arbitration”, </w:t>
      </w:r>
      <w:r w:rsidRPr="00271D06">
        <w:rPr>
          <w:rFonts w:asciiTheme="majorBidi" w:hAnsiTheme="majorBidi" w:cstheme="majorBidi"/>
          <w:i/>
          <w:iCs/>
          <w:lang w:val="en-US"/>
        </w:rPr>
        <w:t>ICSID Review – Foreign Investment Law Journal</w:t>
      </w:r>
      <w:r w:rsidRPr="00271D06">
        <w:rPr>
          <w:rFonts w:asciiTheme="majorBidi" w:hAnsiTheme="majorBidi" w:cstheme="majorBidi"/>
          <w:lang w:val="en-US"/>
        </w:rPr>
        <w:t>, vol. 37 (2022), p. 339.</w:t>
      </w:r>
    </w:p>
    <w:p w14:paraId="1101D774" w14:textId="77777777" w:rsidR="00164B95" w:rsidRPr="000F53DA" w:rsidRDefault="00164B95" w:rsidP="00164B95">
      <w:pPr>
        <w:pStyle w:val="SingleTxtG"/>
        <w:rPr>
          <w:rFonts w:asciiTheme="majorBidi" w:hAnsiTheme="majorBidi" w:cstheme="majorBidi"/>
          <w:lang w:val="de-DE"/>
        </w:rPr>
      </w:pPr>
      <w:r w:rsidRPr="00271D06">
        <w:rPr>
          <w:smallCaps/>
          <w:lang w:val="de-DE"/>
        </w:rPr>
        <w:t>Bergmann</w:t>
      </w:r>
      <w:r w:rsidRPr="000F53DA">
        <w:rPr>
          <w:rFonts w:asciiTheme="majorBidi" w:hAnsiTheme="majorBidi" w:cstheme="majorBidi"/>
          <w:lang w:val="de-DE"/>
        </w:rPr>
        <w:t xml:space="preserve">, H. </w:t>
      </w:r>
      <w:r w:rsidRPr="000F53DA">
        <w:rPr>
          <w:rFonts w:asciiTheme="majorBidi" w:hAnsiTheme="majorBidi" w:cstheme="majorBidi"/>
          <w:i/>
          <w:iCs/>
          <w:lang w:val="de-DE"/>
        </w:rPr>
        <w:t xml:space="preserve">Die völkerrechtliche Entschädigung im Falle der Enteignung vertragsrechtlicher Positionen: insbesondere zum Problem der “Lost </w:t>
      </w:r>
      <w:proofErr w:type="spellStart"/>
      <w:r w:rsidRPr="000F53DA">
        <w:rPr>
          <w:rFonts w:asciiTheme="majorBidi" w:hAnsiTheme="majorBidi" w:cstheme="majorBidi"/>
          <w:i/>
          <w:iCs/>
          <w:lang w:val="de-DE"/>
        </w:rPr>
        <w:t>future</w:t>
      </w:r>
      <w:proofErr w:type="spellEnd"/>
      <w:r w:rsidRPr="000F53DA">
        <w:rPr>
          <w:rFonts w:asciiTheme="majorBidi" w:hAnsiTheme="majorBidi" w:cstheme="majorBidi"/>
          <w:i/>
          <w:iCs/>
          <w:lang w:val="de-DE"/>
        </w:rPr>
        <w:t xml:space="preserve"> </w:t>
      </w:r>
      <w:proofErr w:type="spellStart"/>
      <w:r w:rsidRPr="000F53DA">
        <w:rPr>
          <w:rFonts w:asciiTheme="majorBidi" w:hAnsiTheme="majorBidi" w:cstheme="majorBidi"/>
          <w:i/>
          <w:iCs/>
          <w:lang w:val="de-DE"/>
        </w:rPr>
        <w:t>profits</w:t>
      </w:r>
      <w:proofErr w:type="spellEnd"/>
      <w:r w:rsidRPr="00271D06">
        <w:rPr>
          <w:rFonts w:asciiTheme="majorBidi" w:hAnsiTheme="majorBidi" w:cstheme="majorBidi"/>
          <w:i/>
          <w:iCs/>
          <w:lang w:val="de-CH"/>
        </w:rPr>
        <w:t>”</w:t>
      </w:r>
      <w:r w:rsidRPr="000F53DA">
        <w:rPr>
          <w:rFonts w:asciiTheme="majorBidi" w:hAnsiTheme="majorBidi" w:cstheme="majorBidi"/>
          <w:lang w:val="de-DE"/>
        </w:rPr>
        <w:t>, Nomos, 1997.</w:t>
      </w:r>
    </w:p>
    <w:p w14:paraId="0EB340F4" w14:textId="77777777" w:rsidR="00164B95" w:rsidRPr="000F53DA" w:rsidRDefault="00164B95" w:rsidP="00164B95">
      <w:pPr>
        <w:pStyle w:val="SingleTxtG"/>
        <w:rPr>
          <w:rFonts w:asciiTheme="majorBidi" w:hAnsiTheme="majorBidi" w:cstheme="majorBidi"/>
          <w:lang w:val="lv-LV"/>
        </w:rPr>
      </w:pPr>
      <w:r w:rsidRPr="00271D06">
        <w:rPr>
          <w:smallCaps/>
          <w:lang w:val="en-US"/>
        </w:rPr>
        <w:t>Bodeau-</w:t>
      </w:r>
      <w:proofErr w:type="spellStart"/>
      <w:r w:rsidRPr="00271D06">
        <w:rPr>
          <w:smallCaps/>
          <w:lang w:val="en-US"/>
        </w:rPr>
        <w:t>Livinec</w:t>
      </w:r>
      <w:proofErr w:type="spellEnd"/>
      <w:r w:rsidRPr="00271D06">
        <w:rPr>
          <w:rFonts w:asciiTheme="majorBidi" w:hAnsiTheme="majorBidi" w:cstheme="majorBidi"/>
          <w:lang w:val="en-US"/>
        </w:rPr>
        <w:t>, P. and P. Galvão Teles (eds.). </w:t>
      </w:r>
      <w:r w:rsidRPr="00271D06">
        <w:rPr>
          <w:rFonts w:asciiTheme="majorBidi" w:hAnsiTheme="majorBidi" w:cstheme="majorBidi"/>
          <w:i/>
          <w:iCs/>
          <w:lang w:val="en-US"/>
        </w:rPr>
        <w:t>Articles on State Responsibility for Internationally Wrongful Acts: a Commentary</w:t>
      </w:r>
      <w:r w:rsidRPr="00271D06">
        <w:rPr>
          <w:rFonts w:asciiTheme="majorBidi" w:hAnsiTheme="majorBidi" w:cstheme="majorBidi"/>
          <w:lang w:val="en-US"/>
        </w:rPr>
        <w:t>,</w:t>
      </w:r>
      <w:r w:rsidRPr="00271D06">
        <w:rPr>
          <w:rFonts w:asciiTheme="majorBidi" w:hAnsiTheme="majorBidi" w:cstheme="majorBidi"/>
          <w:i/>
          <w:iCs/>
          <w:lang w:val="en-US"/>
        </w:rPr>
        <w:t xml:space="preserve"> </w:t>
      </w:r>
      <w:r w:rsidRPr="00271D06">
        <w:rPr>
          <w:rFonts w:asciiTheme="majorBidi" w:eastAsia="Calibri" w:hAnsiTheme="majorBidi" w:cstheme="majorBidi"/>
          <w:lang w:val="en-US"/>
        </w:rPr>
        <w:t>Oxford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forthcoming.</w:t>
      </w:r>
    </w:p>
    <w:p w14:paraId="0DCF92E1" w14:textId="77777777" w:rsidR="00164B95" w:rsidRPr="000F53DA" w:rsidRDefault="00164B95" w:rsidP="00164B95">
      <w:pPr>
        <w:pStyle w:val="SingleTxtG"/>
        <w:rPr>
          <w:rFonts w:asciiTheme="majorBidi" w:hAnsiTheme="majorBidi" w:cstheme="majorBidi"/>
          <w:lang w:val="lv-LV"/>
        </w:rPr>
      </w:pPr>
      <w:r w:rsidRPr="00271D06">
        <w:rPr>
          <w:smallCaps/>
          <w:lang w:val="lv-LV"/>
        </w:rPr>
        <w:t>Bollecker-Stern</w:t>
      </w:r>
      <w:r w:rsidRPr="00271D06">
        <w:rPr>
          <w:rFonts w:asciiTheme="majorBidi" w:hAnsiTheme="majorBidi" w:cstheme="majorBidi"/>
          <w:lang w:val="lv-LV"/>
        </w:rPr>
        <w:t xml:space="preserve">, </w:t>
      </w:r>
      <w:r w:rsidRPr="000F53DA">
        <w:rPr>
          <w:rFonts w:asciiTheme="majorBidi" w:hAnsiTheme="majorBidi" w:cstheme="majorBidi"/>
          <w:lang w:val="lv-LV"/>
        </w:rPr>
        <w:t xml:space="preserve">B. </w:t>
      </w:r>
      <w:r w:rsidRPr="000F53DA">
        <w:rPr>
          <w:rFonts w:asciiTheme="majorBidi" w:hAnsiTheme="majorBidi" w:cstheme="majorBidi"/>
          <w:i/>
          <w:iCs/>
          <w:lang w:val="lv-LV"/>
        </w:rPr>
        <w:t>Le préjudice dans la théorie de la responsabilité internationale</w:t>
      </w:r>
      <w:r w:rsidRPr="000F53DA">
        <w:rPr>
          <w:rFonts w:asciiTheme="majorBidi" w:hAnsiTheme="majorBidi" w:cstheme="majorBidi"/>
          <w:lang w:val="lv-LV"/>
        </w:rPr>
        <w:t>, Paris, Pedone, 1973.</w:t>
      </w:r>
    </w:p>
    <w:p w14:paraId="6F428B17" w14:textId="77777777" w:rsidR="00164B95" w:rsidRPr="000F53DA" w:rsidRDefault="00164B95" w:rsidP="00164B95">
      <w:pPr>
        <w:pStyle w:val="SingleTxtG"/>
        <w:rPr>
          <w:rFonts w:asciiTheme="majorBidi" w:hAnsiTheme="majorBidi" w:cstheme="majorBidi"/>
          <w:lang w:val="en-CA"/>
        </w:rPr>
      </w:pPr>
      <w:r w:rsidRPr="00271D06">
        <w:rPr>
          <w:smallCaps/>
          <w:lang w:val="en-CA"/>
        </w:rPr>
        <w:t>Bowman</w:t>
      </w:r>
      <w:r w:rsidRPr="000F53DA">
        <w:rPr>
          <w:rFonts w:asciiTheme="majorBidi" w:hAnsiTheme="majorBidi" w:cstheme="majorBidi"/>
          <w:lang w:val="en-CA"/>
        </w:rPr>
        <w:t xml:space="preserve">, M. and A. Boyle (eds.). </w:t>
      </w:r>
      <w:r w:rsidRPr="000F53DA">
        <w:rPr>
          <w:rFonts w:asciiTheme="majorBidi" w:hAnsiTheme="majorBidi" w:cstheme="majorBidi"/>
          <w:i/>
          <w:iCs/>
          <w:lang w:val="en-CA"/>
        </w:rPr>
        <w:t>Environmental Damage in International and Comparative Law: Problems of Definition and Valuation</w:t>
      </w:r>
      <w:r w:rsidRPr="000F53DA">
        <w:rPr>
          <w:rFonts w:asciiTheme="majorBidi" w:hAnsiTheme="majorBidi" w:cstheme="majorBidi"/>
          <w:lang w:val="en-CA"/>
        </w:rPr>
        <w:t xml:space="preserve">, </w:t>
      </w:r>
      <w:r w:rsidRPr="00271D06">
        <w:rPr>
          <w:rFonts w:asciiTheme="majorBidi" w:eastAsia="Calibri" w:hAnsiTheme="majorBidi" w:cstheme="majorBidi"/>
          <w:lang w:val="en-US"/>
        </w:rPr>
        <w:t>Oxford University Press,</w:t>
      </w:r>
      <w:r w:rsidRPr="000F53DA" w:rsidDel="00E745AC">
        <w:rPr>
          <w:rFonts w:asciiTheme="majorBidi" w:hAnsiTheme="majorBidi" w:cstheme="majorBidi"/>
          <w:lang w:val="en-CA"/>
        </w:rPr>
        <w:t xml:space="preserve"> </w:t>
      </w:r>
      <w:r w:rsidRPr="000F53DA">
        <w:rPr>
          <w:rFonts w:asciiTheme="majorBidi" w:hAnsiTheme="majorBidi" w:cstheme="majorBidi"/>
          <w:lang w:val="en-CA"/>
        </w:rPr>
        <w:t>2002.</w:t>
      </w:r>
    </w:p>
    <w:p w14:paraId="66DEEAE3" w14:textId="77777777" w:rsidR="00164B95" w:rsidRPr="000F53DA" w:rsidRDefault="00164B95" w:rsidP="00164B95">
      <w:pPr>
        <w:pStyle w:val="SingleTxtG"/>
        <w:rPr>
          <w:rFonts w:asciiTheme="majorBidi" w:hAnsiTheme="majorBidi" w:cstheme="majorBidi"/>
          <w:lang w:val="lv-LV"/>
        </w:rPr>
      </w:pPr>
      <w:r w:rsidRPr="00271D06">
        <w:rPr>
          <w:smallCaps/>
          <w:lang w:val="lv-LV"/>
        </w:rPr>
        <w:t>Brown</w:t>
      </w:r>
      <w:r w:rsidRPr="000F53DA">
        <w:rPr>
          <w:rFonts w:asciiTheme="majorBidi" w:hAnsiTheme="majorBidi" w:cstheme="majorBidi"/>
          <w:lang w:val="lv-LV"/>
        </w:rPr>
        <w:t xml:space="preserve">, C. </w:t>
      </w:r>
      <w:r w:rsidRPr="000F53DA">
        <w:rPr>
          <w:rFonts w:asciiTheme="majorBidi" w:hAnsiTheme="majorBidi" w:cstheme="majorBidi"/>
          <w:i/>
          <w:iCs/>
          <w:lang w:val="lv-LV"/>
        </w:rPr>
        <w:t>A Common Law of International Adjudication</w:t>
      </w:r>
      <w:r w:rsidRPr="000F53DA">
        <w:rPr>
          <w:rFonts w:asciiTheme="majorBidi" w:hAnsiTheme="majorBidi" w:cstheme="majorBidi"/>
          <w:lang w:val="lv-LV"/>
        </w:rPr>
        <w:t>,</w:t>
      </w:r>
      <w:r w:rsidRPr="000F53DA">
        <w:rPr>
          <w:rFonts w:asciiTheme="majorBidi" w:hAnsiTheme="majorBidi" w:cstheme="majorBidi"/>
          <w:i/>
          <w:iCs/>
          <w:lang w:val="lv-LV"/>
        </w:rPr>
        <w:t xml:space="preserve"> </w:t>
      </w:r>
      <w:r w:rsidRPr="00271D06">
        <w:rPr>
          <w:rFonts w:asciiTheme="majorBidi" w:eastAsia="Calibri" w:hAnsiTheme="majorBidi" w:cstheme="majorBidi"/>
          <w:lang w:val="en-US"/>
        </w:rPr>
        <w:t>Oxford University Press,</w:t>
      </w:r>
      <w:r w:rsidRPr="000F53DA" w:rsidDel="00E745AC">
        <w:rPr>
          <w:rFonts w:asciiTheme="majorBidi" w:hAnsiTheme="majorBidi" w:cstheme="majorBidi"/>
          <w:lang w:val="lv-LV"/>
        </w:rPr>
        <w:t xml:space="preserve"> </w:t>
      </w:r>
      <w:r w:rsidRPr="000F53DA">
        <w:rPr>
          <w:rFonts w:asciiTheme="majorBidi" w:hAnsiTheme="majorBidi" w:cstheme="majorBidi"/>
          <w:lang w:val="lv-LV"/>
        </w:rPr>
        <w:t xml:space="preserve">2007, chap. 6. </w:t>
      </w:r>
    </w:p>
    <w:p w14:paraId="10E5F849" w14:textId="77777777" w:rsidR="00164B95" w:rsidRPr="00271D06" w:rsidRDefault="00164B95" w:rsidP="00164B95">
      <w:pPr>
        <w:pStyle w:val="SingleTxtG"/>
        <w:rPr>
          <w:rFonts w:asciiTheme="majorBidi" w:hAnsiTheme="majorBidi" w:cstheme="majorBidi"/>
          <w:lang w:val="en-US"/>
        </w:rPr>
      </w:pPr>
      <w:r w:rsidRPr="00271D06">
        <w:rPr>
          <w:smallCaps/>
          <w:lang w:val="lv-LV"/>
        </w:rPr>
        <w:t>Brownlie</w:t>
      </w:r>
      <w:r w:rsidRPr="000F53DA">
        <w:rPr>
          <w:rFonts w:asciiTheme="majorBidi" w:hAnsiTheme="majorBidi" w:cstheme="majorBidi"/>
          <w:lang w:val="lv-LV"/>
        </w:rPr>
        <w:t xml:space="preserve">, I. </w:t>
      </w:r>
      <w:r w:rsidRPr="000F53DA">
        <w:rPr>
          <w:rFonts w:asciiTheme="majorBidi" w:hAnsiTheme="majorBidi" w:cstheme="majorBidi"/>
          <w:i/>
          <w:iCs/>
          <w:lang w:val="lv-LV"/>
        </w:rPr>
        <w:t>System of the Law of Nations: State Responsibility (Part I)</w:t>
      </w:r>
      <w:r w:rsidRPr="000F53DA">
        <w:rPr>
          <w:rFonts w:asciiTheme="majorBidi" w:hAnsiTheme="majorBidi" w:cstheme="majorBidi"/>
          <w:lang w:val="lv-LV"/>
        </w:rPr>
        <w:t>,</w:t>
      </w:r>
      <w:r w:rsidRPr="000F53DA">
        <w:rPr>
          <w:rFonts w:asciiTheme="majorBidi" w:hAnsiTheme="majorBidi" w:cstheme="majorBidi"/>
          <w:i/>
          <w:iCs/>
          <w:lang w:val="lv-LV"/>
        </w:rPr>
        <w:t xml:space="preserve"> </w:t>
      </w:r>
      <w:r w:rsidRPr="00271D06">
        <w:rPr>
          <w:rFonts w:asciiTheme="majorBidi" w:eastAsia="Calibri" w:hAnsiTheme="majorBidi" w:cstheme="majorBidi"/>
          <w:lang w:val="en-US"/>
        </w:rPr>
        <w:t>Oxford University Press,</w:t>
      </w:r>
      <w:r w:rsidRPr="000F53DA" w:rsidDel="00E745AC">
        <w:rPr>
          <w:rFonts w:asciiTheme="majorBidi" w:hAnsiTheme="majorBidi" w:cstheme="majorBidi"/>
          <w:lang w:val="lv-LV"/>
        </w:rPr>
        <w:t xml:space="preserve"> </w:t>
      </w:r>
      <w:r w:rsidRPr="000F53DA">
        <w:rPr>
          <w:rFonts w:asciiTheme="majorBidi" w:hAnsiTheme="majorBidi" w:cstheme="majorBidi"/>
          <w:lang w:val="lv-LV"/>
        </w:rPr>
        <w:t xml:space="preserve">1983, chap. XIII. </w:t>
      </w:r>
    </w:p>
    <w:p w14:paraId="6172B89F" w14:textId="77777777" w:rsidR="00164B95" w:rsidRPr="009426A8" w:rsidRDefault="00164B95" w:rsidP="00164B95">
      <w:pPr>
        <w:pStyle w:val="SingleTxtG"/>
        <w:rPr>
          <w:rFonts w:asciiTheme="majorBidi" w:hAnsiTheme="majorBidi" w:cstheme="majorBidi"/>
          <w:lang w:val="en-US"/>
        </w:rPr>
      </w:pPr>
      <w:r w:rsidRPr="009426A8">
        <w:rPr>
          <w:smallCaps/>
          <w:lang w:val="en-US"/>
        </w:rPr>
        <w:t>Buder</w:t>
      </w:r>
      <w:r w:rsidRPr="009426A8">
        <w:rPr>
          <w:rFonts w:asciiTheme="majorBidi" w:hAnsiTheme="majorBidi" w:cstheme="majorBidi"/>
          <w:lang w:val="en-US"/>
        </w:rPr>
        <w:t xml:space="preserve">, W. </w:t>
      </w:r>
      <w:r w:rsidRPr="009426A8">
        <w:rPr>
          <w:rFonts w:asciiTheme="majorBidi" w:hAnsiTheme="majorBidi" w:cstheme="majorBidi"/>
          <w:i/>
          <w:iCs/>
          <w:lang w:val="en-US"/>
        </w:rPr>
        <w:t xml:space="preserve">Die </w:t>
      </w:r>
      <w:proofErr w:type="spellStart"/>
      <w:r w:rsidRPr="009426A8">
        <w:rPr>
          <w:rFonts w:asciiTheme="majorBidi" w:hAnsiTheme="majorBidi" w:cstheme="majorBidi"/>
          <w:i/>
          <w:iCs/>
          <w:lang w:val="en-US"/>
        </w:rPr>
        <w:t>Lehre</w:t>
      </w:r>
      <w:proofErr w:type="spellEnd"/>
      <w:r w:rsidRPr="009426A8">
        <w:rPr>
          <w:rFonts w:asciiTheme="majorBidi" w:hAnsiTheme="majorBidi" w:cstheme="majorBidi"/>
          <w:i/>
          <w:iCs/>
          <w:lang w:val="en-US"/>
        </w:rPr>
        <w:t xml:space="preserve"> </w:t>
      </w:r>
      <w:proofErr w:type="spellStart"/>
      <w:r w:rsidRPr="009426A8">
        <w:rPr>
          <w:rFonts w:asciiTheme="majorBidi" w:hAnsiTheme="majorBidi" w:cstheme="majorBidi"/>
          <w:i/>
          <w:iCs/>
          <w:lang w:val="en-US"/>
        </w:rPr>
        <w:t>vom</w:t>
      </w:r>
      <w:proofErr w:type="spellEnd"/>
      <w:r w:rsidRPr="009426A8">
        <w:rPr>
          <w:rFonts w:asciiTheme="majorBidi" w:hAnsiTheme="majorBidi" w:cstheme="majorBidi"/>
          <w:i/>
          <w:iCs/>
          <w:lang w:val="en-US"/>
        </w:rPr>
        <w:t xml:space="preserve"> </w:t>
      </w:r>
      <w:proofErr w:type="spellStart"/>
      <w:r w:rsidRPr="009426A8">
        <w:rPr>
          <w:rFonts w:asciiTheme="majorBidi" w:hAnsiTheme="majorBidi" w:cstheme="majorBidi"/>
          <w:i/>
          <w:iCs/>
          <w:lang w:val="en-US"/>
        </w:rPr>
        <w:t>völkerrechtlichen</w:t>
      </w:r>
      <w:proofErr w:type="spellEnd"/>
      <w:r w:rsidRPr="009426A8">
        <w:rPr>
          <w:rFonts w:asciiTheme="majorBidi" w:hAnsiTheme="majorBidi" w:cstheme="majorBidi"/>
          <w:i/>
          <w:iCs/>
          <w:lang w:val="en-US"/>
        </w:rPr>
        <w:t xml:space="preserve"> </w:t>
      </w:r>
      <w:proofErr w:type="spellStart"/>
      <w:r w:rsidRPr="009426A8">
        <w:rPr>
          <w:rFonts w:asciiTheme="majorBidi" w:hAnsiTheme="majorBidi" w:cstheme="majorBidi"/>
          <w:i/>
          <w:iCs/>
          <w:lang w:val="en-US"/>
        </w:rPr>
        <w:t>Schadensersatz</w:t>
      </w:r>
      <w:proofErr w:type="spellEnd"/>
      <w:r w:rsidRPr="009426A8">
        <w:rPr>
          <w:rFonts w:asciiTheme="majorBidi" w:hAnsiTheme="majorBidi" w:cstheme="majorBidi"/>
          <w:lang w:val="en-US"/>
        </w:rPr>
        <w:t xml:space="preserve">, </w:t>
      </w:r>
      <w:proofErr w:type="spellStart"/>
      <w:r w:rsidRPr="009426A8">
        <w:rPr>
          <w:rFonts w:asciiTheme="majorBidi" w:hAnsiTheme="majorBidi" w:cstheme="majorBidi"/>
          <w:lang w:val="en-US"/>
        </w:rPr>
        <w:t>Begach</w:t>
      </w:r>
      <w:proofErr w:type="spellEnd"/>
      <w:r w:rsidRPr="009426A8">
        <w:rPr>
          <w:rFonts w:asciiTheme="majorBidi" w:hAnsiTheme="majorBidi" w:cstheme="majorBidi"/>
          <w:lang w:val="en-US"/>
        </w:rPr>
        <w:t>, 1932.</w:t>
      </w:r>
    </w:p>
    <w:p w14:paraId="09219D22" w14:textId="77777777" w:rsidR="00164B95" w:rsidRPr="00271D06" w:rsidRDefault="00164B95" w:rsidP="00164B95">
      <w:pPr>
        <w:pStyle w:val="SingleTxtG"/>
        <w:rPr>
          <w:rFonts w:asciiTheme="majorBidi" w:hAnsiTheme="majorBidi" w:cstheme="majorBidi"/>
          <w:lang w:val="en-US"/>
        </w:rPr>
      </w:pPr>
      <w:r w:rsidRPr="00271D06">
        <w:rPr>
          <w:smallCaps/>
          <w:lang w:val="en-US"/>
        </w:rPr>
        <w:t>Chimni</w:t>
      </w:r>
      <w:r w:rsidRPr="000F53DA">
        <w:rPr>
          <w:rFonts w:asciiTheme="majorBidi" w:hAnsiTheme="majorBidi" w:cstheme="majorBidi"/>
          <w:lang w:val="en-US"/>
        </w:rPr>
        <w:t xml:space="preserve">, </w:t>
      </w:r>
      <w:r w:rsidRPr="00271D06">
        <w:rPr>
          <w:rFonts w:asciiTheme="majorBidi" w:hAnsiTheme="majorBidi" w:cstheme="majorBidi"/>
          <w:lang w:val="en-US"/>
        </w:rPr>
        <w:t xml:space="preserve">B. S. “The articles on State responsibility and the guiding principles of shared responsibility: a TWAIL perspective”, </w:t>
      </w:r>
      <w:r w:rsidRPr="00271D06">
        <w:rPr>
          <w:rFonts w:asciiTheme="majorBidi" w:hAnsiTheme="majorBidi" w:cstheme="majorBidi"/>
          <w:i/>
          <w:iCs/>
          <w:lang w:val="en-US"/>
        </w:rPr>
        <w:t>European Journal of International Law</w:t>
      </w:r>
      <w:r w:rsidRPr="00271D06">
        <w:rPr>
          <w:rFonts w:asciiTheme="majorBidi" w:hAnsiTheme="majorBidi" w:cstheme="majorBidi"/>
          <w:lang w:val="en-US"/>
        </w:rPr>
        <w:t xml:space="preserve">, vol. 31 (2020), p. 1211. </w:t>
      </w:r>
    </w:p>
    <w:p w14:paraId="6995CE02" w14:textId="77777777" w:rsidR="00164B95" w:rsidRPr="000F53DA" w:rsidRDefault="00164B95" w:rsidP="00164B95">
      <w:pPr>
        <w:pStyle w:val="SingleTxtG"/>
        <w:rPr>
          <w:rFonts w:asciiTheme="majorBidi" w:hAnsiTheme="majorBidi" w:cstheme="majorBidi"/>
          <w:lang w:val="es-ES"/>
        </w:rPr>
      </w:pPr>
      <w:r w:rsidRPr="00271D06">
        <w:rPr>
          <w:smallCaps/>
          <w:lang w:val="es-ES"/>
        </w:rPr>
        <w:t>Calderón Gamboa</w:t>
      </w:r>
      <w:r w:rsidRPr="000F53DA">
        <w:rPr>
          <w:rFonts w:asciiTheme="majorBidi" w:hAnsiTheme="majorBidi" w:cstheme="majorBidi"/>
          <w:lang w:val="es-ES"/>
        </w:rPr>
        <w:t xml:space="preserve">, J. “La reparación integral en el derecho internacional: aportes claves del Juez </w:t>
      </w:r>
      <w:proofErr w:type="spellStart"/>
      <w:r w:rsidRPr="000F53DA">
        <w:rPr>
          <w:rFonts w:asciiTheme="majorBidi" w:hAnsiTheme="majorBidi" w:cstheme="majorBidi"/>
          <w:lang w:val="es-ES"/>
        </w:rPr>
        <w:t>Cancado</w:t>
      </w:r>
      <w:proofErr w:type="spellEnd"/>
      <w:r w:rsidRPr="000F53DA">
        <w:rPr>
          <w:rFonts w:asciiTheme="majorBidi" w:hAnsiTheme="majorBidi" w:cstheme="majorBidi"/>
          <w:lang w:val="es-ES"/>
        </w:rPr>
        <w:t xml:space="preserve"> </w:t>
      </w:r>
      <w:proofErr w:type="spellStart"/>
      <w:r w:rsidRPr="000F53DA">
        <w:rPr>
          <w:rFonts w:asciiTheme="majorBidi" w:hAnsiTheme="majorBidi" w:cstheme="majorBidi"/>
          <w:lang w:val="es-ES"/>
        </w:rPr>
        <w:t>Trinidade</w:t>
      </w:r>
      <w:proofErr w:type="spellEnd"/>
      <w:r w:rsidRPr="000F53DA">
        <w:rPr>
          <w:rFonts w:asciiTheme="majorBidi" w:hAnsiTheme="majorBidi" w:cstheme="majorBidi"/>
          <w:lang w:val="es-ES"/>
        </w:rPr>
        <w:t xml:space="preserve">”, </w:t>
      </w:r>
      <w:r w:rsidRPr="00271D06">
        <w:rPr>
          <w:rFonts w:asciiTheme="majorBidi" w:hAnsiTheme="majorBidi" w:cstheme="majorBidi"/>
          <w:i/>
          <w:iCs/>
          <w:lang w:val="es-ES"/>
        </w:rPr>
        <w:t>Revista IIDH</w:t>
      </w:r>
      <w:r w:rsidRPr="000F53DA">
        <w:rPr>
          <w:rFonts w:asciiTheme="majorBidi" w:hAnsiTheme="majorBidi" w:cstheme="majorBidi"/>
          <w:lang w:val="es-ES"/>
        </w:rPr>
        <w:t>, vol. 76 (2022), p. 51.</w:t>
      </w:r>
    </w:p>
    <w:p w14:paraId="330D0675"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Correa</w:t>
      </w:r>
      <w:r w:rsidRPr="000F53DA">
        <w:rPr>
          <w:rFonts w:asciiTheme="majorBidi" w:hAnsiTheme="majorBidi" w:cstheme="majorBidi"/>
          <w:lang w:val="en-US"/>
        </w:rPr>
        <w:t xml:space="preserve">, </w:t>
      </w:r>
      <w:r w:rsidRPr="00271D06">
        <w:rPr>
          <w:rFonts w:asciiTheme="majorBidi" w:hAnsiTheme="majorBidi" w:cstheme="majorBidi"/>
          <w:lang w:val="en-US"/>
        </w:rPr>
        <w:t>C.</w:t>
      </w:r>
      <w:r w:rsidRPr="000F53DA">
        <w:rPr>
          <w:rFonts w:asciiTheme="majorBidi" w:hAnsiTheme="majorBidi" w:cstheme="majorBidi"/>
          <w:lang w:val="en-US"/>
        </w:rPr>
        <w:t>,</w:t>
      </w:r>
      <w:r w:rsidRPr="00271D06">
        <w:rPr>
          <w:rFonts w:asciiTheme="majorBidi" w:hAnsiTheme="majorBidi" w:cstheme="majorBidi"/>
          <w:lang w:val="en-US"/>
        </w:rPr>
        <w:t xml:space="preserve"> S. Furuya and C. Sandoval</w:t>
      </w:r>
      <w:r w:rsidRPr="000F53DA">
        <w:rPr>
          <w:rFonts w:asciiTheme="majorBidi" w:hAnsiTheme="majorBidi" w:cstheme="majorBidi"/>
          <w:lang w:val="en-US"/>
        </w:rPr>
        <w:t>.</w:t>
      </w:r>
      <w:r w:rsidRPr="00271D06">
        <w:rPr>
          <w:rFonts w:asciiTheme="majorBidi" w:hAnsiTheme="majorBidi" w:cstheme="majorBidi"/>
          <w:lang w:val="en-US"/>
        </w:rPr>
        <w:t xml:space="preserve"> </w:t>
      </w:r>
      <w:r w:rsidRPr="00271D06">
        <w:rPr>
          <w:rFonts w:asciiTheme="majorBidi" w:hAnsiTheme="majorBidi" w:cstheme="majorBidi"/>
          <w:i/>
          <w:iCs/>
          <w:lang w:val="en-US"/>
        </w:rPr>
        <w:t>Reparation for Victims of Armed Conflict</w:t>
      </w:r>
      <w:r w:rsidRPr="00271D06">
        <w:rPr>
          <w:rFonts w:asciiTheme="majorBidi" w:hAnsiTheme="majorBidi" w:cstheme="majorBidi"/>
          <w:lang w:val="en-US"/>
        </w:rPr>
        <w:t>,</w:t>
      </w:r>
      <w:r w:rsidRPr="00271D06">
        <w:rPr>
          <w:rFonts w:asciiTheme="majorBidi" w:hAnsiTheme="majorBidi" w:cstheme="majorBidi"/>
          <w:i/>
          <w:iCs/>
          <w:lang w:val="en-US"/>
        </w:rPr>
        <w:t xml:space="preserve"> </w:t>
      </w:r>
      <w:r w:rsidRPr="00271D06">
        <w:rPr>
          <w:rFonts w:asciiTheme="majorBidi" w:eastAsia="Calibri" w:hAnsiTheme="majorBidi" w:cstheme="majorBidi"/>
          <w:lang w:val="en-US"/>
        </w:rPr>
        <w:t>Cambridge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 xml:space="preserve">2020. </w:t>
      </w:r>
    </w:p>
    <w:p w14:paraId="15BD8748" w14:textId="0997C4C2" w:rsidR="00164B95" w:rsidRPr="000F53DA"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t>Costa da Oliveira</w:t>
      </w:r>
      <w:r w:rsidRPr="000F53DA">
        <w:rPr>
          <w:rFonts w:asciiTheme="majorBidi" w:hAnsiTheme="majorBidi" w:cstheme="majorBidi"/>
          <w:lang w:val="fr-FR"/>
        </w:rPr>
        <w:t xml:space="preserve">, C. </w:t>
      </w:r>
      <w:r w:rsidRPr="000F53DA">
        <w:rPr>
          <w:rFonts w:asciiTheme="majorBidi" w:hAnsiTheme="majorBidi" w:cstheme="majorBidi"/>
          <w:i/>
          <w:iCs/>
          <w:lang w:val="fr-FR"/>
        </w:rPr>
        <w:t>La réparation des dommages environnementaux en droit international : contribution à l</w:t>
      </w:r>
      <w:r w:rsidR="004C5E26">
        <w:rPr>
          <w:rFonts w:asciiTheme="majorBidi" w:hAnsiTheme="majorBidi" w:cstheme="majorBidi"/>
          <w:i/>
          <w:lang w:val="fr-FR"/>
        </w:rPr>
        <w:t>’</w:t>
      </w:r>
      <w:r w:rsidRPr="000F53DA">
        <w:rPr>
          <w:rFonts w:asciiTheme="majorBidi" w:hAnsiTheme="majorBidi" w:cstheme="majorBidi"/>
          <w:i/>
          <w:lang w:val="fr-FR"/>
        </w:rPr>
        <w:t>é</w:t>
      </w:r>
      <w:r w:rsidRPr="000F53DA">
        <w:rPr>
          <w:rFonts w:asciiTheme="majorBidi" w:hAnsiTheme="majorBidi" w:cstheme="majorBidi"/>
          <w:i/>
          <w:iCs/>
          <w:lang w:val="fr-FR"/>
        </w:rPr>
        <w:t>tude de la compl</w:t>
      </w:r>
      <w:r w:rsidRPr="000F53DA">
        <w:rPr>
          <w:rFonts w:asciiTheme="majorBidi" w:hAnsiTheme="majorBidi" w:cstheme="majorBidi"/>
          <w:i/>
          <w:lang w:val="fr-FR"/>
        </w:rPr>
        <w:t>é</w:t>
      </w:r>
      <w:r w:rsidRPr="000F53DA">
        <w:rPr>
          <w:rFonts w:asciiTheme="majorBidi" w:hAnsiTheme="majorBidi" w:cstheme="majorBidi"/>
          <w:i/>
          <w:iCs/>
          <w:lang w:val="fr-FR"/>
        </w:rPr>
        <w:t>mentarit</w:t>
      </w:r>
      <w:r w:rsidRPr="000F53DA">
        <w:rPr>
          <w:rFonts w:asciiTheme="majorBidi" w:hAnsiTheme="majorBidi" w:cstheme="majorBidi"/>
          <w:i/>
          <w:lang w:val="fr-FR"/>
        </w:rPr>
        <w:t>é</w:t>
      </w:r>
      <w:r w:rsidRPr="000F53DA">
        <w:rPr>
          <w:rFonts w:asciiTheme="majorBidi" w:hAnsiTheme="majorBidi" w:cstheme="majorBidi"/>
          <w:i/>
          <w:iCs/>
          <w:lang w:val="fr-FR"/>
        </w:rPr>
        <w:t>́ entre le droit international public et le droit international privé</w:t>
      </w:r>
      <w:r w:rsidRPr="000F53DA">
        <w:rPr>
          <w:rFonts w:asciiTheme="majorBidi" w:hAnsiTheme="majorBidi" w:cstheme="majorBidi"/>
          <w:lang w:val="fr-FR"/>
        </w:rPr>
        <w:t>,</w:t>
      </w:r>
      <w:r w:rsidRPr="000F53DA">
        <w:rPr>
          <w:rFonts w:asciiTheme="majorBidi" w:hAnsiTheme="majorBidi" w:cstheme="majorBidi"/>
          <w:i/>
          <w:iCs/>
          <w:lang w:val="fr-FR"/>
        </w:rPr>
        <w:t xml:space="preserve"> </w:t>
      </w:r>
      <w:r w:rsidRPr="000F53DA">
        <w:rPr>
          <w:rFonts w:asciiTheme="majorBidi" w:hAnsiTheme="majorBidi" w:cstheme="majorBidi"/>
          <w:lang w:val="fr-FR"/>
        </w:rPr>
        <w:t>Éditions universelles européennes, 2012.</w:t>
      </w:r>
    </w:p>
    <w:p w14:paraId="22FB814B" w14:textId="62F60327" w:rsidR="00164B95" w:rsidRPr="000F53DA"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t>Cour africaine des droits de l</w:t>
      </w:r>
      <w:r w:rsidR="004C5E26">
        <w:rPr>
          <w:rFonts w:asciiTheme="majorBidi" w:hAnsiTheme="majorBidi" w:cstheme="majorBidi"/>
          <w:smallCaps/>
          <w:lang w:val="fr-FR"/>
        </w:rPr>
        <w:t>’</w:t>
      </w:r>
      <w:r w:rsidRPr="00271D06">
        <w:rPr>
          <w:rFonts w:asciiTheme="majorBidi" w:hAnsiTheme="majorBidi" w:cstheme="majorBidi"/>
          <w:smallCaps/>
          <w:lang w:val="fr-FR"/>
        </w:rPr>
        <w:t>homme et des peuples</w:t>
      </w:r>
      <w:r w:rsidRPr="000F53DA">
        <w:rPr>
          <w:rFonts w:asciiTheme="majorBidi" w:hAnsiTheme="majorBidi" w:cstheme="majorBidi"/>
          <w:lang w:val="fr-FR"/>
        </w:rPr>
        <w:t xml:space="preserve">. </w:t>
      </w:r>
      <w:r w:rsidRPr="000F53DA">
        <w:rPr>
          <w:rFonts w:asciiTheme="majorBidi" w:hAnsiTheme="majorBidi" w:cstheme="majorBidi"/>
          <w:i/>
          <w:lang w:val="fr-FR"/>
        </w:rPr>
        <w:t>Étude comparative sur le droit et la pratique des réparations en cas de violation des droits de l</w:t>
      </w:r>
      <w:r w:rsidR="004C5E26">
        <w:rPr>
          <w:rFonts w:asciiTheme="majorBidi" w:hAnsiTheme="majorBidi" w:cstheme="majorBidi"/>
          <w:i/>
          <w:lang w:val="fr-FR"/>
        </w:rPr>
        <w:t>’</w:t>
      </w:r>
      <w:r w:rsidRPr="000F53DA">
        <w:rPr>
          <w:rFonts w:asciiTheme="majorBidi" w:hAnsiTheme="majorBidi" w:cstheme="majorBidi"/>
          <w:i/>
          <w:lang w:val="fr-FR"/>
        </w:rPr>
        <w:t>homme</w:t>
      </w:r>
      <w:r w:rsidRPr="000F53DA">
        <w:rPr>
          <w:rFonts w:asciiTheme="majorBidi" w:hAnsiTheme="majorBidi" w:cstheme="majorBidi"/>
          <w:iCs/>
          <w:lang w:val="fr-FR"/>
        </w:rPr>
        <w:t>,</w:t>
      </w:r>
      <w:r w:rsidRPr="000F53DA">
        <w:rPr>
          <w:rFonts w:asciiTheme="majorBidi" w:hAnsiTheme="majorBidi" w:cstheme="majorBidi"/>
          <w:i/>
          <w:lang w:val="fr-FR"/>
        </w:rPr>
        <w:t xml:space="preserve"> </w:t>
      </w:r>
      <w:r w:rsidRPr="000F53DA">
        <w:rPr>
          <w:rFonts w:asciiTheme="majorBidi" w:hAnsiTheme="majorBidi" w:cstheme="majorBidi"/>
          <w:lang w:val="fr-FR"/>
        </w:rPr>
        <w:t>2019.</w:t>
      </w:r>
    </w:p>
    <w:p w14:paraId="259BCD33"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lastRenderedPageBreak/>
        <w:t>Crawford</w:t>
      </w:r>
      <w:r w:rsidRPr="000F53DA">
        <w:rPr>
          <w:rFonts w:asciiTheme="majorBidi" w:hAnsiTheme="majorBidi" w:cstheme="majorBidi"/>
          <w:lang w:val="en-US"/>
        </w:rPr>
        <w:t xml:space="preserve">, </w:t>
      </w:r>
      <w:r w:rsidRPr="00271D06">
        <w:rPr>
          <w:rFonts w:asciiTheme="majorBidi" w:hAnsiTheme="majorBidi" w:cstheme="majorBidi"/>
          <w:lang w:val="en-US"/>
        </w:rPr>
        <w:t xml:space="preserve">J. </w:t>
      </w:r>
      <w:r w:rsidRPr="00271D06">
        <w:rPr>
          <w:rFonts w:asciiTheme="majorBidi" w:hAnsiTheme="majorBidi" w:cstheme="majorBidi"/>
          <w:i/>
          <w:iCs/>
          <w:lang w:val="en-US"/>
        </w:rPr>
        <w:t>State Responsibility: the General Part</w:t>
      </w:r>
      <w:r w:rsidRPr="00271D06">
        <w:rPr>
          <w:rFonts w:asciiTheme="majorBidi" w:hAnsiTheme="majorBidi" w:cstheme="majorBidi"/>
          <w:lang w:val="en-US"/>
        </w:rPr>
        <w:t xml:space="preserve">, </w:t>
      </w:r>
      <w:r w:rsidRPr="00271D06">
        <w:rPr>
          <w:rFonts w:asciiTheme="majorBidi" w:eastAsia="Calibri" w:hAnsiTheme="majorBidi" w:cstheme="majorBidi"/>
          <w:lang w:val="en-US"/>
        </w:rPr>
        <w:t>Cambridge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 xml:space="preserve">2013, chap. 15. </w:t>
      </w:r>
    </w:p>
    <w:p w14:paraId="651BE4C8" w14:textId="7777777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Čepelka</w:t>
      </w:r>
      <w:proofErr w:type="spellEnd"/>
      <w:r w:rsidRPr="000F53DA">
        <w:rPr>
          <w:rFonts w:asciiTheme="majorBidi" w:hAnsiTheme="majorBidi" w:cstheme="majorBidi"/>
          <w:lang w:val="fr-FR"/>
        </w:rPr>
        <w:t xml:space="preserve">, Č. </w:t>
      </w:r>
      <w:r w:rsidRPr="000F53DA">
        <w:rPr>
          <w:rFonts w:asciiTheme="majorBidi" w:hAnsiTheme="majorBidi" w:cstheme="majorBidi"/>
          <w:i/>
          <w:iCs/>
          <w:lang w:val="fr-FR"/>
        </w:rPr>
        <w:t>Les conséquences juridiques du délit en droit international contemporain</w:t>
      </w:r>
      <w:r w:rsidRPr="000F53DA">
        <w:rPr>
          <w:rFonts w:asciiTheme="majorBidi" w:hAnsiTheme="majorBidi" w:cstheme="majorBidi"/>
          <w:lang w:val="fr-FR"/>
        </w:rPr>
        <w:t xml:space="preserve">, </w:t>
      </w:r>
      <w:proofErr w:type="spellStart"/>
      <w:r w:rsidRPr="000F53DA">
        <w:rPr>
          <w:rFonts w:asciiTheme="majorBidi" w:hAnsiTheme="majorBidi" w:cstheme="majorBidi"/>
          <w:lang w:val="fr-FR"/>
        </w:rPr>
        <w:t>Karlova</w:t>
      </w:r>
      <w:proofErr w:type="spellEnd"/>
      <w:r w:rsidRPr="000F53DA">
        <w:rPr>
          <w:rFonts w:asciiTheme="majorBidi" w:hAnsiTheme="majorBidi" w:cstheme="majorBidi"/>
          <w:lang w:val="fr-FR"/>
        </w:rPr>
        <w:t xml:space="preserve"> </w:t>
      </w:r>
      <w:proofErr w:type="spellStart"/>
      <w:r w:rsidRPr="000F53DA">
        <w:rPr>
          <w:rFonts w:asciiTheme="majorBidi" w:hAnsiTheme="majorBidi" w:cstheme="majorBidi"/>
          <w:lang w:val="fr-FR"/>
        </w:rPr>
        <w:t>University</w:t>
      </w:r>
      <w:proofErr w:type="spellEnd"/>
      <w:r w:rsidRPr="000F53DA">
        <w:rPr>
          <w:rFonts w:asciiTheme="majorBidi" w:hAnsiTheme="majorBidi" w:cstheme="majorBidi"/>
          <w:lang w:val="fr-FR"/>
        </w:rPr>
        <w:t>, 1965.</w:t>
      </w:r>
    </w:p>
    <w:p w14:paraId="7A24C2E4" w14:textId="7777777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Demaria</w:t>
      </w:r>
      <w:proofErr w:type="spellEnd"/>
      <w:r w:rsidRPr="000F53DA">
        <w:rPr>
          <w:rFonts w:asciiTheme="majorBidi" w:hAnsiTheme="majorBidi" w:cstheme="majorBidi"/>
          <w:lang w:val="fr-FR"/>
        </w:rPr>
        <w:t xml:space="preserve">, T. </w:t>
      </w:r>
      <w:r w:rsidRPr="000F53DA">
        <w:rPr>
          <w:rFonts w:asciiTheme="majorBidi" w:hAnsiTheme="majorBidi" w:cstheme="majorBidi"/>
          <w:i/>
          <w:iCs/>
          <w:lang w:val="fr-FR"/>
        </w:rPr>
        <w:t>Le lien de causalité et la réparation des dommages en droit international public</w:t>
      </w:r>
      <w:r w:rsidRPr="000F53DA">
        <w:rPr>
          <w:rFonts w:asciiTheme="majorBidi" w:hAnsiTheme="majorBidi" w:cstheme="majorBidi"/>
          <w:lang w:val="fr-FR"/>
        </w:rPr>
        <w:t>, Paris,</w:t>
      </w:r>
      <w:r w:rsidRPr="000F53DA">
        <w:rPr>
          <w:rFonts w:asciiTheme="majorBidi" w:hAnsiTheme="majorBidi" w:cstheme="majorBidi"/>
          <w:i/>
          <w:iCs/>
          <w:lang w:val="fr-FR"/>
        </w:rPr>
        <w:t xml:space="preserve"> </w:t>
      </w:r>
      <w:proofErr w:type="spellStart"/>
      <w:r w:rsidRPr="000F53DA">
        <w:rPr>
          <w:rFonts w:asciiTheme="majorBidi" w:hAnsiTheme="majorBidi" w:cstheme="majorBidi"/>
          <w:lang w:val="fr-FR"/>
        </w:rPr>
        <w:t>Pedone</w:t>
      </w:r>
      <w:proofErr w:type="spellEnd"/>
      <w:r w:rsidRPr="000F53DA">
        <w:rPr>
          <w:rFonts w:asciiTheme="majorBidi" w:hAnsiTheme="majorBidi" w:cstheme="majorBidi"/>
          <w:lang w:val="fr-FR"/>
        </w:rPr>
        <w:t>, 2021.</w:t>
      </w:r>
    </w:p>
    <w:p w14:paraId="6F5596CB" w14:textId="77777777" w:rsidR="00164B95" w:rsidRPr="000F53DA" w:rsidRDefault="00164B95" w:rsidP="00164B95">
      <w:pPr>
        <w:pStyle w:val="SingleTxtG"/>
        <w:rPr>
          <w:rFonts w:asciiTheme="majorBidi" w:hAnsiTheme="majorBidi" w:cstheme="majorBidi"/>
          <w:lang w:val="de-DE"/>
        </w:rPr>
      </w:pPr>
      <w:r w:rsidRPr="00271D06">
        <w:rPr>
          <w:rFonts w:asciiTheme="majorBidi" w:hAnsiTheme="majorBidi" w:cstheme="majorBidi"/>
          <w:smallCaps/>
          <w:lang w:val="de-DE"/>
        </w:rPr>
        <w:t>Dolzer</w:t>
      </w:r>
      <w:r w:rsidRPr="000F53DA">
        <w:rPr>
          <w:rFonts w:asciiTheme="majorBidi" w:hAnsiTheme="majorBidi" w:cstheme="majorBidi"/>
          <w:lang w:val="de-DE"/>
        </w:rPr>
        <w:t xml:space="preserve">, R. </w:t>
      </w:r>
      <w:r w:rsidRPr="000F53DA">
        <w:rPr>
          <w:rFonts w:asciiTheme="majorBidi" w:hAnsiTheme="majorBidi" w:cstheme="majorBidi"/>
          <w:i/>
          <w:iCs/>
          <w:lang w:val="de-DE"/>
        </w:rPr>
        <w:t>Eigentum, Enteignung und Entschädigung im geltenden Völkerrecht</w:t>
      </w:r>
      <w:r w:rsidRPr="000F53DA">
        <w:rPr>
          <w:rFonts w:asciiTheme="majorBidi" w:hAnsiTheme="majorBidi" w:cstheme="majorBidi"/>
          <w:lang w:val="de-DE"/>
        </w:rPr>
        <w:t>, Springer Verlag, 1985.</w:t>
      </w:r>
    </w:p>
    <w:p w14:paraId="4186CE3A"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Douglas</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Z. “Other specific regimes of responsibility: investment treaty arbitration and ICSID”, </w:t>
      </w:r>
      <w:r w:rsidRPr="00271D06">
        <w:rPr>
          <w:rFonts w:asciiTheme="majorBidi" w:eastAsia="Calibri" w:hAnsiTheme="majorBidi" w:cstheme="majorBidi"/>
          <w:i/>
          <w:iCs/>
          <w:lang w:val="en-US"/>
        </w:rPr>
        <w:t>in</w:t>
      </w:r>
      <w:r w:rsidRPr="00271D06">
        <w:rPr>
          <w:rFonts w:asciiTheme="majorBidi" w:eastAsia="Calibri" w:hAnsiTheme="majorBidi" w:cstheme="majorBidi"/>
          <w:lang w:val="en-US"/>
        </w:rPr>
        <w:t xml:space="preserve"> J. Crawford, </w:t>
      </w:r>
      <w:r w:rsidRPr="00271D06">
        <w:rPr>
          <w:rFonts w:eastAsia="Calibri"/>
          <w:i/>
          <w:kern w:val="2"/>
          <w:lang w:val="en-US"/>
          <w14:ligatures w14:val="standardContextual"/>
        </w:rPr>
        <w:t xml:space="preserve">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w:t>
      </w:r>
      <w:r w:rsidRPr="00271D06" w:rsidDel="00E745AC">
        <w:rPr>
          <w:rFonts w:asciiTheme="majorBidi" w:eastAsia="Calibri" w:hAnsiTheme="majorBidi" w:cstheme="majorBidi"/>
          <w:lang w:val="en-US"/>
        </w:rPr>
        <w:t xml:space="preserve"> </w:t>
      </w:r>
      <w:r w:rsidRPr="00271D06">
        <w:rPr>
          <w:rFonts w:asciiTheme="majorBidi" w:eastAsia="Calibri" w:hAnsiTheme="majorBidi" w:cstheme="majorBidi"/>
          <w:lang w:val="en-US"/>
        </w:rPr>
        <w:t>2010, p. 815.</w:t>
      </w:r>
    </w:p>
    <w:p w14:paraId="6BA250DF" w14:textId="7777777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Dreyssé</w:t>
      </w:r>
      <w:proofErr w:type="spellEnd"/>
      <w:r w:rsidRPr="00271D06">
        <w:rPr>
          <w:rFonts w:asciiTheme="majorBidi" w:hAnsiTheme="majorBidi" w:cstheme="majorBidi"/>
          <w:lang w:val="fr-FR"/>
        </w:rPr>
        <w:t xml:space="preserve">, </w:t>
      </w:r>
      <w:r w:rsidRPr="000F53DA">
        <w:rPr>
          <w:rFonts w:asciiTheme="majorBidi" w:hAnsiTheme="majorBidi" w:cstheme="majorBidi"/>
          <w:lang w:val="fr-FR"/>
        </w:rPr>
        <w:t xml:space="preserve">D. </w:t>
      </w:r>
      <w:r w:rsidRPr="000F53DA">
        <w:rPr>
          <w:rFonts w:asciiTheme="majorBidi" w:hAnsiTheme="majorBidi" w:cstheme="majorBidi"/>
          <w:i/>
          <w:iCs/>
          <w:lang w:val="fr-FR"/>
        </w:rPr>
        <w:t>Le comportement de la victime dans le droit de la responsabilité internationale</w:t>
      </w:r>
      <w:r w:rsidRPr="000F53DA">
        <w:rPr>
          <w:rFonts w:asciiTheme="majorBidi" w:hAnsiTheme="majorBidi" w:cstheme="majorBidi"/>
          <w:lang w:val="fr-FR"/>
        </w:rPr>
        <w:t>,</w:t>
      </w:r>
      <w:r w:rsidRPr="000F53DA">
        <w:rPr>
          <w:rFonts w:asciiTheme="majorBidi" w:hAnsiTheme="majorBidi" w:cstheme="majorBidi"/>
          <w:i/>
          <w:iCs/>
          <w:lang w:val="fr-FR"/>
        </w:rPr>
        <w:t xml:space="preserve"> </w:t>
      </w:r>
      <w:r w:rsidRPr="00271D06">
        <w:rPr>
          <w:rFonts w:asciiTheme="majorBidi" w:hAnsiTheme="majorBidi" w:cstheme="majorBidi"/>
          <w:iCs/>
          <w:lang w:val="fr-FR"/>
        </w:rPr>
        <w:t xml:space="preserve">Paris, </w:t>
      </w:r>
      <w:r w:rsidRPr="000F53DA">
        <w:rPr>
          <w:rFonts w:asciiTheme="majorBidi" w:hAnsiTheme="majorBidi" w:cstheme="majorBidi"/>
          <w:lang w:val="fr-FR"/>
        </w:rPr>
        <w:t xml:space="preserve">Dalloz, 2021. </w:t>
      </w:r>
    </w:p>
    <w:p w14:paraId="4D0577FE"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Elphick</w:t>
      </w:r>
      <w:r w:rsidRPr="000F53DA">
        <w:rPr>
          <w:rFonts w:asciiTheme="majorBidi" w:hAnsiTheme="majorBidi" w:cstheme="majorBidi"/>
          <w:lang w:val="en-US"/>
        </w:rPr>
        <w:t xml:space="preserve">, </w:t>
      </w:r>
      <w:r w:rsidRPr="00271D06">
        <w:rPr>
          <w:rFonts w:asciiTheme="majorBidi" w:hAnsiTheme="majorBidi" w:cstheme="majorBidi"/>
          <w:lang w:val="en-US"/>
        </w:rPr>
        <w:t>R. and J. Dugard</w:t>
      </w:r>
      <w:r w:rsidRPr="000F53DA">
        <w:rPr>
          <w:rFonts w:asciiTheme="majorBidi" w:hAnsiTheme="majorBidi" w:cstheme="majorBidi"/>
          <w:lang w:val="en-US"/>
        </w:rPr>
        <w:t>.</w:t>
      </w:r>
      <w:r w:rsidRPr="00271D06">
        <w:rPr>
          <w:rFonts w:asciiTheme="majorBidi" w:hAnsiTheme="majorBidi" w:cstheme="majorBidi"/>
          <w:lang w:val="en-US"/>
        </w:rPr>
        <w:t xml:space="preserve"> “</w:t>
      </w:r>
      <w:r w:rsidRPr="00271D06">
        <w:rPr>
          <w:rFonts w:asciiTheme="majorBidi" w:hAnsiTheme="majorBidi" w:cstheme="majorBidi"/>
          <w:i/>
          <w:lang w:val="en-US"/>
        </w:rPr>
        <w:t xml:space="preserve">Jus cogens </w:t>
      </w:r>
      <w:r w:rsidRPr="00271D06">
        <w:rPr>
          <w:rFonts w:asciiTheme="majorBidi" w:hAnsiTheme="majorBidi" w:cstheme="majorBidi"/>
          <w:lang w:val="en-US"/>
        </w:rPr>
        <w:t xml:space="preserve">and compensation”, </w:t>
      </w:r>
      <w:r w:rsidRPr="00271D06">
        <w:rPr>
          <w:rFonts w:asciiTheme="majorBidi" w:hAnsiTheme="majorBidi" w:cstheme="majorBidi"/>
          <w:i/>
          <w:iCs/>
          <w:lang w:val="en-US"/>
        </w:rPr>
        <w:t>in</w:t>
      </w:r>
      <w:r w:rsidRPr="00271D06">
        <w:rPr>
          <w:rFonts w:asciiTheme="majorBidi" w:hAnsiTheme="majorBidi" w:cstheme="majorBidi"/>
          <w:lang w:val="en-US"/>
        </w:rPr>
        <w:t xml:space="preserve"> D. Tladi (ed.), </w:t>
      </w:r>
      <w:r w:rsidRPr="00271D06">
        <w:rPr>
          <w:rFonts w:asciiTheme="majorBidi" w:hAnsiTheme="majorBidi" w:cstheme="majorBidi"/>
          <w:i/>
          <w:lang w:val="en-US"/>
        </w:rPr>
        <w:t xml:space="preserve">Peremptory Norms of General International Law </w:t>
      </w:r>
      <w:r w:rsidRPr="00271D06">
        <w:rPr>
          <w:rFonts w:asciiTheme="majorBidi" w:hAnsiTheme="majorBidi" w:cstheme="majorBidi"/>
          <w:lang w:val="en-US"/>
        </w:rPr>
        <w:t xml:space="preserve">(Jus Cogens), Brill, 2021, p. 413. </w:t>
      </w:r>
    </w:p>
    <w:p w14:paraId="65D92436"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Evans</w:t>
      </w:r>
      <w:r w:rsidRPr="000F53DA">
        <w:rPr>
          <w:rFonts w:asciiTheme="majorBidi" w:hAnsiTheme="majorBidi" w:cstheme="majorBidi"/>
          <w:lang w:val="en-US"/>
        </w:rPr>
        <w:t xml:space="preserve">, </w:t>
      </w:r>
      <w:r w:rsidRPr="00271D06">
        <w:rPr>
          <w:rFonts w:asciiTheme="majorBidi" w:hAnsiTheme="majorBidi" w:cstheme="majorBidi"/>
          <w:lang w:val="en-US"/>
        </w:rPr>
        <w:t xml:space="preserve">C. </w:t>
      </w:r>
      <w:r w:rsidRPr="00271D06">
        <w:rPr>
          <w:rFonts w:asciiTheme="majorBidi" w:hAnsiTheme="majorBidi" w:cstheme="majorBidi"/>
          <w:i/>
          <w:iCs/>
          <w:lang w:val="en-US"/>
        </w:rPr>
        <w:t>The Right to Reparation in International Law for Victims of Armed Conflict</w:t>
      </w:r>
      <w:r w:rsidRPr="00271D06">
        <w:rPr>
          <w:rFonts w:asciiTheme="majorBidi" w:hAnsiTheme="majorBidi" w:cstheme="majorBidi"/>
          <w:lang w:val="en-US"/>
        </w:rPr>
        <w:t xml:space="preserve">, </w:t>
      </w:r>
      <w:r w:rsidRPr="00271D06">
        <w:rPr>
          <w:rFonts w:asciiTheme="majorBidi" w:eastAsia="Calibri" w:hAnsiTheme="majorBidi" w:cstheme="majorBidi"/>
          <w:lang w:val="en-US"/>
        </w:rPr>
        <w:t>Cambridge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2012.</w:t>
      </w:r>
    </w:p>
    <w:p w14:paraId="564F1CC2" w14:textId="77777777" w:rsidR="00164B95" w:rsidRPr="00271D06"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Feighery</w:t>
      </w:r>
      <w:r w:rsidRPr="000F53DA">
        <w:rPr>
          <w:rFonts w:asciiTheme="majorBidi" w:hAnsiTheme="majorBidi" w:cstheme="majorBidi"/>
          <w:lang w:val="en-CA"/>
        </w:rPr>
        <w:t xml:space="preserve">, T. J., C. S. Gibson and T. M. Rajah (eds.). </w:t>
      </w:r>
      <w:r w:rsidRPr="000F53DA">
        <w:rPr>
          <w:rFonts w:asciiTheme="majorBidi" w:hAnsiTheme="majorBidi" w:cstheme="majorBidi"/>
          <w:i/>
          <w:iCs/>
          <w:lang w:val="en-CA"/>
        </w:rPr>
        <w:t>War Reparations and the UN Compensation Commission: Designing Compensation After Conflict</w:t>
      </w:r>
      <w:r w:rsidRPr="000F53DA">
        <w:rPr>
          <w:rFonts w:asciiTheme="majorBidi" w:hAnsiTheme="majorBidi" w:cstheme="majorBidi"/>
          <w:lang w:val="en-CA"/>
        </w:rPr>
        <w:t xml:space="preserve">, </w:t>
      </w:r>
      <w:r w:rsidRPr="00271D06">
        <w:rPr>
          <w:rFonts w:asciiTheme="majorBidi" w:eastAsia="Calibri" w:hAnsiTheme="majorBidi" w:cstheme="majorBidi"/>
          <w:lang w:val="en-US"/>
        </w:rPr>
        <w:t>Oxford University Press,</w:t>
      </w:r>
      <w:r w:rsidRPr="000F53DA" w:rsidDel="00E745AC">
        <w:rPr>
          <w:rFonts w:asciiTheme="majorBidi" w:hAnsiTheme="majorBidi" w:cstheme="majorBidi"/>
          <w:lang w:val="en-CA"/>
        </w:rPr>
        <w:t xml:space="preserve"> </w:t>
      </w:r>
      <w:r w:rsidRPr="000F53DA">
        <w:rPr>
          <w:rFonts w:asciiTheme="majorBidi" w:hAnsiTheme="majorBidi" w:cstheme="majorBidi"/>
          <w:lang w:val="en-CA"/>
        </w:rPr>
        <w:t>2015.</w:t>
      </w:r>
    </w:p>
    <w:p w14:paraId="340F22F5" w14:textId="46181C46" w:rsidR="00164B95" w:rsidRPr="000F53DA" w:rsidRDefault="00164B95" w:rsidP="00164B95">
      <w:pPr>
        <w:pStyle w:val="SingleTxtG"/>
        <w:rPr>
          <w:rFonts w:asciiTheme="majorBidi" w:hAnsiTheme="majorBidi" w:cstheme="majorBidi"/>
          <w:lang w:val="lv-LV"/>
        </w:rPr>
      </w:pPr>
      <w:r w:rsidRPr="00271D06">
        <w:rPr>
          <w:rFonts w:asciiTheme="majorBidi" w:hAnsiTheme="majorBidi" w:cstheme="majorBidi"/>
          <w:smallCaps/>
          <w:lang w:val="lv-LV"/>
        </w:rPr>
        <w:t>Fikfak</w:t>
      </w:r>
      <w:r w:rsidRPr="00271D06">
        <w:rPr>
          <w:rFonts w:asciiTheme="majorBidi" w:hAnsiTheme="majorBidi" w:cstheme="majorBidi"/>
          <w:lang w:val="lv-LV"/>
        </w:rPr>
        <w:t xml:space="preserve">, </w:t>
      </w:r>
      <w:r w:rsidRPr="000F53DA">
        <w:rPr>
          <w:rFonts w:asciiTheme="majorBidi" w:hAnsiTheme="majorBidi" w:cstheme="majorBidi"/>
          <w:lang w:val="lv-LV"/>
        </w:rPr>
        <w:t xml:space="preserve">V. “Changing State behaviour: damages before the European Court of Human Rights”, </w:t>
      </w:r>
      <w:r w:rsidRPr="00271D06">
        <w:rPr>
          <w:rFonts w:asciiTheme="majorBidi" w:hAnsiTheme="majorBidi" w:cstheme="majorBidi"/>
          <w:i/>
          <w:iCs/>
          <w:lang w:val="lv-LV"/>
        </w:rPr>
        <w:t>European Journal of International Law</w:t>
      </w:r>
      <w:r w:rsidRPr="000F53DA">
        <w:rPr>
          <w:rFonts w:asciiTheme="majorBidi" w:hAnsiTheme="majorBidi" w:cstheme="majorBidi"/>
          <w:lang w:val="lv-LV"/>
        </w:rPr>
        <w:t>, vol. 29</w:t>
      </w:r>
      <w:r w:rsidRPr="00271D06">
        <w:rPr>
          <w:rFonts w:asciiTheme="majorBidi" w:hAnsiTheme="majorBidi" w:cstheme="majorBidi"/>
          <w:lang w:val="lv-LV"/>
        </w:rPr>
        <w:t>, No. 4</w:t>
      </w:r>
      <w:r w:rsidRPr="000F53DA">
        <w:rPr>
          <w:rFonts w:asciiTheme="majorBidi" w:hAnsiTheme="majorBidi" w:cstheme="majorBidi"/>
          <w:lang w:val="lv-LV"/>
        </w:rPr>
        <w:t xml:space="preserve"> (</w:t>
      </w:r>
      <w:r w:rsidRPr="00271D06">
        <w:rPr>
          <w:rFonts w:asciiTheme="majorBidi" w:hAnsiTheme="majorBidi" w:cstheme="majorBidi"/>
          <w:lang w:val="lv-LV"/>
        </w:rPr>
        <w:t xml:space="preserve">November </w:t>
      </w:r>
      <w:r w:rsidRPr="000F53DA">
        <w:rPr>
          <w:rFonts w:asciiTheme="majorBidi" w:hAnsiTheme="majorBidi" w:cstheme="majorBidi"/>
          <w:lang w:val="lv-LV"/>
        </w:rPr>
        <w:t>2018), p</w:t>
      </w:r>
      <w:r w:rsidRPr="00271D06">
        <w:rPr>
          <w:rFonts w:asciiTheme="majorBidi" w:hAnsiTheme="majorBidi" w:cstheme="majorBidi"/>
          <w:lang w:val="lv-LV"/>
        </w:rPr>
        <w:t>p</w:t>
      </w:r>
      <w:r w:rsidRPr="000F53DA">
        <w:rPr>
          <w:rFonts w:asciiTheme="majorBidi" w:hAnsiTheme="majorBidi" w:cstheme="majorBidi"/>
          <w:lang w:val="lv-LV"/>
        </w:rPr>
        <w:t>.</w:t>
      </w:r>
      <w:r w:rsidR="00B6516D">
        <w:rPr>
          <w:rFonts w:asciiTheme="majorBidi" w:hAnsiTheme="majorBidi" w:cstheme="majorBidi"/>
          <w:lang w:val="lv-LV"/>
        </w:rPr>
        <w:t> </w:t>
      </w:r>
      <w:r w:rsidRPr="000F53DA">
        <w:rPr>
          <w:rFonts w:asciiTheme="majorBidi" w:hAnsiTheme="majorBidi" w:cstheme="majorBidi"/>
          <w:lang w:val="lv-LV"/>
        </w:rPr>
        <w:t>1091</w:t>
      </w:r>
      <w:r w:rsidRPr="00271D06">
        <w:rPr>
          <w:rFonts w:asciiTheme="majorBidi" w:hAnsiTheme="majorBidi" w:cstheme="majorBidi"/>
          <w:lang w:val="lv-LV"/>
        </w:rPr>
        <w:t>–1125</w:t>
      </w:r>
      <w:r w:rsidRPr="000F53DA">
        <w:rPr>
          <w:rFonts w:asciiTheme="majorBidi" w:hAnsiTheme="majorBidi" w:cstheme="majorBidi"/>
          <w:lang w:val="lv-LV"/>
        </w:rPr>
        <w:t>.</w:t>
      </w:r>
    </w:p>
    <w:p w14:paraId="43BCDABC" w14:textId="77777777" w:rsidR="00164B95" w:rsidRPr="000F53DA" w:rsidRDefault="00164B95" w:rsidP="00164B95">
      <w:pPr>
        <w:pStyle w:val="SingleTxtG"/>
        <w:rPr>
          <w:rFonts w:asciiTheme="majorBidi" w:hAnsiTheme="majorBidi" w:cstheme="majorBidi"/>
          <w:lang w:val="lv-LV"/>
        </w:rPr>
      </w:pPr>
      <w:r w:rsidRPr="00271D06">
        <w:rPr>
          <w:rFonts w:asciiTheme="majorBidi" w:hAnsiTheme="majorBidi" w:cstheme="majorBidi"/>
          <w:smallCaps/>
          <w:lang w:val="lv-LV"/>
        </w:rPr>
        <w:t>Fitzmaurice</w:t>
      </w:r>
      <w:r w:rsidRPr="000F53DA">
        <w:rPr>
          <w:rFonts w:asciiTheme="majorBidi" w:hAnsiTheme="majorBidi" w:cstheme="majorBidi"/>
          <w:smallCaps/>
          <w:lang w:val="lv-LV"/>
        </w:rPr>
        <w:t>,</w:t>
      </w:r>
      <w:r w:rsidRPr="000F53DA">
        <w:rPr>
          <w:rFonts w:asciiTheme="majorBidi" w:hAnsiTheme="majorBidi" w:cstheme="majorBidi"/>
          <w:lang w:val="lv-LV"/>
        </w:rPr>
        <w:t xml:space="preserve"> M. “Responsibility and climate change”, </w:t>
      </w:r>
      <w:r w:rsidRPr="00271D06">
        <w:rPr>
          <w:rFonts w:asciiTheme="majorBidi" w:hAnsiTheme="majorBidi" w:cstheme="majorBidi"/>
          <w:i/>
          <w:iCs/>
          <w:lang w:val="lv-LV"/>
        </w:rPr>
        <w:t>German Yearbook of International Law</w:t>
      </w:r>
      <w:r w:rsidRPr="000F53DA">
        <w:rPr>
          <w:rFonts w:asciiTheme="majorBidi" w:hAnsiTheme="majorBidi" w:cstheme="majorBidi"/>
          <w:lang w:val="lv-LV"/>
        </w:rPr>
        <w:t>, vol. 53 (2010), p. 89.</w:t>
      </w:r>
    </w:p>
    <w:p w14:paraId="3F202DF2" w14:textId="504A757D"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en-US"/>
        </w:rPr>
        <w:t>Flauss</w:t>
      </w:r>
      <w:proofErr w:type="spellEnd"/>
      <w:r w:rsidRPr="00271D06">
        <w:rPr>
          <w:rFonts w:asciiTheme="majorBidi" w:hAnsiTheme="majorBidi" w:cstheme="majorBidi"/>
          <w:lang w:val="en-US"/>
        </w:rPr>
        <w:t xml:space="preserve">, J.-F. and E. Lambert </w:t>
      </w:r>
      <w:proofErr w:type="spellStart"/>
      <w:r w:rsidRPr="00271D06">
        <w:rPr>
          <w:rFonts w:asciiTheme="majorBidi" w:hAnsiTheme="majorBidi" w:cstheme="majorBidi"/>
          <w:lang w:val="en-US"/>
        </w:rPr>
        <w:t>Abdelgawad</w:t>
      </w:r>
      <w:proofErr w:type="spellEnd"/>
      <w:r w:rsidRPr="00271D06">
        <w:rPr>
          <w:rFonts w:asciiTheme="majorBidi" w:hAnsiTheme="majorBidi" w:cstheme="majorBidi"/>
          <w:lang w:val="en-US"/>
        </w:rPr>
        <w:t xml:space="preserve">. </w:t>
      </w:r>
      <w:r w:rsidRPr="000F53DA">
        <w:rPr>
          <w:rFonts w:asciiTheme="majorBidi" w:hAnsiTheme="majorBidi" w:cstheme="majorBidi"/>
          <w:i/>
          <w:iCs/>
          <w:lang w:val="fr-FR"/>
        </w:rPr>
        <w:t>La pratique d</w:t>
      </w:r>
      <w:r w:rsidR="004C5E26">
        <w:rPr>
          <w:rFonts w:asciiTheme="majorBidi" w:hAnsiTheme="majorBidi" w:cstheme="majorBidi"/>
          <w:i/>
          <w:iCs/>
          <w:lang w:val="fr-FR"/>
        </w:rPr>
        <w:t>’</w:t>
      </w:r>
      <w:r w:rsidRPr="000F53DA">
        <w:rPr>
          <w:rFonts w:asciiTheme="majorBidi" w:hAnsiTheme="majorBidi" w:cstheme="majorBidi"/>
          <w:i/>
          <w:iCs/>
          <w:lang w:val="fr-FR"/>
        </w:rPr>
        <w:t>indemnisation par la Cour européenne des droits de l</w:t>
      </w:r>
      <w:r w:rsidR="004C5E26">
        <w:rPr>
          <w:rFonts w:asciiTheme="majorBidi" w:hAnsiTheme="majorBidi" w:cstheme="majorBidi"/>
          <w:i/>
          <w:iCs/>
          <w:lang w:val="fr-FR"/>
        </w:rPr>
        <w:t>’</w:t>
      </w:r>
      <w:r w:rsidRPr="000F53DA">
        <w:rPr>
          <w:rFonts w:asciiTheme="majorBidi" w:hAnsiTheme="majorBidi" w:cstheme="majorBidi"/>
          <w:i/>
          <w:iCs/>
          <w:lang w:val="fr-FR"/>
        </w:rPr>
        <w:t>homme</w:t>
      </w:r>
      <w:r w:rsidRPr="000F53DA">
        <w:rPr>
          <w:rFonts w:asciiTheme="majorBidi" w:hAnsiTheme="majorBidi" w:cstheme="majorBidi"/>
          <w:lang w:val="fr-FR"/>
        </w:rPr>
        <w:t>,</w:t>
      </w:r>
      <w:r w:rsidRPr="000F53DA">
        <w:rPr>
          <w:rFonts w:asciiTheme="majorBidi" w:hAnsiTheme="majorBidi" w:cstheme="majorBidi"/>
          <w:i/>
          <w:iCs/>
          <w:lang w:val="fr-FR"/>
        </w:rPr>
        <w:t xml:space="preserve"> </w:t>
      </w:r>
      <w:r w:rsidRPr="000F53DA">
        <w:rPr>
          <w:rFonts w:asciiTheme="majorBidi" w:hAnsiTheme="majorBidi" w:cstheme="majorBidi"/>
          <w:lang w:val="fr-FR"/>
        </w:rPr>
        <w:t>Bruylant, 2011.</w:t>
      </w:r>
    </w:p>
    <w:p w14:paraId="508F79F9"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García Ramírez</w:t>
      </w:r>
      <w:r w:rsidRPr="00271D06">
        <w:rPr>
          <w:rFonts w:asciiTheme="majorBidi" w:hAnsiTheme="majorBidi" w:cstheme="majorBidi"/>
          <w:lang w:val="es-ES"/>
        </w:rPr>
        <w:t xml:space="preserve">, S. </w:t>
      </w:r>
      <w:r w:rsidRPr="000F53DA">
        <w:rPr>
          <w:rFonts w:asciiTheme="majorBidi" w:hAnsiTheme="majorBidi" w:cstheme="majorBidi"/>
          <w:lang w:val="es-ES"/>
        </w:rPr>
        <w:t xml:space="preserve">“La jurisprudencia de la Corte Interamericana de Derechos Humanos en materia de reparaciones”, </w:t>
      </w:r>
      <w:r w:rsidRPr="00271D06">
        <w:rPr>
          <w:rFonts w:asciiTheme="majorBidi" w:hAnsiTheme="majorBidi" w:cstheme="majorBidi"/>
          <w:i/>
          <w:iCs/>
          <w:lang w:val="es-ES"/>
        </w:rPr>
        <w:t xml:space="preserve">in La Corte Interamericana de Derechos Humanos Un Cuarto de </w:t>
      </w:r>
      <w:r w:rsidRPr="000F53DA">
        <w:rPr>
          <w:rFonts w:asciiTheme="majorBidi" w:hAnsiTheme="majorBidi" w:cstheme="majorBidi"/>
          <w:i/>
          <w:iCs/>
          <w:lang w:val="es-ES"/>
        </w:rPr>
        <w:t>Siglo: 1979–2004</w:t>
      </w:r>
      <w:r w:rsidRPr="000F53DA">
        <w:rPr>
          <w:rFonts w:asciiTheme="majorBidi" w:hAnsiTheme="majorBidi" w:cstheme="majorBidi"/>
          <w:lang w:val="es-ES"/>
        </w:rPr>
        <w:t>, Corte IDH, 2005, p. 1.</w:t>
      </w:r>
    </w:p>
    <w:p w14:paraId="2B47363A" w14:textId="77777777" w:rsidR="00164B95" w:rsidRPr="000F53DA" w:rsidRDefault="00164B95" w:rsidP="00164B95">
      <w:pPr>
        <w:pStyle w:val="SingleTxtG"/>
        <w:rPr>
          <w:rFonts w:asciiTheme="majorBidi" w:hAnsiTheme="majorBidi" w:cstheme="majorBidi"/>
          <w:lang w:val="it-IT"/>
        </w:rPr>
      </w:pPr>
      <w:r w:rsidRPr="00271D06">
        <w:rPr>
          <w:rFonts w:asciiTheme="majorBidi" w:hAnsiTheme="majorBidi" w:cstheme="majorBidi"/>
          <w:smallCaps/>
          <w:lang w:val="it-IT"/>
        </w:rPr>
        <w:t>Gattini</w:t>
      </w:r>
      <w:r w:rsidRPr="000F53DA">
        <w:rPr>
          <w:rFonts w:asciiTheme="majorBidi" w:hAnsiTheme="majorBidi" w:cstheme="majorBidi"/>
          <w:lang w:val="it-IT"/>
        </w:rPr>
        <w:t xml:space="preserve">, A. </w:t>
      </w:r>
      <w:r w:rsidRPr="000F53DA">
        <w:rPr>
          <w:rFonts w:asciiTheme="majorBidi" w:hAnsiTheme="majorBidi" w:cstheme="majorBidi"/>
          <w:i/>
          <w:iCs/>
          <w:lang w:val="it-IT"/>
        </w:rPr>
        <w:t>Le riparazioni di guerra nel diritto internazionale</w:t>
      </w:r>
      <w:r w:rsidRPr="000F53DA">
        <w:rPr>
          <w:rFonts w:asciiTheme="majorBidi" w:hAnsiTheme="majorBidi" w:cstheme="majorBidi"/>
          <w:lang w:val="it-IT"/>
        </w:rPr>
        <w:t>,</w:t>
      </w:r>
      <w:r w:rsidRPr="000F53DA">
        <w:rPr>
          <w:rFonts w:asciiTheme="majorBidi" w:hAnsiTheme="majorBidi" w:cstheme="majorBidi"/>
          <w:i/>
          <w:iCs/>
          <w:lang w:val="it-IT"/>
        </w:rPr>
        <w:t xml:space="preserve"> </w:t>
      </w:r>
      <w:r w:rsidRPr="000F53DA">
        <w:rPr>
          <w:rFonts w:asciiTheme="majorBidi" w:hAnsiTheme="majorBidi" w:cstheme="majorBidi"/>
          <w:lang w:val="it-IT"/>
        </w:rPr>
        <w:t xml:space="preserve">CEDAM, 2003. </w:t>
      </w:r>
    </w:p>
    <w:p w14:paraId="65F810B5" w14:textId="77777777" w:rsidR="00164B95" w:rsidRPr="00271D06" w:rsidRDefault="00164B95" w:rsidP="00164B95">
      <w:pPr>
        <w:pStyle w:val="SingleTxtG"/>
        <w:rPr>
          <w:rFonts w:asciiTheme="majorBidi" w:hAnsiTheme="majorBidi" w:cstheme="majorBidi"/>
          <w:b/>
          <w:bCs/>
          <w:lang w:val="en-US"/>
        </w:rPr>
      </w:pPr>
      <w:r w:rsidRPr="00271D06">
        <w:rPr>
          <w:rFonts w:asciiTheme="majorBidi" w:hAnsiTheme="majorBidi" w:cstheme="majorBidi"/>
          <w:smallCaps/>
          <w:lang w:val="en-US"/>
        </w:rPr>
        <w:t>Gonzalez-Salzberg</w:t>
      </w:r>
      <w:r w:rsidRPr="000F53DA">
        <w:rPr>
          <w:rFonts w:asciiTheme="majorBidi" w:hAnsiTheme="majorBidi" w:cstheme="majorBidi"/>
          <w:lang w:val="en-US"/>
        </w:rPr>
        <w:t xml:space="preserve">, </w:t>
      </w:r>
      <w:r w:rsidRPr="00271D06">
        <w:rPr>
          <w:rFonts w:asciiTheme="majorBidi" w:hAnsiTheme="majorBidi" w:cstheme="majorBidi"/>
          <w:lang w:val="en-US"/>
        </w:rPr>
        <w:t xml:space="preserve">D. A. “Queering reparations under international law: damages, suffering, and (heteronormative) kinship”, </w:t>
      </w:r>
      <w:r w:rsidRPr="00271D06">
        <w:rPr>
          <w:rFonts w:asciiTheme="majorBidi" w:hAnsiTheme="majorBidi" w:cstheme="majorBidi"/>
          <w:i/>
          <w:iCs/>
          <w:lang w:val="en-US"/>
        </w:rPr>
        <w:t>American Journal of International Law</w:t>
      </w:r>
      <w:r w:rsidRPr="00271D06">
        <w:rPr>
          <w:rFonts w:asciiTheme="majorBidi" w:hAnsiTheme="majorBidi" w:cstheme="majorBidi"/>
          <w:lang w:val="en-US"/>
        </w:rPr>
        <w:t>, vol. 116 (2022), unbound 5.</w:t>
      </w:r>
    </w:p>
    <w:p w14:paraId="78A5CE16" w14:textId="77777777" w:rsidR="00164B95" w:rsidRPr="00271D06" w:rsidRDefault="00164B95" w:rsidP="00164B95">
      <w:pPr>
        <w:pStyle w:val="SingleTxtG"/>
        <w:rPr>
          <w:rFonts w:asciiTheme="majorBidi" w:hAnsiTheme="majorBidi" w:cstheme="majorBidi"/>
          <w:lang w:val="en-US"/>
        </w:rPr>
      </w:pPr>
      <w:proofErr w:type="spellStart"/>
      <w:r w:rsidRPr="00271D06">
        <w:rPr>
          <w:rFonts w:asciiTheme="majorBidi" w:hAnsiTheme="majorBidi" w:cstheme="majorBidi"/>
          <w:smallCaps/>
          <w:lang w:val="en-US"/>
        </w:rPr>
        <w:t>Graefrath</w:t>
      </w:r>
      <w:proofErr w:type="spellEnd"/>
      <w:r w:rsidRPr="000F53DA">
        <w:rPr>
          <w:rFonts w:asciiTheme="majorBidi" w:hAnsiTheme="majorBidi" w:cstheme="majorBidi"/>
          <w:lang w:val="en-US"/>
        </w:rPr>
        <w:t xml:space="preserve">, </w:t>
      </w:r>
      <w:r w:rsidRPr="00271D06">
        <w:rPr>
          <w:rFonts w:asciiTheme="majorBidi" w:hAnsiTheme="majorBidi" w:cstheme="majorBidi"/>
          <w:lang w:val="en-US"/>
        </w:rPr>
        <w:t xml:space="preserve">B. “Responsibility and damages caused: relationship between responsibility and damages”, </w:t>
      </w:r>
      <w:r w:rsidRPr="000F53DA">
        <w:rPr>
          <w:rFonts w:asciiTheme="majorBidi" w:eastAsia="Calibri" w:hAnsiTheme="majorBidi" w:cstheme="majorBidi"/>
          <w:i/>
          <w:iCs/>
          <w:lang w:val="en-US"/>
        </w:rPr>
        <w:t>Collected Courses of The Hague Academy of International Law</w:t>
      </w:r>
      <w:r w:rsidRPr="000F53DA">
        <w:rPr>
          <w:rFonts w:asciiTheme="majorBidi" w:eastAsia="Calibri" w:hAnsiTheme="majorBidi" w:cstheme="majorBidi"/>
          <w:lang w:val="en-US"/>
        </w:rPr>
        <w:t>, vol. 185</w:t>
      </w:r>
      <w:r w:rsidRPr="00271D06">
        <w:rPr>
          <w:rFonts w:asciiTheme="majorBidi" w:hAnsiTheme="majorBidi" w:cstheme="majorBidi"/>
          <w:lang w:val="en-US"/>
        </w:rPr>
        <w:t xml:space="preserve"> (1984), p. 9.</w:t>
      </w:r>
    </w:p>
    <w:p w14:paraId="0BE01622"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Grossman</w:t>
      </w:r>
      <w:r w:rsidRPr="000F53DA">
        <w:rPr>
          <w:rFonts w:asciiTheme="majorBidi" w:hAnsiTheme="majorBidi" w:cstheme="majorBidi"/>
          <w:lang w:val="en-US"/>
        </w:rPr>
        <w:t xml:space="preserve">, </w:t>
      </w:r>
      <w:r w:rsidRPr="00271D06">
        <w:rPr>
          <w:rFonts w:asciiTheme="majorBidi" w:hAnsiTheme="majorBidi" w:cstheme="majorBidi"/>
          <w:lang w:val="en-US"/>
        </w:rPr>
        <w:t xml:space="preserve">C. “The inter-American system and its evolution”, </w:t>
      </w:r>
      <w:r w:rsidRPr="00271D06">
        <w:rPr>
          <w:rFonts w:asciiTheme="majorBidi" w:hAnsiTheme="majorBidi" w:cstheme="majorBidi"/>
          <w:i/>
          <w:iCs/>
          <w:lang w:val="en-US"/>
        </w:rPr>
        <w:t>Inter-American and European Human Rights Journal</w:t>
      </w:r>
      <w:r w:rsidRPr="00271D06">
        <w:rPr>
          <w:rFonts w:asciiTheme="majorBidi" w:hAnsiTheme="majorBidi" w:cstheme="majorBidi"/>
          <w:lang w:val="en-US"/>
        </w:rPr>
        <w:t>, vol. 2 (2009), p. 49, sect. 2.2.</w:t>
      </w:r>
    </w:p>
    <w:p w14:paraId="2EBDDECF" w14:textId="77777777" w:rsidR="00164B95" w:rsidRPr="00271D06" w:rsidRDefault="00164B95" w:rsidP="00164B95">
      <w:pPr>
        <w:pStyle w:val="SingleTxtG"/>
        <w:rPr>
          <w:rFonts w:asciiTheme="majorBidi" w:hAnsiTheme="majorBidi" w:cstheme="majorBidi"/>
          <w:lang w:val="en-US"/>
        </w:rPr>
      </w:pPr>
      <w:r w:rsidRPr="00271D06">
        <w:rPr>
          <w:rFonts w:asciiTheme="majorBidi" w:eastAsia="Calibri" w:hAnsiTheme="majorBidi" w:cstheme="majorBidi"/>
          <w:lang w:val="en-US"/>
        </w:rPr>
        <w:t xml:space="preserve">—— </w:t>
      </w:r>
      <w:r w:rsidRPr="00271D06">
        <w:rPr>
          <w:rFonts w:asciiTheme="majorBidi" w:hAnsiTheme="majorBidi" w:cstheme="majorBidi"/>
          <w:lang w:val="en-US"/>
        </w:rPr>
        <w:t xml:space="preserve">, A. del Campo and M. A. Trudeau, </w:t>
      </w:r>
      <w:r w:rsidRPr="00271D06">
        <w:rPr>
          <w:rFonts w:asciiTheme="majorBidi" w:hAnsiTheme="majorBidi" w:cstheme="majorBidi"/>
          <w:i/>
          <w:iCs/>
          <w:lang w:val="en-US"/>
        </w:rPr>
        <w:t>International Law and Reparations: the Inter-American System</w:t>
      </w:r>
      <w:r w:rsidRPr="00271D06">
        <w:rPr>
          <w:rFonts w:asciiTheme="majorBidi" w:hAnsiTheme="majorBidi" w:cstheme="majorBidi"/>
          <w:lang w:val="en-US"/>
        </w:rPr>
        <w:t>, Clarity Press, 2018.</w:t>
      </w:r>
    </w:p>
    <w:p w14:paraId="4519777A"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Gray</w:t>
      </w:r>
      <w:r w:rsidRPr="000F53DA">
        <w:rPr>
          <w:rFonts w:asciiTheme="majorBidi" w:hAnsiTheme="majorBidi" w:cstheme="majorBidi"/>
          <w:lang w:val="en-US"/>
        </w:rPr>
        <w:t xml:space="preserve">, </w:t>
      </w:r>
      <w:r w:rsidRPr="00271D06">
        <w:rPr>
          <w:rFonts w:asciiTheme="majorBidi" w:hAnsiTheme="majorBidi" w:cstheme="majorBidi"/>
          <w:lang w:val="en-US"/>
        </w:rPr>
        <w:t xml:space="preserve">C. “Is there an international law of remedies?”, </w:t>
      </w:r>
      <w:r w:rsidRPr="00271D06">
        <w:rPr>
          <w:rFonts w:asciiTheme="majorBidi" w:hAnsiTheme="majorBidi" w:cstheme="majorBidi"/>
          <w:i/>
          <w:iCs/>
          <w:lang w:val="en-US"/>
        </w:rPr>
        <w:t>British Year Book of International Law</w:t>
      </w:r>
      <w:r w:rsidRPr="00271D06">
        <w:rPr>
          <w:rFonts w:asciiTheme="majorBidi" w:hAnsiTheme="majorBidi" w:cstheme="majorBidi"/>
          <w:lang w:val="en-US"/>
        </w:rPr>
        <w:t>, vol. 56 (1985), p. 25.</w:t>
      </w:r>
    </w:p>
    <w:p w14:paraId="7D0959B6" w14:textId="77777777" w:rsidR="00164B95" w:rsidRPr="00271D06" w:rsidRDefault="00164B95" w:rsidP="00164B95">
      <w:pPr>
        <w:pStyle w:val="SingleTxtG"/>
        <w:rPr>
          <w:rFonts w:asciiTheme="majorBidi" w:hAnsiTheme="majorBidi" w:cstheme="majorBidi"/>
          <w:lang w:val="en-US"/>
        </w:rPr>
      </w:pPr>
      <w:r w:rsidRPr="000F53DA">
        <w:rPr>
          <w:rFonts w:asciiTheme="majorBidi" w:eastAsia="Calibri" w:hAnsiTheme="majorBidi" w:cstheme="majorBidi"/>
          <w:lang w:val="en-US"/>
        </w:rPr>
        <w:t xml:space="preserve">—— </w:t>
      </w:r>
      <w:r w:rsidRPr="000F53DA">
        <w:rPr>
          <w:rFonts w:asciiTheme="majorBidi" w:hAnsiTheme="majorBidi" w:cstheme="majorBidi"/>
          <w:lang w:val="en-US"/>
        </w:rPr>
        <w:t xml:space="preserve">. </w:t>
      </w:r>
      <w:r w:rsidRPr="00271D06">
        <w:rPr>
          <w:rFonts w:asciiTheme="majorBidi" w:hAnsiTheme="majorBidi" w:cstheme="majorBidi"/>
          <w:i/>
          <w:iCs/>
          <w:lang w:val="en-US"/>
        </w:rPr>
        <w:t>Judicial Remedies in International Law</w:t>
      </w:r>
      <w:r w:rsidRPr="00271D06">
        <w:rPr>
          <w:rFonts w:asciiTheme="majorBidi" w:hAnsiTheme="majorBidi" w:cstheme="majorBidi"/>
          <w:lang w:val="en-US"/>
        </w:rPr>
        <w:t xml:space="preserve">, </w:t>
      </w:r>
      <w:r w:rsidRPr="00271D06">
        <w:rPr>
          <w:rFonts w:asciiTheme="majorBidi" w:eastAsia="Calibri" w:hAnsiTheme="majorBidi" w:cstheme="majorBidi"/>
          <w:lang w:val="en-US"/>
        </w:rPr>
        <w:t>Oxford, Clarendon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 xml:space="preserve">1987. </w:t>
      </w:r>
    </w:p>
    <w:p w14:paraId="6AC38583"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de Greiff</w:t>
      </w:r>
      <w:r w:rsidRPr="000F53DA">
        <w:rPr>
          <w:rFonts w:asciiTheme="majorBidi" w:hAnsiTheme="majorBidi" w:cstheme="majorBidi"/>
          <w:lang w:val="en-US"/>
        </w:rPr>
        <w:t xml:space="preserve">, </w:t>
      </w:r>
      <w:r w:rsidRPr="00271D06">
        <w:rPr>
          <w:rFonts w:asciiTheme="majorBidi" w:hAnsiTheme="majorBidi" w:cstheme="majorBidi"/>
          <w:lang w:val="en-US"/>
        </w:rPr>
        <w:t>P. (ed.)</w:t>
      </w:r>
      <w:r w:rsidRPr="000F53DA">
        <w:rPr>
          <w:rFonts w:asciiTheme="majorBidi" w:hAnsiTheme="majorBidi" w:cstheme="majorBidi"/>
          <w:lang w:val="en-US"/>
        </w:rPr>
        <w:t>.</w:t>
      </w:r>
      <w:r w:rsidRPr="00271D06">
        <w:rPr>
          <w:rFonts w:asciiTheme="majorBidi" w:hAnsiTheme="majorBidi" w:cstheme="majorBidi"/>
          <w:lang w:val="en-US"/>
        </w:rPr>
        <w:t xml:space="preserve"> </w:t>
      </w:r>
      <w:r w:rsidRPr="00271D06">
        <w:rPr>
          <w:rFonts w:asciiTheme="majorBidi" w:hAnsiTheme="majorBidi" w:cstheme="majorBidi"/>
          <w:i/>
          <w:iCs/>
          <w:lang w:val="en-US"/>
        </w:rPr>
        <w:t>The Handbook of Reparations</w:t>
      </w:r>
      <w:r w:rsidRPr="00271D06">
        <w:rPr>
          <w:rFonts w:asciiTheme="majorBidi" w:hAnsiTheme="majorBidi" w:cstheme="majorBidi"/>
          <w:lang w:val="en-US"/>
        </w:rPr>
        <w:t xml:space="preserve">, </w:t>
      </w:r>
      <w:r w:rsidRPr="00271D06">
        <w:rPr>
          <w:rFonts w:asciiTheme="majorBidi" w:eastAsia="Calibri" w:hAnsiTheme="majorBidi" w:cstheme="majorBidi"/>
          <w:lang w:val="en-US"/>
        </w:rPr>
        <w:t>Oxford University Press,</w:t>
      </w:r>
      <w:r w:rsidRPr="00271D06" w:rsidDel="00E745AC">
        <w:rPr>
          <w:rFonts w:asciiTheme="majorBidi" w:hAnsiTheme="majorBidi" w:cstheme="majorBidi"/>
          <w:lang w:val="en-US"/>
        </w:rPr>
        <w:t xml:space="preserve"> </w:t>
      </w:r>
      <w:r w:rsidRPr="00271D06">
        <w:rPr>
          <w:rFonts w:asciiTheme="majorBidi" w:hAnsiTheme="majorBidi" w:cstheme="majorBidi"/>
          <w:lang w:val="en-US"/>
        </w:rPr>
        <w:t>2006.</w:t>
      </w:r>
    </w:p>
    <w:p w14:paraId="69E5F018"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Gutiérrez Espada</w:t>
      </w:r>
      <w:r w:rsidRPr="000F53DA">
        <w:rPr>
          <w:rFonts w:asciiTheme="majorBidi" w:hAnsiTheme="majorBidi" w:cstheme="majorBidi"/>
          <w:lang w:val="es-ES"/>
        </w:rPr>
        <w:t xml:space="preserve">, C. </w:t>
      </w:r>
      <w:r w:rsidRPr="000F53DA">
        <w:rPr>
          <w:rFonts w:asciiTheme="majorBidi" w:hAnsiTheme="majorBidi" w:cstheme="majorBidi"/>
          <w:i/>
          <w:iCs/>
          <w:lang w:val="es-ES"/>
        </w:rPr>
        <w:t>El hecho ilícito internacional</w:t>
      </w:r>
      <w:r w:rsidRPr="000F53DA">
        <w:rPr>
          <w:rFonts w:asciiTheme="majorBidi" w:hAnsiTheme="majorBidi" w:cstheme="majorBidi"/>
          <w:lang w:val="es-ES"/>
        </w:rPr>
        <w:t>, Dykinson, 2005.</w:t>
      </w:r>
    </w:p>
    <w:p w14:paraId="3538AC13" w14:textId="77777777" w:rsidR="00164B95" w:rsidRPr="00164B95" w:rsidRDefault="00164B95" w:rsidP="00164B95">
      <w:pPr>
        <w:pStyle w:val="SingleTxtG"/>
        <w:rPr>
          <w:rFonts w:asciiTheme="majorBidi" w:hAnsiTheme="majorBidi" w:cstheme="majorBidi"/>
          <w:lang w:val="en-US"/>
        </w:rPr>
      </w:pPr>
      <w:proofErr w:type="spellStart"/>
      <w:r w:rsidRPr="000F53DA">
        <w:rPr>
          <w:rFonts w:asciiTheme="majorBidi" w:eastAsia="Microsoft JhengHei" w:hAnsiTheme="majorBidi" w:cstheme="majorBidi" w:hint="eastAsia"/>
        </w:rPr>
        <w:t>贺其治</w:t>
      </w:r>
      <w:proofErr w:type="spellEnd"/>
      <w:r w:rsidRPr="00164B95">
        <w:rPr>
          <w:rFonts w:asciiTheme="majorBidi" w:hAnsiTheme="majorBidi" w:cstheme="majorBidi"/>
          <w:lang w:val="en-US"/>
        </w:rPr>
        <w:t xml:space="preserve">. </w:t>
      </w:r>
      <w:proofErr w:type="spellStart"/>
      <w:r w:rsidRPr="000F53DA">
        <w:rPr>
          <w:rFonts w:asciiTheme="majorBidi" w:eastAsia="MS Gothic" w:hAnsiTheme="majorBidi" w:cstheme="majorBidi" w:hint="eastAsia"/>
          <w:i/>
          <w:iCs/>
        </w:rPr>
        <w:t>国家</w:t>
      </w:r>
      <w:r w:rsidRPr="000F53DA">
        <w:rPr>
          <w:rFonts w:asciiTheme="majorBidi" w:eastAsia="Microsoft JhengHei" w:hAnsiTheme="majorBidi" w:cstheme="majorBidi" w:hint="eastAsia"/>
          <w:i/>
          <w:iCs/>
        </w:rPr>
        <w:t>责任法及案例浅析</w:t>
      </w:r>
      <w:proofErr w:type="spellEnd"/>
      <w:r w:rsidRPr="00164B95">
        <w:rPr>
          <w:rFonts w:asciiTheme="majorBidi" w:hAnsiTheme="majorBidi" w:cstheme="majorBidi"/>
          <w:i/>
          <w:iCs/>
          <w:lang w:val="en-US"/>
        </w:rPr>
        <w:t xml:space="preserve"> </w:t>
      </w:r>
      <w:r w:rsidRPr="00164B95">
        <w:rPr>
          <w:rFonts w:asciiTheme="majorBidi" w:hAnsiTheme="majorBidi" w:cstheme="majorBidi"/>
          <w:lang w:val="en-US"/>
        </w:rPr>
        <w:t>(</w:t>
      </w:r>
      <w:proofErr w:type="spellStart"/>
      <w:r w:rsidRPr="000F53DA">
        <w:rPr>
          <w:rFonts w:asciiTheme="majorBidi" w:eastAsia="MS Gothic" w:hAnsiTheme="majorBidi" w:cstheme="majorBidi" w:hint="eastAsia"/>
        </w:rPr>
        <w:t>法律出版社</w:t>
      </w:r>
      <w:proofErr w:type="spellEnd"/>
      <w:r w:rsidRPr="00164B95">
        <w:rPr>
          <w:rFonts w:asciiTheme="majorBidi" w:hAnsiTheme="majorBidi" w:cstheme="majorBidi"/>
          <w:lang w:val="en-US"/>
        </w:rPr>
        <w:t xml:space="preserve"> 2003) [</w:t>
      </w:r>
      <w:r w:rsidRPr="00164B95">
        <w:rPr>
          <w:rFonts w:asciiTheme="majorBidi" w:hAnsiTheme="majorBidi" w:cstheme="majorBidi"/>
          <w:smallCaps/>
          <w:lang w:val="en-US"/>
        </w:rPr>
        <w:t>He</w:t>
      </w:r>
      <w:r w:rsidRPr="00164B95">
        <w:rPr>
          <w:rFonts w:asciiTheme="majorBidi" w:hAnsiTheme="majorBidi" w:cstheme="majorBidi"/>
          <w:lang w:val="en-US"/>
        </w:rPr>
        <w:t xml:space="preserve"> Q. </w:t>
      </w:r>
      <w:r w:rsidRPr="00164B95">
        <w:rPr>
          <w:rFonts w:asciiTheme="majorBidi" w:hAnsiTheme="majorBidi" w:cstheme="majorBidi"/>
          <w:i/>
          <w:iCs/>
          <w:lang w:val="en-US"/>
        </w:rPr>
        <w:t>The Law of State Responsibility and Analysis of Judicial Decisions</w:t>
      </w:r>
      <w:r w:rsidRPr="00164B95">
        <w:rPr>
          <w:rFonts w:asciiTheme="majorBidi" w:hAnsiTheme="majorBidi" w:cstheme="majorBidi"/>
          <w:lang w:val="en-US"/>
        </w:rPr>
        <w:t>, Law Press China, 2003].</w:t>
      </w:r>
    </w:p>
    <w:p w14:paraId="5A2E2932" w14:textId="77777777" w:rsidR="00164B95" w:rsidRPr="008C3992" w:rsidRDefault="00164B95" w:rsidP="00164B95">
      <w:pPr>
        <w:pStyle w:val="SingleTxtG"/>
        <w:rPr>
          <w:rFonts w:asciiTheme="majorBidi" w:hAnsiTheme="majorBidi" w:cstheme="majorBidi"/>
          <w:lang w:val="en-US"/>
        </w:rPr>
      </w:pPr>
      <w:r w:rsidRPr="008C3992">
        <w:rPr>
          <w:rFonts w:asciiTheme="majorBidi" w:hAnsiTheme="majorBidi" w:cstheme="majorBidi"/>
          <w:smallCaps/>
          <w:lang w:val="en-US"/>
        </w:rPr>
        <w:lastRenderedPageBreak/>
        <w:t>Heiskanen</w:t>
      </w:r>
      <w:r w:rsidRPr="008C3992">
        <w:rPr>
          <w:rFonts w:asciiTheme="majorBidi" w:hAnsiTheme="majorBidi" w:cstheme="majorBidi"/>
          <w:lang w:val="en-US"/>
        </w:rPr>
        <w:t xml:space="preserve">, V. </w:t>
      </w:r>
      <w:r w:rsidRPr="008C3992">
        <w:rPr>
          <w:rFonts w:asciiTheme="majorBidi" w:eastAsia="Calibri" w:hAnsiTheme="majorBidi" w:cstheme="majorBidi"/>
          <w:lang w:val="en-US"/>
        </w:rPr>
        <w:t>“</w:t>
      </w:r>
      <w:r w:rsidRPr="008C3992">
        <w:rPr>
          <w:rFonts w:asciiTheme="majorBidi" w:hAnsiTheme="majorBidi" w:cstheme="majorBidi"/>
          <w:lang w:val="en-US"/>
        </w:rPr>
        <w:t>The United Nations Compensation Commission</w:t>
      </w:r>
      <w:r w:rsidRPr="008C3992">
        <w:rPr>
          <w:rFonts w:asciiTheme="majorBidi" w:eastAsia="Calibri" w:hAnsiTheme="majorBidi" w:cstheme="majorBidi"/>
          <w:lang w:val="en-US"/>
        </w:rPr>
        <w:t xml:space="preserve">”, </w:t>
      </w:r>
      <w:r w:rsidRPr="008C3992">
        <w:rPr>
          <w:rFonts w:asciiTheme="majorBidi" w:eastAsia="Calibri" w:hAnsiTheme="majorBidi" w:cstheme="majorBidi"/>
          <w:i/>
          <w:iCs/>
          <w:lang w:val="en-US"/>
        </w:rPr>
        <w:t>Collected Courses of The Hague Academy of International Law</w:t>
      </w:r>
      <w:r w:rsidRPr="008C3992">
        <w:rPr>
          <w:rFonts w:asciiTheme="majorBidi" w:eastAsia="Calibri" w:hAnsiTheme="majorBidi" w:cstheme="majorBidi"/>
          <w:lang w:val="en-US"/>
        </w:rPr>
        <w:t>, vol. 296</w:t>
      </w:r>
      <w:r w:rsidRPr="008C3992">
        <w:rPr>
          <w:rFonts w:asciiTheme="majorBidi" w:hAnsiTheme="majorBidi" w:cstheme="majorBidi"/>
          <w:lang w:val="en-US"/>
        </w:rPr>
        <w:t xml:space="preserve"> (2002), p. 255.</w:t>
      </w:r>
    </w:p>
    <w:p w14:paraId="37EF4A44" w14:textId="729B9165" w:rsidR="00164B95" w:rsidRPr="008C3992"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en-US"/>
        </w:rPr>
        <w:t>Hennebel</w:t>
      </w:r>
      <w:proofErr w:type="spellEnd"/>
      <w:r w:rsidRPr="00271D06">
        <w:rPr>
          <w:rFonts w:asciiTheme="majorBidi" w:hAnsiTheme="majorBidi" w:cstheme="majorBidi"/>
          <w:lang w:val="en-US"/>
        </w:rPr>
        <w:t xml:space="preserve">, L. and H. </w:t>
      </w:r>
      <w:proofErr w:type="spellStart"/>
      <w:r w:rsidRPr="00271D06">
        <w:rPr>
          <w:rFonts w:asciiTheme="majorBidi" w:hAnsiTheme="majorBidi" w:cstheme="majorBidi"/>
          <w:lang w:val="en-US"/>
        </w:rPr>
        <w:t>Tigroudja</w:t>
      </w:r>
      <w:proofErr w:type="spellEnd"/>
      <w:r w:rsidRPr="00271D06">
        <w:rPr>
          <w:rFonts w:asciiTheme="majorBidi" w:hAnsiTheme="majorBidi" w:cstheme="majorBidi"/>
          <w:lang w:val="en-US"/>
        </w:rPr>
        <w:t xml:space="preserve">. </w:t>
      </w:r>
      <w:r w:rsidRPr="008C3992">
        <w:rPr>
          <w:rFonts w:asciiTheme="majorBidi" w:hAnsiTheme="majorBidi" w:cstheme="majorBidi"/>
          <w:i/>
          <w:iCs/>
          <w:lang w:val="fr-FR"/>
        </w:rPr>
        <w:t>Le particularisme interaméricain des droits de l</w:t>
      </w:r>
      <w:r w:rsidR="004C5E26">
        <w:rPr>
          <w:rFonts w:asciiTheme="majorBidi" w:hAnsiTheme="majorBidi" w:cstheme="majorBidi"/>
          <w:i/>
          <w:iCs/>
          <w:lang w:val="fr-FR"/>
        </w:rPr>
        <w:t>’</w:t>
      </w:r>
      <w:r w:rsidRPr="008C3992">
        <w:rPr>
          <w:rFonts w:asciiTheme="majorBidi" w:hAnsiTheme="majorBidi" w:cstheme="majorBidi"/>
          <w:i/>
          <w:iCs/>
          <w:lang w:val="fr-FR"/>
        </w:rPr>
        <w:t>homme</w:t>
      </w:r>
      <w:r w:rsidRPr="008C3992">
        <w:rPr>
          <w:rFonts w:asciiTheme="majorBidi" w:hAnsiTheme="majorBidi" w:cstheme="majorBidi"/>
          <w:lang w:val="fr-FR"/>
        </w:rPr>
        <w:t xml:space="preserve">, Paris, </w:t>
      </w:r>
      <w:proofErr w:type="spellStart"/>
      <w:r w:rsidRPr="008C3992">
        <w:rPr>
          <w:rFonts w:asciiTheme="majorBidi" w:hAnsiTheme="majorBidi" w:cstheme="majorBidi"/>
          <w:lang w:val="fr-FR"/>
        </w:rPr>
        <w:t>Pedone</w:t>
      </w:r>
      <w:proofErr w:type="spellEnd"/>
      <w:r w:rsidRPr="008C3992">
        <w:rPr>
          <w:rFonts w:asciiTheme="majorBidi" w:hAnsiTheme="majorBidi" w:cstheme="majorBidi"/>
          <w:lang w:val="fr-FR"/>
        </w:rPr>
        <w:t>, 2009.</w:t>
      </w:r>
    </w:p>
    <w:p w14:paraId="7200EA24"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Higgins</w:t>
      </w:r>
      <w:r w:rsidRPr="00271D06">
        <w:rPr>
          <w:rFonts w:asciiTheme="majorBidi" w:eastAsia="Calibri" w:hAnsiTheme="majorBidi" w:cstheme="majorBidi"/>
          <w:lang w:val="en-US"/>
        </w:rPr>
        <w:t xml:space="preserve">, R. “Overview of Part Two of the articles on State responsibility”, </w:t>
      </w:r>
      <w:r w:rsidRPr="00271D06">
        <w:rPr>
          <w:rFonts w:asciiTheme="majorBidi" w:eastAsia="Calibri" w:hAnsiTheme="majorBidi" w:cstheme="majorBidi"/>
          <w:i/>
          <w:iCs/>
          <w:lang w:val="en-US"/>
        </w:rPr>
        <w:t>in</w:t>
      </w:r>
      <w:r w:rsidRPr="00271D06">
        <w:rPr>
          <w:rFonts w:asciiTheme="majorBidi" w:eastAsia="Calibri" w:hAnsiTheme="majorBidi" w:cstheme="majorBidi"/>
          <w:lang w:val="en-US"/>
        </w:rPr>
        <w:t xml:space="preserve"> J. Crawford, </w:t>
      </w:r>
      <w:r w:rsidRPr="00271D06">
        <w:rPr>
          <w:rFonts w:eastAsia="Calibri"/>
          <w:i/>
          <w:kern w:val="2"/>
          <w:lang w:val="en-US"/>
          <w14:ligatures w14:val="standardContextual"/>
        </w:rPr>
        <w:t xml:space="preserve"> 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 2010, pp. 537–544.</w:t>
      </w:r>
    </w:p>
    <w:p w14:paraId="2823664F" w14:textId="712C09E2" w:rsidR="00164B95" w:rsidRPr="00271D06" w:rsidRDefault="00164B95" w:rsidP="00164B95">
      <w:pPr>
        <w:pStyle w:val="SingleTxtG"/>
        <w:rPr>
          <w:rFonts w:asciiTheme="majorBidi" w:eastAsia="Calibri" w:hAnsiTheme="majorBidi" w:cstheme="majorBidi"/>
          <w:lang w:val="en-US"/>
        </w:rPr>
      </w:pPr>
      <w:proofErr w:type="spellStart"/>
      <w:r w:rsidRPr="000F53DA">
        <w:rPr>
          <w:rFonts w:asciiTheme="majorBidi" w:eastAsia="MS Gothic" w:hAnsiTheme="majorBidi" w:cstheme="majorBidi" w:hint="eastAsia"/>
        </w:rPr>
        <w:t>黄惠康</w:t>
      </w:r>
      <w:proofErr w:type="spellEnd"/>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w:t>
      </w:r>
      <w:r w:rsidR="004C5E26">
        <w:rPr>
          <w:rFonts w:asciiTheme="majorBidi" w:eastAsia="Calibri" w:hAnsiTheme="majorBidi" w:cstheme="majorBidi"/>
          <w:lang w:val="en-US"/>
        </w:rPr>
        <w:t>‘</w:t>
      </w:r>
      <w:proofErr w:type="spellStart"/>
      <w:r w:rsidRPr="000F53DA">
        <w:rPr>
          <w:rFonts w:asciiTheme="majorBidi" w:eastAsia="MS Gothic" w:hAnsiTheme="majorBidi" w:cstheme="majorBidi" w:hint="eastAsia"/>
        </w:rPr>
        <w:t>侵害外国人</w:t>
      </w:r>
      <w:r w:rsidRPr="000F53DA">
        <w:rPr>
          <w:rFonts w:asciiTheme="majorBidi" w:eastAsia="Yu Gothic" w:hAnsiTheme="majorBidi" w:cstheme="majorBidi" w:hint="eastAsia"/>
        </w:rPr>
        <w:t>权</w:t>
      </w:r>
      <w:r w:rsidRPr="000F53DA">
        <w:rPr>
          <w:rFonts w:asciiTheme="majorBidi" w:eastAsia="MS Gothic" w:hAnsiTheme="majorBidi" w:cstheme="majorBidi" w:hint="eastAsia"/>
        </w:rPr>
        <w:t>益的国家</w:t>
      </w:r>
      <w:r w:rsidRPr="000F53DA">
        <w:rPr>
          <w:rFonts w:asciiTheme="majorBidi" w:eastAsia="Microsoft JhengHei" w:hAnsiTheme="majorBidi" w:cstheme="majorBidi" w:hint="eastAsia"/>
        </w:rPr>
        <w:t>责</w:t>
      </w:r>
      <w:r w:rsidRPr="000F53DA">
        <w:rPr>
          <w:rFonts w:asciiTheme="majorBidi" w:eastAsia="MS Gothic" w:hAnsiTheme="majorBidi" w:cstheme="majorBidi" w:hint="eastAsia"/>
        </w:rPr>
        <w:t>任</w:t>
      </w:r>
      <w:proofErr w:type="spellEnd"/>
      <w:r w:rsidR="004C5E26">
        <w:rPr>
          <w:rFonts w:asciiTheme="majorBidi" w:eastAsia="Calibri" w:hAnsiTheme="majorBidi" w:cstheme="majorBidi"/>
          <w:lang w:val="en-US"/>
        </w:rPr>
        <w:t>’</w:t>
      </w:r>
      <w:r w:rsidRPr="00271D06">
        <w:rPr>
          <w:rFonts w:asciiTheme="majorBidi" w:eastAsia="Calibri" w:hAnsiTheme="majorBidi" w:cstheme="majorBidi"/>
          <w:lang w:val="en-US"/>
        </w:rPr>
        <w:t xml:space="preserve"> (1986) </w:t>
      </w:r>
      <w:r w:rsidRPr="000F53DA">
        <w:rPr>
          <w:rFonts w:asciiTheme="majorBidi" w:eastAsia="MS Gothic" w:hAnsiTheme="majorBidi" w:cstheme="majorBidi" w:hint="eastAsia"/>
        </w:rPr>
        <w:t>特刊第</w:t>
      </w:r>
      <w:r w:rsidRPr="00271D06">
        <w:rPr>
          <w:rFonts w:asciiTheme="majorBidi" w:eastAsia="Calibri" w:hAnsiTheme="majorBidi" w:cstheme="majorBidi"/>
          <w:lang w:val="en-US"/>
        </w:rPr>
        <w:t>1</w:t>
      </w:r>
      <w:r w:rsidRPr="000F53DA">
        <w:rPr>
          <w:rFonts w:asciiTheme="majorBidi" w:eastAsia="MS Gothic" w:hAnsiTheme="majorBidi" w:cstheme="majorBidi" w:hint="eastAsia"/>
        </w:rPr>
        <w:t>期</w:t>
      </w:r>
      <w:r w:rsidRPr="00271D06">
        <w:rPr>
          <w:rFonts w:asciiTheme="majorBidi" w:eastAsia="Calibri" w:hAnsiTheme="majorBidi" w:cstheme="majorBidi"/>
          <w:lang w:val="en-US"/>
        </w:rPr>
        <w:t xml:space="preserve"> </w:t>
      </w:r>
      <w:proofErr w:type="spellStart"/>
      <w:r w:rsidRPr="000F53DA">
        <w:rPr>
          <w:rFonts w:asciiTheme="majorBidi" w:eastAsia="MS Gothic" w:hAnsiTheme="majorBidi" w:cstheme="majorBidi" w:hint="eastAsia"/>
        </w:rPr>
        <w:t>武</w:t>
      </w:r>
      <w:r w:rsidRPr="000F53DA">
        <w:rPr>
          <w:rFonts w:asciiTheme="majorBidi" w:eastAsia="Microsoft JhengHei" w:hAnsiTheme="majorBidi" w:cstheme="majorBidi" w:hint="eastAsia"/>
        </w:rPr>
        <w:t>汉</w:t>
      </w:r>
      <w:r w:rsidRPr="000F53DA">
        <w:rPr>
          <w:rFonts w:asciiTheme="majorBidi" w:eastAsia="MS Gothic" w:hAnsiTheme="majorBidi" w:cstheme="majorBidi" w:hint="eastAsia"/>
        </w:rPr>
        <w:t>大学学</w:t>
      </w:r>
      <w:r w:rsidRPr="000F53DA">
        <w:rPr>
          <w:rFonts w:asciiTheme="majorBidi" w:eastAsia="Microsoft JhengHei" w:hAnsiTheme="majorBidi" w:cstheme="majorBidi" w:hint="eastAsia"/>
        </w:rPr>
        <w:t>报</w:t>
      </w:r>
      <w:proofErr w:type="spellEnd"/>
      <w:r w:rsidRPr="00271D06">
        <w:rPr>
          <w:rFonts w:asciiTheme="majorBidi" w:eastAsia="Calibri" w:hAnsiTheme="majorBidi" w:cstheme="majorBidi"/>
          <w:lang w:val="en-US"/>
        </w:rPr>
        <w:t xml:space="preserve"> [</w:t>
      </w:r>
      <w:r w:rsidRPr="00271D06">
        <w:rPr>
          <w:rFonts w:asciiTheme="majorBidi" w:eastAsia="Calibri" w:hAnsiTheme="majorBidi" w:cstheme="majorBidi"/>
          <w:smallCaps/>
          <w:lang w:val="en-US"/>
        </w:rPr>
        <w:t>Huang</w:t>
      </w:r>
      <w:r w:rsidRPr="00271D06">
        <w:rPr>
          <w:rFonts w:asciiTheme="majorBidi" w:eastAsia="Calibri" w:hAnsiTheme="majorBidi" w:cstheme="majorBidi"/>
          <w:lang w:val="en-US"/>
        </w:rPr>
        <w:t xml:space="preserve"> H. “</w:t>
      </w:r>
      <w:r w:rsidRPr="00271D06">
        <w:rPr>
          <w:rFonts w:asciiTheme="majorBidi" w:eastAsia="Calibri" w:hAnsiTheme="majorBidi" w:cstheme="majorBidi"/>
          <w:color w:val="000000"/>
          <w:lang w:val="en-US"/>
        </w:rPr>
        <w:t>State responsibility for the violation of foreigners</w:t>
      </w:r>
      <w:r w:rsidR="004C5E26">
        <w:rPr>
          <w:rFonts w:asciiTheme="majorBidi" w:eastAsia="Calibri" w:hAnsiTheme="majorBidi" w:cstheme="majorBidi"/>
          <w:color w:val="000000"/>
          <w:lang w:val="en-US"/>
        </w:rPr>
        <w:t>’</w:t>
      </w:r>
      <w:r w:rsidRPr="00271D06">
        <w:rPr>
          <w:rFonts w:asciiTheme="majorBidi" w:eastAsia="Calibri" w:hAnsiTheme="majorBidi" w:cstheme="majorBidi"/>
          <w:color w:val="000000"/>
          <w:lang w:val="en-US"/>
        </w:rPr>
        <w:t xml:space="preserve"> rights and interests”, </w:t>
      </w:r>
      <w:r w:rsidRPr="00271D06">
        <w:rPr>
          <w:rFonts w:asciiTheme="majorBidi" w:eastAsia="Calibri" w:hAnsiTheme="majorBidi" w:cstheme="majorBidi"/>
          <w:i/>
          <w:iCs/>
          <w:color w:val="000000"/>
          <w:lang w:val="en-US"/>
        </w:rPr>
        <w:t>Journal of Wuhan University</w:t>
      </w:r>
      <w:r w:rsidRPr="00271D06">
        <w:rPr>
          <w:rFonts w:asciiTheme="majorBidi" w:eastAsia="Calibri" w:hAnsiTheme="majorBidi" w:cstheme="majorBidi"/>
          <w:color w:val="000000"/>
          <w:lang w:val="en-US"/>
        </w:rPr>
        <w:t>, vol. 1 (1986), special edition].</w:t>
      </w:r>
    </w:p>
    <w:p w14:paraId="7118A8A8" w14:textId="01F57F92" w:rsidR="00164B95" w:rsidRPr="000F53DA" w:rsidRDefault="00164B95" w:rsidP="00164B95">
      <w:pPr>
        <w:pStyle w:val="SingleTxtG"/>
        <w:rPr>
          <w:rFonts w:asciiTheme="majorBidi" w:hAnsiTheme="majorBidi" w:cstheme="majorBidi"/>
          <w:lang w:val="it-IT"/>
        </w:rPr>
      </w:pPr>
      <w:r w:rsidRPr="00271D06">
        <w:rPr>
          <w:rFonts w:asciiTheme="majorBidi" w:hAnsiTheme="majorBidi" w:cstheme="majorBidi"/>
          <w:smallCaps/>
          <w:lang w:val="it-IT"/>
        </w:rPr>
        <w:t>Iovane</w:t>
      </w:r>
      <w:r w:rsidRPr="000F53DA">
        <w:rPr>
          <w:rFonts w:asciiTheme="majorBidi" w:hAnsiTheme="majorBidi" w:cstheme="majorBidi"/>
          <w:lang w:val="it-IT"/>
        </w:rPr>
        <w:t xml:space="preserve">, M. </w:t>
      </w:r>
      <w:r w:rsidRPr="000F53DA">
        <w:rPr>
          <w:rFonts w:asciiTheme="majorBidi" w:hAnsiTheme="majorBidi" w:cstheme="majorBidi"/>
          <w:i/>
          <w:iCs/>
          <w:lang w:val="it-IT"/>
        </w:rPr>
        <w:t>La riparazione nella teoria e nella prassi dell</w:t>
      </w:r>
      <w:r w:rsidR="004C5E26">
        <w:rPr>
          <w:rFonts w:asciiTheme="majorBidi" w:hAnsiTheme="majorBidi" w:cstheme="majorBidi"/>
          <w:i/>
          <w:iCs/>
          <w:lang w:val="it-IT"/>
        </w:rPr>
        <w:t>’</w:t>
      </w:r>
      <w:r w:rsidRPr="000F53DA">
        <w:rPr>
          <w:rFonts w:asciiTheme="majorBidi" w:hAnsiTheme="majorBidi" w:cstheme="majorBidi"/>
          <w:i/>
          <w:iCs/>
          <w:lang w:val="it-IT"/>
        </w:rPr>
        <w:t>illecito internazionale</w:t>
      </w:r>
      <w:r w:rsidRPr="000F53DA">
        <w:rPr>
          <w:rFonts w:asciiTheme="majorBidi" w:hAnsiTheme="majorBidi" w:cstheme="majorBidi"/>
          <w:lang w:val="it-IT"/>
        </w:rPr>
        <w:t>,</w:t>
      </w:r>
      <w:r w:rsidRPr="000F53DA">
        <w:rPr>
          <w:rFonts w:asciiTheme="majorBidi" w:hAnsiTheme="majorBidi" w:cstheme="majorBidi"/>
          <w:i/>
          <w:iCs/>
          <w:lang w:val="it-IT"/>
        </w:rPr>
        <w:t xml:space="preserve"> </w:t>
      </w:r>
      <w:r w:rsidRPr="000F53DA">
        <w:rPr>
          <w:rFonts w:asciiTheme="majorBidi" w:hAnsiTheme="majorBidi" w:cstheme="majorBidi"/>
          <w:lang w:val="it-IT"/>
        </w:rPr>
        <w:t>Giuffrè, 1990.</w:t>
      </w:r>
    </w:p>
    <w:p w14:paraId="5A0B2B91" w14:textId="777777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Jorgensen</w:t>
      </w:r>
      <w:r w:rsidRPr="000F53DA">
        <w:rPr>
          <w:rFonts w:asciiTheme="majorBidi" w:hAnsiTheme="majorBidi" w:cstheme="majorBidi"/>
          <w:lang w:val="en-CA"/>
        </w:rPr>
        <w:t xml:space="preserve">, N. H. B. “A reappraisal of punitive damages in international law”, </w:t>
      </w:r>
      <w:r w:rsidRPr="00271D06">
        <w:rPr>
          <w:rFonts w:asciiTheme="majorBidi" w:hAnsiTheme="majorBidi" w:cstheme="majorBidi"/>
          <w:i/>
          <w:iCs/>
          <w:lang w:val="en-CA"/>
        </w:rPr>
        <w:t>British Year Book of International Law</w:t>
      </w:r>
      <w:r w:rsidRPr="000F53DA">
        <w:rPr>
          <w:rFonts w:asciiTheme="majorBidi" w:hAnsiTheme="majorBidi" w:cstheme="majorBidi"/>
          <w:lang w:val="en-CA"/>
        </w:rPr>
        <w:t>, vol. 68 (1997), p. 247.</w:t>
      </w:r>
    </w:p>
    <w:p w14:paraId="7993414C" w14:textId="228046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Kazazi</w:t>
      </w:r>
      <w:r w:rsidRPr="000F53DA">
        <w:rPr>
          <w:rFonts w:asciiTheme="majorBidi" w:hAnsiTheme="majorBidi" w:cstheme="majorBidi"/>
          <w:lang w:val="en-CA"/>
        </w:rPr>
        <w:t xml:space="preserve">, M. “Environmental damage in the practice of the United Nations Compensation Commission”, </w:t>
      </w:r>
      <w:r w:rsidRPr="00271D06">
        <w:rPr>
          <w:rFonts w:asciiTheme="majorBidi" w:hAnsiTheme="majorBidi" w:cstheme="majorBidi"/>
          <w:i/>
          <w:iCs/>
          <w:lang w:val="en-CA"/>
        </w:rPr>
        <w:t>in</w:t>
      </w:r>
      <w:r w:rsidRPr="000F53DA">
        <w:rPr>
          <w:rFonts w:asciiTheme="majorBidi" w:hAnsiTheme="majorBidi" w:cstheme="majorBidi"/>
          <w:lang w:val="en-CA"/>
        </w:rPr>
        <w:t xml:space="preserve"> M. Bowman and A. Boyle (eds.), </w:t>
      </w:r>
      <w:r w:rsidRPr="000F53DA">
        <w:rPr>
          <w:rFonts w:asciiTheme="majorBidi" w:hAnsiTheme="majorBidi" w:cstheme="majorBidi"/>
          <w:i/>
          <w:iCs/>
          <w:lang w:val="en-CA"/>
        </w:rPr>
        <w:t>Environmental Damage in International and Comparative Law: Problems of Definition and Valuation</w:t>
      </w:r>
      <w:r w:rsidRPr="000F53DA">
        <w:rPr>
          <w:rFonts w:asciiTheme="majorBidi" w:hAnsiTheme="majorBidi" w:cstheme="majorBidi"/>
          <w:lang w:val="en-CA"/>
        </w:rPr>
        <w:t>, Oxford University Press, p.</w:t>
      </w:r>
      <w:r w:rsidR="00B6516D">
        <w:rPr>
          <w:rFonts w:asciiTheme="majorBidi" w:hAnsiTheme="majorBidi" w:cstheme="majorBidi"/>
          <w:lang w:val="en-CA"/>
        </w:rPr>
        <w:t> </w:t>
      </w:r>
      <w:r w:rsidRPr="000F53DA">
        <w:rPr>
          <w:rFonts w:asciiTheme="majorBidi" w:hAnsiTheme="majorBidi" w:cstheme="majorBidi"/>
          <w:lang w:val="en-CA"/>
        </w:rPr>
        <w:t>111.</w:t>
      </w:r>
    </w:p>
    <w:p w14:paraId="213D08D5" w14:textId="77777777" w:rsidR="00164B95" w:rsidRPr="00271D06" w:rsidRDefault="00164B95" w:rsidP="00164B95">
      <w:pPr>
        <w:pStyle w:val="SingleTxtG"/>
        <w:rPr>
          <w:rFonts w:asciiTheme="majorBidi" w:hAnsiTheme="majorBidi" w:cstheme="majorBidi"/>
          <w:lang w:val="en-US" w:eastAsia="ko-KR"/>
        </w:rPr>
      </w:pPr>
      <w:r w:rsidRPr="000F53DA">
        <w:rPr>
          <w:rFonts w:ascii="Malgun Gothic" w:eastAsia="Malgun Gothic" w:hAnsi="Malgun Gothic" w:cs="Malgun Gothic" w:hint="eastAsia"/>
          <w:lang w:val="en-CA" w:eastAsia="ko-KR"/>
        </w:rPr>
        <w:t>김석현</w:t>
      </w:r>
      <w:r w:rsidRPr="00271D06">
        <w:rPr>
          <w:rFonts w:asciiTheme="majorBidi" w:hAnsiTheme="majorBidi" w:cstheme="majorBidi"/>
          <w:lang w:val="en-US" w:eastAsia="ko-KR"/>
        </w:rPr>
        <w:t xml:space="preserve">. </w:t>
      </w:r>
      <w:r w:rsidRPr="000F53DA">
        <w:rPr>
          <w:rFonts w:ascii="Malgun Gothic" w:eastAsia="Malgun Gothic" w:hAnsi="Malgun Gothic" w:cs="Malgun Gothic" w:hint="eastAsia"/>
          <w:i/>
          <w:iCs/>
          <w:lang w:val="en-CA" w:eastAsia="ko-KR"/>
        </w:rPr>
        <w:t>국제법상</w:t>
      </w:r>
      <w:r w:rsidRPr="00271D06">
        <w:rPr>
          <w:rFonts w:asciiTheme="majorBidi" w:hAnsiTheme="majorBidi" w:cstheme="majorBidi"/>
          <w:i/>
          <w:iCs/>
          <w:lang w:val="en-US" w:eastAsia="ko-KR"/>
        </w:rPr>
        <w:t xml:space="preserve"> </w:t>
      </w:r>
      <w:r w:rsidRPr="000F53DA">
        <w:rPr>
          <w:rFonts w:ascii="Malgun Gothic" w:eastAsia="Malgun Gothic" w:hAnsi="Malgun Gothic" w:cs="Malgun Gothic" w:hint="eastAsia"/>
          <w:i/>
          <w:iCs/>
          <w:lang w:val="en-CA" w:eastAsia="ko-KR"/>
        </w:rPr>
        <w:t>국가책임</w:t>
      </w:r>
      <w:r w:rsidRPr="00271D06">
        <w:rPr>
          <w:rFonts w:asciiTheme="majorBidi" w:hAnsiTheme="majorBidi" w:cstheme="majorBidi"/>
          <w:lang w:val="en-US" w:eastAsia="ko-KR"/>
        </w:rPr>
        <w:t xml:space="preserve"> (</w:t>
      </w:r>
      <w:r w:rsidRPr="000F53DA">
        <w:rPr>
          <w:rFonts w:ascii="Malgun Gothic" w:eastAsia="Malgun Gothic" w:hAnsi="Malgun Gothic" w:cs="Malgun Gothic" w:hint="eastAsia"/>
          <w:lang w:val="en-CA" w:eastAsia="ko-KR"/>
        </w:rPr>
        <w:t>삼영사</w:t>
      </w:r>
      <w:r w:rsidRPr="00271D06">
        <w:rPr>
          <w:rFonts w:asciiTheme="majorBidi" w:hAnsiTheme="majorBidi" w:cstheme="majorBidi"/>
          <w:lang w:val="en-US" w:eastAsia="ko-KR"/>
        </w:rPr>
        <w:t>, 2007) [</w:t>
      </w:r>
      <w:r w:rsidRPr="00271D06">
        <w:rPr>
          <w:rFonts w:asciiTheme="majorBidi" w:hAnsiTheme="majorBidi" w:cstheme="majorBidi"/>
          <w:smallCaps/>
          <w:lang w:val="en-US" w:eastAsia="ko-KR"/>
        </w:rPr>
        <w:t>Kim</w:t>
      </w:r>
      <w:r w:rsidRPr="00271D06">
        <w:rPr>
          <w:rFonts w:asciiTheme="majorBidi" w:hAnsiTheme="majorBidi" w:cstheme="majorBidi"/>
          <w:lang w:val="en-US" w:eastAsia="ko-KR"/>
        </w:rPr>
        <w:t>,</w:t>
      </w:r>
      <w:r w:rsidRPr="000F53DA">
        <w:rPr>
          <w:rFonts w:asciiTheme="majorBidi" w:hAnsiTheme="majorBidi" w:cstheme="majorBidi"/>
          <w:lang w:val="en-US" w:eastAsia="ko-KR"/>
        </w:rPr>
        <w:t xml:space="preserve"> S.</w:t>
      </w:r>
      <w:r w:rsidRPr="00271D06">
        <w:rPr>
          <w:rFonts w:asciiTheme="majorBidi" w:hAnsiTheme="majorBidi" w:cstheme="majorBidi"/>
          <w:lang w:val="en-US" w:eastAsia="ko-KR"/>
        </w:rPr>
        <w:t xml:space="preserve"> </w:t>
      </w:r>
      <w:r w:rsidRPr="00271D06">
        <w:rPr>
          <w:rFonts w:asciiTheme="majorBidi" w:hAnsiTheme="majorBidi" w:cstheme="majorBidi"/>
          <w:i/>
          <w:iCs/>
          <w:lang w:val="en-US" w:eastAsia="ko-KR"/>
        </w:rPr>
        <w:t>State Responsibility in International Law</w:t>
      </w:r>
      <w:r w:rsidRPr="00271D06">
        <w:rPr>
          <w:rFonts w:asciiTheme="majorBidi" w:hAnsiTheme="majorBidi" w:cstheme="majorBidi"/>
          <w:lang w:val="en-US" w:eastAsia="ko-KR"/>
        </w:rPr>
        <w:t xml:space="preserve">, </w:t>
      </w:r>
      <w:proofErr w:type="spellStart"/>
      <w:r w:rsidRPr="00271D06">
        <w:rPr>
          <w:rFonts w:asciiTheme="majorBidi" w:hAnsiTheme="majorBidi" w:cstheme="majorBidi"/>
          <w:lang w:val="en-US" w:eastAsia="ko-KR"/>
        </w:rPr>
        <w:t>Samyeongsa</w:t>
      </w:r>
      <w:proofErr w:type="spellEnd"/>
      <w:r w:rsidRPr="00271D06">
        <w:rPr>
          <w:rFonts w:asciiTheme="majorBidi" w:hAnsiTheme="majorBidi" w:cstheme="majorBidi"/>
          <w:lang w:val="en-US" w:eastAsia="ko-KR"/>
        </w:rPr>
        <w:t>, 2007].</w:t>
      </w:r>
    </w:p>
    <w:p w14:paraId="3D888F8C" w14:textId="23A4A3B0"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Kolliopoulos</w:t>
      </w:r>
      <w:proofErr w:type="spellEnd"/>
      <w:r w:rsidRPr="000F53DA">
        <w:rPr>
          <w:rFonts w:asciiTheme="majorBidi" w:hAnsiTheme="majorBidi" w:cstheme="majorBidi"/>
          <w:lang w:val="fr-FR"/>
        </w:rPr>
        <w:t xml:space="preserve">, A. </w:t>
      </w:r>
      <w:r w:rsidRPr="000F53DA">
        <w:rPr>
          <w:rFonts w:asciiTheme="majorBidi" w:hAnsiTheme="majorBidi" w:cstheme="majorBidi"/>
          <w:i/>
          <w:iCs/>
          <w:lang w:val="fr-FR"/>
        </w:rPr>
        <w:t>La Commission d</w:t>
      </w:r>
      <w:r w:rsidR="004C5E26">
        <w:rPr>
          <w:rFonts w:asciiTheme="majorBidi" w:hAnsiTheme="majorBidi" w:cstheme="majorBidi"/>
          <w:i/>
          <w:iCs/>
          <w:lang w:val="fr-FR"/>
        </w:rPr>
        <w:t>’</w:t>
      </w:r>
      <w:r w:rsidRPr="000F53DA">
        <w:rPr>
          <w:rFonts w:asciiTheme="majorBidi" w:hAnsiTheme="majorBidi" w:cstheme="majorBidi"/>
          <w:i/>
          <w:iCs/>
          <w:lang w:val="fr-FR"/>
        </w:rPr>
        <w:t>indemnisation des Nations Unies et le droit de la responsabilité internationale</w:t>
      </w:r>
      <w:r w:rsidRPr="000F53DA">
        <w:rPr>
          <w:rFonts w:asciiTheme="majorBidi" w:hAnsiTheme="majorBidi" w:cstheme="majorBidi"/>
          <w:lang w:val="fr-FR"/>
        </w:rPr>
        <w:t>, Paris, Librairie générale de droit et de jurisprudence, 2001.</w:t>
      </w:r>
    </w:p>
    <w:p w14:paraId="3AF7C23B" w14:textId="77777777" w:rsidR="00164B95" w:rsidRPr="000F53DA" w:rsidRDefault="00164B95" w:rsidP="00164B95">
      <w:pPr>
        <w:pStyle w:val="SingleTxtG"/>
        <w:rPr>
          <w:rFonts w:asciiTheme="majorBidi" w:eastAsia="Calibri" w:hAnsiTheme="majorBidi" w:cstheme="majorBidi"/>
          <w:lang w:val="ru-RU"/>
        </w:rPr>
      </w:pPr>
      <w:bookmarkStart w:id="263" w:name="_Hlk164453200"/>
      <w:r w:rsidRPr="00271D06">
        <w:rPr>
          <w:rFonts w:asciiTheme="majorBidi" w:hAnsiTheme="majorBidi" w:cstheme="majorBidi"/>
          <w:smallCaps/>
          <w:lang w:val="ru-RU"/>
        </w:rPr>
        <w:t>Кривенкова</w:t>
      </w:r>
      <w:r w:rsidRPr="000F53DA">
        <w:rPr>
          <w:lang w:val="ru-RU"/>
        </w:rPr>
        <w:t>,</w:t>
      </w:r>
      <w:r w:rsidRPr="000F53DA">
        <w:rPr>
          <w:rFonts w:asciiTheme="majorBidi" w:eastAsia="Calibri" w:hAnsiTheme="majorBidi" w:cstheme="majorBidi"/>
          <w:lang w:val="ru-RU"/>
        </w:rPr>
        <w:t xml:space="preserve"> </w:t>
      </w:r>
      <w:r w:rsidRPr="000F53DA">
        <w:rPr>
          <w:lang w:val="ru-RU"/>
        </w:rPr>
        <w:t>М</w:t>
      </w:r>
      <w:r w:rsidRPr="00271D06">
        <w:rPr>
          <w:lang w:val="ru-RU"/>
        </w:rPr>
        <w:t xml:space="preserve">. </w:t>
      </w:r>
      <w:r w:rsidRPr="000F53DA">
        <w:rPr>
          <w:lang w:val="ru-RU"/>
        </w:rPr>
        <w:t>В</w:t>
      </w:r>
      <w:r w:rsidRPr="00271D06">
        <w:rPr>
          <w:lang w:val="ru-RU"/>
        </w:rPr>
        <w:t>.</w:t>
      </w:r>
      <w:r w:rsidRPr="000F53DA">
        <w:rPr>
          <w:lang w:val="ru-RU"/>
        </w:rPr>
        <w:t xml:space="preserve"> </w:t>
      </w:r>
      <w:r w:rsidRPr="000F53DA">
        <w:rPr>
          <w:i/>
          <w:iCs/>
          <w:lang w:val="ru-RU"/>
        </w:rPr>
        <w:t>Нематериальная</w:t>
      </w:r>
      <w:r w:rsidRPr="00271D06">
        <w:rPr>
          <w:i/>
          <w:iCs/>
          <w:lang w:val="ru-RU"/>
        </w:rPr>
        <w:t xml:space="preserve"> </w:t>
      </w:r>
      <w:proofErr w:type="spellStart"/>
      <w:r w:rsidRPr="000F53DA">
        <w:rPr>
          <w:i/>
          <w:iCs/>
          <w:lang w:val="ru-RU"/>
        </w:rPr>
        <w:t>международно</w:t>
      </w:r>
      <w:proofErr w:type="spellEnd"/>
      <w:r w:rsidRPr="000F53DA">
        <w:rPr>
          <w:i/>
          <w:iCs/>
          <w:lang w:val="lv-LV" w:eastAsia="ko-KR"/>
        </w:rPr>
        <w:t>-</w:t>
      </w:r>
      <w:r w:rsidRPr="000F53DA">
        <w:rPr>
          <w:i/>
          <w:iCs/>
          <w:lang w:val="ru-RU"/>
        </w:rPr>
        <w:t>правовая</w:t>
      </w:r>
      <w:r w:rsidRPr="00271D06">
        <w:rPr>
          <w:i/>
          <w:iCs/>
          <w:lang w:val="ru-RU"/>
        </w:rPr>
        <w:t xml:space="preserve"> </w:t>
      </w:r>
      <w:r w:rsidRPr="000F53DA">
        <w:rPr>
          <w:i/>
          <w:iCs/>
          <w:lang w:val="ru-RU"/>
        </w:rPr>
        <w:t>ответственность</w:t>
      </w:r>
      <w:r w:rsidRPr="00271D06">
        <w:rPr>
          <w:i/>
          <w:iCs/>
          <w:lang w:val="ru-RU"/>
        </w:rPr>
        <w:t xml:space="preserve"> </w:t>
      </w:r>
      <w:r w:rsidRPr="000F53DA">
        <w:rPr>
          <w:i/>
          <w:iCs/>
          <w:lang w:val="ru-RU"/>
        </w:rPr>
        <w:t>государств</w:t>
      </w:r>
      <w:r w:rsidRPr="00271D06">
        <w:rPr>
          <w:lang w:val="ru-RU"/>
        </w:rPr>
        <w:t xml:space="preserve">, </w:t>
      </w:r>
      <w:proofErr w:type="spellStart"/>
      <w:r w:rsidRPr="000F53DA">
        <w:rPr>
          <w:lang w:val="ru-RU"/>
        </w:rPr>
        <w:t>Юрлитинформ</w:t>
      </w:r>
      <w:proofErr w:type="spellEnd"/>
      <w:r w:rsidRPr="000F53DA">
        <w:rPr>
          <w:lang w:val="ru-RU"/>
        </w:rPr>
        <w:t>, Библиотека</w:t>
      </w:r>
      <w:r w:rsidRPr="00271D06">
        <w:rPr>
          <w:lang w:val="fr-FR"/>
        </w:rPr>
        <w:t> </w:t>
      </w:r>
      <w:r w:rsidRPr="000F53DA">
        <w:rPr>
          <w:lang w:val="ru-RU"/>
        </w:rPr>
        <w:t>международного</w:t>
      </w:r>
      <w:r w:rsidRPr="00271D06">
        <w:rPr>
          <w:lang w:val="fr-FR"/>
        </w:rPr>
        <w:t> </w:t>
      </w:r>
      <w:r w:rsidRPr="000F53DA">
        <w:rPr>
          <w:lang w:val="ru-RU"/>
        </w:rPr>
        <w:t>права</w:t>
      </w:r>
      <w:r w:rsidRPr="00271D06">
        <w:rPr>
          <w:lang w:val="ru-RU"/>
        </w:rPr>
        <w:t>,</w:t>
      </w:r>
      <w:r w:rsidRPr="000F53DA">
        <w:rPr>
          <w:lang w:val="ru-RU"/>
        </w:rPr>
        <w:t xml:space="preserve"> 2015. </w:t>
      </w:r>
      <w:bookmarkEnd w:id="263"/>
    </w:p>
    <w:p w14:paraId="4DE31924" w14:textId="77777777" w:rsidR="00164B95" w:rsidRPr="00271D06" w:rsidRDefault="00164B95" w:rsidP="00164B95">
      <w:pPr>
        <w:pStyle w:val="SingleTxtG"/>
        <w:rPr>
          <w:rFonts w:ascii="Times" w:eastAsia="Calibri" w:hAnsi="Times" w:cs="Times"/>
          <w:lang w:val="en-US"/>
        </w:rPr>
      </w:pPr>
      <w:proofErr w:type="spellStart"/>
      <w:r w:rsidRPr="00271D06">
        <w:rPr>
          <w:rFonts w:asciiTheme="majorBidi" w:eastAsia="Calibri" w:hAnsiTheme="majorBidi" w:cstheme="majorBidi"/>
          <w:smallCaps/>
          <w:lang w:val="en-US"/>
        </w:rPr>
        <w:t>Lanovoy</w:t>
      </w:r>
      <w:proofErr w:type="spellEnd"/>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V. “Causation </w:t>
      </w:r>
      <w:r w:rsidRPr="00271D06">
        <w:rPr>
          <w:rFonts w:ascii="Times" w:eastAsia="Calibri" w:hAnsi="Times" w:cs="Times"/>
          <w:lang w:val="en-US"/>
        </w:rPr>
        <w:t xml:space="preserve">in the law of State responsibility”, </w:t>
      </w:r>
      <w:r w:rsidRPr="00271D06">
        <w:rPr>
          <w:rFonts w:ascii="Times" w:eastAsia="Calibri" w:hAnsi="Times" w:cs="Times"/>
          <w:i/>
          <w:iCs/>
          <w:lang w:val="en-US"/>
        </w:rPr>
        <w:t>British Year Book of International Law</w:t>
      </w:r>
      <w:r w:rsidRPr="00271D06">
        <w:rPr>
          <w:rFonts w:ascii="Times" w:eastAsia="Calibri" w:hAnsi="Times" w:cs="Times"/>
          <w:lang w:val="en-US"/>
        </w:rPr>
        <w:t xml:space="preserve">, vol. 90 (2022), available from: </w:t>
      </w:r>
      <w:r w:rsidRPr="00271D06">
        <w:rPr>
          <w:rFonts w:ascii="Times" w:hAnsi="Times" w:cs="Times"/>
          <w:lang w:val="en-US"/>
        </w:rPr>
        <w:t>https://doi.org/10.1093/bybil/brab008</w:t>
      </w:r>
      <w:r w:rsidRPr="00271D06">
        <w:rPr>
          <w:rFonts w:ascii="Times" w:eastAsia="Calibri" w:hAnsi="Times" w:cs="Times"/>
          <w:lang w:val="en-US"/>
        </w:rPr>
        <w:t>.</w:t>
      </w:r>
    </w:p>
    <w:p w14:paraId="1C484D67" w14:textId="77777777" w:rsidR="00164B95" w:rsidRPr="00271D06" w:rsidRDefault="00164B95" w:rsidP="00164B95">
      <w:pPr>
        <w:pStyle w:val="SingleTxtG"/>
        <w:rPr>
          <w:rFonts w:ascii="Times" w:eastAsia="Calibri" w:hAnsi="Times" w:cs="Times"/>
          <w:lang w:val="en-US"/>
        </w:rPr>
      </w:pPr>
      <w:r w:rsidRPr="00271D06">
        <w:rPr>
          <w:rFonts w:asciiTheme="majorBidi" w:eastAsia="Calibri" w:hAnsiTheme="majorBidi" w:cstheme="majorBidi"/>
          <w:smallCaps/>
          <w:lang w:val="de-CH"/>
        </w:rPr>
        <w:t>Lauterpacht</w:t>
      </w:r>
      <w:r w:rsidRPr="00271D06">
        <w:rPr>
          <w:rFonts w:ascii="Times" w:eastAsia="Calibri" w:hAnsi="Times" w:cs="Times"/>
          <w:lang w:val="de-CH"/>
        </w:rPr>
        <w:t xml:space="preserve">, E. and P. </w:t>
      </w:r>
      <w:proofErr w:type="spellStart"/>
      <w:r w:rsidRPr="00271D06">
        <w:rPr>
          <w:rFonts w:ascii="Times" w:eastAsia="Calibri" w:hAnsi="Times" w:cs="Times"/>
          <w:lang w:val="de-CH"/>
        </w:rPr>
        <w:t>Nevill</w:t>
      </w:r>
      <w:proofErr w:type="spellEnd"/>
      <w:r w:rsidRPr="00271D06">
        <w:rPr>
          <w:rFonts w:ascii="Times" w:eastAsia="Calibri" w:hAnsi="Times" w:cs="Times"/>
          <w:lang w:val="de-CH"/>
        </w:rPr>
        <w:t xml:space="preserve">. </w:t>
      </w:r>
      <w:r w:rsidRPr="00271D06">
        <w:rPr>
          <w:rFonts w:ascii="Times" w:eastAsia="Calibri" w:hAnsi="Times" w:cs="Times"/>
          <w:lang w:val="en-US"/>
        </w:rPr>
        <w:t xml:space="preserve">“Interest”, </w:t>
      </w:r>
      <w:r w:rsidRPr="00271D06">
        <w:rPr>
          <w:rFonts w:ascii="Times" w:eastAsia="Calibri" w:hAnsi="Times" w:cs="Times"/>
          <w:i/>
          <w:iCs/>
          <w:lang w:val="en-US"/>
        </w:rPr>
        <w:t>in</w:t>
      </w:r>
      <w:r w:rsidRPr="00271D06">
        <w:rPr>
          <w:rFonts w:ascii="Times" w:eastAsia="Calibri" w:hAnsi="Times" w:cs="Times"/>
          <w:lang w:val="en-US"/>
        </w:rPr>
        <w:t xml:space="preserve"> J. Crawford, </w:t>
      </w:r>
      <w:r w:rsidRPr="009426A8">
        <w:rPr>
          <w:rFonts w:eastAsia="Calibri"/>
          <w:i/>
          <w:kern w:val="2"/>
          <w:lang w:val="en-US"/>
          <w14:ligatures w14:val="standardContextual"/>
        </w:rPr>
        <w:t xml:space="preserve">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w:t>
      </w:r>
      <w:r w:rsidRPr="00271D06">
        <w:rPr>
          <w:rFonts w:ascii="Times" w:eastAsia="Calibri" w:hAnsi="Times" w:cs="Times"/>
          <w:lang w:val="en-US"/>
        </w:rPr>
        <w:t>(eds.), </w:t>
      </w:r>
      <w:r w:rsidRPr="00271D06">
        <w:rPr>
          <w:rFonts w:ascii="Times" w:eastAsia="Calibri" w:hAnsi="Times" w:cs="Times"/>
          <w:i/>
          <w:iCs/>
          <w:lang w:val="en-US"/>
        </w:rPr>
        <w:t>The Law of International Responsibility</w:t>
      </w:r>
      <w:r w:rsidRPr="00271D06">
        <w:rPr>
          <w:rFonts w:ascii="Times" w:eastAsia="Calibri" w:hAnsi="Times" w:cs="Times"/>
          <w:lang w:val="en-US"/>
        </w:rPr>
        <w:t>, Oxford University Press, 2010, p. 613.</w:t>
      </w:r>
    </w:p>
    <w:p w14:paraId="1CCE1B4C" w14:textId="77777777" w:rsidR="00164B95" w:rsidRPr="000F53DA" w:rsidRDefault="00164B95" w:rsidP="00164B95">
      <w:pPr>
        <w:pStyle w:val="SingleTxtG"/>
        <w:rPr>
          <w:rFonts w:ascii="Times" w:eastAsia="Calibri" w:hAnsi="Times" w:cs="Times"/>
          <w:lang w:val="lv-LV"/>
        </w:rPr>
      </w:pPr>
      <w:r w:rsidRPr="00271D06">
        <w:rPr>
          <w:rFonts w:asciiTheme="majorBidi" w:eastAsia="Calibri" w:hAnsiTheme="majorBidi" w:cstheme="majorBidi"/>
          <w:smallCaps/>
          <w:lang w:val="ru-RU"/>
        </w:rPr>
        <w:t>Левин</w:t>
      </w:r>
      <w:r w:rsidRPr="000F53DA">
        <w:rPr>
          <w:rFonts w:ascii="Times" w:eastAsia="Calibri" w:hAnsi="Times" w:cs="Times"/>
          <w:lang w:val="ru-RU"/>
        </w:rPr>
        <w:t>, Д</w:t>
      </w:r>
      <w:r w:rsidRPr="008C3992">
        <w:rPr>
          <w:rFonts w:ascii="Times" w:eastAsia="Calibri" w:hAnsi="Times" w:cs="Times"/>
          <w:lang w:val="ru-RU"/>
        </w:rPr>
        <w:t xml:space="preserve">. </w:t>
      </w:r>
      <w:r w:rsidRPr="000F53DA">
        <w:rPr>
          <w:rFonts w:ascii="Times" w:eastAsia="Calibri" w:hAnsi="Times" w:cs="Times"/>
          <w:lang w:val="ru-RU"/>
        </w:rPr>
        <w:t>Б</w:t>
      </w:r>
      <w:r w:rsidRPr="00271D06">
        <w:rPr>
          <w:rFonts w:ascii="Times" w:eastAsia="Calibri" w:hAnsi="Times" w:cs="Times"/>
          <w:lang w:val="ru-RU"/>
        </w:rPr>
        <w:t>.</w:t>
      </w:r>
      <w:r w:rsidRPr="000F53DA">
        <w:rPr>
          <w:rFonts w:ascii="Times" w:eastAsia="Calibri" w:hAnsi="Times" w:cs="Times"/>
          <w:lang w:val="lv-LV"/>
        </w:rPr>
        <w:t xml:space="preserve"> </w:t>
      </w:r>
      <w:r w:rsidRPr="000F53DA">
        <w:rPr>
          <w:rFonts w:ascii="Times" w:eastAsia="Calibri" w:hAnsi="Times" w:cs="Times"/>
          <w:i/>
          <w:iCs/>
          <w:lang w:val="ru-RU"/>
        </w:rPr>
        <w:t>Ответственность</w:t>
      </w:r>
      <w:r w:rsidRPr="00271D06">
        <w:rPr>
          <w:rFonts w:ascii="Times" w:eastAsia="Calibri" w:hAnsi="Times" w:cs="Times"/>
          <w:i/>
          <w:iCs/>
          <w:lang w:val="ru-RU"/>
        </w:rPr>
        <w:t xml:space="preserve"> </w:t>
      </w:r>
      <w:r w:rsidRPr="000F53DA">
        <w:rPr>
          <w:rFonts w:ascii="Times" w:eastAsia="Calibri" w:hAnsi="Times" w:cs="Times"/>
          <w:i/>
          <w:iCs/>
          <w:lang w:val="ru-RU"/>
        </w:rPr>
        <w:t>государств</w:t>
      </w:r>
      <w:r w:rsidRPr="00271D06">
        <w:rPr>
          <w:rFonts w:ascii="Times" w:eastAsia="Calibri" w:hAnsi="Times" w:cs="Times"/>
          <w:i/>
          <w:iCs/>
          <w:lang w:val="ru-RU"/>
        </w:rPr>
        <w:t xml:space="preserve"> </w:t>
      </w:r>
      <w:r w:rsidRPr="000F53DA">
        <w:rPr>
          <w:rFonts w:ascii="Times" w:eastAsia="Calibri" w:hAnsi="Times" w:cs="Times"/>
          <w:i/>
          <w:iCs/>
          <w:lang w:val="ru-RU"/>
        </w:rPr>
        <w:t>в</w:t>
      </w:r>
      <w:r w:rsidRPr="000F53DA">
        <w:rPr>
          <w:rFonts w:ascii="Times" w:eastAsia="Calibri" w:hAnsi="Times" w:cs="Times"/>
          <w:i/>
          <w:iCs/>
          <w:lang w:val="lv-LV"/>
        </w:rPr>
        <w:t xml:space="preserve"> </w:t>
      </w:r>
      <w:r w:rsidRPr="000F53DA">
        <w:rPr>
          <w:rFonts w:ascii="Times" w:eastAsia="Calibri" w:hAnsi="Times" w:cs="Times"/>
          <w:i/>
          <w:iCs/>
          <w:lang w:val="ru-RU"/>
        </w:rPr>
        <w:t>современном международном</w:t>
      </w:r>
      <w:r w:rsidRPr="00271D06">
        <w:rPr>
          <w:rFonts w:ascii="Times" w:eastAsia="Calibri" w:hAnsi="Times" w:cs="Times"/>
          <w:i/>
          <w:iCs/>
          <w:lang w:val="ru-RU"/>
        </w:rPr>
        <w:t xml:space="preserve"> </w:t>
      </w:r>
      <w:r w:rsidRPr="000F53DA">
        <w:rPr>
          <w:rFonts w:ascii="Times" w:eastAsia="Calibri" w:hAnsi="Times" w:cs="Times"/>
          <w:i/>
          <w:iCs/>
          <w:lang w:val="ru-RU"/>
        </w:rPr>
        <w:t>праве</w:t>
      </w:r>
      <w:r w:rsidRPr="00271D06">
        <w:rPr>
          <w:rFonts w:ascii="Times" w:eastAsia="Calibri" w:hAnsi="Times" w:cs="Times"/>
          <w:lang w:val="ru-RU"/>
        </w:rPr>
        <w:t xml:space="preserve">, </w:t>
      </w:r>
      <w:r w:rsidRPr="000F53DA">
        <w:rPr>
          <w:rFonts w:ascii="Times" w:eastAsia="Calibri" w:hAnsi="Times" w:cs="Times"/>
          <w:lang w:val="ru-RU"/>
        </w:rPr>
        <w:t>Институт государства и права - Международные отношения</w:t>
      </w:r>
      <w:r w:rsidRPr="00271D06">
        <w:rPr>
          <w:rFonts w:ascii="Times" w:eastAsia="Calibri" w:hAnsi="Times" w:cs="Times"/>
          <w:lang w:val="ru-RU"/>
        </w:rPr>
        <w:t>,</w:t>
      </w:r>
      <w:r w:rsidRPr="000F53DA">
        <w:rPr>
          <w:rFonts w:ascii="Times" w:eastAsia="Calibri" w:hAnsi="Times" w:cs="Times"/>
          <w:lang w:val="ru-RU"/>
        </w:rPr>
        <w:t xml:space="preserve"> 1966.</w:t>
      </w:r>
    </w:p>
    <w:p w14:paraId="29F9F2E6" w14:textId="77777777" w:rsidR="00164B95" w:rsidRPr="00271D06" w:rsidRDefault="00164B95" w:rsidP="00164B95">
      <w:pPr>
        <w:pStyle w:val="SingleTxtG"/>
        <w:rPr>
          <w:rFonts w:asciiTheme="majorBidi" w:eastAsia="Calibri" w:hAnsiTheme="majorBidi" w:cstheme="majorBidi"/>
          <w:lang w:val="en-US"/>
        </w:rPr>
      </w:pPr>
      <w:r w:rsidRPr="000F53DA">
        <w:rPr>
          <w:rFonts w:asciiTheme="majorBidi" w:eastAsia="Calibri" w:hAnsiTheme="majorBidi" w:cstheme="majorBidi"/>
          <w:smallCaps/>
          <w:lang w:val="en-US"/>
        </w:rPr>
        <w:t>Liu,</w:t>
      </w:r>
      <w:r w:rsidRPr="000F53DA">
        <w:rPr>
          <w:rFonts w:asciiTheme="majorBidi" w:eastAsia="Calibri" w:hAnsiTheme="majorBidi" w:cstheme="majorBidi"/>
          <w:lang w:val="en-US"/>
        </w:rPr>
        <w:t xml:space="preserve"> Y. </w:t>
      </w:r>
      <w:r w:rsidRPr="00271D06">
        <w:rPr>
          <w:rFonts w:asciiTheme="majorBidi" w:eastAsia="Calibri" w:hAnsiTheme="majorBidi" w:cstheme="majorBidi"/>
          <w:lang w:val="en-US"/>
        </w:rPr>
        <w:t xml:space="preserve">“Compensation in the jurisprudence of the International Court of Justice: towards an equitable approach”, </w:t>
      </w:r>
      <w:r w:rsidRPr="00271D06">
        <w:rPr>
          <w:rFonts w:asciiTheme="majorBidi" w:eastAsia="Calibri" w:hAnsiTheme="majorBidi" w:cstheme="majorBidi"/>
          <w:i/>
          <w:iCs/>
          <w:lang w:val="en-US"/>
        </w:rPr>
        <w:t>Journal of International Dispute Settlement</w:t>
      </w:r>
      <w:r w:rsidRPr="00271D06">
        <w:rPr>
          <w:rFonts w:asciiTheme="majorBidi" w:eastAsia="Calibri" w:hAnsiTheme="majorBidi" w:cstheme="majorBidi"/>
          <w:lang w:val="en-US"/>
        </w:rPr>
        <w:t>, vol. 15 (2024), p. 73.</w:t>
      </w:r>
    </w:p>
    <w:p w14:paraId="74E8358C" w14:textId="5BB19AAE" w:rsidR="00164B95" w:rsidRPr="00271D06" w:rsidRDefault="00164B95" w:rsidP="00164B95">
      <w:pPr>
        <w:pStyle w:val="SingleTxtG"/>
        <w:rPr>
          <w:rFonts w:asciiTheme="majorBidi" w:eastAsia="Calibri" w:hAnsiTheme="majorBidi" w:cstheme="majorBidi"/>
          <w:lang w:val="en-US"/>
        </w:rPr>
      </w:pPr>
      <w:proofErr w:type="spellStart"/>
      <w:r w:rsidRPr="000F53DA">
        <w:rPr>
          <w:rFonts w:asciiTheme="majorBidi" w:eastAsia="MS Gothic" w:hAnsiTheme="majorBidi" w:cstheme="majorBidi" w:hint="eastAsia"/>
        </w:rPr>
        <w:t>李尊然</w:t>
      </w:r>
      <w:proofErr w:type="spellEnd"/>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w:t>
      </w:r>
      <w:r w:rsidR="004C5E26">
        <w:rPr>
          <w:rFonts w:asciiTheme="majorBidi" w:eastAsia="Calibri" w:hAnsiTheme="majorBidi" w:cstheme="majorBidi"/>
          <w:lang w:val="en-US"/>
        </w:rPr>
        <w:t>‘</w:t>
      </w:r>
      <w:proofErr w:type="spellStart"/>
      <w:r w:rsidRPr="000F53DA">
        <w:rPr>
          <w:rFonts w:asciiTheme="majorBidi" w:eastAsia="MS Gothic" w:hAnsiTheme="majorBidi" w:cstheme="majorBidi" w:hint="eastAsia"/>
        </w:rPr>
        <w:t>国</w:t>
      </w:r>
      <w:r w:rsidRPr="000F53DA">
        <w:rPr>
          <w:rFonts w:asciiTheme="majorBidi" w:eastAsia="Microsoft JhengHei" w:hAnsiTheme="majorBidi" w:cstheme="majorBidi" w:hint="eastAsia"/>
        </w:rPr>
        <w:t>际投资仲裁中紧急状态下东道国人权管制义务对外资补偿的影响</w:t>
      </w:r>
      <w:proofErr w:type="spellEnd"/>
      <w:r w:rsidR="004C5E26">
        <w:rPr>
          <w:rFonts w:asciiTheme="majorBidi" w:eastAsia="Calibri" w:hAnsiTheme="majorBidi" w:cstheme="majorBidi"/>
          <w:lang w:val="en-US"/>
        </w:rPr>
        <w:t>’</w:t>
      </w:r>
      <w:r w:rsidRPr="00271D06">
        <w:rPr>
          <w:rFonts w:asciiTheme="majorBidi" w:eastAsia="Calibri" w:hAnsiTheme="majorBidi" w:cstheme="majorBidi"/>
          <w:lang w:val="en-US"/>
        </w:rPr>
        <w:t xml:space="preserve"> (2022) 4 </w:t>
      </w:r>
      <w:proofErr w:type="spellStart"/>
      <w:r w:rsidRPr="000F53DA">
        <w:rPr>
          <w:rFonts w:asciiTheme="majorBidi" w:eastAsia="MS Gothic" w:hAnsiTheme="majorBidi" w:cstheme="majorBidi" w:hint="eastAsia"/>
        </w:rPr>
        <w:t>国</w:t>
      </w:r>
      <w:r w:rsidRPr="000F53DA">
        <w:rPr>
          <w:rFonts w:asciiTheme="majorBidi" w:eastAsia="Microsoft JhengHei" w:hAnsiTheme="majorBidi" w:cstheme="majorBidi" w:hint="eastAsia"/>
        </w:rPr>
        <w:t>际法学刊</w:t>
      </w:r>
      <w:proofErr w:type="spellEnd"/>
      <w:r w:rsidRPr="00271D06">
        <w:rPr>
          <w:rFonts w:asciiTheme="majorBidi" w:eastAsia="Calibri" w:hAnsiTheme="majorBidi" w:cstheme="majorBidi"/>
          <w:lang w:val="en-US"/>
        </w:rPr>
        <w:t xml:space="preserve"> 53 [</w:t>
      </w:r>
      <w:r w:rsidRPr="00271D06">
        <w:rPr>
          <w:rFonts w:asciiTheme="majorBidi" w:eastAsia="Calibri" w:hAnsiTheme="majorBidi" w:cstheme="majorBidi"/>
          <w:smallCaps/>
          <w:lang w:val="en-US"/>
        </w:rPr>
        <w:t>Li</w:t>
      </w:r>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Z. “The impact of host State</w:t>
      </w:r>
      <w:r w:rsidR="004C5E26">
        <w:rPr>
          <w:rFonts w:asciiTheme="majorBidi" w:eastAsia="Calibri" w:hAnsiTheme="majorBidi" w:cstheme="majorBidi"/>
          <w:lang w:val="en-US"/>
        </w:rPr>
        <w:t>’</w:t>
      </w:r>
      <w:r w:rsidRPr="00271D06">
        <w:rPr>
          <w:rFonts w:asciiTheme="majorBidi" w:eastAsia="Calibri" w:hAnsiTheme="majorBidi" w:cstheme="majorBidi"/>
          <w:lang w:val="en-US"/>
        </w:rPr>
        <w:t xml:space="preserve">s obligation to protect human rights on compensation awarded to foreign investors in the situation of necessity in international investment arbitration”, </w:t>
      </w:r>
      <w:r w:rsidRPr="00271D06">
        <w:rPr>
          <w:rFonts w:asciiTheme="majorBidi" w:eastAsia="Calibri" w:hAnsiTheme="majorBidi" w:cstheme="majorBidi"/>
          <w:i/>
          <w:iCs/>
          <w:lang w:val="en-US"/>
        </w:rPr>
        <w:t>Journal of International Law</w:t>
      </w:r>
      <w:r w:rsidRPr="00271D06">
        <w:rPr>
          <w:rFonts w:asciiTheme="majorBidi" w:eastAsia="Calibri" w:hAnsiTheme="majorBidi" w:cstheme="majorBidi"/>
          <w:lang w:val="en-US"/>
        </w:rPr>
        <w:t>, vol. 4 (2022), p. 53].</w:t>
      </w:r>
    </w:p>
    <w:p w14:paraId="0B5B2D74" w14:textId="777777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Lillich</w:t>
      </w:r>
      <w:r w:rsidRPr="000F53DA">
        <w:rPr>
          <w:rFonts w:asciiTheme="majorBidi" w:hAnsiTheme="majorBidi" w:cstheme="majorBidi"/>
          <w:lang w:val="en-CA"/>
        </w:rPr>
        <w:t xml:space="preserve">, R. B. (ed.). </w:t>
      </w:r>
      <w:r w:rsidRPr="000F53DA">
        <w:rPr>
          <w:rFonts w:asciiTheme="majorBidi" w:hAnsiTheme="majorBidi" w:cstheme="majorBidi"/>
          <w:i/>
          <w:iCs/>
          <w:lang w:val="en-CA"/>
        </w:rPr>
        <w:t>The United Nations Compensation Commission: Thirteenth Sokol Colloquium</w:t>
      </w:r>
      <w:r w:rsidRPr="000F53DA">
        <w:rPr>
          <w:rFonts w:asciiTheme="majorBidi" w:hAnsiTheme="majorBidi" w:cstheme="majorBidi"/>
          <w:lang w:val="en-CA"/>
        </w:rPr>
        <w:t>,</w:t>
      </w:r>
      <w:r w:rsidRPr="000F53DA">
        <w:rPr>
          <w:rFonts w:asciiTheme="majorBidi" w:hAnsiTheme="majorBidi" w:cstheme="majorBidi"/>
          <w:i/>
          <w:iCs/>
          <w:lang w:val="en-CA"/>
        </w:rPr>
        <w:t xml:space="preserve"> </w:t>
      </w:r>
      <w:r w:rsidRPr="000F53DA">
        <w:rPr>
          <w:rFonts w:asciiTheme="majorBidi" w:hAnsiTheme="majorBidi" w:cstheme="majorBidi"/>
          <w:lang w:val="en-CA"/>
        </w:rPr>
        <w:t>Transnational Publishers, 1995.</w:t>
      </w:r>
    </w:p>
    <w:p w14:paraId="43EB7CB4" w14:textId="77777777" w:rsidR="00164B95" w:rsidRPr="000F53DA" w:rsidRDefault="00164B95" w:rsidP="00164B95">
      <w:pPr>
        <w:pStyle w:val="SingleTxtG"/>
        <w:rPr>
          <w:rFonts w:asciiTheme="majorBidi" w:hAnsiTheme="majorBidi" w:cstheme="majorBidi"/>
          <w:lang w:val="ru-RU"/>
        </w:rPr>
      </w:pPr>
      <w:r w:rsidRPr="00271D06">
        <w:rPr>
          <w:rFonts w:asciiTheme="majorBidi" w:hAnsiTheme="majorBidi" w:cstheme="majorBidi"/>
          <w:smallCaps/>
          <w:lang w:val="ru-RU"/>
        </w:rPr>
        <w:t>Лукашук</w:t>
      </w:r>
      <w:r w:rsidRPr="000F53DA">
        <w:rPr>
          <w:rFonts w:asciiTheme="majorBidi" w:hAnsiTheme="majorBidi" w:cstheme="majorBidi"/>
          <w:lang w:val="ru-RU"/>
        </w:rPr>
        <w:t>, И</w:t>
      </w:r>
      <w:r w:rsidRPr="008C3992">
        <w:rPr>
          <w:rFonts w:asciiTheme="majorBidi" w:hAnsiTheme="majorBidi" w:cstheme="majorBidi"/>
          <w:lang w:val="ru-RU"/>
        </w:rPr>
        <w:t xml:space="preserve">. </w:t>
      </w:r>
      <w:r w:rsidRPr="000F53DA">
        <w:rPr>
          <w:rFonts w:asciiTheme="majorBidi" w:hAnsiTheme="majorBidi" w:cstheme="majorBidi"/>
          <w:lang w:val="ru-RU"/>
        </w:rPr>
        <w:t>И</w:t>
      </w:r>
      <w:r w:rsidRPr="009426A8">
        <w:rPr>
          <w:rFonts w:asciiTheme="majorBidi" w:hAnsiTheme="majorBidi" w:cstheme="majorBidi"/>
          <w:lang w:val="ru-RU"/>
        </w:rPr>
        <w:t>.</w:t>
      </w:r>
      <w:r w:rsidRPr="000F53DA">
        <w:rPr>
          <w:rFonts w:asciiTheme="majorBidi" w:hAnsiTheme="majorBidi" w:cstheme="majorBidi"/>
          <w:lang w:val="ru-RU"/>
        </w:rPr>
        <w:t xml:space="preserve"> </w:t>
      </w:r>
      <w:r w:rsidRPr="000F53DA">
        <w:rPr>
          <w:rFonts w:asciiTheme="majorBidi" w:hAnsiTheme="majorBidi" w:cstheme="majorBidi"/>
          <w:i/>
          <w:iCs/>
          <w:lang w:val="ru-RU"/>
        </w:rPr>
        <w:t>Право международной ответственности</w:t>
      </w:r>
      <w:r w:rsidRPr="00271D06">
        <w:rPr>
          <w:rFonts w:asciiTheme="majorBidi" w:hAnsiTheme="majorBidi" w:cstheme="majorBidi"/>
          <w:lang w:val="ru-RU"/>
        </w:rPr>
        <w:t>,</w:t>
      </w:r>
      <w:r w:rsidRPr="000F53DA">
        <w:rPr>
          <w:rFonts w:asciiTheme="majorBidi" w:hAnsiTheme="majorBidi" w:cstheme="majorBidi"/>
          <w:i/>
          <w:iCs/>
          <w:lang w:val="ru-RU"/>
        </w:rPr>
        <w:t xml:space="preserve"> </w:t>
      </w:r>
      <w:r w:rsidRPr="00271D06">
        <w:rPr>
          <w:rFonts w:asciiTheme="majorBidi" w:hAnsiTheme="majorBidi" w:cstheme="majorBidi"/>
          <w:lang w:val="en-CA"/>
        </w:rPr>
        <w:t>Wolters</w:t>
      </w:r>
      <w:r w:rsidRPr="000F53DA">
        <w:rPr>
          <w:rFonts w:asciiTheme="majorBidi" w:hAnsiTheme="majorBidi" w:cstheme="majorBidi"/>
          <w:lang w:val="ru-RU"/>
        </w:rPr>
        <w:t xml:space="preserve"> </w:t>
      </w:r>
      <w:r w:rsidRPr="00271D06">
        <w:rPr>
          <w:rFonts w:asciiTheme="majorBidi" w:hAnsiTheme="majorBidi" w:cstheme="majorBidi"/>
          <w:lang w:val="en-CA"/>
        </w:rPr>
        <w:t>Kluwer</w:t>
      </w:r>
      <w:r w:rsidRPr="000F53DA">
        <w:rPr>
          <w:rFonts w:asciiTheme="majorBidi" w:hAnsiTheme="majorBidi" w:cstheme="majorBidi"/>
          <w:lang w:val="ru-RU"/>
        </w:rPr>
        <w:t xml:space="preserve"> </w:t>
      </w:r>
      <w:r w:rsidRPr="00271D06">
        <w:rPr>
          <w:rFonts w:asciiTheme="majorBidi" w:hAnsiTheme="majorBidi" w:cstheme="majorBidi"/>
          <w:lang w:val="en-CA"/>
        </w:rPr>
        <w:t>Russia</w:t>
      </w:r>
      <w:r w:rsidRPr="00271D06">
        <w:rPr>
          <w:rFonts w:asciiTheme="majorBidi" w:hAnsiTheme="majorBidi" w:cstheme="majorBidi"/>
          <w:lang w:val="ru-RU"/>
        </w:rPr>
        <w:t>,</w:t>
      </w:r>
      <w:r w:rsidRPr="000F53DA">
        <w:rPr>
          <w:rFonts w:asciiTheme="majorBidi" w:hAnsiTheme="majorBidi" w:cstheme="majorBidi"/>
          <w:lang w:val="ru-RU"/>
        </w:rPr>
        <w:t xml:space="preserve"> 2004.</w:t>
      </w:r>
    </w:p>
    <w:p w14:paraId="3C1BDCC2" w14:textId="77777777" w:rsidR="00164B95" w:rsidRPr="008C3992" w:rsidRDefault="00164B95" w:rsidP="00164B95">
      <w:pPr>
        <w:pStyle w:val="SingleTxtG"/>
        <w:rPr>
          <w:rFonts w:asciiTheme="majorBidi" w:hAnsiTheme="majorBidi" w:cstheme="majorBidi"/>
          <w:lang w:val="fr-FR"/>
        </w:rPr>
      </w:pPr>
      <w:proofErr w:type="spellStart"/>
      <w:r w:rsidRPr="008C3992">
        <w:rPr>
          <w:rFonts w:asciiTheme="majorBidi" w:hAnsiTheme="majorBidi" w:cstheme="majorBidi"/>
          <w:smallCaps/>
          <w:lang w:val="fr-FR"/>
        </w:rPr>
        <w:t>Mabou</w:t>
      </w:r>
      <w:proofErr w:type="spellEnd"/>
      <w:r w:rsidRPr="008C3992">
        <w:rPr>
          <w:rFonts w:asciiTheme="majorBidi" w:hAnsiTheme="majorBidi" w:cstheme="majorBidi"/>
          <w:lang w:val="fr-FR"/>
        </w:rPr>
        <w:t xml:space="preserve">, T. G. </w:t>
      </w:r>
      <w:r w:rsidRPr="008C3992">
        <w:rPr>
          <w:rFonts w:asciiTheme="majorBidi" w:hAnsiTheme="majorBidi" w:cstheme="majorBidi"/>
          <w:i/>
          <w:lang w:val="fr-FR"/>
        </w:rPr>
        <w:t xml:space="preserve">La réparation devant les juridictions judiciaires internationales </w:t>
      </w:r>
      <w:r w:rsidRPr="008C3992">
        <w:rPr>
          <w:rFonts w:asciiTheme="majorBidi" w:hAnsiTheme="majorBidi" w:cstheme="majorBidi"/>
          <w:iCs/>
          <w:lang w:val="fr-FR"/>
        </w:rPr>
        <w:t>(</w:t>
      </w:r>
      <w:r w:rsidRPr="008C3992">
        <w:rPr>
          <w:rFonts w:asciiTheme="majorBidi" w:hAnsiTheme="majorBidi" w:cstheme="majorBidi"/>
          <w:lang w:val="fr-FR"/>
        </w:rPr>
        <w:t>thèse), Strasbourg, 2017.</w:t>
      </w:r>
    </w:p>
    <w:p w14:paraId="13F0D060"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Marboe</w:t>
      </w:r>
      <w:r w:rsidRPr="000F53DA">
        <w:rPr>
          <w:rFonts w:asciiTheme="majorBidi" w:hAnsiTheme="majorBidi" w:cstheme="majorBidi"/>
          <w:lang w:val="en-US"/>
        </w:rPr>
        <w:t xml:space="preserve">, </w:t>
      </w:r>
      <w:r w:rsidRPr="00271D06">
        <w:rPr>
          <w:rFonts w:asciiTheme="majorBidi" w:hAnsiTheme="majorBidi" w:cstheme="majorBidi"/>
          <w:lang w:val="en-US"/>
        </w:rPr>
        <w:t xml:space="preserve">I. </w:t>
      </w:r>
      <w:r w:rsidRPr="00271D06">
        <w:rPr>
          <w:rFonts w:asciiTheme="majorBidi" w:hAnsiTheme="majorBidi" w:cstheme="majorBidi"/>
          <w:i/>
          <w:iCs/>
          <w:lang w:val="en-US"/>
        </w:rPr>
        <w:t>Calculation of Compensation and Damages in International Investment Law</w:t>
      </w:r>
      <w:r w:rsidRPr="00271D06">
        <w:rPr>
          <w:rFonts w:asciiTheme="majorBidi" w:hAnsiTheme="majorBidi" w:cstheme="majorBidi"/>
          <w:lang w:val="en-US"/>
        </w:rPr>
        <w:t>, 2nd ed., Oxford University Press,</w:t>
      </w:r>
      <w:r w:rsidRPr="00271D06">
        <w:rPr>
          <w:rFonts w:asciiTheme="majorBidi" w:hAnsiTheme="majorBidi" w:cstheme="majorBidi"/>
          <w:i/>
          <w:iCs/>
          <w:lang w:val="en-US"/>
        </w:rPr>
        <w:t xml:space="preserve"> </w:t>
      </w:r>
      <w:r w:rsidRPr="00271D06">
        <w:rPr>
          <w:rFonts w:asciiTheme="majorBidi" w:hAnsiTheme="majorBidi" w:cstheme="majorBidi"/>
          <w:lang w:val="en-US"/>
        </w:rPr>
        <w:t>2017.</w:t>
      </w:r>
    </w:p>
    <w:p w14:paraId="1876BACF" w14:textId="77777777" w:rsidR="00164B95" w:rsidRPr="000F53DA" w:rsidRDefault="00164B95" w:rsidP="00164B95">
      <w:pPr>
        <w:pStyle w:val="SingleTxtG"/>
        <w:rPr>
          <w:rFonts w:asciiTheme="majorBidi" w:hAnsiTheme="majorBidi" w:cstheme="majorBidi"/>
          <w:lang w:val="de-CH"/>
        </w:rPr>
      </w:pPr>
      <w:r w:rsidRPr="00271D06">
        <w:rPr>
          <w:rFonts w:asciiTheme="majorBidi" w:eastAsia="Calibri" w:hAnsiTheme="majorBidi" w:cstheme="majorBidi"/>
          <w:lang w:val="de-CH"/>
        </w:rPr>
        <w:t xml:space="preserve">—— </w:t>
      </w:r>
      <w:r w:rsidRPr="000F53DA">
        <w:rPr>
          <w:rFonts w:asciiTheme="majorBidi" w:hAnsiTheme="majorBidi" w:cstheme="majorBidi"/>
          <w:lang w:val="de-CH"/>
        </w:rPr>
        <w:t xml:space="preserve">, </w:t>
      </w:r>
      <w:r w:rsidRPr="000F53DA">
        <w:rPr>
          <w:rFonts w:asciiTheme="majorBidi" w:hAnsiTheme="majorBidi" w:cstheme="majorBidi"/>
          <w:i/>
          <w:iCs/>
          <w:lang w:val="de-CH"/>
        </w:rPr>
        <w:t xml:space="preserve">Die Berechnung von Entschädigung und Schadenersatz in der internationalen </w:t>
      </w:r>
      <w:r w:rsidRPr="000F53DA">
        <w:rPr>
          <w:rFonts w:asciiTheme="majorBidi" w:hAnsiTheme="majorBidi" w:cstheme="majorBidi"/>
          <w:i/>
          <w:iCs/>
          <w:lang w:val="de-DE"/>
        </w:rPr>
        <w:t>Rechtsprechung</w:t>
      </w:r>
      <w:r w:rsidRPr="000F53DA">
        <w:rPr>
          <w:rFonts w:asciiTheme="majorBidi" w:hAnsiTheme="majorBidi" w:cstheme="majorBidi"/>
          <w:lang w:val="de-DE"/>
        </w:rPr>
        <w:t>,</w:t>
      </w:r>
      <w:r w:rsidRPr="000F53DA">
        <w:rPr>
          <w:rFonts w:asciiTheme="majorBidi" w:hAnsiTheme="majorBidi" w:cstheme="majorBidi"/>
          <w:lang w:val="de-CH"/>
        </w:rPr>
        <w:t xml:space="preserve"> </w:t>
      </w:r>
      <w:r w:rsidRPr="00271D06">
        <w:rPr>
          <w:rFonts w:asciiTheme="majorBidi" w:hAnsiTheme="majorBidi" w:cstheme="majorBidi"/>
          <w:lang w:val="de-CH"/>
        </w:rPr>
        <w:t xml:space="preserve">Frankfurt am Main, </w:t>
      </w:r>
      <w:r w:rsidRPr="000F53DA">
        <w:rPr>
          <w:rFonts w:asciiTheme="majorBidi" w:hAnsiTheme="majorBidi" w:cstheme="majorBidi"/>
          <w:lang w:val="de-CH"/>
        </w:rPr>
        <w:t xml:space="preserve">Peter Lang, 2009. </w:t>
      </w:r>
    </w:p>
    <w:p w14:paraId="1DE95910" w14:textId="60FDDD29" w:rsidR="00164B95" w:rsidRPr="000F53DA"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lastRenderedPageBreak/>
        <w:t>Martin</w:t>
      </w:r>
      <w:r w:rsidRPr="000F53DA">
        <w:rPr>
          <w:rFonts w:asciiTheme="majorBidi" w:hAnsiTheme="majorBidi" w:cstheme="majorBidi"/>
          <w:lang w:val="fr-FR"/>
        </w:rPr>
        <w:t xml:space="preserve">, J.-C. </w:t>
      </w:r>
      <w:r w:rsidRPr="008C3992">
        <w:rPr>
          <w:rFonts w:asciiTheme="majorBidi" w:hAnsiTheme="majorBidi" w:cstheme="majorBidi"/>
          <w:lang w:val="fr-FR"/>
        </w:rPr>
        <w:t>“</w:t>
      </w:r>
      <w:r w:rsidRPr="000F53DA">
        <w:rPr>
          <w:rFonts w:asciiTheme="majorBidi" w:hAnsiTheme="majorBidi" w:cstheme="majorBidi"/>
          <w:lang w:val="fr-FR"/>
        </w:rPr>
        <w:t>La pratique de la Commission d</w:t>
      </w:r>
      <w:r w:rsidR="004C5E26">
        <w:rPr>
          <w:rFonts w:asciiTheme="majorBidi" w:hAnsiTheme="majorBidi" w:cstheme="majorBidi"/>
          <w:lang w:val="fr-FR"/>
        </w:rPr>
        <w:t>’</w:t>
      </w:r>
      <w:r w:rsidRPr="000F53DA">
        <w:rPr>
          <w:rFonts w:asciiTheme="majorBidi" w:hAnsiTheme="majorBidi" w:cstheme="majorBidi"/>
          <w:lang w:val="fr-FR"/>
        </w:rPr>
        <w:t>indemnisation des Nations Unies pour l</w:t>
      </w:r>
      <w:r w:rsidR="004C5E26">
        <w:rPr>
          <w:rFonts w:asciiTheme="majorBidi" w:hAnsiTheme="majorBidi" w:cstheme="majorBidi"/>
          <w:lang w:val="fr-FR"/>
        </w:rPr>
        <w:t>’</w:t>
      </w:r>
      <w:r w:rsidRPr="000F53DA">
        <w:rPr>
          <w:rFonts w:asciiTheme="majorBidi" w:hAnsiTheme="majorBidi" w:cstheme="majorBidi"/>
          <w:lang w:val="fr-FR"/>
        </w:rPr>
        <w:t>Irak en matière de réclamations environnementales</w:t>
      </w:r>
      <w:r w:rsidRPr="008C3992">
        <w:rPr>
          <w:rFonts w:asciiTheme="majorBidi" w:hAnsiTheme="majorBidi" w:cstheme="majorBidi"/>
          <w:lang w:val="fr-FR"/>
        </w:rPr>
        <w:t>”,</w:t>
      </w:r>
      <w:r w:rsidRPr="000F53DA">
        <w:rPr>
          <w:rFonts w:asciiTheme="majorBidi" w:hAnsiTheme="majorBidi" w:cstheme="majorBidi"/>
          <w:lang w:val="fr-FR"/>
        </w:rPr>
        <w:t xml:space="preserve"> </w:t>
      </w:r>
      <w:r w:rsidRPr="00271D06">
        <w:rPr>
          <w:rFonts w:asciiTheme="majorBidi" w:hAnsiTheme="majorBidi" w:cstheme="majorBidi"/>
          <w:i/>
          <w:iCs/>
          <w:lang w:val="fr-FR"/>
        </w:rPr>
        <w:t>in</w:t>
      </w:r>
      <w:r w:rsidRPr="000F53DA">
        <w:rPr>
          <w:rFonts w:asciiTheme="majorBidi" w:hAnsiTheme="majorBidi" w:cstheme="majorBidi"/>
          <w:lang w:val="fr-FR"/>
        </w:rPr>
        <w:t xml:space="preserve"> </w:t>
      </w:r>
      <w:r w:rsidRPr="000F53DA">
        <w:rPr>
          <w:rFonts w:asciiTheme="majorBidi" w:hAnsiTheme="majorBidi" w:cstheme="majorBidi"/>
          <w:i/>
          <w:iCs/>
          <w:lang w:val="fr-FR"/>
        </w:rPr>
        <w:t>Le droit international face aux enjeux environnementaux</w:t>
      </w:r>
      <w:r w:rsidRPr="000F53DA">
        <w:rPr>
          <w:rFonts w:asciiTheme="majorBidi" w:hAnsiTheme="majorBidi" w:cstheme="majorBidi"/>
          <w:lang w:val="fr-FR"/>
        </w:rPr>
        <w:t xml:space="preserve"> </w:t>
      </w:r>
      <w:r w:rsidRPr="00271D06">
        <w:rPr>
          <w:rFonts w:asciiTheme="majorBidi" w:hAnsiTheme="majorBidi" w:cstheme="majorBidi"/>
          <w:i/>
          <w:lang w:val="fr-FR"/>
        </w:rPr>
        <w:t>(Colloque d</w:t>
      </w:r>
      <w:r w:rsidR="004C5E26">
        <w:rPr>
          <w:rFonts w:asciiTheme="majorBidi" w:hAnsiTheme="majorBidi" w:cstheme="majorBidi"/>
          <w:i/>
          <w:lang w:val="fr-FR"/>
        </w:rPr>
        <w:t>’</w:t>
      </w:r>
      <w:r w:rsidRPr="00271D06">
        <w:rPr>
          <w:rFonts w:asciiTheme="majorBidi" w:hAnsiTheme="majorBidi" w:cstheme="majorBidi"/>
          <w:i/>
          <w:lang w:val="fr-FR"/>
        </w:rPr>
        <w:t>Aix-en-Provence)</w:t>
      </w:r>
      <w:r w:rsidRPr="000F53DA">
        <w:rPr>
          <w:rFonts w:asciiTheme="majorBidi" w:hAnsiTheme="majorBidi" w:cstheme="majorBidi"/>
          <w:lang w:val="fr-FR"/>
        </w:rPr>
        <w:t xml:space="preserve">, Société française pour le droit international, </w:t>
      </w:r>
      <w:proofErr w:type="spellStart"/>
      <w:r w:rsidRPr="000F53DA">
        <w:rPr>
          <w:rFonts w:asciiTheme="majorBidi" w:hAnsiTheme="majorBidi" w:cstheme="majorBidi"/>
          <w:lang w:val="fr-FR"/>
        </w:rPr>
        <w:t>Pedone</w:t>
      </w:r>
      <w:proofErr w:type="spellEnd"/>
      <w:r w:rsidRPr="000F53DA">
        <w:rPr>
          <w:rFonts w:asciiTheme="majorBidi" w:hAnsiTheme="majorBidi" w:cstheme="majorBidi"/>
          <w:lang w:val="fr-FR"/>
        </w:rPr>
        <w:t>, 2010.</w:t>
      </w:r>
    </w:p>
    <w:p w14:paraId="1C0A87B1" w14:textId="777777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Matheson</w:t>
      </w:r>
      <w:r w:rsidRPr="000F53DA">
        <w:rPr>
          <w:rFonts w:asciiTheme="majorBidi" w:hAnsiTheme="majorBidi" w:cstheme="majorBidi"/>
          <w:lang w:val="en-CA"/>
        </w:rPr>
        <w:t xml:space="preserve">, M. J. “The damage awards of the Eritrea–Ethiopia Claims Commission”, </w:t>
      </w:r>
      <w:r w:rsidRPr="00271D06">
        <w:rPr>
          <w:rFonts w:asciiTheme="majorBidi" w:hAnsiTheme="majorBidi" w:cstheme="majorBidi"/>
          <w:i/>
          <w:iCs/>
          <w:lang w:val="en-CA"/>
        </w:rPr>
        <w:t>The Law and Practice of International Courts and Tribunals</w:t>
      </w:r>
      <w:r w:rsidRPr="000F53DA">
        <w:rPr>
          <w:rFonts w:asciiTheme="majorBidi" w:hAnsiTheme="majorBidi" w:cstheme="majorBidi"/>
          <w:lang w:val="en-CA"/>
        </w:rPr>
        <w:t>, vol. 9 (2010), p. 1.</w:t>
      </w:r>
    </w:p>
    <w:p w14:paraId="5B0452B6" w14:textId="77777777" w:rsidR="00164B95" w:rsidRPr="000F53DA" w:rsidRDefault="00164B95" w:rsidP="00164B95">
      <w:pPr>
        <w:pStyle w:val="SingleTxtG"/>
        <w:rPr>
          <w:rFonts w:asciiTheme="majorBidi" w:hAnsiTheme="majorBidi" w:cstheme="majorBidi"/>
          <w:lang w:val="ru-RU"/>
        </w:rPr>
      </w:pPr>
      <w:r w:rsidRPr="00271D06">
        <w:rPr>
          <w:rFonts w:asciiTheme="majorBidi" w:hAnsiTheme="majorBidi" w:cstheme="majorBidi"/>
          <w:smallCaps/>
          <w:lang w:val="ru-RU"/>
        </w:rPr>
        <w:t>Мазов</w:t>
      </w:r>
      <w:r w:rsidRPr="000F53DA">
        <w:rPr>
          <w:lang w:val="ru-RU"/>
        </w:rPr>
        <w:t>, В</w:t>
      </w:r>
      <w:r w:rsidRPr="008C3992">
        <w:rPr>
          <w:lang w:val="ru-RU"/>
        </w:rPr>
        <w:t xml:space="preserve">. </w:t>
      </w:r>
      <w:r w:rsidRPr="000F53DA">
        <w:rPr>
          <w:lang w:val="ru-RU"/>
        </w:rPr>
        <w:t>А</w:t>
      </w:r>
      <w:r w:rsidRPr="009426A8">
        <w:rPr>
          <w:lang w:val="ru-RU"/>
        </w:rPr>
        <w:t>.</w:t>
      </w:r>
      <w:r w:rsidRPr="000F53DA">
        <w:rPr>
          <w:lang w:val="ru-RU"/>
        </w:rPr>
        <w:t xml:space="preserve"> </w:t>
      </w:r>
      <w:r w:rsidRPr="000F53DA">
        <w:rPr>
          <w:i/>
          <w:iCs/>
          <w:lang w:val="ru-RU"/>
        </w:rPr>
        <w:t>Ответственность в международном праве: проблемы кодификации и прогрессивного развития норм и принципов международно-правовой ответственности</w:t>
      </w:r>
      <w:r w:rsidRPr="00271D06">
        <w:rPr>
          <w:lang w:val="ru-RU"/>
        </w:rPr>
        <w:t>,</w:t>
      </w:r>
      <w:r w:rsidRPr="000F53DA">
        <w:rPr>
          <w:lang w:val="ru-RU"/>
        </w:rPr>
        <w:t xml:space="preserve"> Юридическая литература</w:t>
      </w:r>
      <w:r w:rsidRPr="00271D06">
        <w:rPr>
          <w:lang w:val="ru-RU"/>
        </w:rPr>
        <w:t>,</w:t>
      </w:r>
      <w:r w:rsidRPr="000F53DA">
        <w:rPr>
          <w:lang w:val="ru-RU"/>
        </w:rPr>
        <w:t xml:space="preserve"> 1979.</w:t>
      </w:r>
    </w:p>
    <w:p w14:paraId="4FE5FFE9"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Moutier-</w:t>
      </w:r>
      <w:proofErr w:type="spellStart"/>
      <w:r w:rsidRPr="00271D06">
        <w:rPr>
          <w:rFonts w:asciiTheme="majorBidi" w:eastAsia="Calibri" w:hAnsiTheme="majorBidi" w:cstheme="majorBidi"/>
          <w:smallCaps/>
          <w:lang w:val="en-US"/>
        </w:rPr>
        <w:t>Lopet</w:t>
      </w:r>
      <w:proofErr w:type="spellEnd"/>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A. “Contribution to injury”, </w:t>
      </w:r>
      <w:r w:rsidRPr="00271D06">
        <w:rPr>
          <w:rFonts w:asciiTheme="majorBidi" w:eastAsia="Calibri" w:hAnsiTheme="majorBidi" w:cstheme="majorBidi"/>
          <w:i/>
          <w:iCs/>
          <w:lang w:val="en-US"/>
        </w:rPr>
        <w:t>in</w:t>
      </w:r>
      <w:r w:rsidRPr="00271D06">
        <w:rPr>
          <w:rFonts w:asciiTheme="majorBidi" w:eastAsia="Calibri" w:hAnsiTheme="majorBidi" w:cstheme="majorBidi"/>
          <w:lang w:val="en-US"/>
        </w:rPr>
        <w:t xml:space="preserve"> J. Crawford, </w:t>
      </w:r>
      <w:r w:rsidRPr="00271D06">
        <w:rPr>
          <w:rFonts w:eastAsia="Calibri"/>
          <w:i/>
          <w:kern w:val="2"/>
          <w:lang w:val="en-US"/>
          <w14:ligatures w14:val="standardContextual"/>
        </w:rPr>
        <w:t xml:space="preserve">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 2010, p. 639.</w:t>
      </w:r>
    </w:p>
    <w:p w14:paraId="459767C9"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Murphy</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S.</w:t>
      </w:r>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W. Kidane and T. Snider</w:t>
      </w:r>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w:t>
      </w:r>
      <w:r w:rsidRPr="00271D06">
        <w:rPr>
          <w:rFonts w:asciiTheme="majorBidi" w:eastAsia="Calibri" w:hAnsiTheme="majorBidi" w:cstheme="majorBidi"/>
          <w:i/>
          <w:iCs/>
          <w:lang w:val="en-US"/>
        </w:rPr>
        <w:t>Litigating War: Mass Civil Injury and the Eritrea–Ethiopia Claims Commission</w:t>
      </w:r>
      <w:r w:rsidRPr="00271D06">
        <w:rPr>
          <w:rFonts w:asciiTheme="majorBidi" w:eastAsia="Calibri" w:hAnsiTheme="majorBidi" w:cstheme="majorBidi"/>
          <w:lang w:val="en-US"/>
        </w:rPr>
        <w:t>, Oxford University Press,</w:t>
      </w:r>
      <w:r w:rsidRPr="00271D06">
        <w:rPr>
          <w:rFonts w:asciiTheme="majorBidi" w:eastAsia="Calibri" w:hAnsiTheme="majorBidi" w:cstheme="majorBidi"/>
          <w:i/>
          <w:iCs/>
          <w:lang w:val="en-US"/>
        </w:rPr>
        <w:t xml:space="preserve"> </w:t>
      </w:r>
      <w:r w:rsidRPr="00271D06">
        <w:rPr>
          <w:rFonts w:asciiTheme="majorBidi" w:eastAsia="Calibri" w:hAnsiTheme="majorBidi" w:cstheme="majorBidi"/>
          <w:lang w:val="en-US"/>
        </w:rPr>
        <w:t xml:space="preserve">2013. </w:t>
      </w:r>
    </w:p>
    <w:p w14:paraId="5C755133" w14:textId="3CAE6CDC"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Murphy</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S. and Y. Parkhomenko</w:t>
      </w:r>
      <w:r w:rsidRPr="000F53DA">
        <w:rPr>
          <w:rFonts w:asciiTheme="majorBidi" w:eastAsia="Calibri" w:hAnsiTheme="majorBidi" w:cstheme="majorBidi"/>
          <w:lang w:val="en-US"/>
        </w:rPr>
        <w:t>.</w:t>
      </w:r>
      <w:r w:rsidRPr="00271D06">
        <w:rPr>
          <w:rFonts w:asciiTheme="majorBidi" w:eastAsia="Calibri" w:hAnsiTheme="majorBidi" w:cstheme="majorBidi"/>
          <w:lang w:val="en-US"/>
        </w:rPr>
        <w:t xml:space="preserve"> “Now you see them, now you don</w:t>
      </w:r>
      <w:r w:rsidR="004C5E26">
        <w:rPr>
          <w:rFonts w:asciiTheme="majorBidi" w:eastAsia="Calibri" w:hAnsiTheme="majorBidi" w:cstheme="majorBidi"/>
          <w:lang w:val="en-US"/>
        </w:rPr>
        <w:t>’</w:t>
      </w:r>
      <w:r w:rsidRPr="00271D06">
        <w:rPr>
          <w:rFonts w:asciiTheme="majorBidi" w:eastAsia="Calibri" w:hAnsiTheme="majorBidi" w:cstheme="majorBidi"/>
          <w:lang w:val="en-US"/>
        </w:rPr>
        <w:t xml:space="preserve">t: court-appointed experts, wartime reparations, and the </w:t>
      </w:r>
      <w:r w:rsidRPr="00271D06">
        <w:rPr>
          <w:rFonts w:asciiTheme="majorBidi" w:eastAsia="Calibri" w:hAnsiTheme="majorBidi" w:cstheme="majorBidi"/>
          <w:i/>
          <w:iCs/>
          <w:lang w:val="en-US"/>
        </w:rPr>
        <w:t xml:space="preserve">DRC </w:t>
      </w:r>
      <w:r w:rsidRPr="00271D06">
        <w:rPr>
          <w:rFonts w:asciiTheme="majorBidi" w:eastAsia="Calibri" w:hAnsiTheme="majorBidi" w:cstheme="majorBidi"/>
          <w:lang w:val="en-US"/>
        </w:rPr>
        <w:t>v.</w:t>
      </w:r>
      <w:r w:rsidRPr="00271D06">
        <w:rPr>
          <w:rFonts w:asciiTheme="majorBidi" w:eastAsia="Calibri" w:hAnsiTheme="majorBidi" w:cstheme="majorBidi"/>
          <w:i/>
          <w:iCs/>
          <w:lang w:val="en-US"/>
        </w:rPr>
        <w:t xml:space="preserve"> Uganda </w:t>
      </w:r>
      <w:r w:rsidRPr="00271D06">
        <w:rPr>
          <w:rFonts w:asciiTheme="majorBidi" w:eastAsia="Calibri" w:hAnsiTheme="majorBidi" w:cstheme="majorBidi"/>
          <w:lang w:val="en-US"/>
        </w:rPr>
        <w:t xml:space="preserve">case”, </w:t>
      </w:r>
      <w:r w:rsidRPr="00271D06">
        <w:rPr>
          <w:rFonts w:asciiTheme="majorBidi" w:eastAsia="Calibri" w:hAnsiTheme="majorBidi" w:cstheme="majorBidi"/>
          <w:i/>
          <w:lang w:val="en-US"/>
        </w:rPr>
        <w:t>Journal of International Humanitarian Legal Studies</w:t>
      </w:r>
      <w:r w:rsidRPr="00271D06">
        <w:rPr>
          <w:rFonts w:asciiTheme="majorBidi" w:eastAsia="Calibri" w:hAnsiTheme="majorBidi" w:cstheme="majorBidi"/>
          <w:lang w:val="en-US"/>
        </w:rPr>
        <w:t>, vol. 14 (2023), p. 48.</w:t>
      </w:r>
    </w:p>
    <w:p w14:paraId="1BB900CC"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Nagy</w:t>
      </w:r>
      <w:r w:rsidRPr="000F53DA">
        <w:rPr>
          <w:rFonts w:asciiTheme="majorBidi" w:hAnsiTheme="majorBidi" w:cstheme="majorBidi"/>
          <w:lang w:val="en-US"/>
        </w:rPr>
        <w:t xml:space="preserve">, </w:t>
      </w:r>
      <w:r w:rsidRPr="00271D06">
        <w:rPr>
          <w:rFonts w:asciiTheme="majorBidi" w:hAnsiTheme="majorBidi" w:cstheme="majorBidi"/>
          <w:lang w:val="en-US"/>
        </w:rPr>
        <w:t xml:space="preserve">K. </w:t>
      </w:r>
      <w:r w:rsidRPr="000F53DA">
        <w:rPr>
          <w:rFonts w:asciiTheme="majorBidi" w:hAnsiTheme="majorBidi" w:cstheme="majorBidi"/>
          <w:lang w:val="en-US"/>
        </w:rPr>
        <w:t>“</w:t>
      </w:r>
      <w:r w:rsidRPr="00271D06">
        <w:rPr>
          <w:rFonts w:asciiTheme="majorBidi" w:hAnsiTheme="majorBidi" w:cstheme="majorBidi"/>
          <w:lang w:val="en-US"/>
        </w:rPr>
        <w:t>The problem of reparation in international law</w:t>
      </w:r>
      <w:r w:rsidRPr="000F53DA">
        <w:rPr>
          <w:rFonts w:asciiTheme="majorBidi" w:hAnsiTheme="majorBidi" w:cstheme="majorBidi"/>
          <w:lang w:val="en-US"/>
        </w:rPr>
        <w:t>”,</w:t>
      </w:r>
      <w:r w:rsidRPr="00271D06">
        <w:rPr>
          <w:rFonts w:asciiTheme="majorBidi" w:hAnsiTheme="majorBidi" w:cstheme="majorBidi"/>
          <w:lang w:val="en-US"/>
        </w:rPr>
        <w:t xml:space="preserve"> </w:t>
      </w:r>
      <w:r w:rsidRPr="00271D06">
        <w:rPr>
          <w:rFonts w:asciiTheme="majorBidi" w:hAnsiTheme="majorBidi" w:cstheme="majorBidi"/>
          <w:i/>
          <w:lang w:val="en-US"/>
        </w:rPr>
        <w:t>in</w:t>
      </w:r>
      <w:r w:rsidRPr="00271D06">
        <w:rPr>
          <w:rFonts w:asciiTheme="majorBidi" w:hAnsiTheme="majorBidi" w:cstheme="majorBidi"/>
          <w:lang w:val="en-US"/>
        </w:rPr>
        <w:t xml:space="preserve"> H</w:t>
      </w:r>
      <w:r w:rsidRPr="000F53DA">
        <w:rPr>
          <w:rFonts w:asciiTheme="majorBidi" w:hAnsiTheme="majorBidi" w:cstheme="majorBidi"/>
          <w:lang w:val="en-US"/>
        </w:rPr>
        <w:t>.</w:t>
      </w:r>
      <w:r w:rsidRPr="00271D06">
        <w:rPr>
          <w:rFonts w:asciiTheme="majorBidi" w:hAnsiTheme="majorBidi" w:cstheme="majorBidi"/>
          <w:lang w:val="en-US"/>
        </w:rPr>
        <w:t xml:space="preserve"> Bokor-Szegő (ed), </w:t>
      </w:r>
      <w:r w:rsidRPr="00271D06">
        <w:rPr>
          <w:rFonts w:asciiTheme="majorBidi" w:hAnsiTheme="majorBidi" w:cstheme="majorBidi"/>
          <w:i/>
          <w:iCs/>
          <w:lang w:val="en-US"/>
        </w:rPr>
        <w:t>Questions of International Law: Hungarian Perspectives</w:t>
      </w:r>
      <w:r w:rsidRPr="000F53DA">
        <w:rPr>
          <w:rFonts w:asciiTheme="majorBidi" w:hAnsiTheme="majorBidi" w:cstheme="majorBidi"/>
          <w:iCs/>
          <w:lang w:val="en-US"/>
        </w:rPr>
        <w:t>,</w:t>
      </w:r>
      <w:r w:rsidRPr="00271D06">
        <w:rPr>
          <w:rFonts w:asciiTheme="majorBidi" w:hAnsiTheme="majorBidi" w:cstheme="majorBidi"/>
          <w:lang w:val="en-US"/>
        </w:rPr>
        <w:t xml:space="preserve"> </w:t>
      </w:r>
      <w:r w:rsidRPr="000F53DA">
        <w:rPr>
          <w:rFonts w:asciiTheme="majorBidi" w:hAnsiTheme="majorBidi" w:cstheme="majorBidi"/>
          <w:lang w:val="en-US"/>
        </w:rPr>
        <w:t>v</w:t>
      </w:r>
      <w:r w:rsidRPr="00271D06">
        <w:rPr>
          <w:rFonts w:asciiTheme="majorBidi" w:hAnsiTheme="majorBidi" w:cstheme="majorBidi"/>
          <w:lang w:val="en-US"/>
        </w:rPr>
        <w:t>ol</w:t>
      </w:r>
      <w:r w:rsidRPr="000F53DA">
        <w:rPr>
          <w:rFonts w:asciiTheme="majorBidi" w:hAnsiTheme="majorBidi" w:cstheme="majorBidi"/>
          <w:lang w:val="en-US"/>
        </w:rPr>
        <w:t>.</w:t>
      </w:r>
      <w:r w:rsidRPr="00271D06">
        <w:rPr>
          <w:rFonts w:asciiTheme="majorBidi" w:hAnsiTheme="majorBidi" w:cstheme="majorBidi"/>
          <w:lang w:val="en-US"/>
        </w:rPr>
        <w:t xml:space="preserve"> 3, </w:t>
      </w:r>
      <w:proofErr w:type="spellStart"/>
      <w:r w:rsidRPr="00271D06">
        <w:rPr>
          <w:rFonts w:asciiTheme="majorBidi" w:hAnsiTheme="majorBidi" w:cstheme="majorBidi"/>
          <w:lang w:val="en-US"/>
        </w:rPr>
        <w:t>Akademiai</w:t>
      </w:r>
      <w:proofErr w:type="spellEnd"/>
      <w:r w:rsidRPr="00271D06">
        <w:rPr>
          <w:rFonts w:asciiTheme="majorBidi" w:hAnsiTheme="majorBidi" w:cstheme="majorBidi"/>
          <w:lang w:val="en-US"/>
        </w:rPr>
        <w:t xml:space="preserve"> </w:t>
      </w:r>
      <w:proofErr w:type="spellStart"/>
      <w:r w:rsidRPr="00271D06">
        <w:rPr>
          <w:rFonts w:asciiTheme="majorBidi" w:hAnsiTheme="majorBidi" w:cstheme="majorBidi"/>
          <w:lang w:val="en-US"/>
        </w:rPr>
        <w:t>Kiado</w:t>
      </w:r>
      <w:proofErr w:type="spellEnd"/>
      <w:r w:rsidRPr="000F53DA">
        <w:rPr>
          <w:rFonts w:asciiTheme="majorBidi" w:hAnsiTheme="majorBidi" w:cstheme="majorBidi"/>
          <w:lang w:val="en-US"/>
        </w:rPr>
        <w:t>,</w:t>
      </w:r>
      <w:r w:rsidRPr="00271D06">
        <w:rPr>
          <w:rFonts w:asciiTheme="majorBidi" w:hAnsiTheme="majorBidi" w:cstheme="majorBidi"/>
          <w:lang w:val="en-US"/>
        </w:rPr>
        <w:t xml:space="preserve"> 1986.</w:t>
      </w:r>
    </w:p>
    <w:p w14:paraId="236061D6" w14:textId="77777777" w:rsidR="00164B95" w:rsidRPr="00164B95" w:rsidRDefault="00164B95" w:rsidP="00164B95">
      <w:pPr>
        <w:pStyle w:val="SingleTxtG"/>
        <w:rPr>
          <w:rFonts w:asciiTheme="majorBidi" w:hAnsiTheme="majorBidi" w:cstheme="majorBidi"/>
          <w:lang w:val="es-ES"/>
        </w:rPr>
      </w:pPr>
      <w:r w:rsidRPr="00164B95">
        <w:rPr>
          <w:rFonts w:asciiTheme="majorBidi" w:hAnsiTheme="majorBidi" w:cstheme="majorBidi"/>
          <w:smallCaps/>
          <w:lang w:val="es-ES"/>
        </w:rPr>
        <w:t>Nash Rojas</w:t>
      </w:r>
      <w:r w:rsidRPr="00164B95">
        <w:rPr>
          <w:rFonts w:asciiTheme="majorBidi" w:hAnsiTheme="majorBidi" w:cstheme="majorBidi"/>
          <w:lang w:val="es-ES"/>
        </w:rPr>
        <w:t xml:space="preserve">, C. “El sistema interamericano de derechos humanos y el desafío de reparar las violaciones de estos derechos”, </w:t>
      </w:r>
      <w:r w:rsidRPr="00164B95">
        <w:rPr>
          <w:rFonts w:asciiTheme="majorBidi" w:hAnsiTheme="majorBidi" w:cstheme="majorBidi"/>
          <w:i/>
          <w:iCs/>
          <w:lang w:val="es-ES"/>
        </w:rPr>
        <w:t xml:space="preserve">Revista do Instituto Brasileiro de </w:t>
      </w:r>
      <w:proofErr w:type="spellStart"/>
      <w:r w:rsidRPr="00164B95">
        <w:rPr>
          <w:rFonts w:asciiTheme="majorBidi" w:hAnsiTheme="majorBidi" w:cstheme="majorBidi"/>
          <w:i/>
          <w:iCs/>
          <w:lang w:val="es-ES"/>
        </w:rPr>
        <w:t>Direitos</w:t>
      </w:r>
      <w:proofErr w:type="spellEnd"/>
      <w:r w:rsidRPr="00164B95">
        <w:rPr>
          <w:rFonts w:asciiTheme="majorBidi" w:hAnsiTheme="majorBidi" w:cstheme="majorBidi"/>
          <w:i/>
          <w:iCs/>
          <w:lang w:val="es-ES"/>
        </w:rPr>
        <w:t xml:space="preserve"> Humanos</w:t>
      </w:r>
      <w:r w:rsidRPr="00164B95">
        <w:rPr>
          <w:rFonts w:asciiTheme="majorBidi" w:hAnsiTheme="majorBidi" w:cstheme="majorBidi"/>
          <w:lang w:val="es-ES"/>
        </w:rPr>
        <w:t>, vol. 6 (2006), p. 81.</w:t>
      </w:r>
    </w:p>
    <w:p w14:paraId="43960C69" w14:textId="77777777" w:rsidR="00164B95" w:rsidRPr="000F53DA"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Nevill</w:t>
      </w:r>
      <w:r w:rsidRPr="00271D06">
        <w:rPr>
          <w:rFonts w:asciiTheme="majorBidi" w:hAnsiTheme="majorBidi" w:cstheme="majorBidi"/>
          <w:lang w:val="en-US"/>
        </w:rPr>
        <w:t xml:space="preserve">, P. “Award of interest by international courts and tribunals”, </w:t>
      </w:r>
      <w:r w:rsidRPr="00271D06">
        <w:rPr>
          <w:rFonts w:asciiTheme="majorBidi" w:hAnsiTheme="majorBidi" w:cstheme="majorBidi"/>
          <w:i/>
          <w:iCs/>
          <w:lang w:val="en-US"/>
        </w:rPr>
        <w:t>British Year Book of International Law</w:t>
      </w:r>
      <w:r w:rsidRPr="00271D06">
        <w:rPr>
          <w:rFonts w:asciiTheme="majorBidi" w:hAnsiTheme="majorBidi" w:cstheme="majorBidi"/>
          <w:lang w:val="en-US"/>
        </w:rPr>
        <w:t>, vol. 78, No. 1 (2007), pp. 255–341.</w:t>
      </w:r>
    </w:p>
    <w:p w14:paraId="6E66DE6D"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Novak</w:t>
      </w:r>
      <w:r w:rsidRPr="000F53DA">
        <w:rPr>
          <w:rFonts w:asciiTheme="majorBidi" w:hAnsiTheme="majorBidi" w:cstheme="majorBidi"/>
          <w:lang w:val="en-US"/>
        </w:rPr>
        <w:t xml:space="preserve">, </w:t>
      </w:r>
      <w:r w:rsidRPr="00271D06">
        <w:rPr>
          <w:rFonts w:asciiTheme="majorBidi" w:hAnsiTheme="majorBidi" w:cstheme="majorBidi"/>
          <w:lang w:val="en-US"/>
        </w:rPr>
        <w:t xml:space="preserve">F. “The system of reparations in the jurisprudence of the Inter-American Court of Human Rights”, </w:t>
      </w:r>
      <w:r w:rsidRPr="00271D06">
        <w:rPr>
          <w:rFonts w:asciiTheme="majorBidi" w:hAnsiTheme="majorBidi" w:cstheme="majorBidi"/>
          <w:i/>
          <w:iCs/>
          <w:lang w:val="en-US"/>
        </w:rPr>
        <w:t>Collected Courses of The Hague Academy of International Law</w:t>
      </w:r>
      <w:r w:rsidRPr="00271D06">
        <w:rPr>
          <w:rFonts w:asciiTheme="majorBidi" w:hAnsiTheme="majorBidi" w:cstheme="majorBidi"/>
          <w:lang w:val="en-US"/>
        </w:rPr>
        <w:t xml:space="preserve">, vol. 392 (2018), p. 15. </w:t>
      </w:r>
    </w:p>
    <w:p w14:paraId="7B6FE3F8" w14:textId="77777777" w:rsidR="00164B95" w:rsidRPr="00271D06" w:rsidRDefault="00164B95" w:rsidP="00164B95">
      <w:pPr>
        <w:pStyle w:val="SingleTxtG"/>
        <w:rPr>
          <w:rFonts w:asciiTheme="majorBidi" w:hAnsiTheme="majorBidi" w:cstheme="majorBidi"/>
          <w:lang w:val="en-US"/>
        </w:rPr>
      </w:pPr>
      <w:proofErr w:type="spellStart"/>
      <w:r w:rsidRPr="00271D06">
        <w:rPr>
          <w:rFonts w:asciiTheme="majorBidi" w:hAnsiTheme="majorBidi" w:cstheme="majorBidi"/>
          <w:smallCaps/>
          <w:lang w:val="en-US"/>
        </w:rPr>
        <w:t>Okowa</w:t>
      </w:r>
      <w:proofErr w:type="spellEnd"/>
      <w:r w:rsidRPr="00271D06">
        <w:rPr>
          <w:rFonts w:asciiTheme="majorBidi" w:hAnsiTheme="majorBidi" w:cstheme="majorBidi"/>
          <w:lang w:val="en-US"/>
        </w:rPr>
        <w:t xml:space="preserve">, P. </w:t>
      </w:r>
      <w:r w:rsidRPr="00271D06">
        <w:rPr>
          <w:rFonts w:asciiTheme="majorBidi" w:hAnsiTheme="majorBidi" w:cstheme="majorBidi"/>
          <w:i/>
          <w:iCs/>
          <w:lang w:val="en-US"/>
        </w:rPr>
        <w:t>State Responsibility for Transboundary Air Pollution in International Law</w:t>
      </w:r>
      <w:r w:rsidRPr="00271D06">
        <w:rPr>
          <w:rFonts w:asciiTheme="majorBidi" w:hAnsiTheme="majorBidi" w:cstheme="majorBidi"/>
          <w:lang w:val="en-US"/>
        </w:rPr>
        <w:t>, Oxford University Press,</w:t>
      </w:r>
      <w:r w:rsidRPr="00271D06">
        <w:rPr>
          <w:rFonts w:asciiTheme="majorBidi" w:hAnsiTheme="majorBidi" w:cstheme="majorBidi"/>
          <w:i/>
          <w:iCs/>
          <w:lang w:val="en-US"/>
        </w:rPr>
        <w:t xml:space="preserve"> </w:t>
      </w:r>
      <w:r w:rsidRPr="00271D06">
        <w:rPr>
          <w:rFonts w:asciiTheme="majorBidi" w:hAnsiTheme="majorBidi" w:cstheme="majorBidi"/>
          <w:lang w:val="en-US"/>
        </w:rPr>
        <w:t xml:space="preserve">2000, chap. 6, pp. 171–202. </w:t>
      </w:r>
    </w:p>
    <w:p w14:paraId="0E89A259" w14:textId="6DDEBC03" w:rsidR="00164B95" w:rsidRPr="008C3992"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t>d</w:t>
      </w:r>
      <w:r w:rsidR="004C5E26">
        <w:rPr>
          <w:rFonts w:asciiTheme="majorBidi" w:hAnsiTheme="majorBidi" w:cstheme="majorBidi"/>
          <w:smallCaps/>
          <w:lang w:val="fr-FR"/>
        </w:rPr>
        <w:t>’</w:t>
      </w:r>
      <w:proofErr w:type="spellStart"/>
      <w:r w:rsidRPr="00271D06">
        <w:rPr>
          <w:rFonts w:asciiTheme="majorBidi" w:hAnsiTheme="majorBidi" w:cstheme="majorBidi"/>
          <w:smallCaps/>
          <w:lang w:val="fr-FR"/>
        </w:rPr>
        <w:t>Orsi</w:t>
      </w:r>
      <w:proofErr w:type="spellEnd"/>
      <w:r w:rsidRPr="000F53DA">
        <w:rPr>
          <w:rFonts w:asciiTheme="majorBidi" w:hAnsiTheme="majorBidi" w:cstheme="majorBidi"/>
          <w:lang w:val="fr-FR"/>
        </w:rPr>
        <w:t xml:space="preserve">, C. </w:t>
      </w:r>
      <w:r w:rsidRPr="008C3992">
        <w:rPr>
          <w:rFonts w:asciiTheme="majorBidi" w:hAnsiTheme="majorBidi" w:cstheme="majorBidi"/>
          <w:lang w:val="fr-FR"/>
        </w:rPr>
        <w:t>“</w:t>
      </w:r>
      <w:r w:rsidRPr="000F53DA">
        <w:rPr>
          <w:rFonts w:asciiTheme="majorBidi" w:hAnsiTheme="majorBidi" w:cstheme="majorBidi"/>
          <w:lang w:val="fr-FR"/>
        </w:rPr>
        <w:t>L</w:t>
      </w:r>
      <w:r w:rsidR="004C5E26">
        <w:rPr>
          <w:rFonts w:asciiTheme="majorBidi" w:hAnsiTheme="majorBidi" w:cstheme="majorBidi"/>
          <w:lang w:val="fr-FR"/>
        </w:rPr>
        <w:t>’</w:t>
      </w:r>
      <w:r w:rsidRPr="000F53DA">
        <w:rPr>
          <w:rFonts w:asciiTheme="majorBidi" w:hAnsiTheme="majorBidi" w:cstheme="majorBidi"/>
          <w:lang w:val="fr-FR"/>
        </w:rPr>
        <w:t>obligation de réparation dans le projet d</w:t>
      </w:r>
      <w:r w:rsidR="004C5E26">
        <w:rPr>
          <w:rFonts w:asciiTheme="majorBidi" w:hAnsiTheme="majorBidi" w:cstheme="majorBidi"/>
          <w:lang w:val="fr-FR"/>
        </w:rPr>
        <w:t>’</w:t>
      </w:r>
      <w:r w:rsidRPr="000F53DA">
        <w:rPr>
          <w:rFonts w:asciiTheme="majorBidi" w:hAnsiTheme="majorBidi" w:cstheme="majorBidi"/>
          <w:lang w:val="fr-FR"/>
        </w:rPr>
        <w:t>articles sur la responsabilité de l</w:t>
      </w:r>
      <w:r w:rsidR="004C5E26">
        <w:rPr>
          <w:rFonts w:asciiTheme="majorBidi" w:hAnsiTheme="majorBidi" w:cstheme="majorBidi"/>
          <w:lang w:val="fr-FR"/>
        </w:rPr>
        <w:t>’</w:t>
      </w:r>
      <w:r w:rsidRPr="000F53DA">
        <w:rPr>
          <w:rFonts w:asciiTheme="majorBidi" w:hAnsiTheme="majorBidi" w:cstheme="majorBidi"/>
          <w:lang w:val="fr-FR"/>
        </w:rPr>
        <w:t>État : une analyse critique</w:t>
      </w:r>
      <w:r w:rsidRPr="008C3992">
        <w:rPr>
          <w:rFonts w:asciiTheme="majorBidi" w:hAnsiTheme="majorBidi" w:cstheme="majorBidi"/>
          <w:lang w:val="fr-FR"/>
        </w:rPr>
        <w:t>”,</w:t>
      </w:r>
      <w:r w:rsidRPr="000F53DA">
        <w:rPr>
          <w:rFonts w:asciiTheme="majorBidi" w:hAnsiTheme="majorBidi" w:cstheme="majorBidi"/>
          <w:lang w:val="fr-FR"/>
        </w:rPr>
        <w:t xml:space="preserve"> </w:t>
      </w:r>
      <w:r w:rsidRPr="00271D06">
        <w:rPr>
          <w:rFonts w:asciiTheme="majorBidi" w:hAnsiTheme="majorBidi" w:cstheme="majorBidi"/>
          <w:i/>
          <w:iCs/>
          <w:lang w:val="fr-FR"/>
        </w:rPr>
        <w:t>Revue hellénique de droit international</w:t>
      </w:r>
      <w:r w:rsidRPr="000F53DA">
        <w:rPr>
          <w:rFonts w:asciiTheme="majorBidi" w:hAnsiTheme="majorBidi" w:cstheme="majorBidi"/>
          <w:lang w:val="fr-FR"/>
        </w:rPr>
        <w:t>, vol.</w:t>
      </w:r>
      <w:r w:rsidRPr="008C3992">
        <w:rPr>
          <w:rFonts w:asciiTheme="majorBidi" w:hAnsiTheme="majorBidi" w:cstheme="majorBidi"/>
          <w:lang w:val="fr-FR"/>
        </w:rPr>
        <w:t xml:space="preserve"> </w:t>
      </w:r>
      <w:r w:rsidRPr="000F53DA">
        <w:rPr>
          <w:rFonts w:asciiTheme="majorBidi" w:hAnsiTheme="majorBidi" w:cstheme="majorBidi"/>
          <w:lang w:val="fr-FR"/>
        </w:rPr>
        <w:t xml:space="preserve">58 (2005), p. </w:t>
      </w:r>
      <w:r w:rsidRPr="008C3992">
        <w:rPr>
          <w:rFonts w:asciiTheme="majorBidi" w:hAnsiTheme="majorBidi" w:cstheme="majorBidi"/>
          <w:lang w:val="fr-FR"/>
        </w:rPr>
        <w:t>115.</w:t>
      </w:r>
    </w:p>
    <w:p w14:paraId="5125F08B" w14:textId="77777777" w:rsidR="00164B95" w:rsidRPr="00271D06" w:rsidRDefault="00164B95" w:rsidP="00164B95">
      <w:pPr>
        <w:pStyle w:val="SingleTxtG"/>
        <w:rPr>
          <w:rFonts w:asciiTheme="majorBidi" w:hAnsiTheme="majorBidi" w:cstheme="majorBidi"/>
          <w:lang w:val="en-US"/>
        </w:rPr>
      </w:pPr>
      <w:proofErr w:type="spellStart"/>
      <w:r w:rsidRPr="00271D06">
        <w:rPr>
          <w:rFonts w:asciiTheme="majorBidi" w:hAnsiTheme="majorBidi" w:cstheme="majorBidi"/>
          <w:smallCaps/>
          <w:lang w:val="en-US"/>
        </w:rPr>
        <w:t>Paparinskis</w:t>
      </w:r>
      <w:proofErr w:type="spellEnd"/>
      <w:r w:rsidRPr="000F53DA">
        <w:rPr>
          <w:rFonts w:asciiTheme="majorBidi" w:hAnsiTheme="majorBidi" w:cstheme="majorBidi"/>
          <w:lang w:val="en-US"/>
        </w:rPr>
        <w:t xml:space="preserve">, </w:t>
      </w:r>
      <w:r w:rsidRPr="00271D06">
        <w:rPr>
          <w:rFonts w:asciiTheme="majorBidi" w:hAnsiTheme="majorBidi" w:cstheme="majorBidi"/>
          <w:lang w:val="en-US"/>
        </w:rPr>
        <w:t xml:space="preserve">M. “A case against crippling compensation in international law of State responsibility”, </w:t>
      </w:r>
      <w:r w:rsidRPr="00271D06">
        <w:rPr>
          <w:rFonts w:asciiTheme="majorBidi" w:hAnsiTheme="majorBidi" w:cstheme="majorBidi"/>
          <w:i/>
          <w:iCs/>
          <w:lang w:val="en-US"/>
        </w:rPr>
        <w:t>Modern Law Review</w:t>
      </w:r>
      <w:r w:rsidRPr="00271D06">
        <w:rPr>
          <w:rFonts w:asciiTheme="majorBidi" w:hAnsiTheme="majorBidi" w:cstheme="majorBidi"/>
          <w:lang w:val="en-US"/>
        </w:rPr>
        <w:t>, vol. 83 (2020), p. 1246.</w:t>
      </w:r>
    </w:p>
    <w:p w14:paraId="3789F7E3" w14:textId="675E4A8B" w:rsidR="00164B95" w:rsidRPr="00271D06" w:rsidRDefault="00164B95" w:rsidP="00164B95">
      <w:pPr>
        <w:pStyle w:val="SingleTxtG"/>
        <w:rPr>
          <w:rFonts w:asciiTheme="majorBidi" w:hAnsiTheme="majorBidi" w:cstheme="majorBidi"/>
          <w:lang w:val="en-US"/>
        </w:rPr>
      </w:pPr>
      <w:r w:rsidRPr="000F53DA">
        <w:rPr>
          <w:rFonts w:asciiTheme="majorBidi" w:eastAsia="Calibri" w:hAnsiTheme="majorBidi" w:cstheme="majorBidi"/>
          <w:lang w:val="en-US"/>
        </w:rPr>
        <w:t xml:space="preserve">—— </w:t>
      </w:r>
      <w:r w:rsidRPr="00271D06">
        <w:rPr>
          <w:rFonts w:asciiTheme="majorBidi" w:hAnsiTheme="majorBidi" w:cstheme="majorBidi"/>
          <w:lang w:val="en-US"/>
        </w:rPr>
        <w:t xml:space="preserve">, “State responsibility”, </w:t>
      </w:r>
      <w:r w:rsidRPr="00271D06">
        <w:rPr>
          <w:rFonts w:asciiTheme="majorBidi" w:hAnsiTheme="majorBidi" w:cstheme="majorBidi"/>
          <w:i/>
          <w:iCs/>
          <w:lang w:val="en-US"/>
        </w:rPr>
        <w:t>in</w:t>
      </w:r>
      <w:r w:rsidRPr="00271D06">
        <w:rPr>
          <w:rFonts w:asciiTheme="majorBidi" w:hAnsiTheme="majorBidi" w:cstheme="majorBidi"/>
          <w:lang w:val="en-US"/>
        </w:rPr>
        <w:t xml:space="preserve"> C. Greenwood and D. </w:t>
      </w:r>
      <w:proofErr w:type="spellStart"/>
      <w:r w:rsidRPr="00271D06">
        <w:rPr>
          <w:rFonts w:asciiTheme="majorBidi" w:hAnsiTheme="majorBidi" w:cstheme="majorBidi"/>
          <w:lang w:val="en-US"/>
        </w:rPr>
        <w:t>Sarooshi</w:t>
      </w:r>
      <w:proofErr w:type="spellEnd"/>
      <w:r w:rsidRPr="00271D06">
        <w:rPr>
          <w:rFonts w:asciiTheme="majorBidi" w:hAnsiTheme="majorBidi" w:cstheme="majorBidi"/>
          <w:lang w:val="en-US"/>
        </w:rPr>
        <w:t xml:space="preserve"> (eds.), </w:t>
      </w:r>
      <w:r w:rsidRPr="00271D06">
        <w:rPr>
          <w:rFonts w:asciiTheme="majorBidi" w:hAnsiTheme="majorBidi" w:cstheme="majorBidi"/>
          <w:i/>
          <w:iCs/>
          <w:lang w:val="en-US"/>
        </w:rPr>
        <w:t>Oppenheim</w:t>
      </w:r>
      <w:r w:rsidR="004C5E26">
        <w:rPr>
          <w:rFonts w:asciiTheme="majorBidi" w:hAnsiTheme="majorBidi" w:cstheme="majorBidi"/>
          <w:i/>
          <w:iCs/>
          <w:lang w:val="en-US"/>
        </w:rPr>
        <w:t>’</w:t>
      </w:r>
      <w:r w:rsidRPr="00271D06">
        <w:rPr>
          <w:rFonts w:asciiTheme="majorBidi" w:hAnsiTheme="majorBidi" w:cstheme="majorBidi"/>
          <w:i/>
          <w:iCs/>
          <w:lang w:val="en-US"/>
        </w:rPr>
        <w:t>s International Law: Peace</w:t>
      </w:r>
      <w:r w:rsidRPr="00271D06">
        <w:rPr>
          <w:rFonts w:asciiTheme="majorBidi" w:hAnsiTheme="majorBidi" w:cstheme="majorBidi"/>
          <w:lang w:val="en-US"/>
        </w:rPr>
        <w:t>, 10th ed., Oxford University Press, forthcoming.</w:t>
      </w:r>
    </w:p>
    <w:p w14:paraId="42F78ED0"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Pearsall</w:t>
      </w:r>
      <w:r w:rsidRPr="000F53DA">
        <w:rPr>
          <w:rFonts w:asciiTheme="majorBidi" w:hAnsiTheme="majorBidi" w:cstheme="majorBidi"/>
          <w:lang w:val="en-US"/>
        </w:rPr>
        <w:t xml:space="preserve">, </w:t>
      </w:r>
      <w:r w:rsidRPr="00271D06">
        <w:rPr>
          <w:rFonts w:asciiTheme="majorBidi" w:hAnsiTheme="majorBidi" w:cstheme="majorBidi"/>
          <w:lang w:val="en-US"/>
        </w:rPr>
        <w:t xml:space="preserve">P. “Causation and the draft articles on State responsibility”, </w:t>
      </w:r>
      <w:r w:rsidRPr="00271D06">
        <w:rPr>
          <w:rFonts w:asciiTheme="majorBidi" w:hAnsiTheme="majorBidi" w:cstheme="majorBidi"/>
          <w:i/>
          <w:iCs/>
          <w:lang w:val="en-US"/>
        </w:rPr>
        <w:t>ICSID Review – Foreign Investment Law Journal</w:t>
      </w:r>
      <w:r w:rsidRPr="00271D06">
        <w:rPr>
          <w:rFonts w:asciiTheme="majorBidi" w:hAnsiTheme="majorBidi" w:cstheme="majorBidi"/>
          <w:lang w:val="en-US"/>
        </w:rPr>
        <w:t>, vol. 37 (2022), p. 192.</w:t>
      </w:r>
    </w:p>
    <w:p w14:paraId="2E2EA91D"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Pérez-León</w:t>
      </w:r>
      <w:r w:rsidRPr="000F53DA">
        <w:rPr>
          <w:rFonts w:asciiTheme="majorBidi" w:hAnsiTheme="majorBidi" w:cstheme="majorBidi"/>
          <w:lang w:val="es-ES"/>
        </w:rPr>
        <w:t xml:space="preserve">, J. “Las reparaciones en el derecho internacional de los derechos humanos, derecho internacional humanitario y derecho penal internacional”, </w:t>
      </w:r>
      <w:r w:rsidRPr="00271D06">
        <w:rPr>
          <w:rFonts w:asciiTheme="majorBidi" w:hAnsiTheme="majorBidi" w:cstheme="majorBidi"/>
          <w:i/>
          <w:iCs/>
          <w:lang w:val="es-ES"/>
        </w:rPr>
        <w:t xml:space="preserve">American </w:t>
      </w:r>
      <w:proofErr w:type="spellStart"/>
      <w:r w:rsidRPr="00271D06">
        <w:rPr>
          <w:rFonts w:asciiTheme="majorBidi" w:hAnsiTheme="majorBidi" w:cstheme="majorBidi"/>
          <w:i/>
          <w:iCs/>
          <w:lang w:val="es-ES"/>
        </w:rPr>
        <w:t>University</w:t>
      </w:r>
      <w:proofErr w:type="spellEnd"/>
      <w:r w:rsidRPr="00271D06">
        <w:rPr>
          <w:rFonts w:asciiTheme="majorBidi" w:hAnsiTheme="majorBidi" w:cstheme="majorBidi"/>
          <w:i/>
          <w:iCs/>
          <w:lang w:val="es-ES"/>
        </w:rPr>
        <w:t xml:space="preserve"> International Law Review</w:t>
      </w:r>
      <w:r w:rsidRPr="000F53DA">
        <w:rPr>
          <w:rFonts w:asciiTheme="majorBidi" w:hAnsiTheme="majorBidi" w:cstheme="majorBidi"/>
          <w:lang w:val="es-ES"/>
        </w:rPr>
        <w:t>, vol. 23 (2007), p. 7.</w:t>
      </w:r>
    </w:p>
    <w:p w14:paraId="4F1A986C" w14:textId="7777777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Personnaz</w:t>
      </w:r>
      <w:proofErr w:type="spellEnd"/>
      <w:r w:rsidRPr="00271D06">
        <w:rPr>
          <w:rFonts w:asciiTheme="majorBidi" w:hAnsiTheme="majorBidi" w:cstheme="majorBidi"/>
          <w:lang w:val="fr-FR"/>
        </w:rPr>
        <w:t xml:space="preserve">, </w:t>
      </w:r>
      <w:r w:rsidRPr="000F53DA">
        <w:rPr>
          <w:rFonts w:asciiTheme="majorBidi" w:hAnsiTheme="majorBidi" w:cstheme="majorBidi"/>
          <w:lang w:val="fr-FR"/>
        </w:rPr>
        <w:t xml:space="preserve">J. </w:t>
      </w:r>
      <w:r w:rsidRPr="000F53DA">
        <w:rPr>
          <w:rFonts w:asciiTheme="majorBidi" w:hAnsiTheme="majorBidi" w:cstheme="majorBidi"/>
          <w:i/>
          <w:iCs/>
          <w:lang w:val="fr-FR"/>
        </w:rPr>
        <w:t>La réparation du préjudice en droit international public</w:t>
      </w:r>
      <w:r w:rsidRPr="000F53DA">
        <w:rPr>
          <w:rFonts w:asciiTheme="majorBidi" w:hAnsiTheme="majorBidi" w:cstheme="majorBidi"/>
          <w:lang w:val="fr-FR"/>
        </w:rPr>
        <w:t>, Paris, Recueil Sirey, 1939.</w:t>
      </w:r>
    </w:p>
    <w:p w14:paraId="4A564DBC" w14:textId="76CD6B9F"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Piacentini</w:t>
      </w:r>
      <w:proofErr w:type="spellEnd"/>
      <w:r w:rsidRPr="00271D06">
        <w:rPr>
          <w:rFonts w:asciiTheme="majorBidi" w:hAnsiTheme="majorBidi" w:cstheme="majorBidi"/>
          <w:smallCaps/>
          <w:lang w:val="fr-FR"/>
        </w:rPr>
        <w:t xml:space="preserve"> de Andrade</w:t>
      </w:r>
      <w:r w:rsidRPr="000F53DA">
        <w:rPr>
          <w:rFonts w:asciiTheme="majorBidi" w:hAnsiTheme="majorBidi" w:cstheme="majorBidi"/>
          <w:lang w:val="fr-FR"/>
        </w:rPr>
        <w:t xml:space="preserve">, I. </w:t>
      </w:r>
      <w:r w:rsidRPr="000F53DA">
        <w:rPr>
          <w:rFonts w:asciiTheme="majorBidi" w:hAnsiTheme="majorBidi" w:cstheme="majorBidi"/>
          <w:i/>
          <w:iCs/>
          <w:lang w:val="fr-FR"/>
        </w:rPr>
        <w:t>La réparation dans la jurisprudence de la cour interaméricaine des droits de l</w:t>
      </w:r>
      <w:r w:rsidR="004C5E26">
        <w:rPr>
          <w:rFonts w:asciiTheme="majorBidi" w:hAnsiTheme="majorBidi" w:cstheme="majorBidi"/>
          <w:i/>
          <w:iCs/>
          <w:lang w:val="fr-FR"/>
        </w:rPr>
        <w:t>’</w:t>
      </w:r>
      <w:r w:rsidRPr="000F53DA">
        <w:rPr>
          <w:rFonts w:asciiTheme="majorBidi" w:hAnsiTheme="majorBidi" w:cstheme="majorBidi"/>
          <w:i/>
          <w:iCs/>
          <w:lang w:val="fr-FR"/>
        </w:rPr>
        <w:t>homme</w:t>
      </w:r>
      <w:r w:rsidRPr="000F53DA">
        <w:rPr>
          <w:rFonts w:asciiTheme="majorBidi" w:hAnsiTheme="majorBidi" w:cstheme="majorBidi"/>
          <w:lang w:val="fr-FR"/>
        </w:rPr>
        <w:t xml:space="preserve"> (PhD </w:t>
      </w:r>
      <w:proofErr w:type="spellStart"/>
      <w:r w:rsidRPr="000F53DA">
        <w:rPr>
          <w:rFonts w:asciiTheme="majorBidi" w:hAnsiTheme="majorBidi" w:cstheme="majorBidi"/>
          <w:lang w:val="fr-FR"/>
        </w:rPr>
        <w:t>thesis</w:t>
      </w:r>
      <w:proofErr w:type="spellEnd"/>
      <w:r w:rsidRPr="000F53DA">
        <w:rPr>
          <w:rFonts w:asciiTheme="majorBidi" w:hAnsiTheme="majorBidi" w:cstheme="majorBidi"/>
          <w:lang w:val="fr-FR"/>
        </w:rPr>
        <w:t>), Université Panthéon-Assas, Atelier national de reproduction des thèses, 2013.</w:t>
      </w:r>
    </w:p>
    <w:p w14:paraId="6BF111B7" w14:textId="77777777" w:rsidR="00164B95" w:rsidRPr="00271D06" w:rsidRDefault="00164B95" w:rsidP="00164B95">
      <w:pPr>
        <w:pStyle w:val="SingleTxtG"/>
        <w:rPr>
          <w:rFonts w:asciiTheme="majorBidi" w:hAnsiTheme="majorBidi" w:cstheme="majorBidi"/>
          <w:lang w:val="en-US"/>
        </w:rPr>
      </w:pPr>
      <w:proofErr w:type="spellStart"/>
      <w:r w:rsidRPr="00271D06">
        <w:rPr>
          <w:rFonts w:asciiTheme="majorBidi" w:hAnsiTheme="majorBidi" w:cstheme="majorBidi"/>
          <w:smallCaps/>
          <w:lang w:val="en-US"/>
        </w:rPr>
        <w:t>Plakokefalos</w:t>
      </w:r>
      <w:proofErr w:type="spellEnd"/>
      <w:r w:rsidRPr="000F53DA">
        <w:rPr>
          <w:rFonts w:asciiTheme="majorBidi" w:hAnsiTheme="majorBidi" w:cstheme="majorBidi"/>
          <w:lang w:val="en-US"/>
        </w:rPr>
        <w:t xml:space="preserve">, </w:t>
      </w:r>
      <w:r w:rsidRPr="00271D06">
        <w:rPr>
          <w:rFonts w:asciiTheme="majorBidi" w:hAnsiTheme="majorBidi" w:cstheme="majorBidi"/>
          <w:lang w:val="en-US"/>
        </w:rPr>
        <w:t xml:space="preserve">I. “Causation in the law of State responsibility and the problem of overdetermination: in search of clarity”, </w:t>
      </w:r>
      <w:r w:rsidRPr="00271D06">
        <w:rPr>
          <w:rFonts w:asciiTheme="majorBidi" w:hAnsiTheme="majorBidi" w:cstheme="majorBidi"/>
          <w:i/>
          <w:iCs/>
          <w:lang w:val="en-US"/>
        </w:rPr>
        <w:t>European Journal of International Law</w:t>
      </w:r>
      <w:r w:rsidRPr="00271D06">
        <w:rPr>
          <w:rFonts w:asciiTheme="majorBidi" w:hAnsiTheme="majorBidi" w:cstheme="majorBidi"/>
          <w:lang w:val="en-US"/>
        </w:rPr>
        <w:t xml:space="preserve">, vol. 26 (2015), p. 471. </w:t>
      </w:r>
    </w:p>
    <w:p w14:paraId="1A419351" w14:textId="2FBA071B"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Reitzer</w:t>
      </w:r>
      <w:proofErr w:type="spellEnd"/>
      <w:r w:rsidRPr="00271D06">
        <w:rPr>
          <w:rFonts w:asciiTheme="majorBidi" w:hAnsiTheme="majorBidi" w:cstheme="majorBidi"/>
          <w:lang w:val="fr-FR"/>
        </w:rPr>
        <w:t xml:space="preserve">, </w:t>
      </w:r>
      <w:r w:rsidRPr="000F53DA">
        <w:rPr>
          <w:rFonts w:asciiTheme="majorBidi" w:hAnsiTheme="majorBidi" w:cstheme="majorBidi"/>
          <w:lang w:val="fr-FR"/>
        </w:rPr>
        <w:t xml:space="preserve">L. </w:t>
      </w:r>
      <w:r w:rsidRPr="000F53DA">
        <w:rPr>
          <w:rFonts w:asciiTheme="majorBidi" w:hAnsiTheme="majorBidi" w:cstheme="majorBidi"/>
          <w:i/>
          <w:iCs/>
          <w:lang w:val="fr-FR"/>
        </w:rPr>
        <w:t>La réparation comme conséquence de l</w:t>
      </w:r>
      <w:r w:rsidR="004C5E26">
        <w:rPr>
          <w:rFonts w:asciiTheme="majorBidi" w:hAnsiTheme="majorBidi" w:cstheme="majorBidi"/>
          <w:i/>
          <w:iCs/>
          <w:lang w:val="fr-FR"/>
        </w:rPr>
        <w:t>’</w:t>
      </w:r>
      <w:r w:rsidRPr="000F53DA">
        <w:rPr>
          <w:rFonts w:asciiTheme="majorBidi" w:hAnsiTheme="majorBidi" w:cstheme="majorBidi"/>
          <w:i/>
          <w:iCs/>
          <w:lang w:val="fr-FR"/>
        </w:rPr>
        <w:t xml:space="preserve">acte illicite en droit international </w:t>
      </w:r>
      <w:r w:rsidRPr="000F53DA">
        <w:rPr>
          <w:rFonts w:asciiTheme="majorBidi" w:hAnsiTheme="majorBidi" w:cstheme="majorBidi"/>
          <w:lang w:val="fr-FR"/>
        </w:rPr>
        <w:t xml:space="preserve">(PhD </w:t>
      </w:r>
      <w:proofErr w:type="spellStart"/>
      <w:r w:rsidRPr="000F53DA">
        <w:rPr>
          <w:rFonts w:asciiTheme="majorBidi" w:hAnsiTheme="majorBidi" w:cstheme="majorBidi"/>
          <w:lang w:val="fr-FR"/>
        </w:rPr>
        <w:t>thesis</w:t>
      </w:r>
      <w:proofErr w:type="spellEnd"/>
      <w:r w:rsidRPr="000F53DA">
        <w:rPr>
          <w:rFonts w:asciiTheme="majorBidi" w:hAnsiTheme="majorBidi" w:cstheme="majorBidi"/>
          <w:lang w:val="fr-FR"/>
        </w:rPr>
        <w:t>, Université de Genève</w:t>
      </w:r>
      <w:r w:rsidRPr="00271D06">
        <w:rPr>
          <w:rFonts w:asciiTheme="majorBidi" w:hAnsiTheme="majorBidi" w:cstheme="majorBidi"/>
          <w:lang w:val="fr-FR"/>
        </w:rPr>
        <w:t>)</w:t>
      </w:r>
      <w:r w:rsidRPr="000F53DA">
        <w:rPr>
          <w:rFonts w:asciiTheme="majorBidi" w:hAnsiTheme="majorBidi" w:cstheme="majorBidi"/>
          <w:lang w:val="fr-FR"/>
        </w:rPr>
        <w:t xml:space="preserve">, </w:t>
      </w:r>
      <w:r w:rsidRPr="00271D06">
        <w:rPr>
          <w:rFonts w:asciiTheme="majorBidi" w:hAnsiTheme="majorBidi" w:cstheme="majorBidi"/>
          <w:lang w:val="fr-FR"/>
        </w:rPr>
        <w:t xml:space="preserve">Liège, </w:t>
      </w:r>
      <w:r w:rsidRPr="000F53DA">
        <w:rPr>
          <w:rFonts w:asciiTheme="majorBidi" w:hAnsiTheme="majorBidi" w:cstheme="majorBidi"/>
          <w:lang w:val="fr-FR"/>
        </w:rPr>
        <w:t xml:space="preserve">Georges </w:t>
      </w:r>
      <w:proofErr w:type="spellStart"/>
      <w:r w:rsidRPr="000F53DA">
        <w:rPr>
          <w:rFonts w:asciiTheme="majorBidi" w:hAnsiTheme="majorBidi" w:cstheme="majorBidi"/>
          <w:lang w:val="fr-FR"/>
        </w:rPr>
        <w:t>Thone</w:t>
      </w:r>
      <w:proofErr w:type="spellEnd"/>
      <w:r w:rsidRPr="000F53DA">
        <w:rPr>
          <w:rFonts w:asciiTheme="majorBidi" w:hAnsiTheme="majorBidi" w:cstheme="majorBidi"/>
          <w:lang w:val="fr-FR"/>
        </w:rPr>
        <w:t>, 1938.</w:t>
      </w:r>
    </w:p>
    <w:p w14:paraId="60BD4B63" w14:textId="77777777" w:rsidR="00164B95" w:rsidRPr="000F53DA"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lastRenderedPageBreak/>
        <w:t>Reuter</w:t>
      </w:r>
      <w:r w:rsidRPr="000F53DA">
        <w:rPr>
          <w:rFonts w:asciiTheme="majorBidi" w:hAnsiTheme="majorBidi" w:cstheme="majorBidi"/>
          <w:lang w:val="fr-FR"/>
        </w:rPr>
        <w:t xml:space="preserve">, P. </w:t>
      </w:r>
      <w:r w:rsidRPr="00271D06">
        <w:rPr>
          <w:rFonts w:asciiTheme="majorBidi" w:hAnsiTheme="majorBidi" w:cstheme="majorBidi"/>
          <w:lang w:val="fr-FR"/>
        </w:rPr>
        <w:t>“</w:t>
      </w:r>
      <w:r w:rsidRPr="000F53DA">
        <w:rPr>
          <w:rFonts w:asciiTheme="majorBidi" w:hAnsiTheme="majorBidi" w:cstheme="majorBidi"/>
          <w:lang w:val="fr-FR"/>
        </w:rPr>
        <w:t>Le dommage comme condition de la responsabilité internationale</w:t>
      </w:r>
      <w:r w:rsidRPr="00271D06">
        <w:rPr>
          <w:rFonts w:asciiTheme="majorBidi" w:hAnsiTheme="majorBidi" w:cstheme="majorBidi"/>
          <w:lang w:val="fr-FR"/>
        </w:rPr>
        <w:t>”</w:t>
      </w:r>
      <w:r w:rsidRPr="000F53DA">
        <w:rPr>
          <w:rFonts w:asciiTheme="majorBidi" w:hAnsiTheme="majorBidi" w:cstheme="majorBidi"/>
          <w:lang w:val="fr-FR"/>
        </w:rPr>
        <w:t xml:space="preserve">, </w:t>
      </w:r>
      <w:r w:rsidRPr="00271D06">
        <w:rPr>
          <w:rFonts w:asciiTheme="majorBidi" w:hAnsiTheme="majorBidi" w:cstheme="majorBidi"/>
          <w:i/>
          <w:iCs/>
          <w:lang w:val="fr-FR"/>
        </w:rPr>
        <w:t>in</w:t>
      </w:r>
      <w:r w:rsidRPr="000F53DA">
        <w:rPr>
          <w:rFonts w:asciiTheme="majorBidi" w:hAnsiTheme="majorBidi" w:cstheme="majorBidi"/>
          <w:lang w:val="fr-FR"/>
        </w:rPr>
        <w:t xml:space="preserve">  </w:t>
      </w:r>
      <w:proofErr w:type="spellStart"/>
      <w:r w:rsidRPr="000F53DA">
        <w:rPr>
          <w:rFonts w:asciiTheme="majorBidi" w:hAnsiTheme="majorBidi" w:cstheme="majorBidi"/>
          <w:i/>
          <w:iCs/>
          <w:lang w:val="fr-FR"/>
        </w:rPr>
        <w:t>Estudios</w:t>
      </w:r>
      <w:proofErr w:type="spellEnd"/>
      <w:r w:rsidRPr="000F53DA">
        <w:rPr>
          <w:rFonts w:asciiTheme="majorBidi" w:hAnsiTheme="majorBidi" w:cstheme="majorBidi"/>
          <w:i/>
          <w:iCs/>
          <w:lang w:val="fr-FR"/>
        </w:rPr>
        <w:t xml:space="preserve"> de derecho </w:t>
      </w:r>
      <w:proofErr w:type="spellStart"/>
      <w:r w:rsidRPr="000F53DA">
        <w:rPr>
          <w:rFonts w:asciiTheme="majorBidi" w:hAnsiTheme="majorBidi" w:cstheme="majorBidi"/>
          <w:i/>
          <w:iCs/>
          <w:lang w:val="fr-FR"/>
        </w:rPr>
        <w:t>internacional</w:t>
      </w:r>
      <w:proofErr w:type="spellEnd"/>
      <w:r w:rsidRPr="000F53DA">
        <w:rPr>
          <w:rFonts w:asciiTheme="majorBidi" w:hAnsiTheme="majorBidi" w:cstheme="majorBidi"/>
          <w:i/>
          <w:iCs/>
          <w:lang w:val="fr-FR"/>
        </w:rPr>
        <w:t xml:space="preserve"> : </w:t>
      </w:r>
      <w:proofErr w:type="spellStart"/>
      <w:r w:rsidRPr="000F53DA">
        <w:rPr>
          <w:rFonts w:asciiTheme="majorBidi" w:hAnsiTheme="majorBidi" w:cstheme="majorBidi"/>
          <w:i/>
          <w:iCs/>
          <w:lang w:val="fr-FR"/>
        </w:rPr>
        <w:t>homenaje</w:t>
      </w:r>
      <w:proofErr w:type="spellEnd"/>
      <w:r w:rsidRPr="000F53DA">
        <w:rPr>
          <w:rFonts w:asciiTheme="majorBidi" w:hAnsiTheme="majorBidi" w:cstheme="majorBidi"/>
          <w:i/>
          <w:iCs/>
          <w:lang w:val="fr-FR"/>
        </w:rPr>
        <w:t xml:space="preserve"> al </w:t>
      </w:r>
      <w:proofErr w:type="spellStart"/>
      <w:r w:rsidRPr="000F53DA">
        <w:rPr>
          <w:rFonts w:asciiTheme="majorBidi" w:hAnsiTheme="majorBidi" w:cstheme="majorBidi"/>
          <w:i/>
          <w:iCs/>
          <w:lang w:val="fr-FR"/>
        </w:rPr>
        <w:t>profesor</w:t>
      </w:r>
      <w:proofErr w:type="spellEnd"/>
      <w:r w:rsidRPr="000F53DA">
        <w:rPr>
          <w:rFonts w:asciiTheme="majorBidi" w:hAnsiTheme="majorBidi" w:cstheme="majorBidi"/>
          <w:i/>
          <w:iCs/>
          <w:lang w:val="fr-FR"/>
        </w:rPr>
        <w:t xml:space="preserve"> </w:t>
      </w:r>
      <w:proofErr w:type="spellStart"/>
      <w:r w:rsidRPr="000F53DA">
        <w:rPr>
          <w:rFonts w:asciiTheme="majorBidi" w:hAnsiTheme="majorBidi" w:cstheme="majorBidi"/>
          <w:i/>
          <w:iCs/>
          <w:lang w:val="fr-FR"/>
        </w:rPr>
        <w:t>Miaja</w:t>
      </w:r>
      <w:proofErr w:type="spellEnd"/>
      <w:r w:rsidRPr="000F53DA">
        <w:rPr>
          <w:rFonts w:asciiTheme="majorBidi" w:hAnsiTheme="majorBidi" w:cstheme="majorBidi"/>
          <w:i/>
          <w:iCs/>
          <w:lang w:val="fr-FR"/>
        </w:rPr>
        <w:t xml:space="preserve"> de la </w:t>
      </w:r>
      <w:proofErr w:type="spellStart"/>
      <w:r w:rsidRPr="000F53DA">
        <w:rPr>
          <w:rFonts w:asciiTheme="majorBidi" w:hAnsiTheme="majorBidi" w:cstheme="majorBidi"/>
          <w:i/>
          <w:iCs/>
          <w:lang w:val="fr-FR"/>
        </w:rPr>
        <w:t>Muela</w:t>
      </w:r>
      <w:proofErr w:type="spellEnd"/>
      <w:r w:rsidRPr="000F53DA">
        <w:rPr>
          <w:rFonts w:asciiTheme="majorBidi" w:hAnsiTheme="majorBidi" w:cstheme="majorBidi"/>
          <w:lang w:val="fr-FR"/>
        </w:rPr>
        <w:t>, vol. 2 (1979), pp. 837–846.</w:t>
      </w:r>
    </w:p>
    <w:p w14:paraId="5902014F" w14:textId="77777777" w:rsidR="00164B95" w:rsidRPr="009426A8" w:rsidRDefault="00164B95" w:rsidP="00164B95">
      <w:pPr>
        <w:pStyle w:val="SingleTxtG"/>
        <w:rPr>
          <w:rFonts w:asciiTheme="majorBidi" w:hAnsiTheme="majorBidi" w:cstheme="majorBidi"/>
          <w:lang w:val="en-US"/>
        </w:rPr>
      </w:pPr>
      <w:proofErr w:type="spellStart"/>
      <w:r w:rsidRPr="009426A8">
        <w:rPr>
          <w:rFonts w:asciiTheme="majorBidi" w:hAnsiTheme="majorBidi" w:cstheme="majorBidi"/>
          <w:smallCaps/>
          <w:lang w:val="en-US"/>
        </w:rPr>
        <w:t>Ripinsky</w:t>
      </w:r>
      <w:proofErr w:type="spellEnd"/>
      <w:r w:rsidRPr="009426A8">
        <w:rPr>
          <w:rFonts w:asciiTheme="majorBidi" w:hAnsiTheme="majorBidi" w:cstheme="majorBidi"/>
          <w:lang w:val="en-US"/>
        </w:rPr>
        <w:t xml:space="preserve">, S. and K. Williams. </w:t>
      </w:r>
      <w:r w:rsidRPr="009426A8">
        <w:rPr>
          <w:rFonts w:asciiTheme="majorBidi" w:hAnsiTheme="majorBidi" w:cstheme="majorBidi"/>
          <w:i/>
          <w:iCs/>
          <w:lang w:val="en-US"/>
        </w:rPr>
        <w:t>Damages in International Investment Law</w:t>
      </w:r>
      <w:r w:rsidRPr="009426A8">
        <w:rPr>
          <w:rFonts w:asciiTheme="majorBidi" w:hAnsiTheme="majorBidi" w:cstheme="majorBidi"/>
          <w:lang w:val="en-US"/>
        </w:rPr>
        <w:t xml:space="preserve">, BIICL, 2008. </w:t>
      </w:r>
    </w:p>
    <w:p w14:paraId="3CF92691"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 xml:space="preserve">Rodríguez </w:t>
      </w:r>
      <w:proofErr w:type="spellStart"/>
      <w:r w:rsidRPr="00271D06">
        <w:rPr>
          <w:rFonts w:asciiTheme="majorBidi" w:hAnsiTheme="majorBidi" w:cstheme="majorBidi"/>
          <w:smallCaps/>
          <w:lang w:val="es-ES"/>
        </w:rPr>
        <w:t>Rescia</w:t>
      </w:r>
      <w:proofErr w:type="spellEnd"/>
      <w:r w:rsidRPr="000F53DA">
        <w:rPr>
          <w:rFonts w:asciiTheme="majorBidi" w:hAnsiTheme="majorBidi" w:cstheme="majorBidi"/>
          <w:lang w:val="es-ES"/>
        </w:rPr>
        <w:t xml:space="preserve">, </w:t>
      </w:r>
      <w:r w:rsidRPr="00271D06">
        <w:rPr>
          <w:rFonts w:asciiTheme="majorBidi" w:hAnsiTheme="majorBidi" w:cstheme="majorBidi"/>
          <w:lang w:val="es-ES"/>
        </w:rPr>
        <w:t xml:space="preserve">V. </w:t>
      </w:r>
      <w:r w:rsidRPr="000F53DA">
        <w:rPr>
          <w:rFonts w:asciiTheme="majorBidi" w:hAnsiTheme="majorBidi" w:cstheme="majorBidi"/>
          <w:lang w:val="es-ES"/>
        </w:rPr>
        <w:t xml:space="preserve">“Las reparaciones en el sistema interamericano de protección de los derechos humanos”, </w:t>
      </w:r>
      <w:r w:rsidRPr="00271D06">
        <w:rPr>
          <w:rFonts w:asciiTheme="majorBidi" w:hAnsiTheme="majorBidi" w:cstheme="majorBidi"/>
          <w:i/>
          <w:iCs/>
          <w:lang w:val="es-ES"/>
        </w:rPr>
        <w:t>Revista IIDH</w:t>
      </w:r>
      <w:r w:rsidRPr="000F53DA">
        <w:rPr>
          <w:rFonts w:asciiTheme="majorBidi" w:hAnsiTheme="majorBidi" w:cstheme="majorBidi"/>
          <w:lang w:val="es-ES"/>
        </w:rPr>
        <w:t>, vol. 23 (1996), p. 129.</w:t>
      </w:r>
    </w:p>
    <w:p w14:paraId="3D494D9C"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Rojas</w:t>
      </w:r>
      <w:r w:rsidRPr="000F53DA">
        <w:rPr>
          <w:rFonts w:asciiTheme="majorBidi" w:hAnsiTheme="majorBidi" w:cstheme="majorBidi"/>
          <w:lang w:val="es-ES"/>
        </w:rPr>
        <w:t xml:space="preserve">, J. “La jurisprudencia de la Corte Interamericana de Derechos Humanos en materia de reparaciones y los criterios del proyecto de artículos sobre responsabilidad del Estado por hechos internacionalmente ilícitos”, </w:t>
      </w:r>
      <w:r w:rsidRPr="00271D06">
        <w:rPr>
          <w:rFonts w:asciiTheme="majorBidi" w:hAnsiTheme="majorBidi" w:cstheme="majorBidi"/>
          <w:i/>
          <w:iCs/>
          <w:lang w:val="es-ES"/>
        </w:rPr>
        <w:t xml:space="preserve">American </w:t>
      </w:r>
      <w:proofErr w:type="spellStart"/>
      <w:r w:rsidRPr="00271D06">
        <w:rPr>
          <w:rFonts w:asciiTheme="majorBidi" w:hAnsiTheme="majorBidi" w:cstheme="majorBidi"/>
          <w:i/>
          <w:iCs/>
          <w:lang w:val="es-ES"/>
        </w:rPr>
        <w:t>University</w:t>
      </w:r>
      <w:proofErr w:type="spellEnd"/>
      <w:r w:rsidRPr="00271D06">
        <w:rPr>
          <w:rFonts w:asciiTheme="majorBidi" w:hAnsiTheme="majorBidi" w:cstheme="majorBidi"/>
          <w:i/>
          <w:iCs/>
          <w:lang w:val="es-ES"/>
        </w:rPr>
        <w:t xml:space="preserve"> International Law Review</w:t>
      </w:r>
      <w:r w:rsidRPr="000F53DA">
        <w:rPr>
          <w:rFonts w:asciiTheme="majorBidi" w:hAnsiTheme="majorBidi" w:cstheme="majorBidi"/>
          <w:lang w:val="es-ES"/>
        </w:rPr>
        <w:t>, vol. 23 (2007), p. 91.</w:t>
      </w:r>
    </w:p>
    <w:p w14:paraId="403337B5" w14:textId="77777777" w:rsidR="00164B95" w:rsidRPr="000F53DA" w:rsidRDefault="00164B95" w:rsidP="00164B95">
      <w:pPr>
        <w:pStyle w:val="SingleTxtG"/>
        <w:rPr>
          <w:rFonts w:asciiTheme="majorBidi" w:hAnsiTheme="majorBidi" w:cstheme="majorBidi"/>
          <w:lang w:val="es-ES"/>
        </w:rPr>
      </w:pPr>
      <w:r w:rsidRPr="00271D06">
        <w:rPr>
          <w:rFonts w:asciiTheme="majorBidi" w:hAnsiTheme="majorBidi" w:cstheme="majorBidi"/>
          <w:smallCaps/>
          <w:lang w:val="es-ES"/>
        </w:rPr>
        <w:t>Rossetti</w:t>
      </w:r>
      <w:r w:rsidRPr="000F53DA">
        <w:rPr>
          <w:rFonts w:asciiTheme="majorBidi" w:hAnsiTheme="majorBidi" w:cstheme="majorBidi"/>
          <w:lang w:val="es-ES"/>
        </w:rPr>
        <w:t xml:space="preserve">, A. “Sobre las reparaciones en el derecho internacional”, </w:t>
      </w:r>
      <w:r w:rsidRPr="00271D06">
        <w:rPr>
          <w:rFonts w:asciiTheme="majorBidi" w:hAnsiTheme="majorBidi" w:cstheme="majorBidi"/>
          <w:i/>
          <w:iCs/>
          <w:lang w:val="es-ES"/>
        </w:rPr>
        <w:t>Anuario argentino de derecho internacional</w:t>
      </w:r>
      <w:r w:rsidRPr="000F53DA">
        <w:rPr>
          <w:rFonts w:asciiTheme="majorBidi" w:hAnsiTheme="majorBidi" w:cstheme="majorBidi"/>
          <w:lang w:val="es-ES"/>
        </w:rPr>
        <w:t xml:space="preserve"> (2009), p. 303.</w:t>
      </w:r>
    </w:p>
    <w:p w14:paraId="07ECF306" w14:textId="77777777" w:rsidR="00164B95" w:rsidRPr="000F53DA" w:rsidRDefault="00164B95" w:rsidP="00164B95">
      <w:pPr>
        <w:pStyle w:val="SingleTxtG"/>
        <w:rPr>
          <w:rFonts w:asciiTheme="majorBidi" w:hAnsiTheme="majorBidi" w:cstheme="majorBidi"/>
          <w:lang w:val="de-CH"/>
        </w:rPr>
      </w:pPr>
      <w:r w:rsidRPr="00271D06">
        <w:rPr>
          <w:rFonts w:asciiTheme="majorBidi" w:hAnsiTheme="majorBidi" w:cstheme="majorBidi"/>
          <w:smallCaps/>
          <w:lang w:val="de-CH"/>
        </w:rPr>
        <w:t>Roth</w:t>
      </w:r>
      <w:r w:rsidRPr="00271D06">
        <w:rPr>
          <w:rFonts w:asciiTheme="majorBidi" w:hAnsiTheme="majorBidi" w:cstheme="majorBidi"/>
          <w:lang w:val="de-CH"/>
        </w:rPr>
        <w:t xml:space="preserve">, </w:t>
      </w:r>
      <w:r w:rsidRPr="000F53DA">
        <w:rPr>
          <w:rFonts w:asciiTheme="majorBidi" w:hAnsiTheme="majorBidi" w:cstheme="majorBidi"/>
          <w:lang w:val="de-CH"/>
        </w:rPr>
        <w:t xml:space="preserve">A. </w:t>
      </w:r>
      <w:r w:rsidRPr="000F53DA">
        <w:rPr>
          <w:rFonts w:asciiTheme="majorBidi" w:hAnsiTheme="majorBidi" w:cstheme="majorBidi"/>
          <w:i/>
          <w:iCs/>
          <w:lang w:val="de-CH"/>
        </w:rPr>
        <w:t>Schadensersatz für Verletzungen Privater bei völkerrechtlichen Delikten</w:t>
      </w:r>
      <w:r w:rsidRPr="000F53DA">
        <w:rPr>
          <w:rFonts w:asciiTheme="majorBidi" w:hAnsiTheme="majorBidi" w:cstheme="majorBidi"/>
          <w:lang w:val="de-CH"/>
        </w:rPr>
        <w:t>, Heymann, 1934.</w:t>
      </w:r>
    </w:p>
    <w:p w14:paraId="2833DF9C"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Rudall</w:t>
      </w:r>
      <w:r w:rsidRPr="000F53DA">
        <w:rPr>
          <w:rFonts w:asciiTheme="majorBidi" w:hAnsiTheme="majorBidi" w:cstheme="majorBidi"/>
          <w:lang w:val="en-US"/>
        </w:rPr>
        <w:t xml:space="preserve">, </w:t>
      </w:r>
      <w:r w:rsidRPr="00271D06">
        <w:rPr>
          <w:rFonts w:asciiTheme="majorBidi" w:hAnsiTheme="majorBidi" w:cstheme="majorBidi"/>
          <w:lang w:val="en-US"/>
        </w:rPr>
        <w:t xml:space="preserve">J. </w:t>
      </w:r>
      <w:r w:rsidRPr="00271D06">
        <w:rPr>
          <w:rFonts w:asciiTheme="majorBidi" w:hAnsiTheme="majorBidi" w:cstheme="majorBidi"/>
          <w:i/>
          <w:iCs/>
          <w:lang w:val="en-US"/>
        </w:rPr>
        <w:t>Compensation for Environmental Damage under International Law</w:t>
      </w:r>
      <w:r w:rsidRPr="00271D06">
        <w:rPr>
          <w:rFonts w:asciiTheme="majorBidi" w:hAnsiTheme="majorBidi" w:cstheme="majorBidi"/>
          <w:lang w:val="en-US"/>
        </w:rPr>
        <w:t>,</w:t>
      </w:r>
      <w:r w:rsidRPr="00271D06">
        <w:rPr>
          <w:rFonts w:asciiTheme="majorBidi" w:hAnsiTheme="majorBidi" w:cstheme="majorBidi"/>
          <w:i/>
          <w:iCs/>
          <w:lang w:val="en-US"/>
        </w:rPr>
        <w:t xml:space="preserve"> </w:t>
      </w:r>
      <w:r w:rsidRPr="00271D06">
        <w:rPr>
          <w:rFonts w:asciiTheme="majorBidi" w:hAnsiTheme="majorBidi" w:cstheme="majorBidi"/>
          <w:lang w:val="en-US"/>
        </w:rPr>
        <w:t xml:space="preserve">Routledge, 2020. </w:t>
      </w:r>
    </w:p>
    <w:p w14:paraId="69162083" w14:textId="77777777" w:rsidR="00164B95" w:rsidRPr="008C3992" w:rsidRDefault="00164B95" w:rsidP="00164B95">
      <w:pPr>
        <w:pStyle w:val="SingleTxtG"/>
        <w:rPr>
          <w:rFonts w:asciiTheme="majorBidi" w:hAnsiTheme="majorBidi" w:cstheme="majorBidi"/>
          <w:lang w:val="es-ES"/>
        </w:rPr>
      </w:pPr>
      <w:r w:rsidRPr="00271D06">
        <w:rPr>
          <w:rFonts w:asciiTheme="majorBidi" w:hAnsiTheme="majorBidi" w:cstheme="majorBidi"/>
          <w:smallCaps/>
          <w:lang w:val="en-US"/>
        </w:rPr>
        <w:t>Sabahi</w:t>
      </w:r>
      <w:r w:rsidRPr="000F53DA">
        <w:rPr>
          <w:rFonts w:asciiTheme="majorBidi" w:hAnsiTheme="majorBidi" w:cstheme="majorBidi"/>
          <w:lang w:val="en-US"/>
        </w:rPr>
        <w:t xml:space="preserve">, </w:t>
      </w:r>
      <w:r w:rsidRPr="00271D06">
        <w:rPr>
          <w:rFonts w:asciiTheme="majorBidi" w:hAnsiTheme="majorBidi" w:cstheme="majorBidi"/>
          <w:lang w:val="en-US"/>
        </w:rPr>
        <w:t xml:space="preserve">B. </w:t>
      </w:r>
      <w:r w:rsidRPr="00271D06">
        <w:rPr>
          <w:rFonts w:asciiTheme="majorBidi" w:hAnsiTheme="majorBidi" w:cstheme="majorBidi"/>
          <w:i/>
          <w:iCs/>
          <w:lang w:val="en-US"/>
        </w:rPr>
        <w:t>Compensation and Restitution in Investor–State Arbitration</w:t>
      </w:r>
      <w:r w:rsidRPr="00271D06">
        <w:rPr>
          <w:rFonts w:asciiTheme="majorBidi" w:hAnsiTheme="majorBidi" w:cstheme="majorBidi"/>
          <w:lang w:val="en-US"/>
        </w:rPr>
        <w:t>, Oxford University Press,</w:t>
      </w:r>
      <w:r w:rsidRPr="00271D06">
        <w:rPr>
          <w:rFonts w:asciiTheme="majorBidi" w:hAnsiTheme="majorBidi" w:cstheme="majorBidi"/>
          <w:i/>
          <w:iCs/>
          <w:lang w:val="en-US"/>
        </w:rPr>
        <w:t xml:space="preserve"> </w:t>
      </w:r>
      <w:r w:rsidRPr="00271D06">
        <w:rPr>
          <w:rFonts w:asciiTheme="majorBidi" w:hAnsiTheme="majorBidi" w:cstheme="majorBidi"/>
          <w:lang w:val="en-US"/>
        </w:rPr>
        <w:t xml:space="preserve">2011, chaps. </w:t>
      </w:r>
      <w:r w:rsidRPr="008C3992">
        <w:rPr>
          <w:rFonts w:asciiTheme="majorBidi" w:hAnsiTheme="majorBidi" w:cstheme="majorBidi"/>
          <w:lang w:val="es-ES"/>
        </w:rPr>
        <w:t xml:space="preserve">5–7. </w:t>
      </w:r>
    </w:p>
    <w:p w14:paraId="10EA2E50" w14:textId="77777777" w:rsidR="00164B95" w:rsidRPr="00271D06"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es-ES"/>
        </w:rPr>
        <w:t>Salvioli</w:t>
      </w:r>
      <w:proofErr w:type="spellEnd"/>
      <w:r w:rsidRPr="000F53DA">
        <w:rPr>
          <w:rFonts w:asciiTheme="majorBidi" w:hAnsiTheme="majorBidi" w:cstheme="majorBidi"/>
          <w:lang w:val="es-ES"/>
        </w:rPr>
        <w:t xml:space="preserve">, F. “Algunas reflexiones sobre la indemnización en las sentencias de la Corte Interamericana de Derechos Humanos”, </w:t>
      </w:r>
      <w:r w:rsidRPr="00271D06">
        <w:rPr>
          <w:rFonts w:asciiTheme="majorBidi" w:hAnsiTheme="majorBidi" w:cstheme="majorBidi"/>
          <w:i/>
          <w:iCs/>
          <w:lang w:val="es-ES"/>
        </w:rPr>
        <w:t xml:space="preserve">Estudios </w:t>
      </w:r>
      <w:r w:rsidRPr="000F53DA">
        <w:rPr>
          <w:rFonts w:asciiTheme="majorBidi" w:hAnsiTheme="majorBidi" w:cstheme="majorBidi"/>
          <w:i/>
          <w:iCs/>
          <w:lang w:val="es-ES"/>
        </w:rPr>
        <w:t>b</w:t>
      </w:r>
      <w:r w:rsidRPr="00271D06">
        <w:rPr>
          <w:rFonts w:asciiTheme="majorBidi" w:hAnsiTheme="majorBidi" w:cstheme="majorBidi"/>
          <w:i/>
          <w:iCs/>
          <w:lang w:val="es-ES"/>
        </w:rPr>
        <w:t xml:space="preserve">ásicos de </w:t>
      </w:r>
      <w:r w:rsidRPr="000F53DA">
        <w:rPr>
          <w:rFonts w:asciiTheme="majorBidi" w:hAnsiTheme="majorBidi" w:cstheme="majorBidi"/>
          <w:i/>
          <w:iCs/>
          <w:lang w:val="es-ES"/>
        </w:rPr>
        <w:t>d</w:t>
      </w:r>
      <w:r w:rsidRPr="00271D06">
        <w:rPr>
          <w:rFonts w:asciiTheme="majorBidi" w:hAnsiTheme="majorBidi" w:cstheme="majorBidi"/>
          <w:i/>
          <w:iCs/>
          <w:lang w:val="es-ES"/>
        </w:rPr>
        <w:t xml:space="preserve">erechos </w:t>
      </w:r>
      <w:r w:rsidRPr="000F53DA">
        <w:rPr>
          <w:rFonts w:asciiTheme="majorBidi" w:hAnsiTheme="majorBidi" w:cstheme="majorBidi"/>
          <w:i/>
          <w:iCs/>
          <w:lang w:val="es-ES"/>
        </w:rPr>
        <w:t>h</w:t>
      </w:r>
      <w:r w:rsidRPr="00271D06">
        <w:rPr>
          <w:rFonts w:asciiTheme="majorBidi" w:hAnsiTheme="majorBidi" w:cstheme="majorBidi"/>
          <w:i/>
          <w:iCs/>
          <w:lang w:val="es-ES"/>
        </w:rPr>
        <w:t>umanos</w:t>
      </w:r>
      <w:r w:rsidRPr="000F53DA">
        <w:rPr>
          <w:rFonts w:asciiTheme="majorBidi" w:hAnsiTheme="majorBidi" w:cstheme="majorBidi"/>
          <w:lang w:val="es-ES"/>
        </w:rPr>
        <w:t xml:space="preserve">, vol. </w:t>
      </w:r>
      <w:r w:rsidRPr="00271D06">
        <w:rPr>
          <w:rFonts w:asciiTheme="majorBidi" w:hAnsiTheme="majorBidi" w:cstheme="majorBidi"/>
          <w:lang w:val="fr-FR"/>
        </w:rPr>
        <w:t xml:space="preserve">III, Instituto </w:t>
      </w:r>
      <w:proofErr w:type="spellStart"/>
      <w:r w:rsidRPr="00271D06">
        <w:rPr>
          <w:rFonts w:asciiTheme="majorBidi" w:hAnsiTheme="majorBidi" w:cstheme="majorBidi"/>
          <w:lang w:val="fr-FR"/>
        </w:rPr>
        <w:t>Interamericano</w:t>
      </w:r>
      <w:proofErr w:type="spellEnd"/>
      <w:r w:rsidRPr="00271D06">
        <w:rPr>
          <w:rFonts w:asciiTheme="majorBidi" w:hAnsiTheme="majorBidi" w:cstheme="majorBidi"/>
          <w:lang w:val="fr-FR"/>
        </w:rPr>
        <w:t xml:space="preserve"> de Derechos Humanos, 1995, p. 145.</w:t>
      </w:r>
    </w:p>
    <w:p w14:paraId="02FF7C0C" w14:textId="7777777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Salvioli</w:t>
      </w:r>
      <w:proofErr w:type="spellEnd"/>
      <w:r w:rsidRPr="00271D06">
        <w:rPr>
          <w:rFonts w:asciiTheme="majorBidi" w:hAnsiTheme="majorBidi" w:cstheme="majorBidi"/>
          <w:lang w:val="fr-FR"/>
        </w:rPr>
        <w:t xml:space="preserve">, </w:t>
      </w:r>
      <w:r w:rsidRPr="000F53DA">
        <w:rPr>
          <w:rFonts w:asciiTheme="majorBidi" w:hAnsiTheme="majorBidi" w:cstheme="majorBidi"/>
          <w:lang w:val="fr-FR"/>
        </w:rPr>
        <w:t xml:space="preserve">G. </w:t>
      </w:r>
      <w:r w:rsidRPr="000F53DA">
        <w:rPr>
          <w:rFonts w:asciiTheme="majorBidi" w:hAnsiTheme="majorBidi" w:cstheme="majorBidi"/>
          <w:lang w:val="it-IT"/>
        </w:rPr>
        <w:t>“</w:t>
      </w:r>
      <w:r w:rsidRPr="000F53DA">
        <w:rPr>
          <w:rFonts w:asciiTheme="majorBidi" w:hAnsiTheme="majorBidi" w:cstheme="majorBidi"/>
          <w:lang w:val="fr-FR"/>
        </w:rPr>
        <w:t xml:space="preserve">La responsabilité des </w:t>
      </w:r>
      <w:r w:rsidRPr="008C3992">
        <w:rPr>
          <w:rStyle w:val="Accentuation"/>
          <w:rFonts w:ascii="Times" w:hAnsi="Times" w:cs="Arial"/>
          <w:shd w:val="clear" w:color="auto" w:fill="FFFFFF"/>
          <w:lang w:val="fr-FR"/>
        </w:rPr>
        <w:t>É</w:t>
      </w:r>
      <w:r w:rsidRPr="00DC42A4">
        <w:rPr>
          <w:rFonts w:asciiTheme="majorBidi" w:hAnsiTheme="majorBidi" w:cstheme="majorBidi"/>
          <w:lang w:val="fr-FR"/>
        </w:rPr>
        <w:t>t</w:t>
      </w:r>
      <w:r w:rsidRPr="000F53DA">
        <w:rPr>
          <w:rFonts w:asciiTheme="majorBidi" w:hAnsiTheme="majorBidi" w:cstheme="majorBidi"/>
          <w:lang w:val="fr-FR"/>
        </w:rPr>
        <w:t>ats et la fixation des dommages et intérêts par les tribunaux internationaux</w:t>
      </w:r>
      <w:r w:rsidRPr="000F53DA">
        <w:rPr>
          <w:rFonts w:asciiTheme="majorBidi" w:hAnsiTheme="majorBidi" w:cstheme="majorBidi"/>
          <w:lang w:val="it-IT"/>
        </w:rPr>
        <w:t xml:space="preserve">”, </w:t>
      </w:r>
      <w:r w:rsidRPr="00271D06">
        <w:rPr>
          <w:rFonts w:asciiTheme="majorBidi" w:hAnsiTheme="majorBidi" w:cstheme="majorBidi"/>
          <w:i/>
          <w:iCs/>
          <w:lang w:val="it-IT"/>
        </w:rPr>
        <w:t>Collected Courses of The Hague Academy of International Law</w:t>
      </w:r>
      <w:r w:rsidRPr="000F53DA">
        <w:rPr>
          <w:rFonts w:asciiTheme="majorBidi" w:hAnsiTheme="majorBidi" w:cstheme="majorBidi"/>
          <w:lang w:val="it-IT"/>
        </w:rPr>
        <w:t>, vol. 28</w:t>
      </w:r>
      <w:r w:rsidRPr="000F53DA">
        <w:rPr>
          <w:rFonts w:asciiTheme="majorBidi" w:hAnsiTheme="majorBidi" w:cstheme="majorBidi"/>
          <w:lang w:val="fr-FR"/>
        </w:rPr>
        <w:t xml:space="preserve"> (1929</w:t>
      </w:r>
      <w:r w:rsidRPr="00271D06">
        <w:rPr>
          <w:rFonts w:asciiTheme="majorBidi" w:hAnsiTheme="majorBidi" w:cstheme="majorBidi"/>
          <w:lang w:val="fr-FR"/>
        </w:rPr>
        <w:t>-III</w:t>
      </w:r>
      <w:r w:rsidRPr="000F53DA">
        <w:rPr>
          <w:rFonts w:asciiTheme="majorBidi" w:hAnsiTheme="majorBidi" w:cstheme="majorBidi"/>
          <w:lang w:val="fr-FR"/>
        </w:rPr>
        <w:t>), p</w:t>
      </w:r>
      <w:r w:rsidRPr="00271D06">
        <w:rPr>
          <w:rFonts w:asciiTheme="majorBidi" w:hAnsiTheme="majorBidi" w:cstheme="majorBidi"/>
          <w:lang w:val="fr-FR"/>
        </w:rPr>
        <w:t>p</w:t>
      </w:r>
      <w:r w:rsidRPr="000F53DA">
        <w:rPr>
          <w:rFonts w:asciiTheme="majorBidi" w:hAnsiTheme="majorBidi" w:cstheme="majorBidi"/>
          <w:lang w:val="fr-FR"/>
        </w:rPr>
        <w:t>.</w:t>
      </w:r>
      <w:r w:rsidRPr="008C3992">
        <w:rPr>
          <w:rFonts w:asciiTheme="majorBidi" w:hAnsiTheme="majorBidi" w:cstheme="majorBidi"/>
          <w:lang w:val="fr-FR"/>
        </w:rPr>
        <w:t xml:space="preserve"> </w:t>
      </w:r>
      <w:r w:rsidRPr="000F53DA">
        <w:rPr>
          <w:rFonts w:asciiTheme="majorBidi" w:hAnsiTheme="majorBidi" w:cstheme="majorBidi"/>
          <w:lang w:val="fr-FR"/>
        </w:rPr>
        <w:t>231</w:t>
      </w:r>
      <w:r w:rsidRPr="00271D06">
        <w:rPr>
          <w:rFonts w:asciiTheme="majorBidi" w:hAnsiTheme="majorBidi" w:cstheme="majorBidi"/>
          <w:lang w:val="fr-FR"/>
        </w:rPr>
        <w:t xml:space="preserve"> </w:t>
      </w:r>
      <w:r w:rsidRPr="00271D06">
        <w:rPr>
          <w:rFonts w:asciiTheme="majorBidi" w:hAnsiTheme="majorBidi" w:cstheme="majorBidi"/>
          <w:i/>
          <w:lang w:val="fr-FR"/>
        </w:rPr>
        <w:t xml:space="preserve">et </w:t>
      </w:r>
      <w:proofErr w:type="spellStart"/>
      <w:r w:rsidRPr="00271D06">
        <w:rPr>
          <w:rFonts w:asciiTheme="majorBidi" w:hAnsiTheme="majorBidi" w:cstheme="majorBidi"/>
          <w:i/>
          <w:lang w:val="fr-FR"/>
        </w:rPr>
        <w:t>seq</w:t>
      </w:r>
      <w:proofErr w:type="spellEnd"/>
      <w:r w:rsidRPr="000F53DA">
        <w:rPr>
          <w:rFonts w:asciiTheme="majorBidi" w:hAnsiTheme="majorBidi" w:cstheme="majorBidi"/>
          <w:lang w:val="fr-FR"/>
        </w:rPr>
        <w:t>.</w:t>
      </w:r>
    </w:p>
    <w:p w14:paraId="1E4688B1" w14:textId="77777777" w:rsidR="00164B95" w:rsidRPr="000F53DA" w:rsidRDefault="00164B95" w:rsidP="00164B95">
      <w:pPr>
        <w:pStyle w:val="SingleTxtG"/>
        <w:rPr>
          <w:rFonts w:asciiTheme="majorBidi" w:hAnsiTheme="majorBidi" w:cstheme="majorBidi"/>
          <w:lang w:val="it-IT"/>
        </w:rPr>
      </w:pPr>
      <w:r w:rsidRPr="00271D06">
        <w:rPr>
          <w:rFonts w:asciiTheme="majorBidi" w:hAnsiTheme="majorBidi" w:cstheme="majorBidi"/>
          <w:smallCaps/>
          <w:lang w:val="it-IT"/>
        </w:rPr>
        <w:t>Schwebel</w:t>
      </w:r>
      <w:r w:rsidRPr="000F53DA">
        <w:rPr>
          <w:rFonts w:asciiTheme="majorBidi" w:hAnsiTheme="majorBidi" w:cstheme="majorBidi"/>
          <w:lang w:val="it-IT"/>
        </w:rPr>
        <w:t xml:space="preserve">, S. M. “Compound interest in international law”, </w:t>
      </w:r>
      <w:r w:rsidRPr="00271D06">
        <w:rPr>
          <w:rFonts w:asciiTheme="majorBidi" w:hAnsiTheme="majorBidi" w:cstheme="majorBidi"/>
          <w:i/>
          <w:iCs/>
          <w:lang w:val="it-IT"/>
        </w:rPr>
        <w:t>in</w:t>
      </w:r>
      <w:r w:rsidRPr="000F53DA">
        <w:rPr>
          <w:rFonts w:asciiTheme="majorBidi" w:hAnsiTheme="majorBidi" w:cstheme="majorBidi"/>
          <w:lang w:val="it-IT"/>
        </w:rPr>
        <w:t xml:space="preserve"> </w:t>
      </w:r>
      <w:r w:rsidRPr="000F53DA">
        <w:rPr>
          <w:rFonts w:asciiTheme="majorBidi" w:hAnsiTheme="majorBidi" w:cstheme="majorBidi"/>
          <w:i/>
          <w:iCs/>
          <w:lang w:val="it-IT"/>
        </w:rPr>
        <w:t>Studi di diritto internazionale in onore di Gaetano Arangio-Ruiz</w:t>
      </w:r>
      <w:r w:rsidRPr="000F53DA">
        <w:rPr>
          <w:rFonts w:asciiTheme="majorBidi" w:hAnsiTheme="majorBidi" w:cstheme="majorBidi"/>
          <w:lang w:val="it-IT"/>
        </w:rPr>
        <w:t>, vol. 2, Editoriale scientifica, 2004, pp. 881–891.</w:t>
      </w:r>
    </w:p>
    <w:p w14:paraId="12F6A7DA" w14:textId="77777777" w:rsidR="00164B95" w:rsidRPr="00271D06" w:rsidRDefault="00164B95" w:rsidP="00164B95">
      <w:pPr>
        <w:pStyle w:val="SingleTxtG"/>
        <w:rPr>
          <w:rFonts w:asciiTheme="majorBidi" w:hAnsiTheme="majorBidi" w:cstheme="majorBidi"/>
          <w:lang w:val="en-US"/>
        </w:rPr>
      </w:pPr>
      <w:proofErr w:type="spellStart"/>
      <w:r w:rsidRPr="00271D06">
        <w:rPr>
          <w:rFonts w:asciiTheme="majorBidi" w:hAnsiTheme="majorBidi" w:cstheme="majorBidi"/>
          <w:smallCaps/>
          <w:lang w:val="en-US"/>
        </w:rPr>
        <w:t>Secomb</w:t>
      </w:r>
      <w:proofErr w:type="spellEnd"/>
      <w:r w:rsidRPr="000F53DA">
        <w:rPr>
          <w:rFonts w:asciiTheme="majorBidi" w:hAnsiTheme="majorBidi" w:cstheme="majorBidi"/>
          <w:lang w:val="en-US"/>
        </w:rPr>
        <w:t xml:space="preserve">, </w:t>
      </w:r>
      <w:r w:rsidRPr="00271D06">
        <w:rPr>
          <w:rFonts w:asciiTheme="majorBidi" w:hAnsiTheme="majorBidi" w:cstheme="majorBidi"/>
          <w:lang w:val="en-US"/>
        </w:rPr>
        <w:t xml:space="preserve">M. </w:t>
      </w:r>
      <w:r w:rsidRPr="00271D06">
        <w:rPr>
          <w:rFonts w:asciiTheme="majorBidi" w:hAnsiTheme="majorBidi" w:cstheme="majorBidi"/>
          <w:i/>
          <w:iCs/>
          <w:lang w:val="en-US"/>
        </w:rPr>
        <w:t>Interest in International Arbitration</w:t>
      </w:r>
      <w:r w:rsidRPr="00271D06">
        <w:rPr>
          <w:rFonts w:asciiTheme="majorBidi" w:hAnsiTheme="majorBidi" w:cstheme="majorBidi"/>
          <w:lang w:val="en-US"/>
        </w:rPr>
        <w:t>, Oxford University Press,</w:t>
      </w:r>
      <w:r w:rsidRPr="00271D06">
        <w:rPr>
          <w:rFonts w:asciiTheme="majorBidi" w:hAnsiTheme="majorBidi" w:cstheme="majorBidi"/>
          <w:i/>
          <w:iCs/>
          <w:lang w:val="en-US"/>
        </w:rPr>
        <w:t xml:space="preserve"> </w:t>
      </w:r>
      <w:r w:rsidRPr="00271D06">
        <w:rPr>
          <w:rFonts w:asciiTheme="majorBidi" w:hAnsiTheme="majorBidi" w:cstheme="majorBidi"/>
          <w:lang w:val="en-US"/>
        </w:rPr>
        <w:t>2019.</w:t>
      </w:r>
    </w:p>
    <w:p w14:paraId="1B920D7F"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Shelton</w:t>
      </w:r>
      <w:r w:rsidRPr="000F53DA">
        <w:rPr>
          <w:rFonts w:asciiTheme="majorBidi" w:hAnsiTheme="majorBidi" w:cstheme="majorBidi"/>
          <w:lang w:val="en-US"/>
        </w:rPr>
        <w:t xml:space="preserve">, </w:t>
      </w:r>
      <w:r w:rsidRPr="00271D06">
        <w:rPr>
          <w:rFonts w:asciiTheme="majorBidi" w:hAnsiTheme="majorBidi" w:cstheme="majorBidi"/>
          <w:lang w:val="en-US"/>
        </w:rPr>
        <w:t xml:space="preserve">D. </w:t>
      </w:r>
      <w:r w:rsidRPr="00271D06">
        <w:rPr>
          <w:rFonts w:asciiTheme="majorBidi" w:hAnsiTheme="majorBidi" w:cstheme="majorBidi"/>
          <w:i/>
          <w:iCs/>
          <w:lang w:val="en-US"/>
        </w:rPr>
        <w:t>Remedies in International Human Rights Law</w:t>
      </w:r>
      <w:r w:rsidRPr="00271D06">
        <w:rPr>
          <w:rFonts w:asciiTheme="majorBidi" w:hAnsiTheme="majorBidi" w:cstheme="majorBidi"/>
          <w:lang w:val="en-US"/>
        </w:rPr>
        <w:t>, 2nd ed., Oxford University Press, 2015.</w:t>
      </w:r>
    </w:p>
    <w:p w14:paraId="4D1C768F" w14:textId="77777777" w:rsidR="00164B95" w:rsidRPr="00271D06" w:rsidRDefault="00164B95" w:rsidP="00164B95">
      <w:pPr>
        <w:pStyle w:val="SingleTxtG"/>
        <w:rPr>
          <w:rFonts w:asciiTheme="majorBidi" w:hAnsiTheme="majorBidi" w:cstheme="majorBidi"/>
          <w:lang w:val="en-US"/>
        </w:rPr>
      </w:pPr>
      <w:r w:rsidRPr="00271D06">
        <w:rPr>
          <w:rFonts w:asciiTheme="majorBidi" w:eastAsia="Calibri" w:hAnsiTheme="majorBidi" w:cstheme="majorBidi"/>
          <w:lang w:val="en-US"/>
        </w:rPr>
        <w:t xml:space="preserve">—— </w:t>
      </w:r>
      <w:r w:rsidRPr="00271D06">
        <w:rPr>
          <w:rFonts w:asciiTheme="majorBidi" w:hAnsiTheme="majorBidi" w:cstheme="majorBidi"/>
          <w:lang w:val="en-US"/>
        </w:rPr>
        <w:t xml:space="preserve">, “Righting wrongs: reparations in the articles on State responsibility”, </w:t>
      </w:r>
      <w:r w:rsidRPr="00271D06">
        <w:rPr>
          <w:rFonts w:asciiTheme="majorBidi" w:hAnsiTheme="majorBidi" w:cstheme="majorBidi"/>
          <w:i/>
          <w:lang w:val="en-US"/>
        </w:rPr>
        <w:t>American Journal of International Law</w:t>
      </w:r>
      <w:r w:rsidRPr="00271D06">
        <w:rPr>
          <w:rFonts w:asciiTheme="majorBidi" w:hAnsiTheme="majorBidi" w:cstheme="majorBidi"/>
          <w:lang w:val="en-US"/>
        </w:rPr>
        <w:t>, vol. 96, No. 4 (October 2002), p. 833.</w:t>
      </w:r>
    </w:p>
    <w:p w14:paraId="57FD3958" w14:textId="77777777" w:rsidR="00164B95" w:rsidRPr="000F53DA" w:rsidRDefault="00164B95" w:rsidP="00164B95">
      <w:pPr>
        <w:pStyle w:val="SingleTxtG"/>
        <w:rPr>
          <w:rFonts w:asciiTheme="majorBidi" w:hAnsiTheme="majorBidi" w:cstheme="majorBidi"/>
          <w:lang w:val="lv-LV"/>
        </w:rPr>
      </w:pPr>
      <w:r w:rsidRPr="00271D06">
        <w:rPr>
          <w:rFonts w:asciiTheme="majorBidi" w:hAnsiTheme="majorBidi" w:cstheme="majorBidi"/>
          <w:lang w:val="lv-LV"/>
        </w:rPr>
        <w:t xml:space="preserve">Smutny, </w:t>
      </w:r>
      <w:r w:rsidRPr="000F53DA">
        <w:rPr>
          <w:rFonts w:asciiTheme="majorBidi" w:hAnsiTheme="majorBidi" w:cstheme="majorBidi"/>
          <w:lang w:val="lv-LV"/>
        </w:rPr>
        <w:t xml:space="preserve">A. C. “Some observations on the principles relating to compensation in the investment treaty context”, </w:t>
      </w:r>
      <w:r w:rsidRPr="00271D06">
        <w:rPr>
          <w:rFonts w:asciiTheme="majorBidi" w:hAnsiTheme="majorBidi" w:cstheme="majorBidi"/>
          <w:i/>
          <w:iCs/>
          <w:lang w:val="lv-LV"/>
        </w:rPr>
        <w:t>ICSID Review – Foreign Investment Law Journal</w:t>
      </w:r>
      <w:r w:rsidRPr="000F53DA">
        <w:rPr>
          <w:rFonts w:asciiTheme="majorBidi" w:hAnsiTheme="majorBidi" w:cstheme="majorBidi"/>
          <w:lang w:val="lv-LV"/>
        </w:rPr>
        <w:t>, vol. 22 (2007), p. 1.</w:t>
      </w:r>
    </w:p>
    <w:p w14:paraId="288DC64D" w14:textId="77777777" w:rsidR="00164B95" w:rsidRPr="000F53DA" w:rsidRDefault="00164B95" w:rsidP="00164B95">
      <w:pPr>
        <w:pStyle w:val="SingleTxtG"/>
        <w:rPr>
          <w:rFonts w:asciiTheme="majorBidi" w:hAnsiTheme="majorBidi" w:cstheme="majorBidi"/>
          <w:lang w:val="fr-FR"/>
        </w:rPr>
      </w:pPr>
      <w:r w:rsidRPr="00271D06">
        <w:rPr>
          <w:rFonts w:asciiTheme="majorBidi" w:hAnsiTheme="majorBidi" w:cstheme="majorBidi"/>
          <w:smallCaps/>
          <w:lang w:val="fr-FR"/>
        </w:rPr>
        <w:t>Société française pour le droit international</w:t>
      </w:r>
      <w:r w:rsidRPr="000F53DA">
        <w:rPr>
          <w:rFonts w:asciiTheme="majorBidi" w:hAnsiTheme="majorBidi" w:cstheme="majorBidi"/>
          <w:lang w:val="fr-FR"/>
        </w:rPr>
        <w:t xml:space="preserve"> (</w:t>
      </w:r>
      <w:proofErr w:type="spellStart"/>
      <w:r w:rsidRPr="000F53DA">
        <w:rPr>
          <w:rFonts w:asciiTheme="majorBidi" w:hAnsiTheme="majorBidi" w:cstheme="majorBidi"/>
          <w:lang w:val="fr-FR"/>
        </w:rPr>
        <w:t>ed</w:t>
      </w:r>
      <w:proofErr w:type="spellEnd"/>
      <w:r w:rsidRPr="000F53DA">
        <w:rPr>
          <w:rFonts w:asciiTheme="majorBidi" w:hAnsiTheme="majorBidi" w:cstheme="majorBidi"/>
          <w:lang w:val="fr-FR"/>
        </w:rPr>
        <w:t xml:space="preserve">.). </w:t>
      </w:r>
      <w:r w:rsidRPr="000F53DA">
        <w:rPr>
          <w:rFonts w:asciiTheme="majorBidi" w:hAnsiTheme="majorBidi" w:cstheme="majorBidi"/>
          <w:i/>
          <w:iCs/>
          <w:lang w:val="fr-FR"/>
        </w:rPr>
        <w:t>La responsabilité dans le système international : Colloque du Mans</w:t>
      </w:r>
      <w:r w:rsidRPr="000F53DA">
        <w:rPr>
          <w:rFonts w:asciiTheme="majorBidi" w:hAnsiTheme="majorBidi" w:cstheme="majorBidi"/>
          <w:lang w:val="fr-FR"/>
        </w:rPr>
        <w:t xml:space="preserve">, Paris, </w:t>
      </w:r>
      <w:proofErr w:type="spellStart"/>
      <w:r w:rsidRPr="000F53DA">
        <w:rPr>
          <w:rFonts w:asciiTheme="majorBidi" w:hAnsiTheme="majorBidi" w:cstheme="majorBidi"/>
          <w:lang w:val="fr-FR"/>
        </w:rPr>
        <w:t>Pedone</w:t>
      </w:r>
      <w:proofErr w:type="spellEnd"/>
      <w:r w:rsidRPr="000F53DA">
        <w:rPr>
          <w:rFonts w:asciiTheme="majorBidi" w:hAnsiTheme="majorBidi" w:cstheme="majorBidi"/>
          <w:lang w:val="fr-FR"/>
        </w:rPr>
        <w:t>, 1991.</w:t>
      </w:r>
    </w:p>
    <w:p w14:paraId="61FD4FF0" w14:textId="77777777" w:rsidR="00164B95" w:rsidRPr="000F53DA" w:rsidRDefault="00164B95" w:rsidP="00164B95">
      <w:pPr>
        <w:pStyle w:val="SingleTxtG"/>
        <w:rPr>
          <w:rFonts w:asciiTheme="majorBidi" w:hAnsiTheme="majorBidi" w:cstheme="majorBidi"/>
          <w:lang w:val="de-CH"/>
        </w:rPr>
      </w:pPr>
      <w:r w:rsidRPr="00271D06">
        <w:rPr>
          <w:rFonts w:asciiTheme="majorBidi" w:hAnsiTheme="majorBidi" w:cstheme="majorBidi"/>
          <w:smallCaps/>
          <w:lang w:val="de-CH"/>
        </w:rPr>
        <w:t>Stendel</w:t>
      </w:r>
      <w:r w:rsidRPr="000F53DA">
        <w:rPr>
          <w:rFonts w:asciiTheme="majorBidi" w:hAnsiTheme="majorBidi" w:cstheme="majorBidi"/>
          <w:lang w:val="de-CH"/>
        </w:rPr>
        <w:t xml:space="preserve">, R. C. </w:t>
      </w:r>
      <w:r w:rsidRPr="000F53DA">
        <w:rPr>
          <w:rFonts w:asciiTheme="majorBidi" w:hAnsiTheme="majorBidi" w:cstheme="majorBidi"/>
          <w:i/>
          <w:iCs/>
          <w:lang w:val="de-CH"/>
        </w:rPr>
        <w:t>Immaterieller Schadensersatz und der Wandel völkerrechtlicher Privatrechtsanalogien</w:t>
      </w:r>
      <w:r w:rsidRPr="000F53DA">
        <w:rPr>
          <w:rFonts w:asciiTheme="majorBidi" w:hAnsiTheme="majorBidi" w:cstheme="majorBidi"/>
          <w:lang w:val="de-CH"/>
        </w:rPr>
        <w:t>,</w:t>
      </w:r>
      <w:r w:rsidRPr="000F53DA">
        <w:rPr>
          <w:rFonts w:asciiTheme="majorBidi" w:hAnsiTheme="majorBidi" w:cstheme="majorBidi"/>
          <w:i/>
          <w:iCs/>
          <w:lang w:val="de-CH"/>
        </w:rPr>
        <w:t xml:space="preserve"> </w:t>
      </w:r>
      <w:r w:rsidRPr="000F53DA">
        <w:rPr>
          <w:rFonts w:asciiTheme="majorBidi" w:hAnsiTheme="majorBidi" w:cstheme="majorBidi"/>
          <w:lang w:val="de-CH"/>
        </w:rPr>
        <w:t>Nomos, 2023.</w:t>
      </w:r>
    </w:p>
    <w:p w14:paraId="4DF08D78"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hAnsiTheme="majorBidi" w:cstheme="majorBidi"/>
          <w:smallCaps/>
          <w:lang w:val="en-US"/>
        </w:rPr>
        <w:t>Stern</w:t>
      </w:r>
      <w:r w:rsidRPr="00271D06">
        <w:rPr>
          <w:rFonts w:asciiTheme="majorBidi" w:hAnsiTheme="majorBidi" w:cstheme="majorBidi"/>
          <w:lang w:val="en-US"/>
        </w:rPr>
        <w:t>, B. “</w:t>
      </w:r>
      <w:r w:rsidRPr="00271D06">
        <w:rPr>
          <w:rFonts w:asciiTheme="majorBidi" w:eastAsia="Calibri" w:hAnsiTheme="majorBidi" w:cstheme="majorBidi"/>
          <w:lang w:val="en-US"/>
        </w:rPr>
        <w:t xml:space="preserve">The obligation to make reparation”, </w:t>
      </w:r>
      <w:r w:rsidRPr="00271D06">
        <w:rPr>
          <w:rFonts w:asciiTheme="majorBidi" w:eastAsia="Calibri" w:hAnsiTheme="majorBidi" w:cstheme="majorBidi"/>
          <w:i/>
          <w:iCs/>
          <w:lang w:val="en-US"/>
        </w:rPr>
        <w:t>in</w:t>
      </w:r>
      <w:r w:rsidRPr="00271D06">
        <w:rPr>
          <w:rFonts w:asciiTheme="majorBidi" w:eastAsia="Calibri" w:hAnsiTheme="majorBidi" w:cstheme="majorBidi"/>
          <w:lang w:val="en-US"/>
        </w:rPr>
        <w:t xml:space="preserve"> J. Crawford, </w:t>
      </w:r>
      <w:r w:rsidRPr="00271D06">
        <w:rPr>
          <w:rFonts w:eastAsia="Calibri"/>
          <w:i/>
          <w:kern w:val="2"/>
          <w:lang w:val="en-US"/>
          <w14:ligatures w14:val="standardContextual"/>
        </w:rPr>
        <w:t xml:space="preserve">et </w:t>
      </w:r>
      <w:r w:rsidRPr="00164B95">
        <w:rPr>
          <w:rFonts w:eastAsia="Calibri"/>
          <w:i/>
          <w:kern w:val="2"/>
          <w:lang w:val="en-US"/>
          <w14:ligatures w14:val="standardContextual"/>
        </w:rPr>
        <w:t>al.</w:t>
      </w:r>
      <w:r w:rsidRPr="00271D06">
        <w:rPr>
          <w:rFonts w:asciiTheme="majorBidi" w:eastAsia="Calibri" w:hAnsiTheme="majorBidi" w:cstheme="majorBidi"/>
          <w:lang w:val="en-US"/>
        </w:rPr>
        <w:t xml:space="preserve"> (eds.),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 2010, p. 563.</w:t>
      </w:r>
    </w:p>
    <w:p w14:paraId="207001EC" w14:textId="77777777" w:rsidR="00164B95" w:rsidRPr="00271D06" w:rsidRDefault="00164B95" w:rsidP="00164B95">
      <w:pPr>
        <w:pStyle w:val="SingleTxtG"/>
        <w:rPr>
          <w:rFonts w:asciiTheme="majorBidi" w:eastAsia="Calibri" w:hAnsiTheme="majorBidi" w:cstheme="majorBidi"/>
          <w:lang w:val="en-US"/>
        </w:rPr>
      </w:pPr>
      <w:r w:rsidRPr="00271D06">
        <w:rPr>
          <w:rFonts w:asciiTheme="majorBidi" w:eastAsia="Calibri" w:hAnsiTheme="majorBidi" w:cstheme="majorBidi"/>
          <w:smallCaps/>
          <w:lang w:val="en-US"/>
        </w:rPr>
        <w:t>Stoica</w:t>
      </w:r>
      <w:r w:rsidRPr="000F53DA">
        <w:rPr>
          <w:rFonts w:asciiTheme="majorBidi" w:eastAsia="Calibri" w:hAnsiTheme="majorBidi" w:cstheme="majorBidi"/>
          <w:lang w:val="en-US"/>
        </w:rPr>
        <w:t xml:space="preserve">, </w:t>
      </w:r>
      <w:r w:rsidRPr="00271D06">
        <w:rPr>
          <w:rFonts w:asciiTheme="majorBidi" w:eastAsia="Calibri" w:hAnsiTheme="majorBidi" w:cstheme="majorBidi"/>
          <w:lang w:val="en-US"/>
        </w:rPr>
        <w:t xml:space="preserve">V. </w:t>
      </w:r>
      <w:r w:rsidRPr="00271D06">
        <w:rPr>
          <w:rFonts w:asciiTheme="majorBidi" w:eastAsia="Calibri" w:hAnsiTheme="majorBidi" w:cstheme="majorBidi"/>
          <w:i/>
          <w:iCs/>
          <w:lang w:val="en-US"/>
        </w:rPr>
        <w:t>Remedies before the International Court of Justice: a Systemic Analysis</w:t>
      </w:r>
      <w:r w:rsidRPr="00271D06">
        <w:rPr>
          <w:rFonts w:asciiTheme="majorBidi" w:eastAsia="Calibri" w:hAnsiTheme="majorBidi" w:cstheme="majorBidi"/>
          <w:lang w:val="en-US"/>
        </w:rPr>
        <w:t>, Cambridge University Press,</w:t>
      </w:r>
      <w:r w:rsidRPr="00271D06">
        <w:rPr>
          <w:rFonts w:asciiTheme="majorBidi" w:eastAsia="Calibri" w:hAnsiTheme="majorBidi" w:cstheme="majorBidi"/>
          <w:i/>
          <w:iCs/>
          <w:lang w:val="en-US"/>
        </w:rPr>
        <w:t xml:space="preserve"> </w:t>
      </w:r>
      <w:r w:rsidRPr="00271D06">
        <w:rPr>
          <w:rFonts w:asciiTheme="majorBidi" w:eastAsia="Calibri" w:hAnsiTheme="majorBidi" w:cstheme="majorBidi"/>
          <w:lang w:val="en-US"/>
        </w:rPr>
        <w:t xml:space="preserve">2021, chap. 7. </w:t>
      </w:r>
    </w:p>
    <w:p w14:paraId="04067F99" w14:textId="777777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eastAsia="ko-KR"/>
        </w:rPr>
        <w:t>Stuart</w:t>
      </w:r>
      <w:r w:rsidRPr="000F53DA">
        <w:rPr>
          <w:rFonts w:asciiTheme="majorBidi" w:hAnsiTheme="majorBidi" w:cstheme="majorBidi"/>
          <w:lang w:val="en-CA" w:eastAsia="ko-KR"/>
        </w:rPr>
        <w:t xml:space="preserve">, D. P. “Compensation and valuation issues”, </w:t>
      </w:r>
      <w:r w:rsidRPr="00271D06">
        <w:rPr>
          <w:rFonts w:asciiTheme="majorBidi" w:hAnsiTheme="majorBidi" w:cstheme="majorBidi"/>
          <w:i/>
          <w:iCs/>
          <w:lang w:val="en-CA" w:eastAsia="ko-KR"/>
        </w:rPr>
        <w:t>in</w:t>
      </w:r>
      <w:r w:rsidRPr="000F53DA">
        <w:rPr>
          <w:rFonts w:asciiTheme="majorBidi" w:hAnsiTheme="majorBidi" w:cstheme="majorBidi"/>
          <w:lang w:val="en-CA" w:eastAsia="ko-KR"/>
        </w:rPr>
        <w:t xml:space="preserve"> </w:t>
      </w:r>
      <w:r w:rsidRPr="000F53DA">
        <w:rPr>
          <w:rFonts w:asciiTheme="majorBidi" w:hAnsiTheme="majorBidi" w:cstheme="majorBidi"/>
          <w:lang w:val="en-CA"/>
        </w:rPr>
        <w:t>R. B. Lillich</w:t>
      </w:r>
      <w:r w:rsidRPr="000F53DA">
        <w:rPr>
          <w:rFonts w:asciiTheme="majorBidi" w:hAnsiTheme="majorBidi" w:cstheme="majorBidi"/>
          <w:lang w:val="en-CA" w:eastAsia="ko-KR"/>
        </w:rPr>
        <w:t>,</w:t>
      </w:r>
      <w:r w:rsidRPr="000F53DA">
        <w:rPr>
          <w:rFonts w:asciiTheme="majorBidi" w:hAnsiTheme="majorBidi" w:cstheme="majorBidi"/>
          <w:lang w:val="en-CA"/>
        </w:rPr>
        <w:t xml:space="preserve"> D. B. Magraw</w:t>
      </w:r>
      <w:r w:rsidRPr="000F53DA">
        <w:rPr>
          <w:rFonts w:asciiTheme="majorBidi" w:hAnsiTheme="majorBidi" w:cstheme="majorBidi"/>
          <w:lang w:val="en-CA" w:eastAsia="ko-KR"/>
        </w:rPr>
        <w:t xml:space="preserve"> and D. J. Bederman (eds.)</w:t>
      </w:r>
      <w:r w:rsidRPr="000F53DA">
        <w:rPr>
          <w:rFonts w:asciiTheme="majorBidi" w:hAnsiTheme="majorBidi" w:cstheme="majorBidi"/>
          <w:lang w:val="en-CA"/>
        </w:rPr>
        <w:t xml:space="preserve">, </w:t>
      </w:r>
      <w:r w:rsidRPr="000F53DA">
        <w:rPr>
          <w:rFonts w:asciiTheme="majorBidi" w:hAnsiTheme="majorBidi" w:cstheme="majorBidi"/>
          <w:i/>
          <w:iCs/>
          <w:lang w:val="en-CA"/>
        </w:rPr>
        <w:t>The Iran–United States Claims Tribunal: its Contribution to the Law of International Responsibility</w:t>
      </w:r>
      <w:r w:rsidRPr="000F53DA">
        <w:rPr>
          <w:rFonts w:asciiTheme="majorBidi" w:hAnsiTheme="majorBidi" w:cstheme="majorBidi"/>
          <w:lang w:val="en-CA"/>
        </w:rPr>
        <w:t>,</w:t>
      </w:r>
      <w:r w:rsidRPr="000F53DA">
        <w:rPr>
          <w:rFonts w:asciiTheme="majorBidi" w:hAnsiTheme="majorBidi" w:cstheme="majorBidi"/>
          <w:i/>
          <w:iCs/>
          <w:lang w:val="en-CA"/>
        </w:rPr>
        <w:t xml:space="preserve"> </w:t>
      </w:r>
      <w:r w:rsidRPr="000F53DA">
        <w:rPr>
          <w:rFonts w:asciiTheme="majorBidi" w:hAnsiTheme="majorBidi" w:cstheme="majorBidi"/>
          <w:lang w:val="en-CA"/>
        </w:rPr>
        <w:t>Transnational Publishers, 1998, pp. 3</w:t>
      </w:r>
      <w:r w:rsidRPr="000F53DA">
        <w:rPr>
          <w:rFonts w:asciiTheme="majorBidi" w:hAnsiTheme="majorBidi" w:cstheme="majorBidi"/>
          <w:lang w:val="en-CA" w:eastAsia="ko-KR"/>
        </w:rPr>
        <w:t>25</w:t>
      </w:r>
      <w:r w:rsidRPr="000F53DA">
        <w:rPr>
          <w:rFonts w:asciiTheme="majorBidi" w:hAnsiTheme="majorBidi" w:cstheme="majorBidi"/>
          <w:lang w:val="en-CA"/>
        </w:rPr>
        <w:t>–385.</w:t>
      </w:r>
    </w:p>
    <w:p w14:paraId="0859C14A" w14:textId="348AB547" w:rsidR="00164B95" w:rsidRPr="000F53DA" w:rsidRDefault="00164B95" w:rsidP="00164B95">
      <w:pPr>
        <w:pStyle w:val="SingleTxtG"/>
        <w:rPr>
          <w:rFonts w:asciiTheme="majorBidi" w:hAnsiTheme="majorBidi" w:cstheme="majorBidi"/>
          <w:lang w:val="fr-FR"/>
        </w:rPr>
      </w:pPr>
      <w:proofErr w:type="spellStart"/>
      <w:r w:rsidRPr="00271D06">
        <w:rPr>
          <w:rFonts w:asciiTheme="majorBidi" w:hAnsiTheme="majorBidi" w:cstheme="majorBidi"/>
          <w:smallCaps/>
          <w:lang w:val="fr-FR"/>
        </w:rPr>
        <w:t>Subilia</w:t>
      </w:r>
      <w:proofErr w:type="spellEnd"/>
      <w:r w:rsidRPr="000F53DA">
        <w:rPr>
          <w:rFonts w:asciiTheme="majorBidi" w:hAnsiTheme="majorBidi" w:cstheme="majorBidi"/>
          <w:lang w:val="fr-FR"/>
        </w:rPr>
        <w:t xml:space="preserve">, J.-L. </w:t>
      </w:r>
      <w:r w:rsidRPr="000F53DA">
        <w:rPr>
          <w:rFonts w:asciiTheme="majorBidi" w:hAnsiTheme="majorBidi" w:cstheme="majorBidi"/>
          <w:i/>
          <w:iCs/>
          <w:lang w:val="fr-FR"/>
        </w:rPr>
        <w:t>L</w:t>
      </w:r>
      <w:r w:rsidR="004C5E26">
        <w:rPr>
          <w:rFonts w:asciiTheme="majorBidi" w:hAnsiTheme="majorBidi" w:cstheme="majorBidi"/>
          <w:i/>
          <w:iCs/>
          <w:lang w:val="fr-FR"/>
        </w:rPr>
        <w:t>’</w:t>
      </w:r>
      <w:r w:rsidRPr="000F53DA">
        <w:rPr>
          <w:rFonts w:asciiTheme="majorBidi" w:hAnsiTheme="majorBidi" w:cstheme="majorBidi"/>
          <w:i/>
          <w:iCs/>
          <w:lang w:val="fr-FR"/>
        </w:rPr>
        <w:t>allocation d</w:t>
      </w:r>
      <w:r w:rsidR="004C5E26">
        <w:rPr>
          <w:rFonts w:asciiTheme="majorBidi" w:hAnsiTheme="majorBidi" w:cstheme="majorBidi"/>
          <w:i/>
          <w:iCs/>
          <w:lang w:val="fr-FR"/>
        </w:rPr>
        <w:t>’</w:t>
      </w:r>
      <w:r w:rsidRPr="000F53DA">
        <w:rPr>
          <w:rFonts w:asciiTheme="majorBidi" w:hAnsiTheme="majorBidi" w:cstheme="majorBidi"/>
          <w:i/>
          <w:iCs/>
          <w:lang w:val="fr-FR"/>
        </w:rPr>
        <w:t>intérêts dans la jurisprudence internationale : contribution à l</w:t>
      </w:r>
      <w:r w:rsidR="004C5E26">
        <w:rPr>
          <w:rFonts w:asciiTheme="majorBidi" w:hAnsiTheme="majorBidi" w:cstheme="majorBidi"/>
          <w:i/>
          <w:iCs/>
          <w:lang w:val="fr-FR"/>
        </w:rPr>
        <w:t>’</w:t>
      </w:r>
      <w:r w:rsidRPr="000F53DA">
        <w:rPr>
          <w:rFonts w:asciiTheme="majorBidi" w:hAnsiTheme="majorBidi" w:cstheme="majorBidi"/>
          <w:i/>
          <w:iCs/>
          <w:lang w:val="fr-FR"/>
        </w:rPr>
        <w:t>étude de la réparation en droit international public</w:t>
      </w:r>
      <w:r w:rsidRPr="000F53DA">
        <w:rPr>
          <w:rFonts w:asciiTheme="majorBidi" w:hAnsiTheme="majorBidi" w:cstheme="majorBidi"/>
          <w:lang w:val="fr-FR"/>
        </w:rPr>
        <w:t>, Imprimerie vaudoise, 1972.</w:t>
      </w:r>
    </w:p>
    <w:p w14:paraId="7658E9E7"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lastRenderedPageBreak/>
        <w:t>Tanzi</w:t>
      </w:r>
      <w:r w:rsidRPr="000F53DA">
        <w:rPr>
          <w:rFonts w:asciiTheme="majorBidi" w:hAnsiTheme="majorBidi" w:cstheme="majorBidi"/>
          <w:lang w:val="en-US"/>
        </w:rPr>
        <w:t xml:space="preserve">, </w:t>
      </w:r>
      <w:r w:rsidRPr="00271D06">
        <w:rPr>
          <w:rFonts w:asciiTheme="majorBidi" w:hAnsiTheme="majorBidi" w:cstheme="majorBidi"/>
          <w:lang w:val="en-US"/>
        </w:rPr>
        <w:t xml:space="preserve">A. “Is damage a distinct condition for the existence of an internationally wrongful act?”, </w:t>
      </w:r>
      <w:r w:rsidRPr="00271D06">
        <w:rPr>
          <w:rFonts w:asciiTheme="majorBidi" w:hAnsiTheme="majorBidi" w:cstheme="majorBidi"/>
          <w:i/>
          <w:iCs/>
          <w:lang w:val="en-US"/>
        </w:rPr>
        <w:t>in</w:t>
      </w:r>
      <w:r w:rsidRPr="00271D06">
        <w:rPr>
          <w:rFonts w:asciiTheme="majorBidi" w:hAnsiTheme="majorBidi" w:cstheme="majorBidi"/>
          <w:lang w:val="en-US"/>
        </w:rPr>
        <w:t xml:space="preserve"> M. </w:t>
      </w:r>
      <w:proofErr w:type="spellStart"/>
      <w:r w:rsidRPr="00271D06">
        <w:rPr>
          <w:rFonts w:asciiTheme="majorBidi" w:hAnsiTheme="majorBidi" w:cstheme="majorBidi"/>
          <w:lang w:val="en-US"/>
        </w:rPr>
        <w:t>Spinedi</w:t>
      </w:r>
      <w:proofErr w:type="spellEnd"/>
      <w:r w:rsidRPr="00271D06">
        <w:rPr>
          <w:rFonts w:asciiTheme="majorBidi" w:hAnsiTheme="majorBidi" w:cstheme="majorBidi"/>
          <w:lang w:val="en-US"/>
        </w:rPr>
        <w:t xml:space="preserve"> and B. Simma (eds.), </w:t>
      </w:r>
      <w:r w:rsidRPr="00271D06">
        <w:rPr>
          <w:rFonts w:asciiTheme="majorBidi" w:hAnsiTheme="majorBidi" w:cstheme="majorBidi"/>
          <w:i/>
          <w:iCs/>
          <w:lang w:val="en-US"/>
        </w:rPr>
        <w:t>United Nations Codification of State Responsibility</w:t>
      </w:r>
      <w:r w:rsidRPr="00271D06">
        <w:rPr>
          <w:rFonts w:asciiTheme="majorBidi" w:hAnsiTheme="majorBidi" w:cstheme="majorBidi"/>
          <w:lang w:val="en-US"/>
        </w:rPr>
        <w:t>, Oceana Publications, 1987, p. 1.</w:t>
      </w:r>
    </w:p>
    <w:p w14:paraId="4C1241B2" w14:textId="77777777" w:rsidR="00164B95" w:rsidRPr="000F53DA" w:rsidRDefault="00164B95" w:rsidP="00164B95">
      <w:pPr>
        <w:pStyle w:val="SingleTxtG"/>
        <w:rPr>
          <w:rFonts w:asciiTheme="majorBidi" w:hAnsiTheme="majorBidi" w:cstheme="majorBidi"/>
          <w:lang w:val="ru-RU"/>
        </w:rPr>
      </w:pPr>
      <w:proofErr w:type="spellStart"/>
      <w:r w:rsidRPr="00271D06">
        <w:rPr>
          <w:rFonts w:asciiTheme="majorBidi" w:hAnsiTheme="majorBidi" w:cstheme="majorBidi"/>
          <w:smallCaps/>
          <w:lang w:val="ru-RU"/>
        </w:rPr>
        <w:t>Тункин</w:t>
      </w:r>
      <w:proofErr w:type="spellEnd"/>
      <w:r w:rsidRPr="000F53DA">
        <w:rPr>
          <w:lang w:val="ru-RU"/>
        </w:rPr>
        <w:t>, Г</w:t>
      </w:r>
      <w:r w:rsidRPr="008C3992">
        <w:rPr>
          <w:lang w:val="ru-RU"/>
        </w:rPr>
        <w:t xml:space="preserve">. </w:t>
      </w:r>
      <w:r w:rsidRPr="000F53DA">
        <w:rPr>
          <w:lang w:val="ru-RU"/>
        </w:rPr>
        <w:t>И</w:t>
      </w:r>
      <w:r w:rsidRPr="009426A8">
        <w:rPr>
          <w:lang w:val="ru-RU"/>
        </w:rPr>
        <w:t>.</w:t>
      </w:r>
      <w:r w:rsidRPr="000F53DA">
        <w:rPr>
          <w:lang w:val="ru-RU"/>
        </w:rPr>
        <w:t xml:space="preserve"> </w:t>
      </w:r>
      <w:r w:rsidRPr="000F53DA">
        <w:rPr>
          <w:rFonts w:asciiTheme="majorBidi" w:hAnsiTheme="majorBidi" w:cstheme="majorBidi"/>
          <w:lang w:val="ru-RU"/>
        </w:rPr>
        <w:t>“</w:t>
      </w:r>
      <w:r w:rsidRPr="000F53DA">
        <w:rPr>
          <w:lang w:val="ru-RU"/>
        </w:rPr>
        <w:t>Ответственность государства по современному международному праву</w:t>
      </w:r>
      <w:r w:rsidRPr="000F53DA">
        <w:rPr>
          <w:rFonts w:asciiTheme="majorBidi" w:hAnsiTheme="majorBidi" w:cstheme="majorBidi"/>
          <w:lang w:val="ru-RU"/>
        </w:rPr>
        <w:t>”</w:t>
      </w:r>
      <w:r w:rsidRPr="00271D06">
        <w:rPr>
          <w:rFonts w:asciiTheme="majorBidi" w:hAnsiTheme="majorBidi" w:cstheme="majorBidi"/>
          <w:lang w:val="ru-RU"/>
        </w:rPr>
        <w:t>,</w:t>
      </w:r>
      <w:r w:rsidRPr="000F53DA">
        <w:rPr>
          <w:lang w:val="ru-RU"/>
        </w:rPr>
        <w:t xml:space="preserve"> </w:t>
      </w:r>
      <w:r w:rsidRPr="000F53DA">
        <w:rPr>
          <w:i/>
          <w:iCs/>
          <w:lang w:val="ru-RU"/>
        </w:rPr>
        <w:t>Теория международного права</w:t>
      </w:r>
      <w:r w:rsidRPr="00271D06">
        <w:rPr>
          <w:lang w:val="ru-RU"/>
        </w:rPr>
        <w:t>,</w:t>
      </w:r>
      <w:r w:rsidRPr="000F53DA">
        <w:rPr>
          <w:lang w:val="ru-RU"/>
        </w:rPr>
        <w:t xml:space="preserve"> Зерцало</w:t>
      </w:r>
      <w:r w:rsidRPr="00271D06">
        <w:rPr>
          <w:lang w:val="ru-RU"/>
        </w:rPr>
        <w:t>,</w:t>
      </w:r>
      <w:r w:rsidRPr="000F53DA">
        <w:rPr>
          <w:lang w:val="ru-RU"/>
        </w:rPr>
        <w:t xml:space="preserve"> 2000.</w:t>
      </w:r>
    </w:p>
    <w:p w14:paraId="736F3063" w14:textId="77777777" w:rsidR="00164B95" w:rsidRPr="000F53DA" w:rsidRDefault="00164B95" w:rsidP="00164B95">
      <w:pPr>
        <w:pStyle w:val="SingleTxtG"/>
        <w:rPr>
          <w:rFonts w:asciiTheme="majorBidi" w:hAnsiTheme="majorBidi" w:cstheme="majorBidi"/>
          <w:lang w:val="lv-LV"/>
        </w:rPr>
      </w:pPr>
      <w:r w:rsidRPr="00271D06">
        <w:rPr>
          <w:rFonts w:asciiTheme="majorBidi" w:hAnsiTheme="majorBidi" w:cstheme="majorBidi"/>
          <w:smallCaps/>
          <w:lang w:val="ru-RU"/>
        </w:rPr>
        <w:t>Ушаков</w:t>
      </w:r>
      <w:r w:rsidRPr="000F53DA">
        <w:rPr>
          <w:rFonts w:asciiTheme="majorBidi" w:hAnsiTheme="majorBidi" w:cstheme="majorBidi"/>
          <w:lang w:val="ru-RU"/>
        </w:rPr>
        <w:t>, Н</w:t>
      </w:r>
      <w:r w:rsidRPr="008C3992">
        <w:rPr>
          <w:rFonts w:asciiTheme="majorBidi" w:hAnsiTheme="majorBidi" w:cstheme="majorBidi"/>
          <w:lang w:val="ru-RU"/>
        </w:rPr>
        <w:t xml:space="preserve">. </w:t>
      </w:r>
      <w:r w:rsidRPr="000F53DA">
        <w:rPr>
          <w:rFonts w:asciiTheme="majorBidi" w:hAnsiTheme="majorBidi" w:cstheme="majorBidi"/>
          <w:lang w:val="ru-RU"/>
        </w:rPr>
        <w:t>А</w:t>
      </w:r>
      <w:r w:rsidRPr="00271D06">
        <w:rPr>
          <w:rFonts w:asciiTheme="majorBidi" w:hAnsiTheme="majorBidi" w:cstheme="majorBidi"/>
          <w:lang w:val="ru-RU"/>
        </w:rPr>
        <w:t>.</w:t>
      </w:r>
      <w:r w:rsidRPr="000F53DA">
        <w:rPr>
          <w:rFonts w:asciiTheme="majorBidi" w:hAnsiTheme="majorBidi" w:cstheme="majorBidi"/>
          <w:lang w:val="ru-RU"/>
        </w:rPr>
        <w:t xml:space="preserve"> </w:t>
      </w:r>
      <w:r w:rsidRPr="000F53DA">
        <w:rPr>
          <w:rFonts w:asciiTheme="majorBidi" w:hAnsiTheme="majorBidi" w:cstheme="majorBidi"/>
          <w:i/>
          <w:iCs/>
          <w:lang w:val="ru-RU"/>
        </w:rPr>
        <w:t>Основания международной ответственности государств</w:t>
      </w:r>
      <w:r w:rsidRPr="00271D06">
        <w:rPr>
          <w:rFonts w:asciiTheme="majorBidi" w:hAnsiTheme="majorBidi" w:cstheme="majorBidi"/>
          <w:iCs/>
          <w:lang w:val="ru-RU"/>
        </w:rPr>
        <w:t>,</w:t>
      </w:r>
      <w:r w:rsidRPr="000F53DA">
        <w:rPr>
          <w:rFonts w:asciiTheme="majorBidi" w:hAnsiTheme="majorBidi" w:cstheme="majorBidi"/>
          <w:lang w:val="ru-RU"/>
        </w:rPr>
        <w:t xml:space="preserve"> Международные отношения</w:t>
      </w:r>
      <w:r w:rsidRPr="00271D06">
        <w:rPr>
          <w:rFonts w:asciiTheme="majorBidi" w:hAnsiTheme="majorBidi" w:cstheme="majorBidi"/>
          <w:lang w:val="ru-RU"/>
        </w:rPr>
        <w:t>,</w:t>
      </w:r>
      <w:r w:rsidRPr="000F53DA">
        <w:rPr>
          <w:rFonts w:asciiTheme="majorBidi" w:hAnsiTheme="majorBidi" w:cstheme="majorBidi"/>
          <w:lang w:val="ru-RU"/>
        </w:rPr>
        <w:t xml:space="preserve"> 1983.</w:t>
      </w:r>
    </w:p>
    <w:p w14:paraId="0BA0474B" w14:textId="77777777" w:rsidR="00164B95" w:rsidRPr="000F53DA" w:rsidRDefault="00164B95" w:rsidP="00164B95">
      <w:pPr>
        <w:pStyle w:val="SingleTxtG"/>
        <w:rPr>
          <w:rFonts w:asciiTheme="majorBidi" w:hAnsiTheme="majorBidi" w:cstheme="majorBidi"/>
          <w:lang w:val="lv-LV"/>
        </w:rPr>
      </w:pPr>
      <w:r w:rsidRPr="00271D06">
        <w:rPr>
          <w:rFonts w:asciiTheme="majorBidi" w:eastAsia="Calibri" w:hAnsiTheme="majorBidi" w:cstheme="majorBidi"/>
          <w:lang w:val="ru-RU"/>
        </w:rPr>
        <w:t xml:space="preserve">—— </w:t>
      </w:r>
      <w:r w:rsidRPr="000F53DA">
        <w:rPr>
          <w:lang w:val="ru-RU"/>
        </w:rPr>
        <w:t>(</w:t>
      </w:r>
      <w:proofErr w:type="spellStart"/>
      <w:r w:rsidRPr="000F53DA">
        <w:rPr>
          <w:lang w:val="ru-RU"/>
        </w:rPr>
        <w:t>отв</w:t>
      </w:r>
      <w:proofErr w:type="spellEnd"/>
      <w:r w:rsidRPr="000F53DA">
        <w:rPr>
          <w:lang w:val="ru-RU"/>
        </w:rPr>
        <w:t xml:space="preserve"> </w:t>
      </w:r>
      <w:proofErr w:type="spellStart"/>
      <w:r w:rsidRPr="000F53DA">
        <w:rPr>
          <w:lang w:val="ru-RU"/>
        </w:rPr>
        <w:t>ред</w:t>
      </w:r>
      <w:proofErr w:type="spellEnd"/>
      <w:r w:rsidRPr="000F53DA">
        <w:rPr>
          <w:lang w:val="ru-RU"/>
        </w:rPr>
        <w:t xml:space="preserve">), </w:t>
      </w:r>
      <w:r w:rsidRPr="00271D06">
        <w:rPr>
          <w:rFonts w:asciiTheme="majorBidi" w:hAnsiTheme="majorBidi" w:cstheme="majorBidi"/>
          <w:lang w:val="ru-RU"/>
        </w:rPr>
        <w:t>“</w:t>
      </w:r>
      <w:r w:rsidRPr="000F53DA">
        <w:rPr>
          <w:lang w:val="ru-RU"/>
        </w:rPr>
        <w:t>Ответственность в международном праве</w:t>
      </w:r>
      <w:r w:rsidRPr="00271D06">
        <w:rPr>
          <w:rFonts w:asciiTheme="majorBidi" w:hAnsiTheme="majorBidi" w:cstheme="majorBidi"/>
          <w:lang w:val="ru-RU"/>
        </w:rPr>
        <w:t>”,</w:t>
      </w:r>
      <w:r w:rsidRPr="000F53DA">
        <w:rPr>
          <w:lang w:val="ru-RU"/>
        </w:rPr>
        <w:t xml:space="preserve"> </w:t>
      </w:r>
      <w:r w:rsidRPr="000F53DA">
        <w:rPr>
          <w:i/>
          <w:iCs/>
          <w:lang w:val="ru-RU"/>
        </w:rPr>
        <w:t>Курс международного права</w:t>
      </w:r>
      <w:r w:rsidRPr="00271D06">
        <w:rPr>
          <w:lang w:val="ru-RU"/>
        </w:rPr>
        <w:t>,</w:t>
      </w:r>
      <w:r w:rsidRPr="000F53DA">
        <w:rPr>
          <w:lang w:val="ru-RU"/>
        </w:rPr>
        <w:t xml:space="preserve"> в 7 т, Т 3, Институт государства и права</w:t>
      </w:r>
      <w:r w:rsidRPr="00271D06">
        <w:rPr>
          <w:lang w:val="ru-RU"/>
        </w:rPr>
        <w:t>,</w:t>
      </w:r>
      <w:r w:rsidRPr="000F53DA">
        <w:rPr>
          <w:lang w:val="ru-RU"/>
        </w:rPr>
        <w:t xml:space="preserve"> Наука</w:t>
      </w:r>
      <w:r w:rsidRPr="00271D06">
        <w:rPr>
          <w:lang w:val="ru-RU"/>
        </w:rPr>
        <w:t>,</w:t>
      </w:r>
      <w:r w:rsidRPr="000F53DA">
        <w:rPr>
          <w:lang w:val="ru-RU"/>
        </w:rPr>
        <w:t xml:space="preserve"> 1990</w:t>
      </w:r>
      <w:r w:rsidRPr="00271D06">
        <w:rPr>
          <w:lang w:val="ru-RU"/>
        </w:rPr>
        <w:t>,</w:t>
      </w:r>
      <w:r w:rsidRPr="000F53DA">
        <w:rPr>
          <w:lang w:val="ru-RU"/>
        </w:rPr>
        <w:t xml:space="preserve"> 189.</w:t>
      </w:r>
    </w:p>
    <w:p w14:paraId="1EDBCF81" w14:textId="77777777" w:rsidR="00164B95" w:rsidRPr="000F53DA" w:rsidRDefault="00164B95" w:rsidP="00164B95">
      <w:pPr>
        <w:pStyle w:val="SingleTxtG"/>
        <w:rPr>
          <w:rFonts w:asciiTheme="majorBidi" w:hAnsiTheme="majorBidi" w:cstheme="majorBidi"/>
          <w:lang w:val="ru-RU"/>
        </w:rPr>
      </w:pPr>
      <w:r w:rsidRPr="00271D06">
        <w:rPr>
          <w:rFonts w:asciiTheme="majorBidi" w:hAnsiTheme="majorBidi" w:cstheme="majorBidi"/>
          <w:smallCaps/>
          <w:lang w:val="ru-RU"/>
        </w:rPr>
        <w:t>Василенко</w:t>
      </w:r>
      <w:r w:rsidRPr="000F53DA">
        <w:rPr>
          <w:rFonts w:asciiTheme="majorBidi" w:hAnsiTheme="majorBidi" w:cstheme="majorBidi"/>
          <w:lang w:val="ru-RU"/>
        </w:rPr>
        <w:t>, В</w:t>
      </w:r>
      <w:r w:rsidRPr="008C3992">
        <w:rPr>
          <w:rFonts w:asciiTheme="majorBidi" w:hAnsiTheme="majorBidi" w:cstheme="majorBidi"/>
          <w:lang w:val="ru-RU"/>
        </w:rPr>
        <w:t xml:space="preserve">. </w:t>
      </w:r>
      <w:r w:rsidRPr="000F53DA">
        <w:rPr>
          <w:rFonts w:asciiTheme="majorBidi" w:hAnsiTheme="majorBidi" w:cstheme="majorBidi"/>
          <w:lang w:val="ru-RU"/>
        </w:rPr>
        <w:t>А</w:t>
      </w:r>
      <w:r w:rsidRPr="00271D06">
        <w:rPr>
          <w:rFonts w:asciiTheme="majorBidi" w:hAnsiTheme="majorBidi" w:cstheme="majorBidi"/>
          <w:lang w:val="lv-LV"/>
        </w:rPr>
        <w:t>.</w:t>
      </w:r>
      <w:r w:rsidRPr="000F53DA">
        <w:rPr>
          <w:rFonts w:asciiTheme="majorBidi" w:hAnsiTheme="majorBidi" w:cstheme="majorBidi"/>
          <w:lang w:val="ru-RU"/>
        </w:rPr>
        <w:t xml:space="preserve"> </w:t>
      </w:r>
      <w:r w:rsidRPr="000F53DA">
        <w:rPr>
          <w:rFonts w:asciiTheme="majorBidi" w:hAnsiTheme="majorBidi" w:cstheme="majorBidi"/>
          <w:i/>
          <w:iCs/>
          <w:lang w:val="ru-RU"/>
        </w:rPr>
        <w:t>Ответственность государства за международные правонарушения</w:t>
      </w:r>
      <w:r w:rsidRPr="00271D06">
        <w:rPr>
          <w:rFonts w:asciiTheme="majorBidi" w:hAnsiTheme="majorBidi" w:cstheme="majorBidi"/>
          <w:lang w:val="ru-RU"/>
        </w:rPr>
        <w:t>,</w:t>
      </w:r>
      <w:r w:rsidRPr="000F53DA">
        <w:rPr>
          <w:rFonts w:asciiTheme="majorBidi" w:hAnsiTheme="majorBidi" w:cstheme="majorBidi"/>
          <w:lang w:val="ru-RU"/>
        </w:rPr>
        <w:t xml:space="preserve"> </w:t>
      </w:r>
      <w:proofErr w:type="spellStart"/>
      <w:r w:rsidRPr="000F53DA">
        <w:rPr>
          <w:rFonts w:asciiTheme="majorBidi" w:hAnsiTheme="majorBidi" w:cstheme="majorBidi"/>
          <w:lang w:val="ru-RU"/>
        </w:rPr>
        <w:t>Выща</w:t>
      </w:r>
      <w:proofErr w:type="spellEnd"/>
      <w:r w:rsidRPr="000F53DA">
        <w:rPr>
          <w:rFonts w:asciiTheme="majorBidi" w:hAnsiTheme="majorBidi" w:cstheme="majorBidi"/>
          <w:lang w:val="ru-RU"/>
        </w:rPr>
        <w:t xml:space="preserve"> школа</w:t>
      </w:r>
      <w:r w:rsidRPr="00271D06">
        <w:rPr>
          <w:rFonts w:asciiTheme="majorBidi" w:hAnsiTheme="majorBidi" w:cstheme="majorBidi"/>
          <w:lang w:val="ru-RU"/>
        </w:rPr>
        <w:t>,</w:t>
      </w:r>
      <w:r w:rsidRPr="000F53DA">
        <w:rPr>
          <w:rFonts w:asciiTheme="majorBidi" w:hAnsiTheme="majorBidi" w:cstheme="majorBidi"/>
          <w:lang w:val="ru-RU"/>
        </w:rPr>
        <w:t xml:space="preserve"> 1976.</w:t>
      </w:r>
    </w:p>
    <w:p w14:paraId="71B457BC"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lv-LV"/>
        </w:rPr>
        <w:t>Uprimny-Yepes</w:t>
      </w:r>
      <w:r w:rsidRPr="000F53DA">
        <w:rPr>
          <w:rFonts w:asciiTheme="majorBidi" w:hAnsiTheme="majorBidi" w:cstheme="majorBidi"/>
          <w:lang w:val="lv-LV"/>
        </w:rPr>
        <w:t xml:space="preserve">, </w:t>
      </w:r>
      <w:r w:rsidRPr="00271D06">
        <w:rPr>
          <w:rFonts w:asciiTheme="majorBidi" w:hAnsiTheme="majorBidi" w:cstheme="majorBidi"/>
          <w:lang w:val="lv-LV"/>
        </w:rPr>
        <w:t>R. “Transformative reparations of massive gross human rights violations: between corrective and distr</w:t>
      </w:r>
      <w:proofErr w:type="spellStart"/>
      <w:r w:rsidRPr="00271D06">
        <w:rPr>
          <w:rFonts w:asciiTheme="majorBidi" w:hAnsiTheme="majorBidi" w:cstheme="majorBidi"/>
          <w:lang w:val="en-US"/>
        </w:rPr>
        <w:t>ibutive</w:t>
      </w:r>
      <w:proofErr w:type="spellEnd"/>
      <w:r w:rsidRPr="00271D06">
        <w:rPr>
          <w:rFonts w:asciiTheme="majorBidi" w:hAnsiTheme="majorBidi" w:cstheme="majorBidi"/>
          <w:lang w:val="en-US"/>
        </w:rPr>
        <w:t xml:space="preserve"> justice”, </w:t>
      </w:r>
      <w:r w:rsidRPr="00271D06">
        <w:rPr>
          <w:rFonts w:asciiTheme="majorBidi" w:hAnsiTheme="majorBidi" w:cstheme="majorBidi"/>
          <w:i/>
          <w:iCs/>
          <w:lang w:val="en-US"/>
        </w:rPr>
        <w:t>Netherlands Quarterly on Human Rights</w:t>
      </w:r>
      <w:r w:rsidRPr="00271D06">
        <w:rPr>
          <w:rFonts w:asciiTheme="majorBidi" w:hAnsiTheme="majorBidi" w:cstheme="majorBidi"/>
          <w:lang w:val="en-US"/>
        </w:rPr>
        <w:t>, vol. 27 (2009), p. 625.</w:t>
      </w:r>
    </w:p>
    <w:p w14:paraId="2E96B944" w14:textId="77777777" w:rsidR="00164B95" w:rsidRPr="00271D06" w:rsidRDefault="00164B95" w:rsidP="00164B95">
      <w:pPr>
        <w:pStyle w:val="SingleTxtG"/>
        <w:rPr>
          <w:rFonts w:asciiTheme="majorBidi" w:hAnsiTheme="majorBidi" w:cstheme="majorBidi"/>
          <w:lang w:val="en-US"/>
        </w:rPr>
      </w:pPr>
      <w:r w:rsidRPr="00271D06">
        <w:rPr>
          <w:rFonts w:asciiTheme="majorBidi" w:hAnsiTheme="majorBidi" w:cstheme="majorBidi"/>
          <w:smallCaps/>
          <w:lang w:val="en-US"/>
        </w:rPr>
        <w:t>Whiteman</w:t>
      </w:r>
      <w:r w:rsidRPr="00271D06">
        <w:rPr>
          <w:rFonts w:asciiTheme="majorBidi" w:hAnsiTheme="majorBidi" w:cstheme="majorBidi"/>
          <w:lang w:val="en-US"/>
        </w:rPr>
        <w:t xml:space="preserve">, M. M. </w:t>
      </w:r>
      <w:r w:rsidRPr="00271D06">
        <w:rPr>
          <w:rFonts w:asciiTheme="majorBidi" w:hAnsiTheme="majorBidi" w:cstheme="majorBidi"/>
          <w:i/>
          <w:iCs/>
          <w:lang w:val="en-US"/>
        </w:rPr>
        <w:t>Damages in International Law</w:t>
      </w:r>
      <w:r w:rsidRPr="00271D06">
        <w:rPr>
          <w:rFonts w:asciiTheme="majorBidi" w:hAnsiTheme="majorBidi" w:cstheme="majorBidi"/>
          <w:lang w:val="en-US"/>
        </w:rPr>
        <w:t>,</w:t>
      </w:r>
      <w:r w:rsidRPr="00271D06">
        <w:rPr>
          <w:rFonts w:asciiTheme="majorBidi" w:hAnsiTheme="majorBidi" w:cstheme="majorBidi"/>
          <w:i/>
          <w:iCs/>
          <w:lang w:val="en-US"/>
        </w:rPr>
        <w:t xml:space="preserve"> </w:t>
      </w:r>
      <w:r w:rsidRPr="00271D06">
        <w:rPr>
          <w:rFonts w:asciiTheme="majorBidi" w:hAnsiTheme="majorBidi" w:cstheme="majorBidi"/>
          <w:lang w:val="en-US"/>
        </w:rPr>
        <w:t>vols. I–II, Washington D.C., United States Government Printing Office, 1937, and vol. III, 1943.</w:t>
      </w:r>
    </w:p>
    <w:p w14:paraId="674E23D1" w14:textId="77777777" w:rsidR="00164B95" w:rsidRPr="000F53DA" w:rsidRDefault="00164B95" w:rsidP="00164B95">
      <w:pPr>
        <w:pStyle w:val="SingleTxtG"/>
        <w:rPr>
          <w:rFonts w:asciiTheme="majorBidi" w:hAnsiTheme="majorBidi" w:cstheme="majorBidi"/>
          <w:lang w:val="en-CA"/>
        </w:rPr>
      </w:pPr>
      <w:r w:rsidRPr="00271D06">
        <w:rPr>
          <w:rFonts w:asciiTheme="majorBidi" w:hAnsiTheme="majorBidi" w:cstheme="majorBidi"/>
          <w:smallCaps/>
          <w:lang w:val="en-CA"/>
        </w:rPr>
        <w:t>Wittich</w:t>
      </w:r>
      <w:r w:rsidRPr="000F53DA">
        <w:rPr>
          <w:rFonts w:asciiTheme="majorBidi" w:hAnsiTheme="majorBidi" w:cstheme="majorBidi"/>
          <w:lang w:val="en-CA"/>
        </w:rPr>
        <w:t xml:space="preserve">, S. “Non-material damage and monetary reparation in international law”, </w:t>
      </w:r>
      <w:r w:rsidRPr="00271D06">
        <w:rPr>
          <w:rFonts w:asciiTheme="majorBidi" w:hAnsiTheme="majorBidi" w:cstheme="majorBidi"/>
          <w:i/>
          <w:iCs/>
          <w:lang w:val="en-CA"/>
        </w:rPr>
        <w:t>Finnish Yearbook of International Law</w:t>
      </w:r>
      <w:r w:rsidRPr="000F53DA">
        <w:rPr>
          <w:rFonts w:asciiTheme="majorBidi" w:hAnsiTheme="majorBidi" w:cstheme="majorBidi"/>
          <w:lang w:val="en-CA"/>
        </w:rPr>
        <w:t>, vol. 15 (2004), p. 321.</w:t>
      </w:r>
    </w:p>
    <w:p w14:paraId="3BC0F905" w14:textId="77777777" w:rsidR="00164B95" w:rsidRPr="00271D06" w:rsidRDefault="00164B95" w:rsidP="00164B95">
      <w:pPr>
        <w:pStyle w:val="SingleTxtG"/>
        <w:rPr>
          <w:rFonts w:asciiTheme="majorBidi" w:eastAsia="Calibri" w:hAnsiTheme="majorBidi" w:cstheme="majorBidi"/>
          <w:lang w:val="en-US"/>
        </w:rPr>
      </w:pPr>
      <w:r w:rsidRPr="00164B95">
        <w:rPr>
          <w:rFonts w:asciiTheme="majorBidi" w:eastAsia="Calibri" w:hAnsiTheme="majorBidi" w:cstheme="majorBidi"/>
          <w:lang w:val="en-US"/>
        </w:rPr>
        <w:t xml:space="preserve">—— . “Punitive damages”, </w:t>
      </w:r>
      <w:r w:rsidRPr="00164B95">
        <w:rPr>
          <w:rFonts w:asciiTheme="majorBidi" w:eastAsia="Calibri" w:hAnsiTheme="majorBidi" w:cstheme="majorBidi"/>
          <w:i/>
          <w:iCs/>
          <w:lang w:val="en-US"/>
        </w:rPr>
        <w:t>in</w:t>
      </w:r>
      <w:r w:rsidRPr="00164B95">
        <w:rPr>
          <w:rFonts w:asciiTheme="majorBidi" w:eastAsia="Calibri" w:hAnsiTheme="majorBidi" w:cstheme="majorBidi"/>
          <w:lang w:val="en-US"/>
        </w:rPr>
        <w:t xml:space="preserve"> J. Crawford, </w:t>
      </w:r>
      <w:r w:rsidRPr="00164B95">
        <w:rPr>
          <w:rFonts w:eastAsia="Calibri"/>
          <w:i/>
          <w:kern w:val="2"/>
          <w:lang w:val="en-US"/>
          <w14:ligatures w14:val="standardContextual"/>
        </w:rPr>
        <w:t>et al.</w:t>
      </w:r>
      <w:r w:rsidRPr="00164B95">
        <w:rPr>
          <w:rFonts w:asciiTheme="majorBidi" w:eastAsia="Calibri" w:hAnsiTheme="majorBidi" w:cstheme="majorBidi"/>
          <w:lang w:val="en-US"/>
        </w:rPr>
        <w:t xml:space="preserve"> </w:t>
      </w:r>
      <w:r w:rsidRPr="00271D06">
        <w:rPr>
          <w:rFonts w:asciiTheme="majorBidi" w:eastAsia="Calibri" w:hAnsiTheme="majorBidi" w:cstheme="majorBidi"/>
          <w:lang w:val="en-US"/>
        </w:rPr>
        <w:t>(eds.), </w:t>
      </w:r>
      <w:r w:rsidRPr="00271D06">
        <w:rPr>
          <w:rFonts w:asciiTheme="majorBidi" w:eastAsia="Calibri" w:hAnsiTheme="majorBidi" w:cstheme="majorBidi"/>
          <w:i/>
          <w:iCs/>
          <w:lang w:val="en-US"/>
        </w:rPr>
        <w:t>The Law of International Responsibility</w:t>
      </w:r>
      <w:r w:rsidRPr="00271D06">
        <w:rPr>
          <w:rFonts w:asciiTheme="majorBidi" w:eastAsia="Calibri" w:hAnsiTheme="majorBidi" w:cstheme="majorBidi"/>
          <w:lang w:val="en-US"/>
        </w:rPr>
        <w:t>, Oxford University Press, 2010, p. 537.</w:t>
      </w:r>
    </w:p>
    <w:p w14:paraId="751E0476" w14:textId="77777777" w:rsidR="00164B95" w:rsidRPr="000F53DA" w:rsidRDefault="00164B95" w:rsidP="00164B95">
      <w:pPr>
        <w:pStyle w:val="SingleTxtG"/>
        <w:rPr>
          <w:rFonts w:asciiTheme="majorBidi" w:hAnsiTheme="majorBidi" w:cstheme="majorBidi"/>
          <w:lang w:val="de-DE"/>
        </w:rPr>
      </w:pPr>
      <w:r w:rsidRPr="000F53DA">
        <w:rPr>
          <w:rFonts w:asciiTheme="majorBidi" w:hAnsiTheme="majorBidi" w:cstheme="majorBidi"/>
          <w:lang w:val="de-DE"/>
        </w:rPr>
        <w:t xml:space="preserve">Wolf, J. “Gibt es im Völkerrecht einen einheitlichen Schadensbegriff?”, </w:t>
      </w:r>
      <w:r w:rsidRPr="00271D06">
        <w:rPr>
          <w:rFonts w:asciiTheme="majorBidi" w:hAnsiTheme="majorBidi" w:cstheme="majorBidi"/>
          <w:i/>
          <w:iCs/>
          <w:lang w:val="de-DE"/>
        </w:rPr>
        <w:t>Zeitschrift für ausländisches öffentliches Recht und Völkerrecht</w:t>
      </w:r>
      <w:r w:rsidRPr="000F53DA">
        <w:rPr>
          <w:rFonts w:asciiTheme="majorBidi" w:hAnsiTheme="majorBidi" w:cstheme="majorBidi"/>
          <w:lang w:val="de-DE"/>
        </w:rPr>
        <w:t>, vol. 49 (1989), p. 403.</w:t>
      </w:r>
    </w:p>
    <w:p w14:paraId="1B9E264B" w14:textId="79DD66F2" w:rsidR="00164B95" w:rsidRPr="000F53DA" w:rsidRDefault="00164B95" w:rsidP="00164B95">
      <w:pPr>
        <w:pStyle w:val="SingleTxtG"/>
        <w:rPr>
          <w:rFonts w:asciiTheme="majorBidi" w:hAnsiTheme="majorBidi" w:cstheme="majorBidi"/>
          <w:lang w:val="de-DE"/>
        </w:rPr>
      </w:pPr>
      <w:proofErr w:type="spellStart"/>
      <w:r w:rsidRPr="000F53DA">
        <w:rPr>
          <w:rFonts w:asciiTheme="majorBidi" w:eastAsia="MS Gothic" w:hAnsiTheme="majorBidi" w:cstheme="majorBidi" w:hint="eastAsia"/>
        </w:rPr>
        <w:t>薛捍勤</w:t>
      </w:r>
      <w:proofErr w:type="spellEnd"/>
      <w:r w:rsidRPr="000F53DA">
        <w:rPr>
          <w:rFonts w:asciiTheme="majorBidi" w:hAnsiTheme="majorBidi" w:cstheme="majorBidi"/>
          <w:lang w:val="de-DE"/>
        </w:rPr>
        <w:t xml:space="preserve">. </w:t>
      </w:r>
      <w:r w:rsidR="004C5E26">
        <w:rPr>
          <w:rFonts w:asciiTheme="majorBidi" w:hAnsiTheme="majorBidi" w:cstheme="majorBidi"/>
          <w:lang w:val="de-DE"/>
        </w:rPr>
        <w:t>‘</w:t>
      </w:r>
      <w:proofErr w:type="spellStart"/>
      <w:r w:rsidRPr="000F53DA">
        <w:rPr>
          <w:rFonts w:asciiTheme="majorBidi" w:eastAsia="MS Gothic" w:hAnsiTheme="majorBidi" w:cstheme="majorBidi" w:hint="eastAsia"/>
        </w:rPr>
        <w:t>国家</w:t>
      </w:r>
      <w:r w:rsidRPr="000F53DA">
        <w:rPr>
          <w:rFonts w:asciiTheme="majorBidi" w:eastAsia="Microsoft JhengHei" w:hAnsiTheme="majorBidi" w:cstheme="majorBidi" w:hint="eastAsia"/>
        </w:rPr>
        <w:t>责任与</w:t>
      </w:r>
      <w:proofErr w:type="spellEnd"/>
      <w:r w:rsidRPr="000F53DA">
        <w:rPr>
          <w:rFonts w:asciiTheme="majorBidi" w:hAnsiTheme="majorBidi" w:cstheme="majorBidi"/>
          <w:lang w:val="de-DE"/>
        </w:rPr>
        <w:t>“</w:t>
      </w:r>
      <w:proofErr w:type="spellStart"/>
      <w:r w:rsidRPr="000F53DA">
        <w:rPr>
          <w:rFonts w:asciiTheme="majorBidi" w:eastAsia="Microsoft JhengHei" w:hAnsiTheme="majorBidi" w:cstheme="majorBidi" w:hint="eastAsia"/>
        </w:rPr>
        <w:t>对国际社会整体的义务</w:t>
      </w:r>
      <w:proofErr w:type="spellEnd"/>
      <w:r w:rsidRPr="000F53DA">
        <w:rPr>
          <w:rFonts w:asciiTheme="majorBidi" w:hAnsiTheme="majorBidi" w:cstheme="majorBidi"/>
          <w:lang w:val="de-DE"/>
        </w:rPr>
        <w:t xml:space="preserve">” (2004) </w:t>
      </w:r>
      <w:proofErr w:type="spellStart"/>
      <w:r w:rsidRPr="000F53DA">
        <w:rPr>
          <w:rFonts w:asciiTheme="majorBidi" w:eastAsia="MS Gothic" w:hAnsiTheme="majorBidi" w:cstheme="majorBidi" w:hint="eastAsia"/>
        </w:rPr>
        <w:t>中国国</w:t>
      </w:r>
      <w:r w:rsidRPr="000F53DA">
        <w:rPr>
          <w:rFonts w:asciiTheme="majorBidi" w:eastAsia="Microsoft JhengHei" w:hAnsiTheme="majorBidi" w:cstheme="majorBidi" w:hint="eastAsia"/>
        </w:rPr>
        <w:t>际法年刊</w:t>
      </w:r>
      <w:proofErr w:type="spellEnd"/>
      <w:r w:rsidRPr="000F53DA">
        <w:rPr>
          <w:rFonts w:asciiTheme="majorBidi" w:hAnsiTheme="majorBidi" w:cstheme="majorBidi"/>
          <w:lang w:val="de-DE"/>
        </w:rPr>
        <w:t xml:space="preserve"> 15 [</w:t>
      </w:r>
      <w:r w:rsidRPr="00271D06">
        <w:rPr>
          <w:rFonts w:asciiTheme="majorBidi" w:hAnsiTheme="majorBidi" w:cstheme="majorBidi"/>
          <w:smallCaps/>
          <w:lang w:val="de-DE"/>
        </w:rPr>
        <w:t>Xue</w:t>
      </w:r>
      <w:r w:rsidRPr="000F53DA">
        <w:rPr>
          <w:rFonts w:asciiTheme="majorBidi" w:hAnsiTheme="majorBidi" w:cstheme="majorBidi"/>
          <w:smallCaps/>
          <w:lang w:val="de-DE"/>
        </w:rPr>
        <w:t>,</w:t>
      </w:r>
      <w:r w:rsidRPr="000F53DA">
        <w:rPr>
          <w:rFonts w:asciiTheme="majorBidi" w:hAnsiTheme="majorBidi" w:cstheme="majorBidi"/>
          <w:lang w:val="de-DE"/>
        </w:rPr>
        <w:t xml:space="preserve"> H. </w:t>
      </w:r>
      <w:r w:rsidRPr="00271D06">
        <w:rPr>
          <w:rFonts w:asciiTheme="majorBidi" w:hAnsiTheme="majorBidi" w:cstheme="majorBidi"/>
          <w:lang w:val="de-DE"/>
        </w:rPr>
        <w:t>“</w:t>
      </w:r>
      <w:r w:rsidRPr="000F53DA">
        <w:rPr>
          <w:rFonts w:asciiTheme="majorBidi" w:hAnsiTheme="majorBidi" w:cstheme="majorBidi"/>
          <w:lang w:val="de-DE"/>
        </w:rPr>
        <w:t xml:space="preserve">State </w:t>
      </w:r>
      <w:proofErr w:type="spellStart"/>
      <w:r w:rsidRPr="000F53DA">
        <w:rPr>
          <w:rFonts w:asciiTheme="majorBidi" w:hAnsiTheme="majorBidi" w:cstheme="majorBidi"/>
          <w:lang w:val="de-DE"/>
        </w:rPr>
        <w:t>responsibility</w:t>
      </w:r>
      <w:proofErr w:type="spellEnd"/>
      <w:r w:rsidRPr="000F53DA">
        <w:rPr>
          <w:rFonts w:asciiTheme="majorBidi" w:hAnsiTheme="majorBidi" w:cstheme="majorBidi"/>
          <w:lang w:val="de-DE"/>
        </w:rPr>
        <w:t xml:space="preserve"> and </w:t>
      </w:r>
      <w:r w:rsidR="004C5E26">
        <w:rPr>
          <w:rFonts w:asciiTheme="majorBidi" w:hAnsiTheme="majorBidi" w:cstheme="majorBidi"/>
          <w:lang w:val="de-DE"/>
        </w:rPr>
        <w:t>‘</w:t>
      </w:r>
      <w:r w:rsidRPr="000F53DA">
        <w:rPr>
          <w:rFonts w:asciiTheme="majorBidi" w:hAnsiTheme="majorBidi" w:cstheme="majorBidi"/>
          <w:lang w:val="de-DE"/>
        </w:rPr>
        <w:t xml:space="preserve">erga omnes </w:t>
      </w:r>
      <w:proofErr w:type="spellStart"/>
      <w:r w:rsidRPr="000F53DA">
        <w:rPr>
          <w:rFonts w:asciiTheme="majorBidi" w:hAnsiTheme="majorBidi" w:cstheme="majorBidi"/>
          <w:lang w:val="de-DE"/>
        </w:rPr>
        <w:t>obligation</w:t>
      </w:r>
      <w:proofErr w:type="spellEnd"/>
      <w:r w:rsidR="004C5E26">
        <w:rPr>
          <w:rFonts w:asciiTheme="majorBidi" w:hAnsiTheme="majorBidi" w:cstheme="majorBidi"/>
          <w:lang w:val="de-DE"/>
        </w:rPr>
        <w:t>’</w:t>
      </w:r>
      <w:r w:rsidRPr="000F53DA">
        <w:rPr>
          <w:rFonts w:asciiTheme="majorBidi" w:hAnsiTheme="majorBidi" w:cstheme="majorBidi"/>
          <w:lang w:val="de-DE"/>
        </w:rPr>
        <w:t xml:space="preserve">”, </w:t>
      </w:r>
      <w:r w:rsidRPr="00271D06">
        <w:rPr>
          <w:rFonts w:asciiTheme="majorBidi" w:hAnsiTheme="majorBidi" w:cstheme="majorBidi"/>
          <w:i/>
          <w:iCs/>
          <w:lang w:val="de-DE"/>
        </w:rPr>
        <w:t xml:space="preserve">Chinese </w:t>
      </w:r>
      <w:proofErr w:type="spellStart"/>
      <w:r w:rsidRPr="00271D06">
        <w:rPr>
          <w:rFonts w:asciiTheme="majorBidi" w:hAnsiTheme="majorBidi" w:cstheme="majorBidi"/>
          <w:i/>
          <w:iCs/>
          <w:lang w:val="de-DE"/>
        </w:rPr>
        <w:t>Yearbook</w:t>
      </w:r>
      <w:proofErr w:type="spellEnd"/>
      <w:r w:rsidRPr="00271D06">
        <w:rPr>
          <w:rFonts w:asciiTheme="majorBidi" w:hAnsiTheme="majorBidi" w:cstheme="majorBidi"/>
          <w:i/>
          <w:iCs/>
          <w:lang w:val="de-DE"/>
        </w:rPr>
        <w:t xml:space="preserve"> of International Law</w:t>
      </w:r>
      <w:r w:rsidRPr="000F53DA">
        <w:rPr>
          <w:rFonts w:asciiTheme="majorBidi" w:hAnsiTheme="majorBidi" w:cstheme="majorBidi"/>
          <w:lang w:val="de-DE"/>
        </w:rPr>
        <w:t>, vol. 15 (2004)].</w:t>
      </w:r>
    </w:p>
    <w:p w14:paraId="1D2FD5CD" w14:textId="77777777" w:rsidR="00164B95" w:rsidRPr="00990CBB" w:rsidRDefault="00164B95" w:rsidP="00164B95">
      <w:pPr>
        <w:pStyle w:val="SingleTxtG"/>
        <w:rPr>
          <w:rFonts w:asciiTheme="majorBidi" w:hAnsiTheme="majorBidi" w:cstheme="majorBidi"/>
          <w:lang w:val="de-DE"/>
        </w:rPr>
      </w:pPr>
      <w:r w:rsidRPr="00990CBB">
        <w:rPr>
          <w:rFonts w:asciiTheme="majorBidi" w:hAnsiTheme="majorBidi" w:cstheme="majorBidi"/>
          <w:smallCaps/>
          <w:lang w:val="de-DE"/>
        </w:rPr>
        <w:t>Xue,</w:t>
      </w:r>
      <w:r w:rsidRPr="00990CBB">
        <w:rPr>
          <w:rFonts w:asciiTheme="majorBidi" w:hAnsiTheme="majorBidi" w:cstheme="majorBidi"/>
          <w:lang w:val="de-DE"/>
        </w:rPr>
        <w:t xml:space="preserve"> H. </w:t>
      </w:r>
      <w:proofErr w:type="spellStart"/>
      <w:r w:rsidRPr="00990CBB">
        <w:rPr>
          <w:rFonts w:asciiTheme="majorBidi" w:hAnsiTheme="majorBidi" w:cstheme="majorBidi"/>
          <w:i/>
          <w:iCs/>
          <w:lang w:val="de-DE"/>
        </w:rPr>
        <w:t>Transboundary</w:t>
      </w:r>
      <w:proofErr w:type="spellEnd"/>
      <w:r w:rsidRPr="00990CBB">
        <w:rPr>
          <w:rFonts w:asciiTheme="majorBidi" w:hAnsiTheme="majorBidi" w:cstheme="majorBidi"/>
          <w:i/>
          <w:iCs/>
          <w:lang w:val="de-DE"/>
        </w:rPr>
        <w:t xml:space="preserve"> Damage in International Law</w:t>
      </w:r>
      <w:r w:rsidRPr="00990CBB">
        <w:rPr>
          <w:rFonts w:asciiTheme="majorBidi" w:hAnsiTheme="majorBidi" w:cstheme="majorBidi"/>
          <w:lang w:val="de-DE"/>
        </w:rPr>
        <w:t>,</w:t>
      </w:r>
      <w:r w:rsidRPr="00990CBB">
        <w:rPr>
          <w:rFonts w:asciiTheme="majorBidi" w:hAnsiTheme="majorBidi" w:cstheme="majorBidi"/>
          <w:i/>
          <w:iCs/>
          <w:lang w:val="de-DE"/>
        </w:rPr>
        <w:t xml:space="preserve"> </w:t>
      </w:r>
      <w:r w:rsidRPr="00990CBB">
        <w:rPr>
          <w:rFonts w:asciiTheme="majorBidi" w:hAnsiTheme="majorBidi" w:cstheme="majorBidi"/>
          <w:lang w:val="de-DE"/>
        </w:rPr>
        <w:t>Cambridge University Press, 2003.</w:t>
      </w:r>
    </w:p>
    <w:p w14:paraId="4F29E90C" w14:textId="3AB38C33" w:rsidR="00164B95" w:rsidRPr="00990CBB" w:rsidRDefault="00164B95" w:rsidP="00164B95">
      <w:pPr>
        <w:pStyle w:val="SingleTxtG"/>
        <w:rPr>
          <w:rFonts w:asciiTheme="majorBidi" w:hAnsiTheme="majorBidi" w:cstheme="majorBidi"/>
          <w:lang w:val="de-DE"/>
        </w:rPr>
      </w:pPr>
      <w:proofErr w:type="spellStart"/>
      <w:r w:rsidRPr="000F53DA">
        <w:rPr>
          <w:rFonts w:asciiTheme="majorBidi" w:eastAsia="MS Gothic" w:hAnsiTheme="majorBidi" w:cstheme="majorBidi" w:hint="eastAsia"/>
        </w:rPr>
        <w:t>余民才</w:t>
      </w:r>
      <w:proofErr w:type="spellEnd"/>
      <w:r w:rsidRPr="00990CBB">
        <w:rPr>
          <w:rFonts w:asciiTheme="majorBidi" w:hAnsiTheme="majorBidi" w:cstheme="majorBidi"/>
          <w:lang w:val="de-DE"/>
        </w:rPr>
        <w:t xml:space="preserve">. </w:t>
      </w:r>
      <w:r w:rsidR="004C5E26">
        <w:rPr>
          <w:rFonts w:asciiTheme="majorBidi" w:hAnsiTheme="majorBidi" w:cstheme="majorBidi"/>
          <w:lang w:val="de-DE"/>
        </w:rPr>
        <w:t>‘</w:t>
      </w:r>
      <w:proofErr w:type="spellStart"/>
      <w:r w:rsidRPr="000F53DA">
        <w:rPr>
          <w:rFonts w:asciiTheme="majorBidi" w:eastAsia="MS Gothic" w:hAnsiTheme="majorBidi" w:cstheme="majorBidi" w:hint="eastAsia"/>
        </w:rPr>
        <w:t>国家</w:t>
      </w:r>
      <w:r w:rsidRPr="000F53DA">
        <w:rPr>
          <w:rFonts w:asciiTheme="majorBidi" w:eastAsia="Microsoft JhengHei" w:hAnsiTheme="majorBidi" w:cstheme="majorBidi" w:hint="eastAsia"/>
        </w:rPr>
        <w:t>责任法的性质</w:t>
      </w:r>
      <w:proofErr w:type="spellEnd"/>
      <w:r w:rsidR="004C5E26">
        <w:rPr>
          <w:rFonts w:asciiTheme="majorBidi" w:hAnsiTheme="majorBidi" w:cstheme="majorBidi"/>
          <w:lang w:val="de-DE"/>
        </w:rPr>
        <w:t>’</w:t>
      </w:r>
      <w:r w:rsidRPr="00990CBB">
        <w:rPr>
          <w:rFonts w:asciiTheme="majorBidi" w:hAnsiTheme="majorBidi" w:cstheme="majorBidi"/>
          <w:lang w:val="de-DE"/>
        </w:rPr>
        <w:t xml:space="preserve"> (2005) 4 </w:t>
      </w:r>
      <w:proofErr w:type="spellStart"/>
      <w:r w:rsidRPr="000F53DA">
        <w:rPr>
          <w:rFonts w:asciiTheme="majorBidi" w:eastAsia="MS Gothic" w:hAnsiTheme="majorBidi" w:cstheme="majorBidi" w:hint="eastAsia"/>
        </w:rPr>
        <w:t>法学家</w:t>
      </w:r>
      <w:proofErr w:type="spellEnd"/>
      <w:r w:rsidRPr="00990CBB">
        <w:rPr>
          <w:rFonts w:asciiTheme="majorBidi" w:hAnsiTheme="majorBidi" w:cstheme="majorBidi"/>
          <w:lang w:val="de-DE"/>
        </w:rPr>
        <w:t xml:space="preserve"> 132 [</w:t>
      </w:r>
      <w:proofErr w:type="spellStart"/>
      <w:r w:rsidRPr="00990CBB">
        <w:rPr>
          <w:rFonts w:asciiTheme="majorBidi" w:hAnsiTheme="majorBidi" w:cstheme="majorBidi"/>
          <w:smallCaps/>
          <w:lang w:val="de-DE"/>
        </w:rPr>
        <w:t>Yu</w:t>
      </w:r>
      <w:proofErr w:type="spellEnd"/>
      <w:r w:rsidRPr="00990CBB">
        <w:rPr>
          <w:rFonts w:asciiTheme="majorBidi" w:hAnsiTheme="majorBidi" w:cstheme="majorBidi"/>
          <w:smallCaps/>
          <w:lang w:val="de-DE"/>
        </w:rPr>
        <w:t>,</w:t>
      </w:r>
      <w:r w:rsidRPr="00990CBB">
        <w:rPr>
          <w:rFonts w:asciiTheme="majorBidi" w:hAnsiTheme="majorBidi" w:cstheme="majorBidi"/>
          <w:lang w:val="de-DE"/>
        </w:rPr>
        <w:t xml:space="preserve"> M. “The </w:t>
      </w:r>
      <w:proofErr w:type="spellStart"/>
      <w:r w:rsidRPr="00990CBB">
        <w:rPr>
          <w:rFonts w:asciiTheme="majorBidi" w:hAnsiTheme="majorBidi" w:cstheme="majorBidi"/>
          <w:lang w:val="de-DE"/>
        </w:rPr>
        <w:t>nature</w:t>
      </w:r>
      <w:proofErr w:type="spellEnd"/>
      <w:r w:rsidRPr="00990CBB">
        <w:rPr>
          <w:rFonts w:asciiTheme="majorBidi" w:hAnsiTheme="majorBidi" w:cstheme="majorBidi"/>
          <w:lang w:val="de-DE"/>
        </w:rPr>
        <w:t xml:space="preserve"> of the law of State </w:t>
      </w:r>
      <w:proofErr w:type="spellStart"/>
      <w:r w:rsidRPr="00990CBB">
        <w:rPr>
          <w:rFonts w:asciiTheme="majorBidi" w:hAnsiTheme="majorBidi" w:cstheme="majorBidi"/>
          <w:lang w:val="de-DE"/>
        </w:rPr>
        <w:t>responsibility</w:t>
      </w:r>
      <w:proofErr w:type="spellEnd"/>
      <w:r w:rsidRPr="00990CBB">
        <w:rPr>
          <w:rFonts w:asciiTheme="majorBidi" w:hAnsiTheme="majorBidi" w:cstheme="majorBidi"/>
          <w:lang w:val="de-DE"/>
        </w:rPr>
        <w:t xml:space="preserve">”, </w:t>
      </w:r>
      <w:r w:rsidRPr="00990CBB">
        <w:rPr>
          <w:rFonts w:asciiTheme="majorBidi" w:hAnsiTheme="majorBidi" w:cstheme="majorBidi"/>
          <w:i/>
          <w:iCs/>
          <w:lang w:val="de-DE"/>
        </w:rPr>
        <w:t>The Jurist</w:t>
      </w:r>
      <w:r w:rsidRPr="00990CBB">
        <w:rPr>
          <w:rFonts w:asciiTheme="majorBidi" w:hAnsiTheme="majorBidi" w:cstheme="majorBidi"/>
          <w:lang w:val="de-DE"/>
        </w:rPr>
        <w:t>, vol. 4 (2005), p. 132].</w:t>
      </w:r>
    </w:p>
    <w:p w14:paraId="15DE4774" w14:textId="77777777" w:rsidR="00164B95" w:rsidRPr="008C3992" w:rsidRDefault="00164B95" w:rsidP="00164B95">
      <w:pPr>
        <w:pStyle w:val="SingleTxtG"/>
        <w:rPr>
          <w:rFonts w:asciiTheme="majorBidi" w:hAnsiTheme="majorBidi" w:cstheme="majorBidi"/>
          <w:lang w:val="fr-FR"/>
        </w:rPr>
      </w:pPr>
      <w:proofErr w:type="spellStart"/>
      <w:r w:rsidRPr="00990CBB">
        <w:rPr>
          <w:rFonts w:asciiTheme="majorBidi" w:hAnsiTheme="majorBidi" w:cstheme="majorBidi"/>
          <w:smallCaps/>
          <w:lang w:val="de-DE"/>
        </w:rPr>
        <w:t>Zemanek</w:t>
      </w:r>
      <w:proofErr w:type="spellEnd"/>
      <w:r w:rsidRPr="00990CBB">
        <w:rPr>
          <w:rFonts w:asciiTheme="majorBidi" w:hAnsiTheme="majorBidi" w:cstheme="majorBidi"/>
          <w:lang w:val="de-DE"/>
        </w:rPr>
        <w:t xml:space="preserve">, K. and J. Salmon. </w:t>
      </w:r>
      <w:r w:rsidRPr="008C3992">
        <w:rPr>
          <w:rFonts w:asciiTheme="majorBidi" w:hAnsiTheme="majorBidi" w:cstheme="majorBidi"/>
          <w:i/>
          <w:iCs/>
          <w:lang w:val="fr-FR"/>
        </w:rPr>
        <w:t>Responsabilité internationale</w:t>
      </w:r>
      <w:r w:rsidRPr="008C3992">
        <w:rPr>
          <w:rFonts w:asciiTheme="majorBidi" w:hAnsiTheme="majorBidi" w:cstheme="majorBidi"/>
          <w:lang w:val="fr-FR"/>
        </w:rPr>
        <w:t xml:space="preserve">, Paris, </w:t>
      </w:r>
      <w:proofErr w:type="spellStart"/>
      <w:r w:rsidRPr="008C3992">
        <w:rPr>
          <w:rFonts w:asciiTheme="majorBidi" w:hAnsiTheme="majorBidi" w:cstheme="majorBidi"/>
          <w:lang w:val="fr-FR"/>
        </w:rPr>
        <w:t>Pedone</w:t>
      </w:r>
      <w:proofErr w:type="spellEnd"/>
      <w:r w:rsidRPr="008C3992">
        <w:rPr>
          <w:rFonts w:asciiTheme="majorBidi" w:hAnsiTheme="majorBidi" w:cstheme="majorBidi"/>
          <w:lang w:val="fr-FR"/>
        </w:rPr>
        <w:t>, 1987, pp. 57–74.</w:t>
      </w:r>
    </w:p>
    <w:p w14:paraId="03494FE8" w14:textId="77777777" w:rsidR="005A67A9" w:rsidRDefault="005A67A9" w:rsidP="008E3E7D">
      <w:pPr>
        <w:pStyle w:val="SingleTxtG"/>
        <w:rPr>
          <w:lang w:val="fr-FR"/>
        </w:rPr>
        <w:sectPr w:rsidR="005A67A9" w:rsidSect="0037569D">
          <w:headerReference w:type="even" r:id="rId104"/>
          <w:headerReference w:type="default" r:id="rId105"/>
          <w:footerReference w:type="even" r:id="rId106"/>
          <w:footerReference w:type="default" r:id="rId107"/>
          <w:footnotePr>
            <w:numRestart w:val="eachSect"/>
          </w:footnotePr>
          <w:endnotePr>
            <w:numFmt w:val="decimal"/>
          </w:endnotePr>
          <w:pgSz w:w="11907" w:h="16840" w:code="9"/>
          <w:pgMar w:top="1417" w:right="1134" w:bottom="1134" w:left="1134" w:header="850" w:footer="567" w:gutter="0"/>
          <w:cols w:space="720"/>
          <w:docGrid w:linePitch="272"/>
        </w:sectPr>
      </w:pPr>
    </w:p>
    <w:p w14:paraId="0D0B8FA0" w14:textId="77777777" w:rsidR="005A67A9" w:rsidRPr="004B1202" w:rsidRDefault="005A67A9" w:rsidP="005A67A9">
      <w:pPr>
        <w:pStyle w:val="HChG"/>
      </w:pPr>
      <w:r w:rsidRPr="004B1202">
        <w:lastRenderedPageBreak/>
        <w:t>Annexe II</w:t>
      </w:r>
    </w:p>
    <w:p w14:paraId="0F91A6F9" w14:textId="77777777" w:rsidR="005A67A9" w:rsidRPr="004B1202" w:rsidRDefault="005A67A9" w:rsidP="00B6516D">
      <w:pPr>
        <w:pStyle w:val="HChG"/>
      </w:pPr>
      <w:r w:rsidRPr="004B1202">
        <w:tab/>
      </w:r>
      <w:r w:rsidRPr="004B1202">
        <w:tab/>
      </w:r>
      <w:bookmarkStart w:id="264" w:name="_Hlk175323035"/>
      <w:r w:rsidRPr="004B1202">
        <w:t>La diligence due en droit international</w:t>
      </w:r>
      <w:bookmarkEnd w:id="264"/>
    </w:p>
    <w:p w14:paraId="61BF5A9F" w14:textId="77777777" w:rsidR="005A67A9" w:rsidRPr="004B1202" w:rsidRDefault="005A67A9" w:rsidP="005A67A9">
      <w:pPr>
        <w:pStyle w:val="H1G"/>
      </w:pPr>
      <w:r w:rsidRPr="004B1202">
        <w:tab/>
      </w:r>
      <w:r w:rsidRPr="004B1202">
        <w:tab/>
        <w:t xml:space="preserve">par Penelope </w:t>
      </w:r>
      <w:proofErr w:type="spellStart"/>
      <w:r w:rsidRPr="004B1202">
        <w:t>Ridings</w:t>
      </w:r>
      <w:proofErr w:type="spellEnd"/>
    </w:p>
    <w:p w14:paraId="05048080" w14:textId="77777777" w:rsidR="005A67A9" w:rsidRPr="004B1202" w:rsidRDefault="005A67A9" w:rsidP="005A67A9">
      <w:pPr>
        <w:pStyle w:val="H23G"/>
      </w:pPr>
      <w:bookmarkStart w:id="265" w:name="_Hlk166649678"/>
      <w:r w:rsidRPr="004B1202">
        <w:tab/>
        <w:t>1.</w:t>
      </w:r>
      <w:r w:rsidRPr="004B1202">
        <w:tab/>
        <w:t>Introduction</w:t>
      </w:r>
    </w:p>
    <w:bookmarkEnd w:id="265"/>
    <w:p w14:paraId="18C24FD9" w14:textId="4F97CB3E" w:rsidR="005A67A9" w:rsidRPr="004B1202" w:rsidRDefault="005A67A9" w:rsidP="005A67A9">
      <w:pPr>
        <w:pStyle w:val="SingleTxtG"/>
      </w:pPr>
      <w:r w:rsidRPr="004B1202">
        <w:t>1</w:t>
      </w:r>
      <w:r w:rsidRPr="00FD184E">
        <w:t>.</w:t>
      </w:r>
      <w:r w:rsidRPr="004B1202">
        <w:tab/>
        <w:t>L</w:t>
      </w:r>
      <w:r w:rsidR="004C5E26">
        <w:t>’</w:t>
      </w:r>
      <w:r w:rsidRPr="004B1202">
        <w:t>obligation de diligence (« </w:t>
      </w:r>
      <w:r w:rsidRPr="004B1202">
        <w:rPr>
          <w:i/>
          <w:iCs/>
        </w:rPr>
        <w:t>due diligence</w:t>
      </w:r>
      <w:r w:rsidRPr="004B1202">
        <w:t> » en anglais) a une longue histoire en droit international</w:t>
      </w:r>
      <w:bookmarkStart w:id="266" w:name="_Ref174454969"/>
      <w:r w:rsidRPr="00E9227E">
        <w:rPr>
          <w:rStyle w:val="Appelnotedebasdep"/>
        </w:rPr>
        <w:footnoteReference w:id="442"/>
      </w:r>
      <w:bookmarkEnd w:id="266"/>
      <w:r w:rsidRPr="00FD184E">
        <w:t>.</w:t>
      </w:r>
      <w:r w:rsidRPr="004B1202">
        <w:t xml:space="preserve"> Elle a vu le jour au XIX</w:t>
      </w:r>
      <w:r w:rsidRPr="004B1202">
        <w:rPr>
          <w:vertAlign w:val="superscript"/>
        </w:rPr>
        <w:t>e</w:t>
      </w:r>
      <w:r w:rsidRPr="004B1202">
        <w:t xml:space="preserve"> siècle dans la pratique des États et les décisions arbitrales dans le contexte du droit de la neutralité et de la protection des étrangers et de leurs biens</w:t>
      </w:r>
      <w:r w:rsidRPr="00E9227E">
        <w:rPr>
          <w:rStyle w:val="Appelnotedebasdep"/>
        </w:rPr>
        <w:footnoteReference w:id="443"/>
      </w:r>
      <w:r w:rsidRPr="00FD184E">
        <w:t>.</w:t>
      </w:r>
      <w:r w:rsidRPr="004B1202">
        <w:t xml:space="preserve"> Au XX</w:t>
      </w:r>
      <w:r w:rsidRPr="004B1202">
        <w:rPr>
          <w:vertAlign w:val="superscript"/>
        </w:rPr>
        <w:t>e</w:t>
      </w:r>
      <w:r w:rsidRPr="004B1202">
        <w:t xml:space="preserve"> siècle, la jurisprudence internationale l</w:t>
      </w:r>
      <w:r w:rsidR="004C5E26">
        <w:t>’</w:t>
      </w:r>
      <w:r w:rsidRPr="004B1202">
        <w:t>a promue et lui a donné une forme plus concrète</w:t>
      </w:r>
      <w:bookmarkStart w:id="270" w:name="_Ref174454905"/>
      <w:r w:rsidRPr="00E9227E">
        <w:rPr>
          <w:rStyle w:val="Appelnotedebasdep"/>
        </w:rPr>
        <w:footnoteReference w:id="444"/>
      </w:r>
      <w:bookmarkEnd w:id="270"/>
      <w:r w:rsidRPr="00FD184E">
        <w:t>.</w:t>
      </w:r>
      <w:r w:rsidRPr="004B1202">
        <w:t xml:space="preserve"> Pour la jurisprudence, l</w:t>
      </w:r>
      <w:r w:rsidR="004C5E26">
        <w:t>’</w:t>
      </w:r>
      <w:r w:rsidRPr="004B1202">
        <w:t>obligation de diligence découlait de l</w:t>
      </w:r>
      <w:r w:rsidR="004C5E26">
        <w:t>’</w:t>
      </w:r>
      <w:r w:rsidRPr="004B1202">
        <w:t>idée que les États devaient empêcher que leur territoire soit utilisé aux fins d</w:t>
      </w:r>
      <w:r w:rsidR="004C5E26">
        <w:t>’</w:t>
      </w:r>
      <w:r w:rsidRPr="004B1202">
        <w:t>activités portant atteinte aux droits et intérêts d</w:t>
      </w:r>
      <w:r w:rsidR="004C5E26">
        <w:t>’</w:t>
      </w:r>
      <w:r w:rsidRPr="004B1202">
        <w:t>autres États ou causant un dommage à ceux-ci</w:t>
      </w:r>
      <w:r w:rsidRPr="00FD184E">
        <w:t>.</w:t>
      </w:r>
      <w:r w:rsidRPr="004B1202">
        <w:t xml:space="preserve"> Ainsi, dans l</w:t>
      </w:r>
      <w:r w:rsidR="004C5E26">
        <w:t>’</w:t>
      </w:r>
      <w:r w:rsidR="00B6516D">
        <w:t>a</w:t>
      </w:r>
      <w:r w:rsidRPr="00B6516D">
        <w:t>ffaire du</w:t>
      </w:r>
      <w:r w:rsidRPr="004B1202">
        <w:rPr>
          <w:i/>
          <w:iCs/>
        </w:rPr>
        <w:t xml:space="preserve"> </w:t>
      </w:r>
      <w:r w:rsidR="00B6516D" w:rsidRPr="004B1202">
        <w:rPr>
          <w:i/>
          <w:iCs/>
        </w:rPr>
        <w:t>D</w:t>
      </w:r>
      <w:r w:rsidRPr="004B1202">
        <w:rPr>
          <w:i/>
          <w:iCs/>
        </w:rPr>
        <w:t>étroit de Corfou</w:t>
      </w:r>
      <w:r w:rsidRPr="004B1202">
        <w:t>, la Cour internationale de Justice a jugé que tout État avait l</w:t>
      </w:r>
      <w:r w:rsidR="004C5E26">
        <w:t>’</w:t>
      </w:r>
      <w:r w:rsidRPr="004B1202">
        <w:t>obligation de ne pas laisser utiliser son territoire aux fins d</w:t>
      </w:r>
      <w:r w:rsidR="004C5E26">
        <w:t>’</w:t>
      </w:r>
      <w:r w:rsidRPr="004B1202">
        <w:t>actes contraires aux droits d</w:t>
      </w:r>
      <w:r w:rsidR="004C5E26">
        <w:t>’</w:t>
      </w:r>
      <w:r w:rsidRPr="004B1202">
        <w:t>autres États</w:t>
      </w:r>
      <w:bookmarkStart w:id="275" w:name="_Hlk166938637"/>
      <w:r w:rsidRPr="00E9227E">
        <w:rPr>
          <w:rStyle w:val="Appelnotedebasdep"/>
        </w:rPr>
        <w:footnoteReference w:id="445"/>
      </w:r>
      <w:r w:rsidRPr="00FD184E">
        <w:t>.</w:t>
      </w:r>
      <w:r w:rsidRPr="004B1202">
        <w:t xml:space="preserve"> </w:t>
      </w:r>
      <w:bookmarkEnd w:id="275"/>
      <w:r w:rsidRPr="004B1202">
        <w:t>Cette obligation a encore été confirmée par la jurisprudence depuis les années 1980</w:t>
      </w:r>
      <w:bookmarkStart w:id="276" w:name="_Ref174454869"/>
      <w:r w:rsidRPr="00E9227E">
        <w:rPr>
          <w:rStyle w:val="Appelnotedebasdep"/>
        </w:rPr>
        <w:footnoteReference w:id="446"/>
      </w:r>
      <w:bookmarkEnd w:id="276"/>
      <w:r w:rsidRPr="00FD184E">
        <w:t>.</w:t>
      </w:r>
    </w:p>
    <w:p w14:paraId="717DE4C9" w14:textId="149D71A8" w:rsidR="005A67A9" w:rsidRPr="004B1202" w:rsidRDefault="005A67A9" w:rsidP="005A67A9">
      <w:pPr>
        <w:pStyle w:val="SingleTxtG"/>
      </w:pPr>
      <w:r w:rsidRPr="004B1202">
        <w:lastRenderedPageBreak/>
        <w:t>2</w:t>
      </w:r>
      <w:r w:rsidRPr="00FD184E">
        <w:t>.</w:t>
      </w:r>
      <w:r w:rsidRPr="004B1202">
        <w:tab/>
        <w:t>À un niveau plus général, l</w:t>
      </w:r>
      <w:r w:rsidR="004C5E26">
        <w:t>’</w:t>
      </w:r>
      <w:r w:rsidRPr="004B1202">
        <w:t>obligation de diligence a été interprétée comme une obligation ou norme de vigilance applicable aux activités menées par l</w:t>
      </w:r>
      <w:r w:rsidR="004C5E26">
        <w:t>’</w:t>
      </w:r>
      <w:r w:rsidRPr="004B1202">
        <w:t>État sur son territoire ou sous sa juridiction ou son contrôle qui sont susceptibles de porter atteinte aux droits et intérêts d</w:t>
      </w:r>
      <w:r w:rsidR="004C5E26">
        <w:t>’</w:t>
      </w:r>
      <w:r w:rsidRPr="004B1202">
        <w:t>autres États</w:t>
      </w:r>
      <w:r w:rsidRPr="00FD184E">
        <w:t>.</w:t>
      </w:r>
      <w:r w:rsidRPr="004B1202">
        <w:t xml:space="preserve"> L</w:t>
      </w:r>
      <w:r w:rsidR="004C5E26">
        <w:t>’</w:t>
      </w:r>
      <w:r w:rsidRPr="004B1202">
        <w:t>obligation de diligence est généralement associée au droit international de l</w:t>
      </w:r>
      <w:r w:rsidR="004C5E26">
        <w:t>’</w:t>
      </w:r>
      <w:r w:rsidRPr="004B1202">
        <w:t>environnement, en particulier en tant qu</w:t>
      </w:r>
      <w:r w:rsidR="004C5E26">
        <w:t>’</w:t>
      </w:r>
      <w:r w:rsidRPr="004B1202">
        <w:t>obligation de ne pas causer de dommages à l</w:t>
      </w:r>
      <w:r w:rsidR="004C5E26">
        <w:t>’</w:t>
      </w:r>
      <w:r w:rsidRPr="004B1202">
        <w:t>environnement d</w:t>
      </w:r>
      <w:r w:rsidR="004C5E26">
        <w:t>’</w:t>
      </w:r>
      <w:r w:rsidRPr="004B1202">
        <w:t>autres États</w:t>
      </w:r>
      <w:r w:rsidRPr="00FD184E">
        <w:t>.</w:t>
      </w:r>
      <w:r w:rsidRPr="004B1202">
        <w:t xml:space="preserve"> Selon la Cour internationale de Justice, cette obligation de prévention trouve son origine « dans la diligence requise (“due diligence”) de l</w:t>
      </w:r>
      <w:r w:rsidR="004C5E26">
        <w:t>’</w:t>
      </w:r>
      <w:r w:rsidRPr="004B1202">
        <w:t>État sur son territoire »</w:t>
      </w:r>
      <w:r w:rsidRPr="00E9227E">
        <w:rPr>
          <w:rStyle w:val="Appelnotedebasdep"/>
        </w:rPr>
        <w:footnoteReference w:id="447"/>
      </w:r>
      <w:r w:rsidRPr="00FD184E">
        <w:t>.</w:t>
      </w:r>
      <w:r w:rsidRPr="004B1202">
        <w:t xml:space="preserve"> Il ressort des termes utilisés par la Cour que l</w:t>
      </w:r>
      <w:r w:rsidR="004C5E26">
        <w:t>’</w:t>
      </w:r>
      <w:r w:rsidRPr="004B1202">
        <w:t>obligation de diligence ne se limite pas à la prévention des dommages à l</w:t>
      </w:r>
      <w:r w:rsidR="004C5E26">
        <w:t>’</w:t>
      </w:r>
      <w:r w:rsidRPr="004B1202">
        <w:t>environnement d</w:t>
      </w:r>
      <w:r w:rsidR="004C5E26">
        <w:t>’</w:t>
      </w:r>
      <w:r w:rsidRPr="004B1202">
        <w:t>autres États</w:t>
      </w:r>
      <w:r w:rsidRPr="00FD184E">
        <w:t>.</w:t>
      </w:r>
      <w:r w:rsidRPr="004B1202">
        <w:t xml:space="preserve"> Elle a par exemple été associée, </w:t>
      </w:r>
      <w:r w:rsidRPr="004B1202">
        <w:rPr>
          <w:i/>
          <w:iCs/>
        </w:rPr>
        <w:t>inter alia</w:t>
      </w:r>
      <w:r w:rsidRPr="004B1202">
        <w:t>, à la protection des locaux et du personnel diplomatiques et consulaires</w:t>
      </w:r>
      <w:r w:rsidRPr="00E9227E">
        <w:rPr>
          <w:rStyle w:val="Appelnotedebasdep"/>
        </w:rPr>
        <w:footnoteReference w:id="448"/>
      </w:r>
      <w:r w:rsidRPr="004B1202">
        <w:t xml:space="preserve"> et au fait pour un État de n</w:t>
      </w:r>
      <w:r w:rsidR="004C5E26">
        <w:t>’</w:t>
      </w:r>
      <w:r w:rsidRPr="004B1202">
        <w:t>avoir pas empêché des acteurs non étatiques sous sa juridiction ou son contrôle de se livrer à des activités illégales</w:t>
      </w:r>
      <w:r w:rsidRPr="00E9227E">
        <w:rPr>
          <w:rStyle w:val="Appelnotedebasdep"/>
        </w:rPr>
        <w:footnoteReference w:id="449"/>
      </w:r>
      <w:r w:rsidRPr="00FD184E">
        <w:t>.</w:t>
      </w:r>
      <w:r w:rsidRPr="004B1202">
        <w:t xml:space="preserve"> </w:t>
      </w:r>
    </w:p>
    <w:p w14:paraId="05BEF2A0" w14:textId="656D172F" w:rsidR="005A67A9" w:rsidRPr="004B1202" w:rsidRDefault="005A67A9" w:rsidP="005A67A9">
      <w:pPr>
        <w:pStyle w:val="SingleTxtG"/>
      </w:pPr>
      <w:r w:rsidRPr="004B1202">
        <w:t>3</w:t>
      </w:r>
      <w:r w:rsidRPr="00FD184E">
        <w:t>.</w:t>
      </w:r>
      <w:r w:rsidRPr="004B1202">
        <w:tab/>
        <w:t>La notion de diligence due peut être considérée comme un principe général du droit donnant naissance, dans différents domaines du droit international, à des expressions spécifiques de l</w:t>
      </w:r>
      <w:r w:rsidR="004C5E26">
        <w:t>’</w:t>
      </w:r>
      <w:r w:rsidRPr="004B1202">
        <w:t>obligation de diligence</w:t>
      </w:r>
      <w:r w:rsidRPr="00FD184E">
        <w:t>.</w:t>
      </w:r>
      <w:r w:rsidRPr="004B1202">
        <w:t xml:space="preserve"> De fait, les commentateurs ont cherché à utiliser l</w:t>
      </w:r>
      <w:r w:rsidR="004C5E26">
        <w:t>’</w:t>
      </w:r>
      <w:r w:rsidRPr="004B1202">
        <w:t>obligation de diligence dans de multiples régimes spéciaux existant en droit international, notamment le droit international humanitaire</w:t>
      </w:r>
      <w:r w:rsidRPr="00E9227E">
        <w:rPr>
          <w:rStyle w:val="Appelnotedebasdep"/>
        </w:rPr>
        <w:footnoteReference w:id="450"/>
      </w:r>
      <w:r w:rsidRPr="004B1202">
        <w:t>, le droit international de la mer</w:t>
      </w:r>
      <w:r w:rsidRPr="00E9227E">
        <w:rPr>
          <w:rStyle w:val="Appelnotedebasdep"/>
        </w:rPr>
        <w:footnoteReference w:id="451"/>
      </w:r>
      <w:r w:rsidRPr="004B1202">
        <w:t>, le droit international de la cybersécurité</w:t>
      </w:r>
      <w:r w:rsidRPr="00E9227E">
        <w:rPr>
          <w:rStyle w:val="Appelnotedebasdep"/>
        </w:rPr>
        <w:footnoteReference w:id="452"/>
      </w:r>
      <w:r w:rsidRPr="004B1202">
        <w:t>, le droit des organisations internationales relatif à la responsabilité de ces organisations, notamment l</w:t>
      </w:r>
      <w:r w:rsidR="004C5E26">
        <w:t>’</w:t>
      </w:r>
      <w:r w:rsidRPr="004B1202">
        <w:t>Organisation des Nations Unies et les institutions financières internationales, à raison des violations des droits de l</w:t>
      </w:r>
      <w:r w:rsidR="004C5E26">
        <w:t>’</w:t>
      </w:r>
      <w:r w:rsidRPr="004B1202">
        <w:t>homme qu</w:t>
      </w:r>
      <w:r w:rsidR="004C5E26">
        <w:t>’</w:t>
      </w:r>
      <w:r w:rsidRPr="004B1202">
        <w:t>elles peuvent commettre hors siège</w:t>
      </w:r>
      <w:r w:rsidRPr="00E9227E">
        <w:rPr>
          <w:rStyle w:val="Appelnotedebasdep"/>
        </w:rPr>
        <w:footnoteReference w:id="453"/>
      </w:r>
      <w:r w:rsidRPr="004B1202">
        <w:t>, et le droit international des droits de l</w:t>
      </w:r>
      <w:r w:rsidR="004C5E26">
        <w:t>’</w:t>
      </w:r>
      <w:r w:rsidRPr="004B1202">
        <w:t>homme, domaine dans lequel elle est associée à l</w:t>
      </w:r>
      <w:r w:rsidR="004C5E26">
        <w:t>’</w:t>
      </w:r>
      <w:r w:rsidRPr="004B1202">
        <w:t>obligation des États de protéger les personnes placées sous leur juridiction</w:t>
      </w:r>
      <w:r w:rsidRPr="00E9227E">
        <w:rPr>
          <w:rStyle w:val="Appelnotedebasdep"/>
        </w:rPr>
        <w:footnoteReference w:id="454"/>
      </w:r>
      <w:r w:rsidRPr="004B1202">
        <w:t xml:space="preserve"> et d</w:t>
      </w:r>
      <w:r w:rsidR="004C5E26">
        <w:t>’</w:t>
      </w:r>
      <w:r w:rsidRPr="004B1202">
        <w:t>exercer un contrôle sur les entreprises conformément aux Principes directeurs relatifs aux entreprises et aux droits de l</w:t>
      </w:r>
      <w:r w:rsidR="004C5E26">
        <w:t>’</w:t>
      </w:r>
      <w:r w:rsidRPr="004B1202">
        <w:t>homme de l</w:t>
      </w:r>
      <w:r w:rsidR="004C5E26">
        <w:t>’</w:t>
      </w:r>
      <w:r w:rsidRPr="004B1202">
        <w:t xml:space="preserve">Organisation des </w:t>
      </w:r>
      <w:r w:rsidRPr="004B1202">
        <w:lastRenderedPageBreak/>
        <w:t>Nations Unies</w:t>
      </w:r>
      <w:r w:rsidRPr="00E9227E">
        <w:rPr>
          <w:rStyle w:val="Appelnotedebasdep"/>
        </w:rPr>
        <w:footnoteReference w:id="455"/>
      </w:r>
      <w:r w:rsidRPr="00FD184E">
        <w:t>.</w:t>
      </w:r>
      <w:r w:rsidRPr="004B1202">
        <w:t xml:space="preserve"> Cette notion est également pertinente dans de nouveaux domaines du droit international tels que le droit de l</w:t>
      </w:r>
      <w:r w:rsidR="004C5E26">
        <w:t>’</w:t>
      </w:r>
      <w:r w:rsidRPr="004B1202">
        <w:t>espace, la santé dans le monde</w:t>
      </w:r>
      <w:r w:rsidRPr="00E9227E">
        <w:rPr>
          <w:rStyle w:val="Appelnotedebasdep"/>
        </w:rPr>
        <w:footnoteReference w:id="456"/>
      </w:r>
      <w:r w:rsidRPr="004B1202">
        <w:t xml:space="preserve"> et le développement de l</w:t>
      </w:r>
      <w:r w:rsidR="004C5E26">
        <w:t>’</w:t>
      </w:r>
      <w:r w:rsidRPr="004B1202">
        <w:t>intelligence artificielle</w:t>
      </w:r>
      <w:r w:rsidRPr="00FD184E">
        <w:t>.</w:t>
      </w:r>
    </w:p>
    <w:p w14:paraId="096EA47E" w14:textId="1A10C927" w:rsidR="005A67A9" w:rsidRPr="004B1202" w:rsidRDefault="005A67A9" w:rsidP="005A67A9">
      <w:pPr>
        <w:pStyle w:val="SingleTxtG"/>
      </w:pPr>
      <w:r w:rsidRPr="004B1202">
        <w:t>4</w:t>
      </w:r>
      <w:r w:rsidRPr="00FD184E">
        <w:t>.</w:t>
      </w:r>
      <w:r w:rsidRPr="004B1202">
        <w:tab/>
        <w:t>L</w:t>
      </w:r>
      <w:r w:rsidR="004C5E26">
        <w:t>’</w:t>
      </w:r>
      <w:r w:rsidRPr="004B1202">
        <w:t>obligation de diligence se situe à l</w:t>
      </w:r>
      <w:r w:rsidR="004C5E26">
        <w:t>’</w:t>
      </w:r>
      <w:r w:rsidRPr="004B1202">
        <w:t>intersection de la responsabilité des États en tant que membres de la communauté internationale et de leur droit souverain de mener des activités à l</w:t>
      </w:r>
      <w:r w:rsidR="004C5E26">
        <w:t>’</w:t>
      </w:r>
      <w:r w:rsidRPr="004B1202">
        <w:t>intérieur de leur territoire</w:t>
      </w:r>
      <w:r w:rsidRPr="00E9227E">
        <w:rPr>
          <w:rStyle w:val="Appelnotedebasdep"/>
        </w:rPr>
        <w:footnoteReference w:id="457"/>
      </w:r>
      <w:r w:rsidRPr="00FD184E">
        <w:t>.</w:t>
      </w:r>
      <w:r w:rsidRPr="004B1202">
        <w:t xml:space="preserve"> Dans le monde contemporain interconnecté, une attention croissante est accordée à la mesure dans laquelle les activités d</w:t>
      </w:r>
      <w:r w:rsidR="004C5E26">
        <w:t>’</w:t>
      </w:r>
      <w:r w:rsidRPr="004B1202">
        <w:t>un État et des personnes physiques et morales placées sous sa juridiction ou son contrôle portent atteinte aux droits et intérêts d</w:t>
      </w:r>
      <w:r w:rsidR="004C5E26">
        <w:t>’</w:t>
      </w:r>
      <w:r w:rsidRPr="004B1202">
        <w:t>autres États et personnes</w:t>
      </w:r>
      <w:r w:rsidRPr="00FD184E">
        <w:t>.</w:t>
      </w:r>
      <w:r w:rsidRPr="004B1202">
        <w:t xml:space="preserve"> On attend des États qu</w:t>
      </w:r>
      <w:r w:rsidR="004C5E26">
        <w:t>’</w:t>
      </w:r>
      <w:r w:rsidRPr="004B1202">
        <w:t>ils respectent une norme de conduite en tenant raisonnablement compte, dans leurs activités, des droits et intérêts des autres membres de la communauté internationale</w:t>
      </w:r>
      <w:r w:rsidRPr="00FD184E">
        <w:t>.</w:t>
      </w:r>
      <w:r w:rsidRPr="004B1202">
        <w:t xml:space="preserve"> L</w:t>
      </w:r>
      <w:r w:rsidR="004C5E26">
        <w:t>’</w:t>
      </w:r>
      <w:r w:rsidRPr="004B1202">
        <w:t>obligation de diligence est l</w:t>
      </w:r>
      <w:r w:rsidR="004C5E26">
        <w:t>’</w:t>
      </w:r>
      <w:r w:rsidRPr="004B1202">
        <w:t>expression de cette attente</w:t>
      </w:r>
      <w:r w:rsidRPr="00FD184E">
        <w:t>.</w:t>
      </w:r>
      <w:r w:rsidRPr="004B1202">
        <w:t xml:space="preserve"> </w:t>
      </w:r>
    </w:p>
    <w:p w14:paraId="74A92A5F" w14:textId="2E4864A3" w:rsidR="005A67A9" w:rsidRPr="004B1202" w:rsidRDefault="005A67A9" w:rsidP="005A67A9">
      <w:pPr>
        <w:pStyle w:val="SingleTxtG"/>
      </w:pPr>
      <w:r w:rsidRPr="004B1202">
        <w:t>5</w:t>
      </w:r>
      <w:r w:rsidRPr="00FD184E">
        <w:t>.</w:t>
      </w:r>
      <w:r w:rsidRPr="004B1202">
        <w:tab/>
        <w:t>Si l</w:t>
      </w:r>
      <w:r w:rsidR="004C5E26">
        <w:t>’</w:t>
      </w:r>
      <w:r w:rsidRPr="004B1202">
        <w:t>obligation de diligence est consacrée dans divers régimes spéciaux du droit international, elle comporte des caractéristiques communes en droit international dont l</w:t>
      </w:r>
      <w:r w:rsidR="004C5E26">
        <w:t>’</w:t>
      </w:r>
      <w:r w:rsidRPr="004B1202">
        <w:t>existence ressort d</w:t>
      </w:r>
      <w:r w:rsidR="004C5E26">
        <w:t>’</w:t>
      </w:r>
      <w:r w:rsidRPr="004B1202">
        <w:t>une pratique étatique, d</w:t>
      </w:r>
      <w:r w:rsidR="004C5E26">
        <w:t>’</w:t>
      </w:r>
      <w:r w:rsidRPr="004B1202">
        <w:t>une jurisprudence et d</w:t>
      </w:r>
      <w:r w:rsidR="004C5E26">
        <w:t>’</w:t>
      </w:r>
      <w:r w:rsidRPr="004B1202">
        <w:t>une doctrine abondantes</w:t>
      </w:r>
      <w:r w:rsidRPr="00FD184E">
        <w:t>.</w:t>
      </w:r>
      <w:r w:rsidRPr="004B1202">
        <w:t xml:space="preserve"> Bien que l</w:t>
      </w:r>
      <w:r w:rsidR="004C5E26">
        <w:t>’</w:t>
      </w:r>
      <w:r w:rsidRPr="004B1202">
        <w:t>on ait par le passé tenté de définir ces caractéristiques communes, notamment dans le cadre de l</w:t>
      </w:r>
      <w:r w:rsidR="004C5E26">
        <w:t>’</w:t>
      </w:r>
      <w:r w:rsidRPr="004B1202">
        <w:t>Association de droit international (ADI)</w:t>
      </w:r>
      <w:r w:rsidRPr="00E9227E">
        <w:rPr>
          <w:rStyle w:val="Appelnotedebasdep"/>
        </w:rPr>
        <w:footnoteReference w:id="458"/>
      </w:r>
      <w:r w:rsidRPr="004B1202">
        <w:t>, une approche systématique pourrait être adoptée pour analyser la portée de l</w:t>
      </w:r>
      <w:r w:rsidR="004C5E26">
        <w:t>’</w:t>
      </w:r>
      <w:r w:rsidRPr="004B1202">
        <w:t>obligation de diligence dans son intégralité</w:t>
      </w:r>
      <w:r w:rsidRPr="00FD184E">
        <w:t>.</w:t>
      </w:r>
    </w:p>
    <w:p w14:paraId="18CB6BFC" w14:textId="6FE847FC" w:rsidR="005A67A9" w:rsidRPr="004B1202" w:rsidRDefault="005A67A9" w:rsidP="005A67A9">
      <w:pPr>
        <w:pStyle w:val="SingleTxtG"/>
      </w:pPr>
      <w:r w:rsidRPr="004B1202">
        <w:t>6</w:t>
      </w:r>
      <w:r w:rsidRPr="00FD184E">
        <w:t>.</w:t>
      </w:r>
      <w:r w:rsidRPr="004B1202">
        <w:tab/>
        <w:t>Une telle analyse tirerait parti de l</w:t>
      </w:r>
      <w:r w:rsidR="004C5E26">
        <w:t>’</w:t>
      </w:r>
      <w:r w:rsidRPr="004B1202">
        <w:t>intérêt croissant que suscite la notion de diligence due en droit international, en particulier dans la doctrine</w:t>
      </w:r>
      <w:bookmarkStart w:id="283" w:name="_Ref174454995"/>
      <w:r w:rsidRPr="00E9227E">
        <w:rPr>
          <w:rStyle w:val="Appelnotedebasdep"/>
        </w:rPr>
        <w:footnoteReference w:id="459"/>
      </w:r>
      <w:bookmarkEnd w:id="283"/>
      <w:r w:rsidRPr="004B1202">
        <w:t>, et de l</w:t>
      </w:r>
      <w:r w:rsidR="004C5E26">
        <w:t>’</w:t>
      </w:r>
      <w:r w:rsidRPr="004B1202">
        <w:t>invocation de plus en plus fréquente de l</w:t>
      </w:r>
      <w:r w:rsidR="004C5E26">
        <w:t>’</w:t>
      </w:r>
      <w:r w:rsidRPr="004B1202">
        <w:t>obligation de diligence devant les juridictions internationales</w:t>
      </w:r>
      <w:r w:rsidRPr="00E9227E">
        <w:rPr>
          <w:rStyle w:val="Appelnotedebasdep"/>
        </w:rPr>
        <w:footnoteReference w:id="460"/>
      </w:r>
      <w:r w:rsidRPr="00FD184E">
        <w:t>.</w:t>
      </w:r>
      <w:r w:rsidRPr="004B1202">
        <w:t xml:space="preserve"> </w:t>
      </w:r>
      <w:bookmarkStart w:id="284" w:name="_Hlk139611300"/>
      <w:r w:rsidRPr="004B1202">
        <w:t>La nature juridique, la portée et le contenu de l</w:t>
      </w:r>
      <w:r w:rsidR="004C5E26">
        <w:t>’</w:t>
      </w:r>
      <w:r w:rsidRPr="004B1202">
        <w:t>obligation de diligence ne sont toutefois pas bien définis en droit international</w:t>
      </w:r>
      <w:r w:rsidRPr="00FD184E">
        <w:t>.</w:t>
      </w:r>
      <w:r w:rsidRPr="004B1202">
        <w:t xml:space="preserve"> L</w:t>
      </w:r>
      <w:r w:rsidR="004C5E26">
        <w:t>’</w:t>
      </w:r>
      <w:r w:rsidRPr="004B1202">
        <w:t>étude de la notion de diligence due en droit international fournirait aux États des indications concrètes sur ce qu</w:t>
      </w:r>
      <w:r w:rsidR="004C5E26">
        <w:t>’</w:t>
      </w:r>
      <w:r w:rsidRPr="004B1202">
        <w:t>ils doivent faire pour s</w:t>
      </w:r>
      <w:r w:rsidR="004C5E26">
        <w:t>’</w:t>
      </w:r>
      <w:r w:rsidRPr="004B1202">
        <w:t>acquitter de leurs obligations de diligence</w:t>
      </w:r>
      <w:r w:rsidRPr="00FD184E">
        <w:t>.</w:t>
      </w:r>
      <w:r w:rsidRPr="004B1202">
        <w:t xml:space="preserve"> </w:t>
      </w:r>
    </w:p>
    <w:p w14:paraId="4EFA648F" w14:textId="09EA0E2F" w:rsidR="005A67A9" w:rsidRPr="004B1202" w:rsidRDefault="005A67A9" w:rsidP="005A67A9">
      <w:pPr>
        <w:pStyle w:val="SingleTxtG"/>
        <w:rPr>
          <w:b/>
          <w:bCs/>
        </w:rPr>
      </w:pPr>
      <w:r w:rsidRPr="004B1202">
        <w:t>7</w:t>
      </w:r>
      <w:r w:rsidRPr="00FD184E">
        <w:t>.</w:t>
      </w:r>
      <w:r w:rsidRPr="004B1202">
        <w:rPr>
          <w:b/>
          <w:bCs/>
        </w:rPr>
        <w:tab/>
      </w:r>
      <w:r w:rsidRPr="004B1202">
        <w:t>Dans les sections qui suivent, on commence par passer en revue les travaux antérieurs de la Commission sur le sujet (sect. 2), définissant ainsi le contexte dans lequel s</w:t>
      </w:r>
      <w:r w:rsidR="004C5E26">
        <w:t>’</w:t>
      </w:r>
      <w:r w:rsidRPr="004B1202">
        <w:t>inscrit l</w:t>
      </w:r>
      <w:r w:rsidR="004C5E26">
        <w:t>’</w:t>
      </w:r>
      <w:r w:rsidRPr="004B1202">
        <w:t>examen de la portée des travaux sur le sujet proposé et des questions à traiter (sect. 3)</w:t>
      </w:r>
      <w:r w:rsidRPr="00FD184E">
        <w:t>.</w:t>
      </w:r>
      <w:r w:rsidRPr="004B1202">
        <w:t xml:space="preserve"> Sont ensuite examinés les critères régissant le choix des sujets (sect. 4) et la forme que pourrait </w:t>
      </w:r>
      <w:r w:rsidRPr="004B1202">
        <w:lastRenderedPageBreak/>
        <w:t>prendre le texte issu des travaux (sect. 5)</w:t>
      </w:r>
      <w:r w:rsidRPr="00FD184E">
        <w:t>.</w:t>
      </w:r>
      <w:r w:rsidRPr="004B1202">
        <w:t xml:space="preserve"> Une bibliographie sélective est également proposée</w:t>
      </w:r>
      <w:r w:rsidRPr="00FD184E">
        <w:t>.</w:t>
      </w:r>
    </w:p>
    <w:p w14:paraId="76F09CC2" w14:textId="77777777" w:rsidR="005A67A9" w:rsidRPr="004B1202" w:rsidRDefault="005A67A9" w:rsidP="005A67A9">
      <w:pPr>
        <w:pStyle w:val="H23G"/>
      </w:pPr>
      <w:r w:rsidRPr="004B1202">
        <w:tab/>
        <w:t>2</w:t>
      </w:r>
      <w:r w:rsidRPr="00FD184E">
        <w:t>.</w:t>
      </w:r>
      <w:r w:rsidRPr="004B1202">
        <w:tab/>
        <w:t>Travaux antérieurs de la Commission sur le sujet proposé</w:t>
      </w:r>
    </w:p>
    <w:p w14:paraId="07BAC461" w14:textId="77777777" w:rsidR="005A67A9" w:rsidRPr="004B1202" w:rsidRDefault="005A67A9" w:rsidP="005A67A9">
      <w:pPr>
        <w:pStyle w:val="SingleTxtG"/>
      </w:pPr>
      <w:r w:rsidRPr="004B1202">
        <w:t>8</w:t>
      </w:r>
      <w:r w:rsidRPr="00FD184E">
        <w:t>.</w:t>
      </w:r>
      <w:r w:rsidRPr="004B1202">
        <w:tab/>
        <w:t>La notion de diligence due en droit international a un fondement dans des travaux antérieurs de la Commission et une étude du sujet compléterait ces travaux sans rien leur ôter de leur pertinence</w:t>
      </w:r>
      <w:r w:rsidRPr="00E9227E">
        <w:rPr>
          <w:rStyle w:val="Appelnotedebasdep"/>
        </w:rPr>
        <w:footnoteReference w:id="461"/>
      </w:r>
      <w:r w:rsidRPr="00FD184E">
        <w:t>.</w:t>
      </w:r>
      <w:r w:rsidRPr="004B1202">
        <w:t xml:space="preserve"> </w:t>
      </w:r>
    </w:p>
    <w:p w14:paraId="230C6122" w14:textId="77777777" w:rsidR="005A67A9" w:rsidRPr="004B1202" w:rsidRDefault="005A67A9" w:rsidP="005A67A9">
      <w:pPr>
        <w:pStyle w:val="SingleTxtG"/>
      </w:pPr>
      <w:r w:rsidRPr="004B1202">
        <w:t>9</w:t>
      </w:r>
      <w:r w:rsidRPr="00FD184E">
        <w:t>.</w:t>
      </w:r>
      <w:r w:rsidRPr="004B1202">
        <w:tab/>
        <w:t>À sa première session, en 1949, la Commission a inscrit la responsabilité des États sur sa liste provisoire des sujets de codification</w:t>
      </w:r>
      <w:r w:rsidRPr="00E9227E">
        <w:rPr>
          <w:rStyle w:val="Appelnotedebasdep"/>
        </w:rPr>
        <w:footnoteReference w:id="462"/>
      </w:r>
      <w:r w:rsidRPr="00FD184E">
        <w:t>.</w:t>
      </w:r>
      <w:r w:rsidRPr="004B1202">
        <w:t xml:space="preserve"> </w:t>
      </w:r>
    </w:p>
    <w:p w14:paraId="2CF7090E" w14:textId="51BB3140" w:rsidR="005A67A9" w:rsidRPr="004B1202" w:rsidRDefault="005A67A9" w:rsidP="005A67A9">
      <w:pPr>
        <w:pStyle w:val="SingleTxtG"/>
      </w:pPr>
      <w:r w:rsidRPr="004B1202">
        <w:t>10</w:t>
      </w:r>
      <w:r w:rsidRPr="00FD184E">
        <w:t>.</w:t>
      </w:r>
      <w:r w:rsidRPr="004B1202">
        <w:tab/>
        <w:t xml:space="preserve">Après que le Rapporteur spécial, Roberto </w:t>
      </w:r>
      <w:proofErr w:type="spellStart"/>
      <w:r w:rsidRPr="004B1202">
        <w:t>Ago</w:t>
      </w:r>
      <w:proofErr w:type="spellEnd"/>
      <w:r w:rsidRPr="004B1202">
        <w:t>, eut présenté son deuxième rapport, la Commission a décidé d</w:t>
      </w:r>
      <w:r w:rsidR="004C5E26">
        <w:t>’</w:t>
      </w:r>
      <w:r w:rsidRPr="004B1202">
        <w:t>examiner séparément la responsabilité de l</w:t>
      </w:r>
      <w:r w:rsidR="004C5E26">
        <w:t>’</w:t>
      </w:r>
      <w:r w:rsidRPr="004B1202">
        <w:t>État pour les conséquences préjudiciables d</w:t>
      </w:r>
      <w:r w:rsidR="004C5E26">
        <w:t>’</w:t>
      </w:r>
      <w:r w:rsidRPr="004B1202">
        <w:t>activités licites et la responsabilité de l</w:t>
      </w:r>
      <w:r w:rsidR="004C5E26">
        <w:t>’</w:t>
      </w:r>
      <w:r w:rsidRPr="004B1202">
        <w:t>État pour fait internationalement illicite, et d</w:t>
      </w:r>
      <w:r w:rsidR="004C5E26">
        <w:t>’</w:t>
      </w:r>
      <w:r w:rsidRPr="004B1202">
        <w:t>étudier celle-ci en premier</w:t>
      </w:r>
      <w:r w:rsidRPr="00E9227E">
        <w:rPr>
          <w:rStyle w:val="Appelnotedebasdep"/>
        </w:rPr>
        <w:footnoteReference w:id="463"/>
      </w:r>
      <w:r w:rsidRPr="00FD184E">
        <w:t>.</w:t>
      </w:r>
      <w:r w:rsidRPr="004B1202">
        <w:t xml:space="preserve"> Elle a pris cette décision en raison du fondement distinct de la « responsabilité dite “pour risque” qui rendait l</w:t>
      </w:r>
      <w:r w:rsidR="004C5E26">
        <w:t>’</w:t>
      </w:r>
      <w:r w:rsidRPr="004B1202">
        <w:t>étude simultanée des deux sujets complexe »</w:t>
      </w:r>
      <w:r w:rsidRPr="00E9227E">
        <w:rPr>
          <w:rStyle w:val="Appelnotedebasdep"/>
        </w:rPr>
        <w:footnoteReference w:id="464"/>
      </w:r>
      <w:r w:rsidRPr="00FD184E">
        <w:t>.</w:t>
      </w:r>
      <w:r w:rsidRPr="004B1202">
        <w:t xml:space="preserve"> </w:t>
      </w:r>
    </w:p>
    <w:p w14:paraId="1C231E4D" w14:textId="361B1D47" w:rsidR="005A67A9" w:rsidRPr="004B1202" w:rsidRDefault="005A67A9" w:rsidP="005A67A9">
      <w:pPr>
        <w:pStyle w:val="SingleTxtG"/>
      </w:pPr>
      <w:r w:rsidRPr="004B1202">
        <w:t>11</w:t>
      </w:r>
      <w:r w:rsidRPr="00FD184E">
        <w:t>.</w:t>
      </w:r>
      <w:r w:rsidRPr="004B1202">
        <w:tab/>
        <w:t xml:space="preserve">Dans son quatrième rapport, le Rapporteur spécial, Roberto </w:t>
      </w:r>
      <w:proofErr w:type="spellStart"/>
      <w:r w:rsidRPr="004B1202">
        <w:t>Ago</w:t>
      </w:r>
      <w:proofErr w:type="spellEnd"/>
      <w:r w:rsidRPr="004B1202">
        <w:t>, introduisait la notion de diligence dans son projet d</w:t>
      </w:r>
      <w:r w:rsidR="004C5E26">
        <w:t>’</w:t>
      </w:r>
      <w:r w:rsidRPr="004B1202">
        <w:t>article 11, relatif à l</w:t>
      </w:r>
      <w:r w:rsidR="004C5E26">
        <w:t>’</w:t>
      </w:r>
      <w:r w:rsidRPr="004B1202">
        <w:t xml:space="preserve">attribution du comportement de simples particuliers, au sujet duquel il citait longuement la pratique des États en matière de </w:t>
      </w:r>
      <w:bookmarkStart w:id="285" w:name="_Hlk166850987"/>
      <w:r w:rsidRPr="004B1202">
        <w:t>protection des étrangers</w:t>
      </w:r>
      <w:bookmarkEnd w:id="285"/>
      <w:r w:rsidRPr="00E9227E">
        <w:rPr>
          <w:rStyle w:val="Appelnotedebasdep"/>
        </w:rPr>
        <w:footnoteReference w:id="465"/>
      </w:r>
      <w:r w:rsidRPr="00FD184E">
        <w:t>.</w:t>
      </w:r>
      <w:r w:rsidRPr="004B1202">
        <w:t xml:space="preserve"> Dans son septième rapport, il introduisait la notion de négligence de l</w:t>
      </w:r>
      <w:r w:rsidR="004C5E26">
        <w:t>’</w:t>
      </w:r>
      <w:r w:rsidRPr="004B1202">
        <w:t>État dans les projets d</w:t>
      </w:r>
      <w:r w:rsidR="004C5E26">
        <w:t>’</w:t>
      </w:r>
      <w:r w:rsidRPr="004B1202">
        <w:t>article sur la responsabilité de l</w:t>
      </w:r>
      <w:r w:rsidR="004C5E26">
        <w:t>’</w:t>
      </w:r>
      <w:r w:rsidRPr="004B1202">
        <w:t>État, en particulier le projet d</w:t>
      </w:r>
      <w:r w:rsidR="004C5E26">
        <w:t>’</w:t>
      </w:r>
      <w:r w:rsidRPr="004B1202">
        <w:t>article 23</w:t>
      </w:r>
      <w:r w:rsidRPr="00E9227E">
        <w:rPr>
          <w:rStyle w:val="Appelnotedebasdep"/>
        </w:rPr>
        <w:footnoteReference w:id="466"/>
      </w:r>
      <w:r w:rsidRPr="004B1202">
        <w:t>, ainsi que la distinction entre obligations de comportement et obligations de résultat, qui faisaient l</w:t>
      </w:r>
      <w:r w:rsidR="004C5E26">
        <w:t>’</w:t>
      </w:r>
      <w:r w:rsidRPr="004B1202">
        <w:t>objet des projets d</w:t>
      </w:r>
      <w:r w:rsidR="004C5E26">
        <w:t>’</w:t>
      </w:r>
      <w:r w:rsidRPr="004B1202">
        <w:t>articles 20 et 21</w:t>
      </w:r>
      <w:r w:rsidRPr="00E9227E">
        <w:rPr>
          <w:rStyle w:val="Appelnotedebasdep"/>
        </w:rPr>
        <w:footnoteReference w:id="467"/>
      </w:r>
      <w:r w:rsidRPr="00FD184E">
        <w:t>.</w:t>
      </w:r>
      <w:r w:rsidRPr="004B1202">
        <w:t xml:space="preserve"> Dans son deuxième rapport, le Rapporteur spécial James Crawford appelait à faire preuve de beaucoup de prudence au sujet de la classification de Roberto </w:t>
      </w:r>
      <w:proofErr w:type="spellStart"/>
      <w:r w:rsidRPr="004B1202">
        <w:t>Ago</w:t>
      </w:r>
      <w:proofErr w:type="spellEnd"/>
      <w:r w:rsidRPr="00E9227E">
        <w:rPr>
          <w:rStyle w:val="Appelnotedebasdep"/>
        </w:rPr>
        <w:footnoteReference w:id="468"/>
      </w:r>
      <w:r w:rsidRPr="004B1202">
        <w:t>, et celle-ci fut abandonnée lors de la seconde lecture du projet d</w:t>
      </w:r>
      <w:r w:rsidR="004C5E26">
        <w:t>’</w:t>
      </w:r>
      <w:r w:rsidRPr="004B1202">
        <w:t>articles sur la responsabilité de l</w:t>
      </w:r>
      <w:r w:rsidR="004C5E26">
        <w:t>’</w:t>
      </w:r>
      <w:r w:rsidRPr="004B1202">
        <w:t>État pour fait internationalement illicite</w:t>
      </w:r>
      <w:bookmarkStart w:id="286" w:name="_Ref174455037"/>
      <w:r w:rsidRPr="00E9227E">
        <w:rPr>
          <w:rStyle w:val="Appelnotedebasdep"/>
        </w:rPr>
        <w:footnoteReference w:id="469"/>
      </w:r>
      <w:bookmarkEnd w:id="286"/>
      <w:r w:rsidRPr="00FD184E">
        <w:t>.</w:t>
      </w:r>
      <w:r w:rsidRPr="004B1202">
        <w:t xml:space="preserve"> En achevant l</w:t>
      </w:r>
      <w:r w:rsidR="004C5E26">
        <w:t>’</w:t>
      </w:r>
      <w:r w:rsidRPr="004B1202">
        <w:t>élaboration de son projet d</w:t>
      </w:r>
      <w:r w:rsidR="004C5E26">
        <w:t>’</w:t>
      </w:r>
      <w:r w:rsidRPr="004B1202">
        <w:t>articles sur la responsabilité de l</w:t>
      </w:r>
      <w:r w:rsidR="004C5E26">
        <w:t>’</w:t>
      </w:r>
      <w:r w:rsidRPr="004B1202">
        <w:t>État, la Commission a attribué à l</w:t>
      </w:r>
      <w:r w:rsidR="004C5E26">
        <w:t>’</w:t>
      </w:r>
      <w:r w:rsidRPr="004B1202">
        <w:t>obligation de diligence le caractère de règle primaire et de norme variant d</w:t>
      </w:r>
      <w:r w:rsidR="004C5E26">
        <w:t>’</w:t>
      </w:r>
      <w:r w:rsidRPr="004B1202">
        <w:t>un contexte à l</w:t>
      </w:r>
      <w:r w:rsidR="004C5E26">
        <w:t>’</w:t>
      </w:r>
      <w:r w:rsidRPr="004B1202">
        <w:t>autre et en fonction des règles donnant naissance à l</w:t>
      </w:r>
      <w:r w:rsidR="004C5E26">
        <w:t>’</w:t>
      </w:r>
      <w:r w:rsidRPr="004B1202">
        <w:t>obligation primaire</w:t>
      </w:r>
      <w:r w:rsidRPr="00E9227E">
        <w:rPr>
          <w:rStyle w:val="Appelnotedebasdep"/>
        </w:rPr>
        <w:footnoteReference w:id="470"/>
      </w:r>
      <w:r w:rsidRPr="00FD184E">
        <w:t>.</w:t>
      </w:r>
      <w:r w:rsidRPr="004B1202">
        <w:t xml:space="preserve"> </w:t>
      </w:r>
    </w:p>
    <w:p w14:paraId="0A4E3D01" w14:textId="4D9299A9" w:rsidR="005A67A9" w:rsidRPr="004B1202" w:rsidRDefault="005A67A9" w:rsidP="005A67A9">
      <w:pPr>
        <w:pStyle w:val="SingleTxtG"/>
      </w:pPr>
      <w:r w:rsidRPr="004B1202">
        <w:t>12</w:t>
      </w:r>
      <w:r w:rsidRPr="00FD184E">
        <w:t>.</w:t>
      </w:r>
      <w:r w:rsidRPr="004B1202">
        <w:tab/>
        <w:t>La Commission a commencé ses travaux sur la responsabilité de l</w:t>
      </w:r>
      <w:r w:rsidR="004C5E26">
        <w:t>’</w:t>
      </w:r>
      <w:r w:rsidRPr="004B1202">
        <w:t>État pour fait internationalement illicite avant ses travaux sur la responsabilité internationale pour les conséquences préjudiciables découlant d</w:t>
      </w:r>
      <w:r w:rsidR="004C5E26">
        <w:t>’</w:t>
      </w:r>
      <w:r w:rsidRPr="004B1202">
        <w:t>activités qui ne sont pas interdites par le droit international mais les uns et les autres ont finalement été menés à bien en parallèle</w:t>
      </w:r>
      <w:r w:rsidRPr="00FD184E">
        <w:t>.</w:t>
      </w:r>
      <w:r w:rsidRPr="004B1202">
        <w:t xml:space="preserve"> Le premier Rapporteur spécial pour le sujet de la responsabilité internationale pour les conséquences préjudiciables, Robert Quentin-Baxter, était parti de l</w:t>
      </w:r>
      <w:r w:rsidR="004C5E26">
        <w:t>’</w:t>
      </w:r>
      <w:r w:rsidRPr="004B1202">
        <w:t xml:space="preserve">idée que certaines activités étaient en principe utiles et légitimes et ne devaient donc pas être interdites même si la conduite de ces activités comportait un élément de préjudice transfrontière ou le risque </w:t>
      </w:r>
      <w:r w:rsidRPr="004B1202">
        <w:lastRenderedPageBreak/>
        <w:t>d</w:t>
      </w:r>
      <w:r w:rsidR="004C5E26">
        <w:t>’</w:t>
      </w:r>
      <w:r w:rsidRPr="004B1202">
        <w:t>un tel préjudice</w:t>
      </w:r>
      <w:bookmarkStart w:id="288" w:name="_Ref175549150"/>
      <w:r w:rsidRPr="00E9227E">
        <w:rPr>
          <w:rStyle w:val="Appelnotedebasdep"/>
        </w:rPr>
        <w:footnoteReference w:id="471"/>
      </w:r>
      <w:bookmarkEnd w:id="288"/>
      <w:r w:rsidRPr="00FD184E">
        <w:t>.</w:t>
      </w:r>
      <w:r w:rsidRPr="004B1202">
        <w:t xml:space="preserve"> Le Rapporteur spécial avait initialement l</w:t>
      </w:r>
      <w:r w:rsidR="004C5E26">
        <w:t>’</w:t>
      </w:r>
      <w:r w:rsidRPr="004B1202">
        <w:t>intention de s</w:t>
      </w:r>
      <w:r w:rsidR="004C5E26">
        <w:t>’</w:t>
      </w:r>
      <w:r w:rsidRPr="004B1202">
        <w:t>intéresser à l</w:t>
      </w:r>
      <w:r w:rsidR="004C5E26">
        <w:t>’</w:t>
      </w:r>
      <w:r w:rsidRPr="004B1202">
        <w:t>ensemble des activités menées sur le territoire ou sous la juridiction d</w:t>
      </w:r>
      <w:r w:rsidR="004C5E26">
        <w:t>’</w:t>
      </w:r>
      <w:r w:rsidRPr="004B1202">
        <w:t>un État qui causent un dommage ou un préjudice</w:t>
      </w:r>
      <w:bookmarkStart w:id="290" w:name="_Ref174455023"/>
      <w:r w:rsidRPr="00E9227E">
        <w:rPr>
          <w:rStyle w:val="Appelnotedebasdep"/>
        </w:rPr>
        <w:footnoteReference w:id="472"/>
      </w:r>
      <w:bookmarkEnd w:id="290"/>
      <w:r w:rsidRPr="004B1202">
        <w:t>, mais la Commission a décidé de limiter les travaux à l</w:t>
      </w:r>
      <w:r w:rsidR="004C5E26">
        <w:t>’</w:t>
      </w:r>
      <w:r w:rsidRPr="004B1202">
        <w:t>environnement physique</w:t>
      </w:r>
      <w:r w:rsidRPr="00E9227E">
        <w:rPr>
          <w:rStyle w:val="Appelnotedebasdep"/>
        </w:rPr>
        <w:footnoteReference w:id="473"/>
      </w:r>
      <w:r w:rsidRPr="00FD184E">
        <w:t>.</w:t>
      </w:r>
      <w:r w:rsidRPr="004B1202">
        <w:t xml:space="preserve"> </w:t>
      </w:r>
    </w:p>
    <w:p w14:paraId="7686F859" w14:textId="105E191F" w:rsidR="005A67A9" w:rsidRPr="004B1202" w:rsidRDefault="005A67A9" w:rsidP="005A67A9">
      <w:pPr>
        <w:pStyle w:val="SingleTxtG"/>
      </w:pPr>
      <w:r w:rsidRPr="004B1202">
        <w:t>13</w:t>
      </w:r>
      <w:r w:rsidRPr="00FD184E">
        <w:t>.</w:t>
      </w:r>
      <w:r w:rsidRPr="004B1202">
        <w:tab/>
        <w:t>La Commission a poursuivi ses travaux sur le sujet de la responsabilité internationale pour les conséquences préjudiciables d</w:t>
      </w:r>
      <w:r w:rsidR="004C5E26">
        <w:t>’</w:t>
      </w:r>
      <w:r w:rsidRPr="004B1202">
        <w:t>activités qui ne sont pas interdites par le droit international jusqu</w:t>
      </w:r>
      <w:r w:rsidR="004C5E26">
        <w:t>’</w:t>
      </w:r>
      <w:r w:rsidRPr="004B1202">
        <w:t>en 1997, année où elle a décidé de scinder le sujet en deux : prévention des dommages transfrontières résultant d</w:t>
      </w:r>
      <w:r w:rsidR="004C5E26">
        <w:t>’</w:t>
      </w:r>
      <w:r w:rsidRPr="004B1202">
        <w:t>activités dangereuses d</w:t>
      </w:r>
      <w:r w:rsidR="004C5E26">
        <w:t>’</w:t>
      </w:r>
      <w:r w:rsidRPr="004B1202">
        <w:t>une part et responsabilité internationale en cas de dommages transfrontières résultant d</w:t>
      </w:r>
      <w:r w:rsidR="004C5E26">
        <w:t>’</w:t>
      </w:r>
      <w:r w:rsidRPr="004B1202">
        <w:t>activités dangereuses d</w:t>
      </w:r>
      <w:r w:rsidR="004C5E26">
        <w:t>’</w:t>
      </w:r>
      <w:r w:rsidRPr="004B1202">
        <w:t>autre part</w:t>
      </w:r>
      <w:r w:rsidRPr="00E9227E">
        <w:rPr>
          <w:rStyle w:val="Appelnotedebasdep"/>
        </w:rPr>
        <w:footnoteReference w:id="474"/>
      </w:r>
      <w:r w:rsidRPr="00FD184E">
        <w:t>.</w:t>
      </w:r>
      <w:r w:rsidRPr="004B1202">
        <w:t xml:space="preserve"> La notion de diligence due a été examinée dans le contexte de la prévention</w:t>
      </w:r>
      <w:r w:rsidRPr="00E9227E">
        <w:rPr>
          <w:rStyle w:val="Appelnotedebasdep"/>
        </w:rPr>
        <w:footnoteReference w:id="475"/>
      </w:r>
      <w:r w:rsidRPr="004B1202">
        <w:t xml:space="preserve"> et qualifiée d</w:t>
      </w:r>
      <w:r w:rsidR="004C5E26">
        <w:t>’</w:t>
      </w:r>
      <w:r w:rsidRPr="004B1202">
        <w:t>élément central de l</w:t>
      </w:r>
      <w:r w:rsidR="004C5E26">
        <w:t>’</w:t>
      </w:r>
      <w:r w:rsidRPr="004B1202">
        <w:t>obligation de prévenir les dommages transfrontières</w:t>
      </w:r>
      <w:r w:rsidRPr="00E9227E">
        <w:rPr>
          <w:rStyle w:val="Appelnotedebasdep"/>
        </w:rPr>
        <w:footnoteReference w:id="476"/>
      </w:r>
      <w:r w:rsidRPr="00FD184E">
        <w:t>.</w:t>
      </w:r>
      <w:r w:rsidRPr="004B1202">
        <w:t xml:space="preserve"> De fait, le projet d</w:t>
      </w:r>
      <w:r w:rsidR="004C5E26">
        <w:t>’</w:t>
      </w:r>
      <w:r w:rsidRPr="004B1202">
        <w:t>articles sur la prévention des dommages transfrontières assimile l</w:t>
      </w:r>
      <w:r w:rsidR="004C5E26">
        <w:t>’</w:t>
      </w:r>
      <w:r w:rsidRPr="004B1202">
        <w:t>obligation de prévention à l</w:t>
      </w:r>
      <w:r w:rsidR="004C5E26">
        <w:t>’</w:t>
      </w:r>
      <w:r w:rsidRPr="004B1202">
        <w:t>obligation de diligence</w:t>
      </w:r>
      <w:r w:rsidRPr="00E9227E">
        <w:rPr>
          <w:rStyle w:val="Appelnotedebasdep"/>
        </w:rPr>
        <w:footnoteReference w:id="477"/>
      </w:r>
      <w:r w:rsidRPr="00FD184E">
        <w:t>.</w:t>
      </w:r>
      <w:r w:rsidRPr="004B1202">
        <w:t xml:space="preserve"> Bien qu</w:t>
      </w:r>
      <w:r w:rsidR="004C5E26">
        <w:t>’</w:t>
      </w:r>
      <w:r w:rsidRPr="004B1202">
        <w:t>il définisse dans une certaine mesure l</w:t>
      </w:r>
      <w:r w:rsidR="004C5E26">
        <w:t>’</w:t>
      </w:r>
      <w:r w:rsidRPr="004B1202">
        <w:t>obligation de diligence dans le contexte des dommages transfrontières résultant d</w:t>
      </w:r>
      <w:r w:rsidR="004C5E26">
        <w:t>’</w:t>
      </w:r>
      <w:r w:rsidRPr="004B1202">
        <w:t>activités extrêmement dangereuses dans le domaine de l</w:t>
      </w:r>
      <w:r w:rsidR="004C5E26">
        <w:t>’</w:t>
      </w:r>
      <w:r w:rsidRPr="004B1202">
        <w:t>environnement</w:t>
      </w:r>
      <w:r w:rsidRPr="00E9227E">
        <w:rPr>
          <w:rStyle w:val="Appelnotedebasdep"/>
        </w:rPr>
        <w:footnoteReference w:id="478"/>
      </w:r>
      <w:r w:rsidRPr="004B1202">
        <w:t>, ce projet d</w:t>
      </w:r>
      <w:r w:rsidR="004C5E26">
        <w:t>’</w:t>
      </w:r>
      <w:r w:rsidRPr="004B1202">
        <w:t>articles est limité dans son application</w:t>
      </w:r>
      <w:r w:rsidRPr="00FD184E">
        <w:t>.</w:t>
      </w:r>
      <w:r w:rsidRPr="004B1202">
        <w:t xml:space="preserve"> </w:t>
      </w:r>
    </w:p>
    <w:p w14:paraId="32F255E2" w14:textId="253C25A2" w:rsidR="005A67A9" w:rsidRPr="004B1202" w:rsidRDefault="005A67A9" w:rsidP="005A67A9">
      <w:pPr>
        <w:pStyle w:val="SingleTxtG"/>
      </w:pPr>
      <w:r w:rsidRPr="004B1202">
        <w:t>14</w:t>
      </w:r>
      <w:r w:rsidRPr="00FD184E">
        <w:t>.</w:t>
      </w:r>
      <w:r w:rsidRPr="004B1202">
        <w:tab/>
        <w:t>La Commission s</w:t>
      </w:r>
      <w:r w:rsidR="004C5E26">
        <w:t>’</w:t>
      </w:r>
      <w:r w:rsidRPr="004B1202">
        <w:t>intéresse depuis des décennies à la relation entre l</w:t>
      </w:r>
      <w:r w:rsidR="004C5E26">
        <w:t>’</w:t>
      </w:r>
      <w:r w:rsidRPr="004B1202">
        <w:t>obligation de diligence et la responsabilité de l</w:t>
      </w:r>
      <w:r w:rsidR="004C5E26">
        <w:t>’</w:t>
      </w:r>
      <w:r w:rsidRPr="004B1202">
        <w:t>État</w:t>
      </w:r>
      <w:r w:rsidRPr="00FD184E">
        <w:t>.</w:t>
      </w:r>
      <w:r w:rsidRPr="004B1202">
        <w:t xml:space="preserve"> Quentin-Baxter avait initialement défini l</w:t>
      </w:r>
      <w:r w:rsidR="004C5E26">
        <w:t>’</w:t>
      </w:r>
      <w:r w:rsidRPr="004B1202">
        <w:t>obligation de diligence (</w:t>
      </w:r>
      <w:proofErr w:type="spellStart"/>
      <w:r w:rsidRPr="004B1202">
        <w:rPr>
          <w:i/>
          <w:iCs/>
        </w:rPr>
        <w:t>duty</w:t>
      </w:r>
      <w:proofErr w:type="spellEnd"/>
      <w:r w:rsidRPr="004B1202">
        <w:rPr>
          <w:i/>
          <w:iCs/>
        </w:rPr>
        <w:t xml:space="preserve"> of care</w:t>
      </w:r>
      <w:r w:rsidRPr="004B1202">
        <w:t xml:space="preserve"> ou </w:t>
      </w:r>
      <w:proofErr w:type="spellStart"/>
      <w:r w:rsidRPr="004B1202">
        <w:rPr>
          <w:i/>
          <w:iCs/>
        </w:rPr>
        <w:t>duty</w:t>
      </w:r>
      <w:proofErr w:type="spellEnd"/>
      <w:r w:rsidRPr="004B1202">
        <w:rPr>
          <w:i/>
          <w:iCs/>
        </w:rPr>
        <w:t xml:space="preserve"> of due diligence</w:t>
      </w:r>
      <w:r w:rsidRPr="004B1202">
        <w:t>) comme un facteur central découlant de l</w:t>
      </w:r>
      <w:r w:rsidR="004C5E26">
        <w:t>’</w:t>
      </w:r>
      <w:r w:rsidRPr="004B1202">
        <w:t>obligation de prévention</w:t>
      </w:r>
      <w:r w:rsidRPr="00E9227E">
        <w:rPr>
          <w:rStyle w:val="Appelnotedebasdep"/>
        </w:rPr>
        <w:footnoteReference w:id="479"/>
      </w:r>
      <w:r w:rsidRPr="00FD184E">
        <w:t>.</w:t>
      </w:r>
      <w:r w:rsidRPr="004B1202">
        <w:t xml:space="preserve"> Il a ultérieurement abandonné l</w:t>
      </w:r>
      <w:r w:rsidR="004C5E26">
        <w:t>’</w:t>
      </w:r>
      <w:r w:rsidRPr="004B1202">
        <w:t>expression anglaise « </w:t>
      </w:r>
      <w:proofErr w:type="spellStart"/>
      <w:r w:rsidRPr="004B1202">
        <w:rPr>
          <w:i/>
          <w:iCs/>
        </w:rPr>
        <w:t>duty</w:t>
      </w:r>
      <w:proofErr w:type="spellEnd"/>
      <w:r w:rsidRPr="004B1202">
        <w:rPr>
          <w:i/>
          <w:iCs/>
        </w:rPr>
        <w:t xml:space="preserve"> of care</w:t>
      </w:r>
      <w:r w:rsidRPr="004B1202">
        <w:t> » parce que cette expression se prêtait « à trop de variations pour qu</w:t>
      </w:r>
      <w:r w:rsidR="004C5E26">
        <w:t>’</w:t>
      </w:r>
      <w:r w:rsidRPr="004B1202">
        <w:t>il soit justifié de la conserver dans le vocabulaire employé pour l</w:t>
      </w:r>
      <w:r w:rsidR="004C5E26">
        <w:t>’</w:t>
      </w:r>
      <w:r w:rsidRPr="004B1202">
        <w:t>étude du sujet examiné » et parce que − même appliquée à des « activités qui ne sont pas interdites par le droit international » − elle suggérait un critère qui, s</w:t>
      </w:r>
      <w:r w:rsidR="004C5E26">
        <w:t>’</w:t>
      </w:r>
      <w:r w:rsidRPr="004B1202">
        <w:t>il n</w:t>
      </w:r>
      <w:r w:rsidR="004C5E26">
        <w:t>’</w:t>
      </w:r>
      <w:r w:rsidRPr="004B1202">
        <w:t>était pas rempli, entraînerait la responsabilité d</w:t>
      </w:r>
      <w:r w:rsidR="004C5E26">
        <w:t>’</w:t>
      </w:r>
      <w:r w:rsidRPr="004B1202">
        <w:t>un État pour fait illicite, laquelle ne relevait pas du sujet</w:t>
      </w:r>
      <w:r w:rsidRPr="00E9227E">
        <w:rPr>
          <w:rStyle w:val="Appelnotedebasdep"/>
        </w:rPr>
        <w:footnoteReference w:id="480"/>
      </w:r>
      <w:r w:rsidRPr="00FD184E">
        <w:t>.</w:t>
      </w:r>
      <w:r w:rsidRPr="004B1202">
        <w:t xml:space="preserve"> Il a réaffirmé la décision de la Commission selon laquelle « le sujet se situ[ait] dans le domaine des règles “primaires” − règles qui </w:t>
      </w:r>
      <w:r w:rsidRPr="004B1202">
        <w:lastRenderedPageBreak/>
        <w:t>[étaient] gouvernées par le régime établi de la responsabilité des États pour actes ou omissions illicites »</w:t>
      </w:r>
      <w:r w:rsidRPr="00E9227E">
        <w:rPr>
          <w:rStyle w:val="Appelnotedebasdep"/>
        </w:rPr>
        <w:footnoteReference w:id="481"/>
      </w:r>
      <w:r w:rsidRPr="00FD184E">
        <w:t>.</w:t>
      </w:r>
      <w:r w:rsidRPr="004B1202">
        <w:t xml:space="preserve"> L</w:t>
      </w:r>
      <w:r w:rsidR="004C5E26">
        <w:t>’</w:t>
      </w:r>
      <w:r w:rsidRPr="004B1202">
        <w:t>expression « </w:t>
      </w:r>
      <w:proofErr w:type="spellStart"/>
      <w:r w:rsidRPr="004B1202">
        <w:rPr>
          <w:i/>
          <w:iCs/>
        </w:rPr>
        <w:t>duty</w:t>
      </w:r>
      <w:proofErr w:type="spellEnd"/>
      <w:r w:rsidRPr="004B1202">
        <w:rPr>
          <w:i/>
          <w:iCs/>
        </w:rPr>
        <w:t xml:space="preserve"> of care</w:t>
      </w:r>
      <w:r w:rsidRPr="004B1202">
        <w:t> » (obligation de diligence) est néanmoins utilisée dans le texte anglais de rapports des deuxième et troisième rapporteurs spéciaux pour le sujet</w:t>
      </w:r>
      <w:r w:rsidRPr="00E9227E">
        <w:rPr>
          <w:rStyle w:val="Appelnotedebasdep"/>
        </w:rPr>
        <w:footnoteReference w:id="482"/>
      </w:r>
      <w:r w:rsidRPr="00FD184E">
        <w:t>.</w:t>
      </w:r>
      <w:r w:rsidRPr="004B1202">
        <w:t xml:space="preserve"> L</w:t>
      </w:r>
      <w:r w:rsidR="004C5E26">
        <w:t>’</w:t>
      </w:r>
      <w:r w:rsidRPr="004B1202">
        <w:t>énigme de la place de l</w:t>
      </w:r>
      <w:r w:rsidR="004C5E26">
        <w:t>’</w:t>
      </w:r>
      <w:r w:rsidRPr="004B1202">
        <w:t>obligation de diligence dans le système de la responsabilité de l</w:t>
      </w:r>
      <w:r w:rsidR="004C5E26">
        <w:t>’</w:t>
      </w:r>
      <w:r w:rsidRPr="004B1202">
        <w:t>État imprègne depuis lors l</w:t>
      </w:r>
      <w:r w:rsidR="004C5E26">
        <w:t>’</w:t>
      </w:r>
      <w:r w:rsidRPr="004B1202">
        <w:t>examen de cette obligation</w:t>
      </w:r>
      <w:r w:rsidRPr="00E9227E">
        <w:rPr>
          <w:rStyle w:val="Appelnotedebasdep"/>
        </w:rPr>
        <w:footnoteReference w:id="483"/>
      </w:r>
      <w:r w:rsidRPr="00FD184E">
        <w:t>.</w:t>
      </w:r>
      <w:r w:rsidRPr="004B1202">
        <w:t xml:space="preserve"> </w:t>
      </w:r>
    </w:p>
    <w:p w14:paraId="15D59A24" w14:textId="3B7AC90E" w:rsidR="005A67A9" w:rsidRPr="004B1202" w:rsidRDefault="005A67A9" w:rsidP="005A67A9">
      <w:pPr>
        <w:pStyle w:val="SingleTxtG"/>
      </w:pPr>
      <w:r w:rsidRPr="00BA15EF">
        <w:t>15.</w:t>
      </w:r>
      <w:r w:rsidRPr="00BA15EF">
        <w:tab/>
        <w:t>L</w:t>
      </w:r>
      <w:r w:rsidR="004C5E26">
        <w:t>’</w:t>
      </w:r>
      <w:r w:rsidRPr="00BA15EF">
        <w:t>obligation de diligence est aussi mentionnée dans d</w:t>
      </w:r>
      <w:r w:rsidR="004C5E26">
        <w:t>’</w:t>
      </w:r>
      <w:r w:rsidRPr="00BA15EF">
        <w:t>autres textes issus des travaux de la Commission, notamment son projet d</w:t>
      </w:r>
      <w:r w:rsidR="004C5E26">
        <w:t>’</w:t>
      </w:r>
      <w:r w:rsidRPr="00BA15EF">
        <w:t>articles sur le droit relatif aux utilisations des cours d</w:t>
      </w:r>
      <w:r w:rsidR="004C5E26">
        <w:t>’</w:t>
      </w:r>
      <w:r w:rsidRPr="00BA15EF">
        <w:t>eau à des fins autres que la navigation</w:t>
      </w:r>
      <w:r w:rsidRPr="00BA15EF">
        <w:rPr>
          <w:rStyle w:val="Appelnotedebasdep"/>
        </w:rPr>
        <w:footnoteReference w:id="484"/>
      </w:r>
      <w:r w:rsidRPr="00BA15EF">
        <w:t>. L</w:t>
      </w:r>
      <w:r w:rsidR="004C5E26">
        <w:t>’</w:t>
      </w:r>
      <w:r w:rsidRPr="00BA15EF">
        <w:t>article 7 de celui-ci place l</w:t>
      </w:r>
      <w:r w:rsidR="004C5E26">
        <w:t>’</w:t>
      </w:r>
      <w:r w:rsidRPr="00BA15EF">
        <w:t>obligation de diligence au centre de l</w:t>
      </w:r>
      <w:r w:rsidR="004C5E26">
        <w:t>’</w:t>
      </w:r>
      <w:r w:rsidRPr="00BA15EF">
        <w:t>utilisation des cours d</w:t>
      </w:r>
      <w:r w:rsidR="004C5E26">
        <w:t>’</w:t>
      </w:r>
      <w:r w:rsidRPr="00BA15EF">
        <w:t>eau internationaux, sous la forme d</w:t>
      </w:r>
      <w:r w:rsidR="004C5E26">
        <w:t>’</w:t>
      </w:r>
      <w:r w:rsidRPr="00BA15EF">
        <w:t>une</w:t>
      </w:r>
      <w:r w:rsidRPr="004B1202">
        <w:t xml:space="preserve"> obligation de ne pas causer de dommages aux autres États sur le territoire desquels est située une partie du cours d</w:t>
      </w:r>
      <w:r w:rsidR="004C5E26">
        <w:t>’</w:t>
      </w:r>
      <w:r w:rsidRPr="004B1202">
        <w:t>eau</w:t>
      </w:r>
      <w:r w:rsidRPr="00E9227E">
        <w:rPr>
          <w:rStyle w:val="Appelnotedebasdep"/>
        </w:rPr>
        <w:footnoteReference w:id="485"/>
      </w:r>
      <w:r w:rsidRPr="00FD184E">
        <w:t>.</w:t>
      </w:r>
      <w:r w:rsidRPr="004B1202">
        <w:t xml:space="preserve"> L</w:t>
      </w:r>
      <w:r w:rsidR="004C5E26">
        <w:t>’</w:t>
      </w:r>
      <w:r w:rsidRPr="004B1202">
        <w:t>article 9 du projet d</w:t>
      </w:r>
      <w:r w:rsidR="004C5E26">
        <w:t>’</w:t>
      </w:r>
      <w:r w:rsidRPr="004B1202">
        <w:t>articles sur la protection des personnes en cas de catastrophe porte sur la réduction des risques de catastrophe et s</w:t>
      </w:r>
      <w:r w:rsidR="004C5E26">
        <w:t>’</w:t>
      </w:r>
      <w:r w:rsidRPr="004B1202">
        <w:t>inspire de principes du droit international de l</w:t>
      </w:r>
      <w:r w:rsidR="004C5E26">
        <w:t>’</w:t>
      </w:r>
      <w:r w:rsidRPr="004B1202">
        <w:t>environnement, notamment l</w:t>
      </w:r>
      <w:r w:rsidR="004C5E26">
        <w:t>’</w:t>
      </w:r>
      <w:r w:rsidRPr="004B1202">
        <w:t>obligation de diligence</w:t>
      </w:r>
      <w:r w:rsidRPr="00E9227E">
        <w:rPr>
          <w:rStyle w:val="Appelnotedebasdep"/>
        </w:rPr>
        <w:footnoteReference w:id="486"/>
      </w:r>
      <w:r w:rsidRPr="00FD184E">
        <w:t>.</w:t>
      </w:r>
      <w:r w:rsidRPr="004B1202">
        <w:t xml:space="preserve"> Les projets de directive sur la protection de l</w:t>
      </w:r>
      <w:r w:rsidR="004C5E26">
        <w:t>’</w:t>
      </w:r>
      <w:r w:rsidRPr="004B1202">
        <w:t>atmosphère énoncent l</w:t>
      </w:r>
      <w:r w:rsidR="004C5E26">
        <w:t>’</w:t>
      </w:r>
      <w:r w:rsidRPr="004B1202">
        <w:t>obligation des États de protéger l</w:t>
      </w:r>
      <w:r w:rsidR="004C5E26">
        <w:t>’</w:t>
      </w:r>
      <w:r w:rsidRPr="004B1202">
        <w:t>atmosphère en faisant preuve de la diligence requise</w:t>
      </w:r>
      <w:r w:rsidRPr="00E9227E">
        <w:rPr>
          <w:rStyle w:val="Appelnotedebasdep"/>
        </w:rPr>
        <w:footnoteReference w:id="487"/>
      </w:r>
      <w:r w:rsidRPr="00FD184E">
        <w:t>.</w:t>
      </w:r>
      <w:r w:rsidRPr="004B1202">
        <w:t xml:space="preserve"> Plus récemment, la Commission a mentionné la diligence dans le projet de principes sur la </w:t>
      </w:r>
      <w:bookmarkStart w:id="294" w:name="_Hlk169080726"/>
      <w:r w:rsidRPr="004B1202">
        <w:t>protection de l</w:t>
      </w:r>
      <w:r w:rsidR="004C5E26">
        <w:t>’</w:t>
      </w:r>
      <w:r w:rsidRPr="004B1202">
        <w:t xml:space="preserve">environnement en rapport avec les conflits armés, dont le principe 10 </w:t>
      </w:r>
      <w:bookmarkEnd w:id="294"/>
      <w:r w:rsidRPr="004B1202">
        <w:t>porte sur le devoir de diligence des entreprises lorsqu</w:t>
      </w:r>
      <w:r w:rsidR="004C5E26">
        <w:t>’</w:t>
      </w:r>
      <w:r w:rsidRPr="004B1202">
        <w:t>elles opèrent dans une zone touchée par un conflit armé</w:t>
      </w:r>
      <w:r w:rsidRPr="00E9227E">
        <w:rPr>
          <w:rStyle w:val="Appelnotedebasdep"/>
        </w:rPr>
        <w:footnoteReference w:id="488"/>
      </w:r>
      <w:r w:rsidRPr="00FD184E">
        <w:t>.</w:t>
      </w:r>
    </w:p>
    <w:p w14:paraId="3E872527" w14:textId="690B1A67" w:rsidR="005A67A9" w:rsidRPr="004B1202" w:rsidRDefault="005A67A9" w:rsidP="005A67A9">
      <w:pPr>
        <w:pStyle w:val="SingleTxtG"/>
      </w:pPr>
      <w:r w:rsidRPr="004B1202">
        <w:t>16</w:t>
      </w:r>
      <w:r w:rsidRPr="00FD184E">
        <w:t>.</w:t>
      </w:r>
      <w:r w:rsidRPr="004B1202">
        <w:tab/>
        <w:t>L</w:t>
      </w:r>
      <w:r w:rsidR="004C5E26">
        <w:t>’</w:t>
      </w:r>
      <w:r w:rsidRPr="004B1202">
        <w:t>aperçu qui précède montre que la Commission s</w:t>
      </w:r>
      <w:r w:rsidR="004C5E26">
        <w:t>’</w:t>
      </w:r>
      <w:r w:rsidRPr="004B1202">
        <w:t>est intéressée à l</w:t>
      </w:r>
      <w:r w:rsidR="004C5E26">
        <w:t>’</w:t>
      </w:r>
      <w:r w:rsidRPr="004B1202">
        <w:t>obligation de diligence dans le cadre de ses travaux antérieurs</w:t>
      </w:r>
      <w:r w:rsidRPr="00FD184E">
        <w:t>.</w:t>
      </w:r>
      <w:r w:rsidRPr="004B1202">
        <w:t xml:space="preserve"> Elle n</w:t>
      </w:r>
      <w:r w:rsidR="004C5E26">
        <w:t>’</w:t>
      </w:r>
      <w:r w:rsidRPr="004B1202">
        <w:t>a toutefois jamais examiné cette obligation de manière exhaustive en tant qu</w:t>
      </w:r>
      <w:r w:rsidR="004C5E26">
        <w:t>’</w:t>
      </w:r>
      <w:r w:rsidRPr="004B1202">
        <w:t>obligation autonome ne concernant pas seulement les dommages à l</w:t>
      </w:r>
      <w:r w:rsidR="004C5E26">
        <w:t>’</w:t>
      </w:r>
      <w:r w:rsidRPr="004B1202">
        <w:t>environnement</w:t>
      </w:r>
      <w:r w:rsidRPr="00FD184E">
        <w:t>.</w:t>
      </w:r>
      <w:r w:rsidRPr="004B1202">
        <w:t xml:space="preserve"> De plus, les travaux de la Commission sur les contours de cette obligation n</w:t>
      </w:r>
      <w:r w:rsidR="004C5E26">
        <w:t>’</w:t>
      </w:r>
      <w:r w:rsidRPr="004B1202">
        <w:t>ont pas toujours été cohérents, et il est de ce fait difficile d</w:t>
      </w:r>
      <w:r w:rsidR="004C5E26">
        <w:t>’</w:t>
      </w:r>
      <w:r w:rsidRPr="004B1202">
        <w:t>en déterminer le champ d</w:t>
      </w:r>
      <w:r w:rsidR="004C5E26">
        <w:t>’</w:t>
      </w:r>
      <w:r w:rsidRPr="004B1202">
        <w:t>application et les éléments essentiels</w:t>
      </w:r>
      <w:r w:rsidRPr="00FD184E">
        <w:t>.</w:t>
      </w:r>
      <w:r w:rsidRPr="004B1202">
        <w:t xml:space="preserve"> Cette obligation se situe de manière quelque peu ambiguë entre les obligations primaires et les obligations secondaires de la responsabilité</w:t>
      </w:r>
      <w:r w:rsidRPr="00FD184E">
        <w:t>.</w:t>
      </w:r>
      <w:r w:rsidRPr="004B1202">
        <w:t xml:space="preserve"> Les travaux sur le sujet proposé compléteraient les travaux antérieurs de la Commission et porteraient sur des questions que celle-ci n</w:t>
      </w:r>
      <w:r w:rsidR="004C5E26">
        <w:t>’</w:t>
      </w:r>
      <w:r w:rsidRPr="004B1202">
        <w:t>a pas encore examinées</w:t>
      </w:r>
      <w:r w:rsidRPr="00FD184E">
        <w:t>.</w:t>
      </w:r>
      <w:r w:rsidRPr="004B1202">
        <w:t xml:space="preserve"> </w:t>
      </w:r>
    </w:p>
    <w:p w14:paraId="61A92D58" w14:textId="77777777" w:rsidR="005A67A9" w:rsidRPr="004B1202" w:rsidRDefault="005A67A9" w:rsidP="005A67A9">
      <w:pPr>
        <w:pStyle w:val="H23G"/>
      </w:pPr>
      <w:r w:rsidRPr="004B1202">
        <w:tab/>
        <w:t>3</w:t>
      </w:r>
      <w:r w:rsidRPr="00FD184E">
        <w:t>.</w:t>
      </w:r>
      <w:r w:rsidRPr="004B1202">
        <w:tab/>
        <w:t>Portée des travaux sur le sujet et questions à examiner</w:t>
      </w:r>
    </w:p>
    <w:p w14:paraId="323D838D" w14:textId="7BFDC624" w:rsidR="005A67A9" w:rsidRPr="004B1202" w:rsidRDefault="005A67A9" w:rsidP="005A67A9">
      <w:pPr>
        <w:pStyle w:val="SingleTxtG"/>
      </w:pPr>
      <w:r w:rsidRPr="005D2036">
        <w:t>17.</w:t>
      </w:r>
      <w:r w:rsidRPr="005D2036">
        <w:tab/>
        <w:t>Les travaux sur le sujet viseraient à clarifier la nature juridique, la portée et le contenu de l</w:t>
      </w:r>
      <w:r w:rsidR="004C5E26">
        <w:t>’</w:t>
      </w:r>
      <w:r w:rsidRPr="005D2036">
        <w:t>obligation de diligence. Celle-ci est souvent appelée « devoir » ou « obligation » lorsque son contenu ressort de celui de l</w:t>
      </w:r>
      <w:r w:rsidR="004C5E26">
        <w:t>’</w:t>
      </w:r>
      <w:r w:rsidRPr="005D2036">
        <w:t>obligation primaire qu</w:t>
      </w:r>
      <w:r w:rsidR="004C5E26">
        <w:t>’</w:t>
      </w:r>
      <w:r w:rsidRPr="005D2036">
        <w:t>elle quali</w:t>
      </w:r>
      <w:r w:rsidRPr="004B1202">
        <w:t xml:space="preserve">fie et des droits et intérêts </w:t>
      </w:r>
      <w:r w:rsidRPr="004B1202">
        <w:lastRenderedPageBreak/>
        <w:t>des autres États devant être protégés</w:t>
      </w:r>
      <w:r w:rsidRPr="00E9227E">
        <w:rPr>
          <w:rStyle w:val="Appelnotedebasdep"/>
        </w:rPr>
        <w:footnoteReference w:id="489"/>
      </w:r>
      <w:r w:rsidRPr="00FD184E">
        <w:t>.</w:t>
      </w:r>
      <w:r w:rsidRPr="004B1202">
        <w:t xml:space="preserve"> Elle est qualifiée de norme de conduite permettant d</w:t>
      </w:r>
      <w:r w:rsidR="004C5E26">
        <w:t>’</w:t>
      </w:r>
      <w:r w:rsidRPr="004B1202">
        <w:t>apprécier si un État s</w:t>
      </w:r>
      <w:r w:rsidR="004C5E26">
        <w:t>’</w:t>
      </w:r>
      <w:r w:rsidRPr="004B1202">
        <w:t>acquitte de ses obligations primaires</w:t>
      </w:r>
      <w:r w:rsidRPr="00E9227E">
        <w:rPr>
          <w:rStyle w:val="Appelnotedebasdep"/>
        </w:rPr>
        <w:footnoteReference w:id="490"/>
      </w:r>
      <w:r w:rsidRPr="00FD184E">
        <w:t>.</w:t>
      </w:r>
      <w:r w:rsidRPr="004B1202">
        <w:t xml:space="preserve"> Elle peut être aussi considérée comme un principe général du droit trouvant expression dans différents domaines du droit international</w:t>
      </w:r>
      <w:r w:rsidRPr="00E9227E">
        <w:rPr>
          <w:rStyle w:val="Appelnotedebasdep"/>
        </w:rPr>
        <w:footnoteReference w:id="491"/>
      </w:r>
      <w:r w:rsidRPr="00FD184E">
        <w:t>.</w:t>
      </w:r>
      <w:r w:rsidRPr="004B1202">
        <w:t xml:space="preserve"> Le sens du terme « diligence » (« </w:t>
      </w:r>
      <w:r w:rsidRPr="004B1202">
        <w:rPr>
          <w:i/>
          <w:iCs/>
        </w:rPr>
        <w:t>due diligence</w:t>
      </w:r>
      <w:r w:rsidRPr="004B1202">
        <w:t> ») peut varier selon le contexte dans lequel ce terme est employé</w:t>
      </w:r>
      <w:r w:rsidRPr="00E9227E">
        <w:rPr>
          <w:rStyle w:val="Appelnotedebasdep"/>
        </w:rPr>
        <w:footnoteReference w:id="492"/>
      </w:r>
      <w:r w:rsidRPr="00FD184E">
        <w:t>.</w:t>
      </w:r>
      <w:r w:rsidRPr="004B1202">
        <w:t xml:space="preserve"> Afin de définir le sujet plus clairement, on considérera que l</w:t>
      </w:r>
      <w:r w:rsidR="004C5E26">
        <w:t>’</w:t>
      </w:r>
      <w:r w:rsidRPr="004B1202">
        <w:t>obligation de diligence est, dans son essence, celle énoncée par la Cour internationale de Justice dans l</w:t>
      </w:r>
      <w:r w:rsidR="004C5E26">
        <w:t>’</w:t>
      </w:r>
      <w:r w:rsidR="00B6516D">
        <w:t>a</w:t>
      </w:r>
      <w:r w:rsidRPr="00B6516D">
        <w:t>ffaire du</w:t>
      </w:r>
      <w:r w:rsidRPr="004B1202">
        <w:rPr>
          <w:i/>
          <w:iCs/>
        </w:rPr>
        <w:t xml:space="preserve"> Détroit de Corfou</w:t>
      </w:r>
      <w:r w:rsidRPr="004B1202">
        <w:t>, à savoir l</w:t>
      </w:r>
      <w:r w:rsidR="004C5E26">
        <w:t>’</w:t>
      </w:r>
      <w:r w:rsidRPr="004B1202">
        <w:t>obligation pour les États de ne pas laisser utiliser leur territoire aux fins d</w:t>
      </w:r>
      <w:r w:rsidR="004C5E26">
        <w:t>’</w:t>
      </w:r>
      <w:r w:rsidRPr="004B1202">
        <w:t xml:space="preserve">actes contraires aux droits et intérêts protégés par le droit </w:t>
      </w:r>
      <w:bookmarkStart w:id="296" w:name="_Hlk167009414"/>
      <w:r w:rsidRPr="004B1202">
        <w:t>international</w:t>
      </w:r>
      <w:bookmarkEnd w:id="296"/>
      <w:r w:rsidRPr="004B1202">
        <w:t xml:space="preserve"> des autres États</w:t>
      </w:r>
      <w:r w:rsidRPr="00E9227E">
        <w:rPr>
          <w:rStyle w:val="Appelnotedebasdep"/>
        </w:rPr>
        <w:footnoteReference w:id="493"/>
      </w:r>
      <w:r w:rsidRPr="00FD184E">
        <w:t>.</w:t>
      </w:r>
      <w:r w:rsidRPr="004B1202">
        <w:t xml:space="preserve"> </w:t>
      </w:r>
    </w:p>
    <w:p w14:paraId="7CEC985A" w14:textId="1A792F8C" w:rsidR="005A67A9" w:rsidRPr="004B1202" w:rsidRDefault="005A67A9" w:rsidP="005A67A9">
      <w:pPr>
        <w:pStyle w:val="SingleTxtG"/>
      </w:pPr>
      <w:r w:rsidRPr="004B1202">
        <w:t>18</w:t>
      </w:r>
      <w:r w:rsidRPr="00FD184E">
        <w:t>.</w:t>
      </w:r>
      <w:r w:rsidRPr="004B1202">
        <w:tab/>
        <w:t>L</w:t>
      </w:r>
      <w:r w:rsidR="004C5E26">
        <w:t>’</w:t>
      </w:r>
      <w:r w:rsidRPr="004B1202">
        <w:t>objectif des travaux sur le sujet serait de déterminer la nature juridique, la portée et le contenu de l</w:t>
      </w:r>
      <w:r w:rsidR="004C5E26">
        <w:t>’</w:t>
      </w:r>
      <w:r w:rsidRPr="004B1202">
        <w:t>obligation de diligence en droit international en recensant les éléments de cette obligation communs au droit international général et aux régimes spéciaux</w:t>
      </w:r>
      <w:r w:rsidRPr="00FD184E">
        <w:t>.</w:t>
      </w:r>
      <w:r w:rsidRPr="004B1202">
        <w:t xml:space="preserve"> Ces travaux répertorieraient les contours normatifs de l</w:t>
      </w:r>
      <w:r w:rsidR="004C5E26">
        <w:t>’</w:t>
      </w:r>
      <w:r w:rsidRPr="004B1202">
        <w:t>obligation de diligence en analysant la pratique des États, la jurisprudence et la doctrine y relatives dans différents domaines du droit international, le but étant d</w:t>
      </w:r>
      <w:r w:rsidR="004C5E26">
        <w:t>’</w:t>
      </w:r>
      <w:r w:rsidRPr="004B1202">
        <w:t>en identifier les caractéristiques essentielles qui ne dépendent pas de l</w:t>
      </w:r>
      <w:r w:rsidR="004C5E26">
        <w:t>’</w:t>
      </w:r>
      <w:r w:rsidRPr="004B1202">
        <w:t>obligation primaire à laquelle elle est attachée</w:t>
      </w:r>
      <w:r w:rsidRPr="00FD184E">
        <w:t>.</w:t>
      </w:r>
      <w:r w:rsidRPr="004B1202">
        <w:t xml:space="preserve"> Cela permettra d</w:t>
      </w:r>
      <w:r w:rsidR="004C5E26">
        <w:t>’</w:t>
      </w:r>
      <w:r w:rsidRPr="004B1202">
        <w:t>adopter une approche déductive pour déduire de ces éléments individuels ceux qui sont des caractéristiques communes de l</w:t>
      </w:r>
      <w:r w:rsidR="004C5E26">
        <w:t>’</w:t>
      </w:r>
      <w:r w:rsidRPr="004B1202">
        <w:t>obligation de diligence</w:t>
      </w:r>
      <w:r w:rsidRPr="00FD184E">
        <w:t>.</w:t>
      </w:r>
      <w:r w:rsidRPr="004B1202">
        <w:t xml:space="preserve"> Bien que certains commentateurs aient contesté l</w:t>
      </w:r>
      <w:r w:rsidR="004C5E26">
        <w:t>’</w:t>
      </w:r>
      <w:r w:rsidRPr="004B1202">
        <w:t>existence d</w:t>
      </w:r>
      <w:r w:rsidR="004C5E26">
        <w:t>’</w:t>
      </w:r>
      <w:r w:rsidRPr="004B1202">
        <w:t>un régime général en la matière</w:t>
      </w:r>
      <w:r w:rsidRPr="00E9227E">
        <w:rPr>
          <w:rStyle w:val="Appelnotedebasdep"/>
        </w:rPr>
        <w:footnoteReference w:id="494"/>
      </w:r>
      <w:r w:rsidRPr="004B1202">
        <w:t>, d</w:t>
      </w:r>
      <w:r w:rsidR="004C5E26">
        <w:t>’</w:t>
      </w:r>
      <w:r w:rsidRPr="004B1202">
        <w:t>autres en ont illustré la promesse</w:t>
      </w:r>
      <w:bookmarkStart w:id="297" w:name="_Ref174455148"/>
      <w:r w:rsidRPr="00E9227E">
        <w:rPr>
          <w:rStyle w:val="Appelnotedebasdep"/>
        </w:rPr>
        <w:footnoteReference w:id="495"/>
      </w:r>
      <w:bookmarkEnd w:id="297"/>
      <w:r w:rsidRPr="00FD184E">
        <w:t>.</w:t>
      </w:r>
    </w:p>
    <w:p w14:paraId="1B9DB6A0" w14:textId="77777777" w:rsidR="005A67A9" w:rsidRPr="004B1202" w:rsidRDefault="005A67A9" w:rsidP="005A67A9">
      <w:pPr>
        <w:pStyle w:val="H56G"/>
      </w:pPr>
      <w:r w:rsidRPr="004B1202">
        <w:tab/>
        <w:t>a)</w:t>
      </w:r>
      <w:r w:rsidRPr="004B1202">
        <w:tab/>
        <w:t>Intitulé du sujet proposé</w:t>
      </w:r>
    </w:p>
    <w:p w14:paraId="0C73CA68" w14:textId="10B7EE40" w:rsidR="005A67A9" w:rsidRPr="004B1202" w:rsidRDefault="005A67A9" w:rsidP="005A67A9">
      <w:pPr>
        <w:pStyle w:val="SingleTxtG"/>
      </w:pPr>
      <w:r w:rsidRPr="004B1202">
        <w:t>19</w:t>
      </w:r>
      <w:r w:rsidRPr="00FD184E">
        <w:t>.</w:t>
      </w:r>
      <w:r w:rsidRPr="004B1202">
        <w:tab/>
        <w:t>L</w:t>
      </w:r>
      <w:r w:rsidR="004C5E26">
        <w:t>’</w:t>
      </w:r>
      <w:r w:rsidRPr="004B1202">
        <w:t>intitulé du sujet proposé est « La diligence due en droit international »</w:t>
      </w:r>
      <w:r w:rsidRPr="00FD184E">
        <w:t>.</w:t>
      </w:r>
      <w:r w:rsidRPr="004B1202">
        <w:t xml:space="preserve"> L</w:t>
      </w:r>
      <w:r w:rsidR="004C5E26">
        <w:t>’</w:t>
      </w:r>
      <w:r w:rsidRPr="004B1202">
        <w:t>utilisation de l</w:t>
      </w:r>
      <w:r w:rsidR="004C5E26">
        <w:t>’</w:t>
      </w:r>
      <w:r w:rsidRPr="004B1202">
        <w:t>expression générale « diligence due » au lieu de l</w:t>
      </w:r>
      <w:r w:rsidR="004C5E26">
        <w:t>’</w:t>
      </w:r>
      <w:r w:rsidRPr="004B1202">
        <w:t>un quelconque de ses éléments est délibérée</w:t>
      </w:r>
      <w:r w:rsidRPr="00FD184E">
        <w:t>.</w:t>
      </w:r>
      <w:r w:rsidRPr="004B1202">
        <w:t xml:space="preserve"> Elle permet d</w:t>
      </w:r>
      <w:r w:rsidR="004C5E26">
        <w:t>’</w:t>
      </w:r>
      <w:r w:rsidRPr="004B1202">
        <w:t>axer les travaux sur les aspects communs de la notion de diligence due sans préjuger de l</w:t>
      </w:r>
      <w:r w:rsidR="004C5E26">
        <w:t>’</w:t>
      </w:r>
      <w:r w:rsidRPr="004B1202">
        <w:t>identification d</w:t>
      </w:r>
      <w:r w:rsidR="004C5E26">
        <w:t>’</w:t>
      </w:r>
      <w:r w:rsidRPr="004B1202">
        <w:t>un sens particulier de l</w:t>
      </w:r>
      <w:r w:rsidR="004C5E26">
        <w:t>’</w:t>
      </w:r>
      <w:r w:rsidRPr="004B1202">
        <w:t>expression</w:t>
      </w:r>
      <w:r w:rsidRPr="00FD184E">
        <w:t>.</w:t>
      </w:r>
      <w:r w:rsidRPr="004B1202">
        <w:t xml:space="preserve"> Il convient toutefois de noter que ces travaux porteront sur la diligence due, qu</w:t>
      </w:r>
      <w:r w:rsidR="004C5E26">
        <w:t>’</w:t>
      </w:r>
      <w:r w:rsidRPr="004B1202">
        <w:t>elle constitue une obligation, un devoir ou un principe</w:t>
      </w:r>
      <w:r w:rsidRPr="00FD184E">
        <w:t>.</w:t>
      </w:r>
      <w:r w:rsidRPr="004B1202">
        <w:t xml:space="preserve"> Toutefois, ils ne porteront pas directement sur les questions de la responsabilité de l</w:t>
      </w:r>
      <w:r w:rsidR="004C5E26">
        <w:t>’</w:t>
      </w:r>
      <w:r w:rsidRPr="004B1202">
        <w:t>État</w:t>
      </w:r>
      <w:r w:rsidRPr="00FD184E">
        <w:t>.</w:t>
      </w:r>
      <w:r w:rsidRPr="004B1202">
        <w:t xml:space="preserve"> La référence au « droit international » indique que le sujet concerne la notion de diligence due dans le contexte du droit international général</w:t>
      </w:r>
      <w:r w:rsidRPr="00FD184E">
        <w:t>.</w:t>
      </w:r>
      <w:r w:rsidRPr="004B1202">
        <w:t xml:space="preserve"> </w:t>
      </w:r>
    </w:p>
    <w:p w14:paraId="5128A6B0" w14:textId="77777777" w:rsidR="005A67A9" w:rsidRPr="004B1202" w:rsidRDefault="005A67A9" w:rsidP="005A67A9">
      <w:pPr>
        <w:pStyle w:val="H56G"/>
      </w:pPr>
      <w:r w:rsidRPr="004B1202">
        <w:tab/>
        <w:t>b)</w:t>
      </w:r>
      <w:r w:rsidRPr="004B1202">
        <w:tab/>
        <w:t>Portée des travaux sur le sujet</w:t>
      </w:r>
    </w:p>
    <w:p w14:paraId="1F8F7C8A" w14:textId="77777777" w:rsidR="005A67A9" w:rsidRPr="004B1202" w:rsidRDefault="005A67A9" w:rsidP="005A67A9">
      <w:pPr>
        <w:pStyle w:val="SingleTxtG"/>
      </w:pPr>
      <w:r w:rsidRPr="004B1202">
        <w:t>20</w:t>
      </w:r>
      <w:r w:rsidRPr="00FD184E">
        <w:t>.</w:t>
      </w:r>
      <w:r w:rsidRPr="004B1202">
        <w:tab/>
        <w:t>La présente section concerne les divers aspects des travaux sur le sujet : la nature juridique de la diligence due, sa portée et son contenu</w:t>
      </w:r>
      <w:r w:rsidRPr="00FD184E">
        <w:t>.</w:t>
      </w:r>
      <w:r w:rsidRPr="004B1202">
        <w:t xml:space="preserve"> Elle vise aussi à limiter ces travaux en excluant certains éléments qui sont périphériques par rapport à leur principal objectif</w:t>
      </w:r>
      <w:r w:rsidRPr="00FD184E">
        <w:t>.</w:t>
      </w:r>
    </w:p>
    <w:p w14:paraId="5EA9825D" w14:textId="77777777" w:rsidR="005A67A9" w:rsidRPr="004B1202" w:rsidRDefault="005A67A9" w:rsidP="005A67A9">
      <w:pPr>
        <w:pStyle w:val="H56G"/>
      </w:pPr>
      <w:r w:rsidRPr="004B1202">
        <w:lastRenderedPageBreak/>
        <w:tab/>
        <w:t>i)</w:t>
      </w:r>
      <w:r w:rsidRPr="004B1202">
        <w:tab/>
        <w:t>Nature juridique de la diligence due</w:t>
      </w:r>
    </w:p>
    <w:p w14:paraId="27FB0786" w14:textId="74867AE9" w:rsidR="005A67A9" w:rsidRPr="004B1202" w:rsidRDefault="005A67A9" w:rsidP="005A67A9">
      <w:pPr>
        <w:pStyle w:val="SingleTxtG"/>
      </w:pPr>
      <w:r w:rsidRPr="004B1202">
        <w:t>21</w:t>
      </w:r>
      <w:r w:rsidRPr="00FD184E">
        <w:t>.</w:t>
      </w:r>
      <w:r w:rsidRPr="004B1202">
        <w:tab/>
        <w:t>La nature ou le fondement juridique de la diligence due en tant que principe général du droit ou d</w:t>
      </w:r>
      <w:r w:rsidR="004C5E26">
        <w:t>’</w:t>
      </w:r>
      <w:r w:rsidRPr="004B1202">
        <w:t>obligation de droit international coutumier et donc la relation entre cette notion et les sources du droit visées aux alinéas a) à c) du paragraphe 1 de l</w:t>
      </w:r>
      <w:r w:rsidR="004C5E26">
        <w:t>’</w:t>
      </w:r>
      <w:r w:rsidRPr="004B1202">
        <w:t>Article 38 du Statut de la Cour internationale de Justice ne sont pas clairs</w:t>
      </w:r>
      <w:r w:rsidRPr="00FD184E">
        <w:t>.</w:t>
      </w:r>
      <w:r w:rsidRPr="004B1202">
        <w:t xml:space="preserve"> L</w:t>
      </w:r>
      <w:r w:rsidR="004C5E26">
        <w:t>’</w:t>
      </w:r>
      <w:r w:rsidRPr="004B1202">
        <w:t>obligation de diligence est parfois qualifiée de « principe du droit international » au sens de norme générale de comportement applicable dans tous les domaines du droit international</w:t>
      </w:r>
      <w:r w:rsidRPr="00E9227E">
        <w:rPr>
          <w:rStyle w:val="Appelnotedebasdep"/>
        </w:rPr>
        <w:footnoteReference w:id="496"/>
      </w:r>
      <w:r w:rsidRPr="004B1202">
        <w:t>, mais ce statut de principe a été contesté</w:t>
      </w:r>
      <w:r w:rsidRPr="00E9227E">
        <w:rPr>
          <w:rStyle w:val="Appelnotedebasdep"/>
        </w:rPr>
        <w:footnoteReference w:id="497"/>
      </w:r>
      <w:r w:rsidRPr="00FD184E">
        <w:t>.</w:t>
      </w:r>
      <w:r w:rsidRPr="004B1202">
        <w:t xml:space="preserve"> Comprendre la nature juridique de la diligence due peut être utile pour déterminer comment cette notion peut être appliquée tant en droit international général que dans des domaines particuliers du droit international</w:t>
      </w:r>
      <w:r w:rsidRPr="00FD184E">
        <w:t>.</w:t>
      </w:r>
      <w:r w:rsidRPr="004B1202">
        <w:t xml:space="preserve"> De même, dans l</w:t>
      </w:r>
      <w:r w:rsidR="004C5E26">
        <w:t>’</w:t>
      </w:r>
      <w:r w:rsidRPr="004B1202">
        <w:t>orthodoxie des articles sur la responsabilité de l</w:t>
      </w:r>
      <w:r w:rsidR="004C5E26">
        <w:t>’</w:t>
      </w:r>
      <w:r w:rsidRPr="004B1202">
        <w:t>État, l</w:t>
      </w:r>
      <w:r w:rsidR="004C5E26">
        <w:t>’</w:t>
      </w:r>
      <w:r w:rsidRPr="004B1202">
        <w:t>obligation de diligence fait partie des règles primaires</w:t>
      </w:r>
      <w:r w:rsidRPr="00FD184E">
        <w:t>.</w:t>
      </w:r>
      <w:r w:rsidRPr="004B1202">
        <w:t xml:space="preserve"> Elle est toutefois nécessairement liée aux règles secondaires régissant la responsabilité à raison de sa violation</w:t>
      </w:r>
      <w:r w:rsidRPr="00FD184E">
        <w:t>.</w:t>
      </w:r>
      <w:r w:rsidRPr="004B1202">
        <w:t xml:space="preserve"> Comprendre la notion de diligence due dans le cadre orthodoxe de la responsabilité de l</w:t>
      </w:r>
      <w:r w:rsidR="004C5E26">
        <w:t>’</w:t>
      </w:r>
      <w:r w:rsidRPr="004B1202">
        <w:t>État et dans celui de la dichotomie entre obligations de comportement et obligations de résultat</w:t>
      </w:r>
      <w:r w:rsidRPr="00E9227E">
        <w:rPr>
          <w:rStyle w:val="Appelnotedebasdep"/>
        </w:rPr>
        <w:footnoteReference w:id="498"/>
      </w:r>
      <w:r w:rsidRPr="004B1202">
        <w:t xml:space="preserve"> peut aider à mieux en apprécier le caractère</w:t>
      </w:r>
      <w:r w:rsidRPr="00FD184E">
        <w:t>.</w:t>
      </w:r>
    </w:p>
    <w:p w14:paraId="645C5C12" w14:textId="77777777" w:rsidR="005A67A9" w:rsidRPr="004B1202" w:rsidRDefault="005A67A9" w:rsidP="005A67A9">
      <w:pPr>
        <w:pStyle w:val="H56G"/>
      </w:pPr>
      <w:r w:rsidRPr="004B1202">
        <w:tab/>
        <w:t>ii)</w:t>
      </w:r>
      <w:r w:rsidRPr="004B1202">
        <w:tab/>
        <w:t>Portée et contenu de la diligence due</w:t>
      </w:r>
    </w:p>
    <w:p w14:paraId="464507D0" w14:textId="6027CE8C" w:rsidR="005A67A9" w:rsidRPr="004B1202" w:rsidRDefault="005A67A9" w:rsidP="005A67A9">
      <w:pPr>
        <w:pStyle w:val="SingleTxtG"/>
      </w:pPr>
      <w:r w:rsidRPr="004B1202">
        <w:t>22</w:t>
      </w:r>
      <w:r w:rsidRPr="00FD184E">
        <w:t>.</w:t>
      </w:r>
      <w:r w:rsidRPr="004B1202">
        <w:tab/>
        <w:t>Les travaux sur le sujet viseraient à identifier les éléments communs de la diligence due en étudiant la pratique étatique, la jurisprudence et la doctrine y relatives dans des domaines particuliers du droit international</w:t>
      </w:r>
      <w:r w:rsidRPr="00FD184E">
        <w:t>.</w:t>
      </w:r>
      <w:r w:rsidRPr="004B1202">
        <w:t xml:space="preserve"> Toute une série de questions associées à l</w:t>
      </w:r>
      <w:r w:rsidR="004C5E26">
        <w:t>’</w:t>
      </w:r>
      <w:r w:rsidRPr="004B1202">
        <w:t xml:space="preserve">obligation de diligence seraient examinées, notamment celles de savoir : </w:t>
      </w:r>
    </w:p>
    <w:p w14:paraId="61499844" w14:textId="02E988B6" w:rsidR="005A67A9" w:rsidRPr="004B1202" w:rsidRDefault="005A67A9" w:rsidP="005A67A9">
      <w:pPr>
        <w:pStyle w:val="Bullet1G"/>
        <w:numPr>
          <w:ilvl w:val="0"/>
          <w:numId w:val="0"/>
        </w:numPr>
        <w:tabs>
          <w:tab w:val="left" w:pos="1701"/>
        </w:tabs>
        <w:ind w:left="1701" w:hanging="170"/>
      </w:pPr>
      <w:r w:rsidRPr="004B1202">
        <w:t>•</w:t>
      </w:r>
      <w:r w:rsidRPr="004B1202">
        <w:tab/>
      </w:r>
      <w:r>
        <w:t>S</w:t>
      </w:r>
      <w:r w:rsidR="004C5E26">
        <w:t>’</w:t>
      </w:r>
      <w:r w:rsidRPr="004B1202">
        <w:t>il existe des situations donnant naissance à l</w:t>
      </w:r>
      <w:r w:rsidR="004C5E26">
        <w:t>’</w:t>
      </w:r>
      <w:r w:rsidRPr="004B1202">
        <w:t>obligation de diligence qui sont propres à la norme de diligence et ne dépendent pas d</w:t>
      </w:r>
      <w:r w:rsidR="004C5E26">
        <w:t>’</w:t>
      </w:r>
      <w:r w:rsidRPr="004B1202">
        <w:t xml:space="preserve">une obligation particulière ; </w:t>
      </w:r>
    </w:p>
    <w:p w14:paraId="5F636382" w14:textId="20A3487A" w:rsidR="005A67A9" w:rsidRPr="004B1202" w:rsidRDefault="005A67A9" w:rsidP="005A67A9">
      <w:pPr>
        <w:pStyle w:val="Bullet1G"/>
        <w:numPr>
          <w:ilvl w:val="0"/>
          <w:numId w:val="0"/>
        </w:numPr>
        <w:tabs>
          <w:tab w:val="left" w:pos="1701"/>
        </w:tabs>
        <w:ind w:left="1701" w:hanging="170"/>
      </w:pPr>
      <w:r w:rsidRPr="004B1202">
        <w:t>•</w:t>
      </w:r>
      <w:r w:rsidRPr="004B1202">
        <w:tab/>
      </w:r>
      <w:r>
        <w:t>S</w:t>
      </w:r>
      <w:r w:rsidRPr="004B1202">
        <w:t>i la situation ou les capacités de l</w:t>
      </w:r>
      <w:r w:rsidR="004C5E26">
        <w:t>’</w:t>
      </w:r>
      <w:r w:rsidRPr="004B1202">
        <w:t>État concerné et le degré de contrôle qu</w:t>
      </w:r>
      <w:r w:rsidR="004C5E26">
        <w:t>’</w:t>
      </w:r>
      <w:r w:rsidRPr="004B1202">
        <w:t xml:space="preserve">il exerce sur les sources de préjudice sont pertinentes ; </w:t>
      </w:r>
    </w:p>
    <w:p w14:paraId="02ED6745" w14:textId="7002CE11" w:rsidR="005A67A9" w:rsidRPr="004B1202" w:rsidRDefault="005A67A9" w:rsidP="005A67A9">
      <w:pPr>
        <w:pStyle w:val="Bullet1G"/>
        <w:numPr>
          <w:ilvl w:val="0"/>
          <w:numId w:val="0"/>
        </w:numPr>
        <w:tabs>
          <w:tab w:val="left" w:pos="1701"/>
        </w:tabs>
        <w:ind w:left="1701" w:hanging="170"/>
      </w:pPr>
      <w:r w:rsidRPr="004B1202">
        <w:t>•</w:t>
      </w:r>
      <w:r w:rsidRPr="004B1202">
        <w:tab/>
      </w:r>
      <w:r>
        <w:t>Q</w:t>
      </w:r>
      <w:r w:rsidRPr="004B1202">
        <w:t>uelles sont l</w:t>
      </w:r>
      <w:r w:rsidR="004C5E26">
        <w:t>’</w:t>
      </w:r>
      <w:r w:rsidRPr="004B1202">
        <w:t>étendue et la nature de la variabilité de la norme de comportement qu</w:t>
      </w:r>
      <w:r w:rsidR="004C5E26">
        <w:t>’</w:t>
      </w:r>
      <w:r w:rsidRPr="004B1202">
        <w:t>impose l</w:t>
      </w:r>
      <w:r w:rsidR="004C5E26">
        <w:t>’</w:t>
      </w:r>
      <w:r w:rsidRPr="004B1202">
        <w:t>obligation de diligence et quel degré de prévoyance ou de vigilance, ou d</w:t>
      </w:r>
      <w:r w:rsidR="004C5E26">
        <w:t>’</w:t>
      </w:r>
      <w:r w:rsidRPr="004B1202">
        <w:t xml:space="preserve">absence de négligence, est requis ; </w:t>
      </w:r>
    </w:p>
    <w:p w14:paraId="689F6AE6" w14:textId="205A83A4" w:rsidR="005A67A9" w:rsidRPr="004B1202" w:rsidRDefault="005A67A9" w:rsidP="005A67A9">
      <w:pPr>
        <w:pStyle w:val="Bullet1G"/>
        <w:numPr>
          <w:ilvl w:val="0"/>
          <w:numId w:val="0"/>
        </w:numPr>
        <w:tabs>
          <w:tab w:val="left" w:pos="1701"/>
        </w:tabs>
        <w:ind w:left="1701" w:hanging="170"/>
      </w:pPr>
      <w:r w:rsidRPr="004B1202">
        <w:t>•</w:t>
      </w:r>
      <w:r w:rsidRPr="004B1202">
        <w:tab/>
      </w:r>
      <w:r>
        <w:t>S</w:t>
      </w:r>
      <w:r w:rsidR="004C5E26">
        <w:t>’</w:t>
      </w:r>
      <w:r w:rsidRPr="004B1202">
        <w:t>il existe un niveau minimum de risque de préjudice et de gravité du préjudice pour qu</w:t>
      </w:r>
      <w:r w:rsidR="004C5E26">
        <w:t>’</w:t>
      </w:r>
      <w:r w:rsidRPr="004B1202">
        <w:t>il y ait obligation de diligence (y compris les questions concernant la connaissance requise et la prévisibilité du risque de préjudice) ; et</w:t>
      </w:r>
    </w:p>
    <w:p w14:paraId="46D4F989" w14:textId="7675B60F" w:rsidR="005A67A9" w:rsidRPr="004B1202" w:rsidRDefault="005A67A9" w:rsidP="005A67A9">
      <w:pPr>
        <w:pStyle w:val="Bullet1G"/>
        <w:numPr>
          <w:ilvl w:val="0"/>
          <w:numId w:val="0"/>
        </w:numPr>
        <w:tabs>
          <w:tab w:val="left" w:pos="1701"/>
        </w:tabs>
        <w:ind w:left="1701" w:hanging="170"/>
      </w:pPr>
      <w:r w:rsidRPr="004B1202">
        <w:t>•</w:t>
      </w:r>
      <w:r w:rsidRPr="004B1202">
        <w:tab/>
      </w:r>
      <w:r>
        <w:t>S</w:t>
      </w:r>
      <w:r w:rsidRPr="004B1202">
        <w:t>i la norme de comportement applicable aux activités des États et des acteurs non étatiques agissant sous leur juridiction ou leur contrôle est raisonnable, y compris la prise en considération de l</w:t>
      </w:r>
      <w:r w:rsidR="004C5E26">
        <w:t>’</w:t>
      </w:r>
      <w:r w:rsidRPr="004B1202">
        <w:t>obligation de diligence en tant que norme objective</w:t>
      </w:r>
      <w:r w:rsidRPr="00FD184E">
        <w:t>.</w:t>
      </w:r>
    </w:p>
    <w:p w14:paraId="7375D089" w14:textId="627718CD" w:rsidR="005A67A9" w:rsidRPr="004B1202" w:rsidRDefault="005A67A9" w:rsidP="005A67A9">
      <w:pPr>
        <w:pStyle w:val="SingleTxtG"/>
      </w:pPr>
      <w:r w:rsidRPr="004B1202">
        <w:t>23</w:t>
      </w:r>
      <w:r w:rsidRPr="00FD184E">
        <w:t>.</w:t>
      </w:r>
      <w:r w:rsidRPr="004B1202">
        <w:tab/>
        <w:t>Le sujet ne serait pas limité géographiquement et aurait une large application à la lumière du contexte des obligations primaires auxquelles la notion de diligence due est associée</w:t>
      </w:r>
      <w:r w:rsidRPr="00FD184E">
        <w:t>.</w:t>
      </w:r>
      <w:r w:rsidRPr="004B1202">
        <w:t xml:space="preserve"> Le champ d</w:t>
      </w:r>
      <w:r w:rsidR="004C5E26">
        <w:t>’</w:t>
      </w:r>
      <w:r w:rsidRPr="004B1202">
        <w:t>application géographique de la notion de diligence due comprendrait les zones ne relevant de la juridiction d</w:t>
      </w:r>
      <w:r w:rsidR="004C5E26">
        <w:t>’</w:t>
      </w:r>
      <w:r w:rsidRPr="004B1202">
        <w:t>aucun État dans lesquelles des droits et intérêts de la communauté internationale sont en jeu</w:t>
      </w:r>
      <w:r w:rsidRPr="00FD184E">
        <w:t>.</w:t>
      </w:r>
    </w:p>
    <w:p w14:paraId="09CE1AD3" w14:textId="77777777" w:rsidR="005A67A9" w:rsidRPr="004B1202" w:rsidRDefault="005A67A9" w:rsidP="005A67A9">
      <w:pPr>
        <w:pStyle w:val="H56G"/>
      </w:pPr>
      <w:r w:rsidRPr="004B1202">
        <w:tab/>
        <w:t>iii)</w:t>
      </w:r>
      <w:r w:rsidRPr="004B1202">
        <w:tab/>
        <w:t>Circonscrire la portée des travaux sur le sujet</w:t>
      </w:r>
    </w:p>
    <w:p w14:paraId="42E7B84A" w14:textId="77777777" w:rsidR="005A67A9" w:rsidRPr="004B1202" w:rsidRDefault="005A67A9" w:rsidP="005A67A9">
      <w:pPr>
        <w:pStyle w:val="SingleTxtG"/>
      </w:pPr>
      <w:r w:rsidRPr="004B1202">
        <w:t>24</w:t>
      </w:r>
      <w:r w:rsidRPr="00FD184E">
        <w:t>.</w:t>
      </w:r>
      <w:r w:rsidRPr="004B1202">
        <w:tab/>
        <w:t>Étant donné la multiplicité des régimes comportant des obligations de diligence, il est nécessaire de délimiter clairement la portée des travaux sur le sujet</w:t>
      </w:r>
      <w:r w:rsidRPr="00FD184E">
        <w:t>.</w:t>
      </w:r>
      <w:r w:rsidRPr="004B1202">
        <w:t xml:space="preserve"> </w:t>
      </w:r>
    </w:p>
    <w:p w14:paraId="4E95CC18" w14:textId="3EDFA812" w:rsidR="005A67A9" w:rsidRPr="004B1202" w:rsidRDefault="005A67A9" w:rsidP="005A67A9">
      <w:pPr>
        <w:pStyle w:val="SingleTxtG"/>
      </w:pPr>
      <w:r w:rsidRPr="004B1202">
        <w:t>25</w:t>
      </w:r>
      <w:r w:rsidRPr="00FD184E">
        <w:t>.</w:t>
      </w:r>
      <w:r w:rsidRPr="004B1202">
        <w:tab/>
        <w:t xml:space="preserve">Ces travaux porteraient sur les obligations de diligence des </w:t>
      </w:r>
      <w:r w:rsidRPr="004B1202">
        <w:rPr>
          <w:i/>
          <w:iCs/>
        </w:rPr>
        <w:t>États</w:t>
      </w:r>
      <w:r w:rsidRPr="00FD184E">
        <w:t>.</w:t>
      </w:r>
      <w:r w:rsidRPr="004B1202">
        <w:t xml:space="preserve"> Ils ne porteraient pas sur la diligence pouvant être requise des organisations internationales dans la conduite </w:t>
      </w:r>
      <w:r w:rsidRPr="004B1202">
        <w:lastRenderedPageBreak/>
        <w:t>de leurs processus internes</w:t>
      </w:r>
      <w:r w:rsidRPr="00E9227E">
        <w:rPr>
          <w:rStyle w:val="Appelnotedebasdep"/>
        </w:rPr>
        <w:footnoteReference w:id="499"/>
      </w:r>
      <w:r w:rsidRPr="004B1202">
        <w:t>, ni sur celle que l</w:t>
      </w:r>
      <w:r w:rsidR="004C5E26">
        <w:t>’</w:t>
      </w:r>
      <w:r w:rsidRPr="004B1202">
        <w:t>on pourrait exiger des sociétés multinationales, des entreprises, des investisseurs privés et d</w:t>
      </w:r>
      <w:r w:rsidR="004C5E26">
        <w:t>’</w:t>
      </w:r>
      <w:r w:rsidRPr="004B1202">
        <w:t>autres acteurs non étatiques</w:t>
      </w:r>
      <w:r w:rsidRPr="00E9227E">
        <w:rPr>
          <w:rStyle w:val="Appelnotedebasdep"/>
        </w:rPr>
        <w:footnoteReference w:id="500"/>
      </w:r>
      <w:r w:rsidRPr="00FD184E">
        <w:t>.</w:t>
      </w:r>
      <w:r w:rsidRPr="004B1202">
        <w:t xml:space="preserve"> Eu égard à la diversité des structures juridiques et institutionnelles des organisations internationales et du degré de contrôle et d</w:t>
      </w:r>
      <w:r w:rsidR="004C5E26">
        <w:t>’</w:t>
      </w:r>
      <w:r w:rsidRPr="004B1202">
        <w:t>autonomie institutionnelle qu</w:t>
      </w:r>
      <w:r w:rsidR="004C5E26">
        <w:t>’</w:t>
      </w:r>
      <w:r w:rsidRPr="004B1202">
        <w:t>elles exercent, l</w:t>
      </w:r>
      <w:r w:rsidR="004C5E26">
        <w:t>’</w:t>
      </w:r>
      <w:r w:rsidRPr="004B1202">
        <w:t>obligation de diligence ne s</w:t>
      </w:r>
      <w:r w:rsidR="004C5E26">
        <w:t>’</w:t>
      </w:r>
      <w:r w:rsidRPr="004B1202">
        <w:t>applique pas à ces organisations de la même manière qu</w:t>
      </w:r>
      <w:r w:rsidR="004C5E26">
        <w:t>’</w:t>
      </w:r>
      <w:r w:rsidRPr="004B1202">
        <w:t>aux États</w:t>
      </w:r>
      <w:r w:rsidRPr="00E9227E">
        <w:rPr>
          <w:rStyle w:val="Appelnotedebasdep"/>
        </w:rPr>
        <w:footnoteReference w:id="501"/>
      </w:r>
      <w:r w:rsidRPr="00FD184E">
        <w:t>.</w:t>
      </w:r>
      <w:r w:rsidRPr="004B1202">
        <w:t xml:space="preserve"> Dans certains contextes, la diligence due peut être considérée comme un processus par lequel des acteurs non étatiques, par exemple des entreprises, identifient, évaluent et gèrent les risques liés à leurs investissements ou leurs activités</w:t>
      </w:r>
      <w:r w:rsidRPr="00E9227E">
        <w:rPr>
          <w:rStyle w:val="Appelnotedebasdep"/>
        </w:rPr>
        <w:footnoteReference w:id="502"/>
      </w:r>
      <w:r w:rsidRPr="00FD184E">
        <w:t>.</w:t>
      </w:r>
      <w:r w:rsidRPr="004B1202">
        <w:t xml:space="preserve"> Étant donné ces différences et parce qu</w:t>
      </w:r>
      <w:r w:rsidR="004C5E26">
        <w:t>’</w:t>
      </w:r>
      <w:r w:rsidRPr="004B1202">
        <w:t>il est difficile d</w:t>
      </w:r>
      <w:r w:rsidR="004C5E26">
        <w:t>’</w:t>
      </w:r>
      <w:r w:rsidRPr="004B1202">
        <w:t>identifier des traits communs à la diligence due par différents acteurs, la diligence due par les organisations internationales et par des acteurs non étatiques ne relèverait pas des travaux sur le sujet proposé</w:t>
      </w:r>
      <w:r w:rsidRPr="00FD184E">
        <w:t>.</w:t>
      </w:r>
    </w:p>
    <w:p w14:paraId="63C38D0F" w14:textId="69C6D1E2" w:rsidR="005A67A9" w:rsidRPr="004B1202" w:rsidRDefault="005A67A9" w:rsidP="005A67A9">
      <w:pPr>
        <w:pStyle w:val="SingleTxtG"/>
      </w:pPr>
      <w:r w:rsidRPr="004B1202">
        <w:t>26</w:t>
      </w:r>
      <w:r w:rsidRPr="00FD184E">
        <w:t>.</w:t>
      </w:r>
      <w:r w:rsidRPr="004B1202">
        <w:tab/>
        <w:t>Le sujet ne comprendrait pas l</w:t>
      </w:r>
      <w:r w:rsidR="004C5E26">
        <w:t>’</w:t>
      </w:r>
      <w:r w:rsidRPr="004B1202">
        <w:t>application ou l</w:t>
      </w:r>
      <w:r w:rsidR="004C5E26">
        <w:t>’</w:t>
      </w:r>
      <w:r w:rsidRPr="004B1202">
        <w:t>opérationnalisation de la notion de diligence due dans des circonstances particulières car celle-ci dépend dans une large mesure du contenu de l</w:t>
      </w:r>
      <w:r w:rsidR="004C5E26">
        <w:t>’</w:t>
      </w:r>
      <w:r w:rsidRPr="004B1202">
        <w:t>obligation primaire à laquelle l</w:t>
      </w:r>
      <w:r w:rsidR="004C5E26">
        <w:t>’</w:t>
      </w:r>
      <w:r w:rsidRPr="004B1202">
        <w:t>obligation de diligence est attachée</w:t>
      </w:r>
      <w:r w:rsidRPr="00FD184E">
        <w:t>.</w:t>
      </w:r>
      <w:r w:rsidRPr="004B1202">
        <w:t xml:space="preserve"> De même, il ne s</w:t>
      </w:r>
      <w:r w:rsidR="004C5E26">
        <w:t>’</w:t>
      </w:r>
      <w:r w:rsidRPr="004B1202">
        <w:t xml:space="preserve">agira pas de procéder à une </w:t>
      </w:r>
      <w:proofErr w:type="spellStart"/>
      <w:r w:rsidRPr="004B1202">
        <w:t>microanalyse</w:t>
      </w:r>
      <w:proofErr w:type="spellEnd"/>
      <w:r w:rsidRPr="004B1202">
        <w:t xml:space="preserve"> des différentes obligations primaires auxquelles l</w:t>
      </w:r>
      <w:r w:rsidR="004C5E26">
        <w:t>’</w:t>
      </w:r>
      <w:r w:rsidRPr="004B1202">
        <w:t>obligation de diligence est associée puisque les travaux porteront sur la notion de diligence due et non sur les obligations primaires</w:t>
      </w:r>
      <w:r w:rsidRPr="00FD184E">
        <w:t>.</w:t>
      </w:r>
    </w:p>
    <w:p w14:paraId="60075835" w14:textId="2C1EA6D1" w:rsidR="005A67A9" w:rsidRPr="004B1202" w:rsidRDefault="005A67A9" w:rsidP="005A67A9">
      <w:pPr>
        <w:pStyle w:val="SingleTxtG"/>
      </w:pPr>
      <w:r w:rsidRPr="004B1202">
        <w:t>27</w:t>
      </w:r>
      <w:r w:rsidRPr="00FD184E">
        <w:t>.</w:t>
      </w:r>
      <w:r w:rsidRPr="004B1202">
        <w:tab/>
        <w:t>La procéduralisation de l</w:t>
      </w:r>
      <w:r w:rsidR="004C5E26">
        <w:t>’</w:t>
      </w:r>
      <w:r w:rsidRPr="004B1202">
        <w:t>obligation de diligence est désormais particulièrement fréquente en droit international de l</w:t>
      </w:r>
      <w:r w:rsidR="004C5E26">
        <w:t>’</w:t>
      </w:r>
      <w:r w:rsidRPr="004B1202">
        <w:t>environnement et elle est également présente en droit international des droits de l</w:t>
      </w:r>
      <w:r w:rsidR="004C5E26">
        <w:t>’</w:t>
      </w:r>
      <w:r w:rsidRPr="004B1202">
        <w:t>homme</w:t>
      </w:r>
      <w:r w:rsidRPr="00E9227E">
        <w:rPr>
          <w:rStyle w:val="Appelnotedebasdep"/>
        </w:rPr>
        <w:footnoteReference w:id="503"/>
      </w:r>
      <w:r w:rsidRPr="00FD184E">
        <w:t>.</w:t>
      </w:r>
      <w:r w:rsidRPr="004B1202">
        <w:t xml:space="preserve"> On considère que la diligence due implique certaines obligations procédurales, notamment en matière de notification, d</w:t>
      </w:r>
      <w:r w:rsidR="004C5E26">
        <w:t>’</w:t>
      </w:r>
      <w:r w:rsidRPr="004B1202">
        <w:t>échange d</w:t>
      </w:r>
      <w:r w:rsidR="004C5E26">
        <w:t>’</w:t>
      </w:r>
      <w:r w:rsidRPr="004B1202">
        <w:t>informations, de consultations, de coopération, d</w:t>
      </w:r>
      <w:r w:rsidR="004C5E26">
        <w:t>’</w:t>
      </w:r>
      <w:r w:rsidRPr="004B1202">
        <w:t>évaluation et de contrôle</w:t>
      </w:r>
      <w:r w:rsidRPr="00FD184E">
        <w:t>.</w:t>
      </w:r>
      <w:r w:rsidRPr="004B1202">
        <w:t xml:space="preserve"> La nature et la portée de ces obligations procédurales dépendent toutefois des obligations primaires concernées</w:t>
      </w:r>
      <w:r w:rsidRPr="00FD184E">
        <w:t>.</w:t>
      </w:r>
      <w:r w:rsidRPr="004B1202">
        <w:t xml:space="preserve"> Il sera ainsi difficile, aux fins de l</w:t>
      </w:r>
      <w:r w:rsidR="004C5E26">
        <w:t>’</w:t>
      </w:r>
      <w:r w:rsidRPr="004B1202">
        <w:t>identification des éléments communs de la notion de diligence due, d</w:t>
      </w:r>
      <w:r w:rsidR="004C5E26">
        <w:t>’</w:t>
      </w:r>
      <w:r w:rsidRPr="004B1202">
        <w:t>identifier les obligations procédurales généralement applicables d</w:t>
      </w:r>
      <w:r w:rsidR="004C5E26">
        <w:t>’</w:t>
      </w:r>
      <w:r w:rsidRPr="004B1202">
        <w:t>une manière qui clarifie et confère substance à l</w:t>
      </w:r>
      <w:r w:rsidR="004C5E26">
        <w:t>’</w:t>
      </w:r>
      <w:r w:rsidRPr="004B1202">
        <w:t>obligation de diligence en droit international général</w:t>
      </w:r>
      <w:r w:rsidRPr="00FD184E">
        <w:t>.</w:t>
      </w:r>
      <w:r w:rsidRPr="004B1202">
        <w:t xml:space="preserve"> Pour cette raison, les travaux ne viseront pas à identifier les obligations procédurales particulières qui sont associées à la notion de diligence dans le cadre des régimes de droit international spéciaux, par opposition aux obligations procédurales relevant du droit international coutumier et applicables en tant qu</w:t>
      </w:r>
      <w:r w:rsidR="004C5E26">
        <w:t>’</w:t>
      </w:r>
      <w:r w:rsidRPr="004B1202">
        <w:t>éléments communs de l</w:t>
      </w:r>
      <w:r w:rsidR="004C5E26">
        <w:t>’</w:t>
      </w:r>
      <w:r w:rsidRPr="004B1202">
        <w:t>obligation de diligence</w:t>
      </w:r>
      <w:r w:rsidRPr="00FD184E">
        <w:t>.</w:t>
      </w:r>
    </w:p>
    <w:p w14:paraId="14CFC857" w14:textId="14C4373F" w:rsidR="005A67A9" w:rsidRPr="004B1202" w:rsidRDefault="005A67A9" w:rsidP="005A67A9">
      <w:pPr>
        <w:pStyle w:val="SingleTxtG"/>
      </w:pPr>
      <w:r w:rsidRPr="004B1202">
        <w:t>28</w:t>
      </w:r>
      <w:r w:rsidRPr="00FD184E">
        <w:t>.</w:t>
      </w:r>
      <w:r w:rsidRPr="004B1202">
        <w:tab/>
        <w:t>Les travaux sur le sujet proposé ne traiteraient pas directement de questions de la responsabilité de l</w:t>
      </w:r>
      <w:r w:rsidR="004C5E26">
        <w:t>’</w:t>
      </w:r>
      <w:r w:rsidRPr="004B1202">
        <w:t>État</w:t>
      </w:r>
      <w:r w:rsidRPr="00FD184E">
        <w:t>.</w:t>
      </w:r>
      <w:r w:rsidRPr="004B1202">
        <w:t xml:space="preserve"> Toutefois, comme l</w:t>
      </w:r>
      <w:r w:rsidR="004C5E26">
        <w:t>’</w:t>
      </w:r>
      <w:r w:rsidRPr="004B1202">
        <w:t>obligation de diligence est associée à des règles primaires, les travaux devraient contribuer à clarifier la relation entre règles primaires et règles secondaires et entre obligations de comportement et obligations de résultat</w:t>
      </w:r>
      <w:r w:rsidRPr="00FD184E">
        <w:t>.</w:t>
      </w:r>
      <w:r w:rsidRPr="004B1202">
        <w:t xml:space="preserve"> Devront probablement être également étudiés certains des aspects des circonstances excluant l</w:t>
      </w:r>
      <w:r w:rsidR="004C5E26">
        <w:t>’</w:t>
      </w:r>
      <w:r w:rsidRPr="004B1202">
        <w:t>illicéité pertinentes en ce qui concerne l</w:t>
      </w:r>
      <w:r w:rsidR="004C5E26">
        <w:t>’</w:t>
      </w:r>
      <w:r w:rsidRPr="004B1202">
        <w:t>obligation de diligence, par exemple la force majeure, la détresse ou l</w:t>
      </w:r>
      <w:r w:rsidR="004C5E26">
        <w:t>’</w:t>
      </w:r>
      <w:r w:rsidRPr="004B1202">
        <w:t>état de nécessité, dans lesquelles la conduite de l</w:t>
      </w:r>
      <w:r w:rsidR="004C5E26">
        <w:t>’</w:t>
      </w:r>
      <w:r w:rsidRPr="004B1202">
        <w:t>État peut avoir contribué au dommage</w:t>
      </w:r>
      <w:r w:rsidRPr="00E9227E">
        <w:rPr>
          <w:rStyle w:val="Appelnotedebasdep"/>
        </w:rPr>
        <w:footnoteReference w:id="504"/>
      </w:r>
      <w:r w:rsidRPr="00FD184E">
        <w:t>.</w:t>
      </w:r>
      <w:r w:rsidRPr="004B1202">
        <w:t xml:space="preserve"> Toutefois, en général, les travaux ne porteront pas sur la relation entre l</w:t>
      </w:r>
      <w:r w:rsidR="004C5E26">
        <w:t>’</w:t>
      </w:r>
      <w:r w:rsidRPr="004B1202">
        <w:t>obligation de diligence et la question de l</w:t>
      </w:r>
      <w:r w:rsidR="004C5E26">
        <w:t>’</w:t>
      </w:r>
      <w:r w:rsidRPr="004B1202">
        <w:t>attribution d</w:t>
      </w:r>
      <w:r w:rsidR="004C5E26">
        <w:t>’</w:t>
      </w:r>
      <w:r w:rsidRPr="004B1202">
        <w:t>un comportement et de la responsabilité, la question de la causalité et de l</w:t>
      </w:r>
      <w:r w:rsidR="004C5E26">
        <w:t>’</w:t>
      </w:r>
      <w:r w:rsidRPr="004B1202">
        <w:t>imputation de la responsabilité, ni sur celle des réparations en cas de négligence de l</w:t>
      </w:r>
      <w:r w:rsidR="004C5E26">
        <w:t>’</w:t>
      </w:r>
      <w:r w:rsidRPr="004B1202">
        <w:t>État</w:t>
      </w:r>
      <w:r w:rsidRPr="00FD184E">
        <w:t>.</w:t>
      </w:r>
      <w:r w:rsidRPr="004B1202">
        <w:t xml:space="preserve"> Ces questions sont propres au régime de la responsabilité de l</w:t>
      </w:r>
      <w:r w:rsidR="004C5E26">
        <w:t>’</w:t>
      </w:r>
      <w:r w:rsidRPr="004B1202">
        <w:t>État et les examiner dans le cadre d</w:t>
      </w:r>
      <w:r w:rsidR="004C5E26">
        <w:t>’</w:t>
      </w:r>
      <w:r w:rsidRPr="004B1202">
        <w:t xml:space="preserve">une étude de la notion de diligence due en droit international ferait double emploi avec des travaux antérieurs de la Commission </w:t>
      </w:r>
      <w:r w:rsidRPr="004B1202">
        <w:lastRenderedPageBreak/>
        <w:t>et brouillerait la distinction entre règles primaires et règles secondaires que celle-ci s</w:t>
      </w:r>
      <w:r w:rsidR="004C5E26">
        <w:t>’</w:t>
      </w:r>
      <w:r w:rsidRPr="004B1202">
        <w:t>est toujours efforcée de maintenir</w:t>
      </w:r>
      <w:r w:rsidRPr="00FD184E">
        <w:t>.</w:t>
      </w:r>
      <w:r w:rsidRPr="004B1202">
        <w:t xml:space="preserve"> </w:t>
      </w:r>
      <w:bookmarkEnd w:id="284"/>
    </w:p>
    <w:p w14:paraId="02457858" w14:textId="77777777" w:rsidR="005A67A9" w:rsidRPr="004B1202" w:rsidRDefault="005A67A9" w:rsidP="005A67A9">
      <w:pPr>
        <w:pStyle w:val="H23G"/>
      </w:pPr>
      <w:r w:rsidRPr="004B1202">
        <w:tab/>
        <w:t>4</w:t>
      </w:r>
      <w:r w:rsidRPr="00FD184E">
        <w:t>.</w:t>
      </w:r>
      <w:r w:rsidRPr="004B1202">
        <w:tab/>
        <w:t>Critères définis par la Commission pour le choix des sujets</w:t>
      </w:r>
    </w:p>
    <w:p w14:paraId="3E266710" w14:textId="564BEBA5" w:rsidR="005A67A9" w:rsidRPr="004B1202" w:rsidRDefault="005A67A9" w:rsidP="005A67A9">
      <w:pPr>
        <w:pStyle w:val="SingleTxtG"/>
      </w:pPr>
      <w:r w:rsidRPr="004B1202">
        <w:t>29</w:t>
      </w:r>
      <w:r w:rsidRPr="00FD184E">
        <w:t>.</w:t>
      </w:r>
      <w:r w:rsidRPr="004B1202">
        <w:tab/>
        <w:t>Le sujet proposé satisfait aux critères définis par la Commission pour le choix des sujets</w:t>
      </w:r>
      <w:r w:rsidRPr="00FD184E">
        <w:t>.</w:t>
      </w:r>
      <w:r w:rsidRPr="004B1202">
        <w:t xml:space="preserve"> Il s</w:t>
      </w:r>
      <w:r w:rsidR="004C5E26">
        <w:t>’</w:t>
      </w:r>
      <w:r w:rsidRPr="004B1202">
        <w:t xml:space="preserve">inscrirait dans le programme de travail à long terme de la Commission, en particulier la section IX intitulée « Droit des relations </w:t>
      </w:r>
      <w:r>
        <w:t>− </w:t>
      </w:r>
      <w:r w:rsidRPr="004B1202">
        <w:t>de la responsabilité internationales »</w:t>
      </w:r>
      <w:r w:rsidRPr="00E9227E">
        <w:rPr>
          <w:rStyle w:val="Appelnotedebasdep"/>
        </w:rPr>
        <w:footnoteReference w:id="505"/>
      </w:r>
      <w:r w:rsidRPr="004B1202">
        <w:t xml:space="preserve"> et serait dans le droit fil des travaux antérieurs de la Commission sur la responsabilité de l</w:t>
      </w:r>
      <w:r w:rsidR="004C5E26">
        <w:t>’</w:t>
      </w:r>
      <w:r w:rsidRPr="004B1202">
        <w:t>État et la responsabilité internationale pour les conséquences préjudiciables d</w:t>
      </w:r>
      <w:r w:rsidR="004C5E26">
        <w:t>’</w:t>
      </w:r>
      <w:r w:rsidRPr="004B1202">
        <w:t>activités qui ne sont pas interdites par le droit international</w:t>
      </w:r>
      <w:r w:rsidRPr="00FD184E">
        <w:t>.</w:t>
      </w:r>
      <w:r w:rsidRPr="004B1202">
        <w:t xml:space="preserve"> Comme indiqué dans la section</w:t>
      </w:r>
      <w:r>
        <w:t> </w:t>
      </w:r>
      <w:r w:rsidRPr="004B1202">
        <w:t xml:space="preserve">2, les travaux sur le sujet compléteraient ceux ayant abouti </w:t>
      </w:r>
      <w:bookmarkStart w:id="301" w:name="_Hlk139545711"/>
      <w:r w:rsidRPr="004B1202">
        <w:t>à l</w:t>
      </w:r>
      <w:r w:rsidR="004C5E26">
        <w:t>’</w:t>
      </w:r>
      <w:r w:rsidRPr="004B1202">
        <w:t xml:space="preserve">adoption en 2001 du </w:t>
      </w:r>
      <w:r w:rsidRPr="004B1202">
        <w:rPr>
          <w:i/>
          <w:iCs/>
        </w:rPr>
        <w:t>Projet d</w:t>
      </w:r>
      <w:r w:rsidR="004C5E26">
        <w:rPr>
          <w:i/>
          <w:iCs/>
        </w:rPr>
        <w:t>’</w:t>
      </w:r>
      <w:r w:rsidRPr="004B1202">
        <w:rPr>
          <w:i/>
          <w:iCs/>
        </w:rPr>
        <w:t>articles sur la responsabilité de l</w:t>
      </w:r>
      <w:r w:rsidR="004C5E26">
        <w:rPr>
          <w:i/>
          <w:iCs/>
        </w:rPr>
        <w:t>’</w:t>
      </w:r>
      <w:r w:rsidRPr="004B1202">
        <w:rPr>
          <w:i/>
          <w:iCs/>
        </w:rPr>
        <w:t>État pour fait internationalement illicite</w:t>
      </w:r>
      <w:r w:rsidRPr="004B1202">
        <w:t xml:space="preserve"> et du </w:t>
      </w:r>
      <w:r w:rsidRPr="004B1202">
        <w:rPr>
          <w:i/>
          <w:iCs/>
        </w:rPr>
        <w:t>Projet d</w:t>
      </w:r>
      <w:r w:rsidR="004C5E26">
        <w:rPr>
          <w:i/>
          <w:iCs/>
        </w:rPr>
        <w:t>’</w:t>
      </w:r>
      <w:r w:rsidRPr="004B1202">
        <w:rPr>
          <w:i/>
          <w:iCs/>
        </w:rPr>
        <w:t>articles sur la prévention des dommages transfrontières résultant d</w:t>
      </w:r>
      <w:r w:rsidR="004C5E26">
        <w:rPr>
          <w:i/>
          <w:iCs/>
        </w:rPr>
        <w:t>’</w:t>
      </w:r>
      <w:r w:rsidRPr="004B1202">
        <w:rPr>
          <w:i/>
          <w:iCs/>
        </w:rPr>
        <w:t>activités dangereuses</w:t>
      </w:r>
      <w:r w:rsidRPr="00FD184E">
        <w:rPr>
          <w:i/>
          <w:iCs/>
        </w:rPr>
        <w:t>.</w:t>
      </w:r>
      <w:bookmarkEnd w:id="301"/>
      <w:r w:rsidRPr="004B1202">
        <w:t xml:space="preserve"> </w:t>
      </w:r>
    </w:p>
    <w:p w14:paraId="624CB943" w14:textId="10037FEC" w:rsidR="005A67A9" w:rsidRPr="004B1202" w:rsidRDefault="005A67A9" w:rsidP="005A67A9">
      <w:pPr>
        <w:pStyle w:val="SingleTxtG"/>
      </w:pPr>
      <w:r w:rsidRPr="004B1202">
        <w:t>30</w:t>
      </w:r>
      <w:r w:rsidRPr="00FD184E">
        <w:t>.</w:t>
      </w:r>
      <w:r w:rsidRPr="004B1202">
        <w:tab/>
        <w:t>Tout nouveau sujet doit satisfaire aux critères définis par la Commission pour le choix des sujets et doit donc : a) correspondre aux besoins des États en ce qui concerne le développement progressif et la codification du droit international ; b) être suffisamment mûr sur le terrain de la pratique des États pour se prêter à une codification et à un développement progressif ; c) être concret et suffisamment facile à traiter à ces fins</w:t>
      </w:r>
      <w:r w:rsidRPr="00FD184E">
        <w:t>.</w:t>
      </w:r>
      <w:r w:rsidRPr="004B1202">
        <w:t xml:space="preserve"> La Commission a aussi décidé que, loin de se cantonner dans l</w:t>
      </w:r>
      <w:r w:rsidR="004C5E26">
        <w:t>’</w:t>
      </w:r>
      <w:r w:rsidRPr="004B1202">
        <w:t>étude de sujets classiques, elle envisagerait aussi ceux qui dessinent des tendances nouvelles du droit international et inspirent des préoccupations pressantes de la communauté internationale</w:t>
      </w:r>
      <w:r w:rsidRPr="00FD184E">
        <w:t>.</w:t>
      </w:r>
    </w:p>
    <w:p w14:paraId="346C3820" w14:textId="3EC8000F" w:rsidR="005A67A9" w:rsidRPr="004B1202" w:rsidRDefault="005A67A9" w:rsidP="005A67A9">
      <w:pPr>
        <w:pStyle w:val="SingleTxtG"/>
      </w:pPr>
      <w:r w:rsidRPr="004B1202">
        <w:t>31</w:t>
      </w:r>
      <w:r w:rsidRPr="00FD184E">
        <w:t>.</w:t>
      </w:r>
      <w:r w:rsidRPr="004B1202">
        <w:tab/>
        <w:t>En l</w:t>
      </w:r>
      <w:r w:rsidR="004C5E26">
        <w:t>’</w:t>
      </w:r>
      <w:r w:rsidRPr="004B1202">
        <w:t>occurrence, le sujet satisfait aux critères susmentionnés</w:t>
      </w:r>
      <w:r w:rsidRPr="00FD184E">
        <w:t>.</w:t>
      </w:r>
      <w:r w:rsidRPr="004B1202">
        <w:t xml:space="preserve"> Il est important pour les États qui doivent décider comment se comporter dans un monde de plus en plus complexe où le nombre des acteurs internationaux s</w:t>
      </w:r>
      <w:r w:rsidR="004C5E26">
        <w:t>’</w:t>
      </w:r>
      <w:r w:rsidRPr="004B1202">
        <w:t>accroît et les menaces se multiplient, notamment celles associées aux progrès technologiques, et où les conséquences préjudiciables des activités des États et des acteurs privés dans un monde interconnecté sont de plus en plus préoccupantes</w:t>
      </w:r>
      <w:r w:rsidRPr="00FD184E">
        <w:t>.</w:t>
      </w:r>
      <w:r w:rsidRPr="004B1202">
        <w:t xml:space="preserve"> L</w:t>
      </w:r>
      <w:r w:rsidR="004C5E26">
        <w:t>’</w:t>
      </w:r>
      <w:r w:rsidRPr="004B1202">
        <w:t>obligation de diligence est de plus en plus considérée comme un outil permettant de faire face aux situations dans lesquelles une prévoyance et une surveillance sont nécessaires pour prévenir les comportements engageant la responsabilité des États</w:t>
      </w:r>
      <w:r w:rsidRPr="00FD184E">
        <w:t>.</w:t>
      </w:r>
    </w:p>
    <w:p w14:paraId="36B1F5F9" w14:textId="5243F00C" w:rsidR="005A67A9" w:rsidRPr="004B1202" w:rsidRDefault="005A67A9" w:rsidP="005A67A9">
      <w:pPr>
        <w:pStyle w:val="SingleTxtG"/>
      </w:pPr>
      <w:r w:rsidRPr="004B1202">
        <w:t>32</w:t>
      </w:r>
      <w:r w:rsidRPr="00FD184E">
        <w:t>.</w:t>
      </w:r>
      <w:r w:rsidRPr="004B1202">
        <w:tab/>
        <w:t>Le sujet est de plus suffisamment mûr sur le terrain de la pratique des États pour se prêter à une codification et un développement progressif</w:t>
      </w:r>
      <w:r w:rsidRPr="00FD184E">
        <w:t>.</w:t>
      </w:r>
      <w:r w:rsidRPr="004B1202">
        <w:t xml:space="preserve"> Une jurisprudence, une pratique étatique et une doctrine de plus en plus abondantes permettent de promouvoir la codification et le développement progressif de l</w:t>
      </w:r>
      <w:r w:rsidR="004C5E26">
        <w:t>’</w:t>
      </w:r>
      <w:r w:rsidRPr="004B1202">
        <w:t>obligation de diligence en droit international</w:t>
      </w:r>
      <w:r w:rsidRPr="00FD184E">
        <w:t>.</w:t>
      </w:r>
      <w:r w:rsidRPr="004B1202">
        <w:t xml:space="preserve"> Cette obligation est mentionnée dans l</w:t>
      </w:r>
      <w:r w:rsidR="004C5E26">
        <w:t>’</w:t>
      </w:r>
      <w:r w:rsidRPr="004B1202">
        <w:t>avis consultatif du Tribunal international du droit de la mer relatif aux changements climatiques</w:t>
      </w:r>
      <w:r w:rsidRPr="00E9227E">
        <w:rPr>
          <w:rStyle w:val="Appelnotedebasdep"/>
        </w:rPr>
        <w:footnoteReference w:id="506"/>
      </w:r>
      <w:r w:rsidRPr="004B1202">
        <w:t>, et l</w:t>
      </w:r>
      <w:r w:rsidR="004C5E26">
        <w:t>’</w:t>
      </w:r>
      <w:r w:rsidRPr="004B1202">
        <w:t>avis consultatif sur les changements climatiques demandé à la Cour internationale de Justice devrait contribuer à en clarifier la portée</w:t>
      </w:r>
      <w:r w:rsidRPr="00FD184E">
        <w:t>.</w:t>
      </w:r>
    </w:p>
    <w:p w14:paraId="64361CD5" w14:textId="1B72C101" w:rsidR="005A67A9" w:rsidRPr="004B1202" w:rsidRDefault="005A67A9" w:rsidP="005A67A9">
      <w:pPr>
        <w:pStyle w:val="SingleTxtG"/>
      </w:pPr>
      <w:r w:rsidRPr="004B1202">
        <w:t>33</w:t>
      </w:r>
      <w:r w:rsidRPr="00FD184E">
        <w:t>.</w:t>
      </w:r>
      <w:r w:rsidRPr="004B1202">
        <w:tab/>
        <w:t>L</w:t>
      </w:r>
      <w:r w:rsidR="004C5E26">
        <w:t>’</w:t>
      </w:r>
      <w:r w:rsidRPr="004B1202">
        <w:t>examen par la Commission de la notion de diligence due en droit international complétera également les travaux de l</w:t>
      </w:r>
      <w:r w:rsidR="004C5E26">
        <w:t>’</w:t>
      </w:r>
      <w:r w:rsidRPr="004B1202">
        <w:t>Association de droit international, qui en a entrepris l</w:t>
      </w:r>
      <w:r w:rsidR="004C5E26">
        <w:t>’</w:t>
      </w:r>
      <w:r w:rsidRPr="004B1202">
        <w:t>étude et a examiné la mesure dans laquelle il existait des similitudes dans la manière dont elle était appliquée dans les différents domaines du droit international</w:t>
      </w:r>
      <w:r w:rsidRPr="00E9227E">
        <w:rPr>
          <w:rStyle w:val="Appelnotedebasdep"/>
        </w:rPr>
        <w:footnoteReference w:id="507"/>
      </w:r>
      <w:r w:rsidRPr="00FD184E">
        <w:t>.</w:t>
      </w:r>
      <w:r w:rsidRPr="004B1202">
        <w:t xml:space="preserve"> Cette étude est toutefois axée sur la diligence en tant que norme de conduite et non en tant qu</w:t>
      </w:r>
      <w:r w:rsidR="004C5E26">
        <w:t>’</w:t>
      </w:r>
      <w:r w:rsidRPr="004B1202">
        <w:t xml:space="preserve">obligation dans le cadre du paradigme du </w:t>
      </w:r>
      <w:r w:rsidRPr="004B1202">
        <w:rPr>
          <w:i/>
          <w:iCs/>
        </w:rPr>
        <w:t>Détroit de Corfou</w:t>
      </w:r>
      <w:r w:rsidRPr="00FD184E">
        <w:t>.</w:t>
      </w:r>
      <w:r w:rsidRPr="004B1202">
        <w:t xml:space="preserve"> Elle ne porte pas non plus sur la nature juridique de la diligence due et sa relation avec les règles secondaires de la responsabilité</w:t>
      </w:r>
      <w:r w:rsidRPr="00FD184E">
        <w:t>.</w:t>
      </w:r>
      <w:r w:rsidRPr="004B1202">
        <w:t xml:space="preserve"> L</w:t>
      </w:r>
      <w:r w:rsidR="004C5E26">
        <w:t>’</w:t>
      </w:r>
      <w:r w:rsidRPr="004B1202">
        <w:t>Institut de droit international examine actuellement un sujet intitulé « Règles de prévention des dommages applicables aux espaces ne relevant pas des juridictions nationales » et ses travaux visent à expliquer les paramètres et l</w:t>
      </w:r>
      <w:r w:rsidR="004C5E26">
        <w:t>’</w:t>
      </w:r>
      <w:r w:rsidRPr="004B1202">
        <w:t>application de l</w:t>
      </w:r>
      <w:r w:rsidR="004C5E26">
        <w:t>’</w:t>
      </w:r>
      <w:r w:rsidRPr="004B1202">
        <w:t xml:space="preserve">obligation de protéger </w:t>
      </w:r>
      <w:r w:rsidRPr="004B1202">
        <w:lastRenderedPageBreak/>
        <w:t>l</w:t>
      </w:r>
      <w:r w:rsidR="004C5E26">
        <w:t>’</w:t>
      </w:r>
      <w:r w:rsidRPr="004B1202">
        <w:t>environnement des zones ne relevant pas de la juridiction nationale</w:t>
      </w:r>
      <w:r w:rsidRPr="00E9227E">
        <w:rPr>
          <w:rStyle w:val="Appelnotedebasdep"/>
        </w:rPr>
        <w:footnoteReference w:id="508"/>
      </w:r>
      <w:r w:rsidRPr="00FD184E">
        <w:t>.</w:t>
      </w:r>
      <w:r w:rsidRPr="004B1202">
        <w:t xml:space="preserve"> Dans le cadre de ces travaux, il explicitera ce que la norme de diligence exige des États dans l</w:t>
      </w:r>
      <w:r w:rsidR="004C5E26">
        <w:t>’</w:t>
      </w:r>
      <w:r w:rsidRPr="004B1202">
        <w:t>exécution de cette obligation</w:t>
      </w:r>
      <w:r w:rsidRPr="00E9227E">
        <w:rPr>
          <w:rStyle w:val="Appelnotedebasdep"/>
        </w:rPr>
        <w:footnoteReference w:id="509"/>
      </w:r>
      <w:r w:rsidRPr="00FD184E">
        <w:t>.</w:t>
      </w:r>
      <w:r w:rsidRPr="004B1202">
        <w:t xml:space="preserve"> Les travaux de la Commission sur le sujet proposé seraient toutefois d</w:t>
      </w:r>
      <w:r w:rsidR="004C5E26">
        <w:t>’</w:t>
      </w:r>
      <w:r w:rsidRPr="004B1202">
        <w:t>une portée géographique plus large que ceux de l</w:t>
      </w:r>
      <w:r w:rsidR="004C5E26">
        <w:t>’</w:t>
      </w:r>
      <w:r w:rsidRPr="004B1202">
        <w:t>Institut et seraient plus systématiques que ceux de l</w:t>
      </w:r>
      <w:r w:rsidR="004C5E26">
        <w:t>’</w:t>
      </w:r>
      <w:r w:rsidRPr="004B1202">
        <w:t>Association de droit international</w:t>
      </w:r>
      <w:r w:rsidRPr="00FD184E">
        <w:t>.</w:t>
      </w:r>
    </w:p>
    <w:p w14:paraId="0AFD0D3F" w14:textId="7FCA59BB" w:rsidR="005A67A9" w:rsidRPr="004B1202" w:rsidRDefault="005A67A9" w:rsidP="005A67A9">
      <w:pPr>
        <w:pStyle w:val="SingleTxtG"/>
      </w:pPr>
      <w:r w:rsidRPr="004B1202">
        <w:t>34</w:t>
      </w:r>
      <w:r w:rsidRPr="00FD184E">
        <w:t>.</w:t>
      </w:r>
      <w:r w:rsidRPr="004B1202">
        <w:tab/>
        <w:t>Le sujet à la fois est concret et se prête à un développement progressif et une codification</w:t>
      </w:r>
      <w:r w:rsidRPr="00FD184E">
        <w:t>.</w:t>
      </w:r>
      <w:r w:rsidRPr="004B1202">
        <w:t xml:space="preserve"> Un examen systématique du contenu de l</w:t>
      </w:r>
      <w:r w:rsidR="004C5E26">
        <w:t>’</w:t>
      </w:r>
      <w:r w:rsidRPr="004B1202">
        <w:t>obligation de diligence à partir de la pratique des États et des moyens auxiliaires de détermination des règles de droit international peut contribuer à définir les contours de cette obligation</w:t>
      </w:r>
      <w:r w:rsidRPr="00FD184E">
        <w:t>.</w:t>
      </w:r>
      <w:r w:rsidRPr="004B1202">
        <w:t xml:space="preserve"> L</w:t>
      </w:r>
      <w:r w:rsidR="004C5E26">
        <w:t>’</w:t>
      </w:r>
      <w:r w:rsidRPr="004B1202">
        <w:t>obligation de diligence est consacrée dans la jurisprudence et la pratique étatique et peut être utilisée face aux problèmes actuellement causés par les effets préjudiciables des activités des États et des acteurs non étatiques agissant sous leur juridiction ou leur contrôle et l</w:t>
      </w:r>
      <w:r w:rsidR="004C5E26">
        <w:t>’</w:t>
      </w:r>
      <w:r w:rsidRPr="004B1202">
        <w:t>impact de ces activités sur les droits et intérêts d</w:t>
      </w:r>
      <w:r w:rsidR="004C5E26">
        <w:t>’</w:t>
      </w:r>
      <w:r w:rsidRPr="004B1202">
        <w:t>autres États</w:t>
      </w:r>
      <w:r w:rsidRPr="00FD184E">
        <w:t>.</w:t>
      </w:r>
      <w:r w:rsidRPr="004B1202">
        <w:t xml:space="preserve"> Ces travaux refléteront également les tendances nouvelles du droit international et des préoccupations pressantes de la communauté internationale</w:t>
      </w:r>
      <w:r w:rsidRPr="00FD184E">
        <w:t>.</w:t>
      </w:r>
    </w:p>
    <w:p w14:paraId="28F1D2A6" w14:textId="42421533" w:rsidR="005A67A9" w:rsidRPr="004B1202" w:rsidRDefault="005A67A9" w:rsidP="005A67A9">
      <w:pPr>
        <w:pStyle w:val="SingleTxtG"/>
      </w:pPr>
      <w:r w:rsidRPr="004B1202">
        <w:t>35</w:t>
      </w:r>
      <w:r w:rsidRPr="00FD184E">
        <w:t>.</w:t>
      </w:r>
      <w:r w:rsidRPr="004B1202">
        <w:tab/>
        <w:t>L</w:t>
      </w:r>
      <w:r w:rsidR="004C5E26">
        <w:t>’</w:t>
      </w:r>
      <w:r w:rsidRPr="004B1202">
        <w:t>étude de la notion de diligence due tirerait profit d</w:t>
      </w:r>
      <w:r w:rsidR="004C5E26">
        <w:t>’</w:t>
      </w:r>
      <w:r w:rsidRPr="004B1202">
        <w:t>une analyse et d</w:t>
      </w:r>
      <w:r w:rsidR="004C5E26">
        <w:t>’</w:t>
      </w:r>
      <w:r w:rsidRPr="004B1202">
        <w:t>un examen indépendants menés par des spécialistes du droit international</w:t>
      </w:r>
      <w:r w:rsidRPr="00FD184E">
        <w:t>.</w:t>
      </w:r>
      <w:r w:rsidRPr="004B1202">
        <w:t xml:space="preserve"> Grâce à ses méthodes de travail, la Commission du droit international peut définir plus précisément l</w:t>
      </w:r>
      <w:r w:rsidR="004C5E26">
        <w:t>’</w:t>
      </w:r>
      <w:r w:rsidRPr="004B1202">
        <w:t>obligation de diligence et lui donner forme en élaborant un cadre juridique susceptible d</w:t>
      </w:r>
      <w:r w:rsidR="004C5E26">
        <w:t>’</w:t>
      </w:r>
      <w:r w:rsidRPr="004B1202">
        <w:t>être utilisé par les États pour réduire au minimum les effets préjudiciables de leurs activités et de celles des acteurs non étatiques sous leur juridiction ou leur contrôle</w:t>
      </w:r>
      <w:r w:rsidRPr="00FD184E">
        <w:t>.</w:t>
      </w:r>
      <w:r w:rsidRPr="004B1202">
        <w:t xml:space="preserve"> Elle aidera ainsi les États en leur fournissant des indications pour leur permettre de s</w:t>
      </w:r>
      <w:r w:rsidR="004C5E26">
        <w:t>’</w:t>
      </w:r>
      <w:r w:rsidRPr="004B1202">
        <w:t>acquitter de leurs obligations et les aider à faire face aux situations potentiellement dommageables avant qu</w:t>
      </w:r>
      <w:r w:rsidR="004C5E26">
        <w:t>’</w:t>
      </w:r>
      <w:r w:rsidRPr="004B1202">
        <w:t>elles se produisent</w:t>
      </w:r>
      <w:r w:rsidRPr="00FD184E">
        <w:t>.</w:t>
      </w:r>
      <w:r w:rsidRPr="004B1202">
        <w:t xml:space="preserve"> </w:t>
      </w:r>
    </w:p>
    <w:p w14:paraId="602AFCF3" w14:textId="574F5A51" w:rsidR="005A67A9" w:rsidRPr="004B1202" w:rsidRDefault="005A67A9" w:rsidP="005A67A9">
      <w:pPr>
        <w:pStyle w:val="SingleTxtG"/>
      </w:pPr>
      <w:r w:rsidRPr="004B1202">
        <w:t>36</w:t>
      </w:r>
      <w:r w:rsidRPr="00FD184E">
        <w:t>.</w:t>
      </w:r>
      <w:r w:rsidRPr="004B1202">
        <w:tab/>
        <w:t>Enfin, il est important que la Commission participe pleinement à la satisfaction des besoins actuels de la communauté internationale</w:t>
      </w:r>
      <w:r w:rsidRPr="00FD184E">
        <w:t>.</w:t>
      </w:r>
      <w:r w:rsidRPr="004B1202">
        <w:t xml:space="preserve"> Le droit international doit évoluer au même rythme que le monde contemporain pour rendre compte de la complexité croissante de celui</w:t>
      </w:r>
      <w:r>
        <w:noBreakHyphen/>
      </w:r>
      <w:r w:rsidRPr="004B1202">
        <w:t>ci</w:t>
      </w:r>
      <w:r w:rsidRPr="00FD184E">
        <w:t>.</w:t>
      </w:r>
      <w:r w:rsidRPr="004B1202">
        <w:t xml:space="preserve"> La Commission du droit international a un rôle à jouer dans la codification et le développement progressif de la notion de diligence en droit international</w:t>
      </w:r>
      <w:r w:rsidRPr="00FD184E">
        <w:t>.</w:t>
      </w:r>
      <w:r w:rsidRPr="004B1202">
        <w:t xml:space="preserve"> Étant donné sa composition, ses méthodes de travail collégiales et sa relation étroite avec les États dans le cadre de l</w:t>
      </w:r>
      <w:r w:rsidR="004C5E26">
        <w:t>’</w:t>
      </w:r>
      <w:r w:rsidRPr="004B1202">
        <w:t>Assemblée générale, la Commission est en mesure de contribuer utilement au droit international relatif à l</w:t>
      </w:r>
      <w:r w:rsidR="004C5E26">
        <w:t>’</w:t>
      </w:r>
      <w:r w:rsidRPr="004B1202">
        <w:t>obligation de diligence</w:t>
      </w:r>
      <w:r w:rsidRPr="00FD184E">
        <w:t>.</w:t>
      </w:r>
    </w:p>
    <w:p w14:paraId="6C36DD87" w14:textId="77777777" w:rsidR="005A67A9" w:rsidRPr="004B1202" w:rsidRDefault="005A67A9" w:rsidP="005A67A9">
      <w:pPr>
        <w:pStyle w:val="H23G"/>
      </w:pPr>
      <w:r w:rsidRPr="004B1202">
        <w:tab/>
        <w:t>5</w:t>
      </w:r>
      <w:r w:rsidRPr="00FD184E">
        <w:t>.</w:t>
      </w:r>
      <w:r w:rsidRPr="004B1202">
        <w:tab/>
        <w:t>Forme du texte issu des travaux</w:t>
      </w:r>
    </w:p>
    <w:p w14:paraId="0FDD696D" w14:textId="0C4D332B" w:rsidR="005A67A9" w:rsidRPr="004B1202" w:rsidRDefault="005A67A9" w:rsidP="005A67A9">
      <w:pPr>
        <w:pStyle w:val="SingleTxtG"/>
      </w:pPr>
      <w:r w:rsidRPr="004B1202">
        <w:t>37</w:t>
      </w:r>
      <w:r w:rsidRPr="00FD184E">
        <w:t>.</w:t>
      </w:r>
      <w:r w:rsidRPr="004B1202">
        <w:tab/>
        <w:t>Le but principal des travaux sur le sujet est la codification de la pratique relative à l</w:t>
      </w:r>
      <w:r w:rsidR="004C5E26">
        <w:t>’</w:t>
      </w:r>
      <w:r w:rsidRPr="004B1202">
        <w:t>obligation de diligence en droit international</w:t>
      </w:r>
      <w:r w:rsidRPr="00FD184E">
        <w:t>.</w:t>
      </w:r>
      <w:r w:rsidRPr="004B1202">
        <w:t xml:space="preserve"> Étant donné l</w:t>
      </w:r>
      <w:r w:rsidR="004C5E26">
        <w:t>’</w:t>
      </w:r>
      <w:r w:rsidRPr="004B1202">
        <w:t>orientation pratique de ces travaux, le texte qui en sera issu devrait prendre la forme d</w:t>
      </w:r>
      <w:r w:rsidR="004C5E26">
        <w:t>’</w:t>
      </w:r>
      <w:r w:rsidRPr="004B1202">
        <w:t>un projet de principes susceptible d</w:t>
      </w:r>
      <w:r w:rsidR="004C5E26">
        <w:t>’</w:t>
      </w:r>
      <w:r w:rsidRPr="004B1202">
        <w:t>aider les États à s</w:t>
      </w:r>
      <w:r w:rsidR="004C5E26">
        <w:t>’</w:t>
      </w:r>
      <w:r w:rsidRPr="004B1202">
        <w:t>acquitter de leur obligation de diligence</w:t>
      </w:r>
      <w:r w:rsidRPr="00FD184E">
        <w:t>.</w:t>
      </w:r>
      <w:r w:rsidRPr="004B1202">
        <w:t xml:space="preserve"> Un ensemble de principes sur la notion de diligence en droit international constituerait, en ce qui concerne le contenu normatif fondamental de l</w:t>
      </w:r>
      <w:r w:rsidR="004C5E26">
        <w:t>’</w:t>
      </w:r>
      <w:r w:rsidRPr="004B1202">
        <w:t>obligation de diligence, une synthèse suffisamment générale et consensuelle pour servir de guide pratique aux États</w:t>
      </w:r>
      <w:r w:rsidRPr="00FD184E">
        <w:t>.</w:t>
      </w:r>
      <w:r w:rsidRPr="004B1202">
        <w:t xml:space="preserve"> D</w:t>
      </w:r>
      <w:r w:rsidR="004C5E26">
        <w:t>’</w:t>
      </w:r>
      <w:r w:rsidRPr="004B1202">
        <w:t>autres formes pourraient être envisagées au fur et à mesure que les travaux sur le sujet progresseront, par exemple celle d</w:t>
      </w:r>
      <w:r w:rsidR="004C5E26">
        <w:t>’</w:t>
      </w:r>
      <w:r w:rsidRPr="004B1202">
        <w:t>un projet de conclusions ou encore celle d</w:t>
      </w:r>
      <w:r w:rsidR="004C5E26">
        <w:t>’</w:t>
      </w:r>
      <w:r w:rsidRPr="004B1202">
        <w:t>un projet d</w:t>
      </w:r>
      <w:r w:rsidR="004C5E26">
        <w:t>’</w:t>
      </w:r>
      <w:r w:rsidRPr="004B1202">
        <w:t>articles comparable au projet d</w:t>
      </w:r>
      <w:r w:rsidR="004C5E26">
        <w:t>’</w:t>
      </w:r>
      <w:r w:rsidRPr="004B1202">
        <w:t>articles de 2001 sur la responsabilité de l</w:t>
      </w:r>
      <w:r w:rsidR="004C5E26">
        <w:t>’</w:t>
      </w:r>
      <w:r w:rsidRPr="004B1202">
        <w:t>État et au projet d</w:t>
      </w:r>
      <w:r w:rsidR="004C5E26">
        <w:t>’</w:t>
      </w:r>
      <w:r w:rsidRPr="004B1202">
        <w:t>articles de 2001 sur la prévention des dommages transfrontières résultant d</w:t>
      </w:r>
      <w:r w:rsidR="004C5E26">
        <w:t>’</w:t>
      </w:r>
      <w:r w:rsidRPr="004B1202">
        <w:t>activités dangereuses qui compléterait les travaux antérieurs de la Commission sur des questions juridiques connexes</w:t>
      </w:r>
      <w:r w:rsidRPr="00FD184E">
        <w:t>.</w:t>
      </w:r>
      <w:r w:rsidRPr="004B1202">
        <w:t xml:space="preserve"> Le texte issu des travaux sur le sujet devrait toutefois prendre la forme d</w:t>
      </w:r>
      <w:r w:rsidR="004C5E26">
        <w:t>’</w:t>
      </w:r>
      <w:r w:rsidRPr="004B1202">
        <w:t>un projet de principes étant donné son orientation pratique et l</w:t>
      </w:r>
      <w:r w:rsidR="004C5E26">
        <w:t>’</w:t>
      </w:r>
      <w:r w:rsidRPr="004B1202">
        <w:t>intention de la Commission de formuler des propositions suffisamment générales pour guider les États</w:t>
      </w:r>
      <w:r w:rsidRPr="00FD184E">
        <w:t>.</w:t>
      </w:r>
    </w:p>
    <w:p w14:paraId="2FB53932" w14:textId="42F30835" w:rsidR="005A67A9" w:rsidRDefault="005A67A9">
      <w:pPr>
        <w:suppressAutoHyphens w:val="0"/>
        <w:kinsoku/>
        <w:overflowPunct/>
        <w:autoSpaceDE/>
        <w:autoSpaceDN/>
        <w:adjustRightInd/>
        <w:snapToGrid/>
        <w:spacing w:line="240" w:lineRule="auto"/>
      </w:pPr>
      <w:r>
        <w:br w:type="page"/>
      </w:r>
    </w:p>
    <w:p w14:paraId="008EB3EC" w14:textId="74066F83" w:rsidR="005D2955" w:rsidRDefault="005A67A9" w:rsidP="0019002B">
      <w:pPr>
        <w:pStyle w:val="H23G"/>
      </w:pPr>
      <w:r w:rsidRPr="004B1202">
        <w:lastRenderedPageBreak/>
        <w:tab/>
      </w:r>
      <w:r w:rsidRPr="004B1202">
        <w:tab/>
        <w:t>Bibliographie sélective</w:t>
      </w:r>
    </w:p>
    <w:p w14:paraId="1810D0DC" w14:textId="77777777" w:rsidR="005A67A9" w:rsidRPr="00832995" w:rsidRDefault="005A67A9" w:rsidP="005A67A9">
      <w:pPr>
        <w:suppressAutoHyphens w:val="0"/>
        <w:kinsoku/>
        <w:overflowPunct/>
        <w:autoSpaceDE/>
        <w:autoSpaceDN/>
        <w:adjustRightInd/>
        <w:snapToGrid/>
        <w:spacing w:before="240" w:after="160" w:line="240" w:lineRule="auto"/>
        <w:ind w:left="1170" w:hanging="360"/>
        <w:jc w:val="both"/>
        <w:rPr>
          <w:lang w:val="fr-FR"/>
        </w:rPr>
      </w:pPr>
      <w:r w:rsidRPr="00832995">
        <w:rPr>
          <w:lang w:val="fr-FR"/>
        </w:rPr>
        <w:t>a.</w:t>
      </w:r>
      <w:r w:rsidRPr="00832995">
        <w:rPr>
          <w:lang w:val="fr-FR"/>
        </w:rPr>
        <w:tab/>
        <w:t>Books</w:t>
      </w:r>
    </w:p>
    <w:p w14:paraId="5829448A" w14:textId="7FFD27C3" w:rsidR="005A67A9" w:rsidRPr="00832995" w:rsidRDefault="005A67A9" w:rsidP="0019002B">
      <w:pPr>
        <w:spacing w:after="120" w:line="240" w:lineRule="auto"/>
        <w:ind w:left="1418" w:right="1134" w:hanging="284"/>
        <w:jc w:val="both"/>
        <w:rPr>
          <w:lang w:val="fr-FR"/>
        </w:rPr>
      </w:pPr>
      <w:r w:rsidRPr="00832995">
        <w:rPr>
          <w:lang w:val="fr-FR"/>
        </w:rPr>
        <w:t xml:space="preserve">Besson, </w:t>
      </w:r>
      <w:bookmarkStart w:id="303" w:name="_Hlk167092741"/>
      <w:r w:rsidRPr="00832995">
        <w:rPr>
          <w:lang w:val="fr-FR"/>
        </w:rPr>
        <w:t>Samantha, La </w:t>
      </w:r>
      <w:r w:rsidRPr="00832995">
        <w:rPr>
          <w:i/>
          <w:iCs/>
          <w:lang w:val="fr-FR"/>
        </w:rPr>
        <w:t>due diligence</w:t>
      </w:r>
      <w:r w:rsidRPr="00832995">
        <w:rPr>
          <w:lang w:val="fr-FR"/>
        </w:rPr>
        <w:t xml:space="preserve"> en droit international (The Pocket Books of The Hague </w:t>
      </w:r>
      <w:proofErr w:type="spellStart"/>
      <w:r w:rsidRPr="00832995">
        <w:rPr>
          <w:lang w:val="fr-FR"/>
        </w:rPr>
        <w:t>Academy</w:t>
      </w:r>
      <w:proofErr w:type="spellEnd"/>
      <w:r w:rsidRPr="00832995">
        <w:rPr>
          <w:lang w:val="fr-FR"/>
        </w:rPr>
        <w:t xml:space="preserve"> of International Law / Les livres de poche de l</w:t>
      </w:r>
      <w:r w:rsidR="004C5E26">
        <w:rPr>
          <w:lang w:val="fr-FR"/>
        </w:rPr>
        <w:t>’</w:t>
      </w:r>
      <w:r w:rsidRPr="00832995">
        <w:rPr>
          <w:lang w:val="fr-FR"/>
        </w:rPr>
        <w:t>Académie de droit international de La Haye), vol. 46 (2021).</w:t>
      </w:r>
    </w:p>
    <w:bookmarkEnd w:id="303"/>
    <w:p w14:paraId="423739F3"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Besson, Samantha, </w:t>
      </w:r>
      <w:r w:rsidRPr="008C3992">
        <w:rPr>
          <w:i/>
          <w:iCs/>
          <w:lang w:val="en-US"/>
        </w:rPr>
        <w:t>Due Diligence in International Law</w:t>
      </w:r>
      <w:r w:rsidRPr="008C3992">
        <w:rPr>
          <w:lang w:val="en-US"/>
        </w:rPr>
        <w:t xml:space="preserve"> (Hague Academy Special Editions) (Leiden/Boston: </w:t>
      </w:r>
      <w:proofErr w:type="spellStart"/>
      <w:r w:rsidRPr="008C3992">
        <w:rPr>
          <w:lang w:val="en-US"/>
        </w:rPr>
        <w:t>Brill|Nijhoff</w:t>
      </w:r>
      <w:proofErr w:type="spellEnd"/>
      <w:r w:rsidRPr="008C3992">
        <w:rPr>
          <w:lang w:val="en-US"/>
        </w:rPr>
        <w:t>, 2023).</w:t>
      </w:r>
    </w:p>
    <w:p w14:paraId="5BB6F49F" w14:textId="77777777" w:rsidR="005A67A9" w:rsidRPr="008C3992" w:rsidRDefault="005A67A9" w:rsidP="0019002B">
      <w:pPr>
        <w:spacing w:after="120" w:line="240" w:lineRule="auto"/>
        <w:ind w:left="1418" w:right="1134" w:hanging="284"/>
        <w:jc w:val="both"/>
        <w:rPr>
          <w:lang w:val="en-US"/>
        </w:rPr>
      </w:pPr>
      <w:proofErr w:type="spellStart"/>
      <w:r w:rsidRPr="008C3992">
        <w:rPr>
          <w:lang w:val="en-US"/>
        </w:rPr>
        <w:t>Blomeyer</w:t>
      </w:r>
      <w:proofErr w:type="spellEnd"/>
      <w:r w:rsidRPr="008C3992">
        <w:rPr>
          <w:lang w:val="en-US"/>
        </w:rPr>
        <w:t xml:space="preserve">-Bartenstein, Horst, “Due Diligence” in </w:t>
      </w:r>
      <w:proofErr w:type="spellStart"/>
      <w:r w:rsidRPr="008C3992">
        <w:rPr>
          <w:i/>
          <w:iCs/>
          <w:lang w:val="en-US"/>
        </w:rPr>
        <w:t>Encyclopaedia</w:t>
      </w:r>
      <w:proofErr w:type="spellEnd"/>
      <w:r w:rsidRPr="008C3992">
        <w:rPr>
          <w:i/>
          <w:iCs/>
          <w:lang w:val="en-US"/>
        </w:rPr>
        <w:t xml:space="preserve"> of Public International Law</w:t>
      </w:r>
      <w:r w:rsidRPr="008C3992">
        <w:rPr>
          <w:lang w:val="en-US"/>
        </w:rPr>
        <w:t xml:space="preserve">, vol. I, (Amsterdam: Elsevier Science, 1987). </w:t>
      </w:r>
    </w:p>
    <w:p w14:paraId="14D34D55"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Cabus, Tony Kevin, </w:t>
      </w:r>
      <w:r w:rsidRPr="008C3992">
        <w:rPr>
          <w:i/>
          <w:iCs/>
          <w:lang w:val="en-US"/>
        </w:rPr>
        <w:t>The Theory of Due Diligence and the High Seas</w:t>
      </w:r>
      <w:r w:rsidRPr="008C3992">
        <w:rPr>
          <w:lang w:val="en-US"/>
        </w:rPr>
        <w:t xml:space="preserve">, 1 ed. (New York: Routledge, 2022). </w:t>
      </w:r>
    </w:p>
    <w:p w14:paraId="094A79FE"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Clapham, Andrew, </w:t>
      </w:r>
      <w:r w:rsidRPr="008C3992">
        <w:rPr>
          <w:i/>
          <w:lang w:val="en-US"/>
        </w:rPr>
        <w:t>Human Rights Obligations of Non-State Actors</w:t>
      </w:r>
      <w:r w:rsidRPr="008C3992">
        <w:rPr>
          <w:lang w:val="en-US"/>
        </w:rPr>
        <w:t xml:space="preserve">, </w:t>
      </w:r>
      <w:r w:rsidRPr="008C3992">
        <w:rPr>
          <w:i/>
          <w:iCs/>
          <w:lang w:val="en-US"/>
        </w:rPr>
        <w:t>Collected Courses of the Academy of European Law</w:t>
      </w:r>
      <w:r w:rsidRPr="008C3992">
        <w:rPr>
          <w:lang w:val="en-US"/>
        </w:rPr>
        <w:t xml:space="preserve"> (Oxford: Oxford University Press, 2006).</w:t>
      </w:r>
    </w:p>
    <w:p w14:paraId="0936BD06" w14:textId="77777777" w:rsidR="005A67A9" w:rsidRPr="00832995" w:rsidRDefault="005A67A9" w:rsidP="0019002B">
      <w:pPr>
        <w:spacing w:after="120" w:line="240" w:lineRule="auto"/>
        <w:ind w:left="1418" w:right="1134" w:hanging="284"/>
        <w:jc w:val="both"/>
        <w:rPr>
          <w:lang w:val="es-ES"/>
        </w:rPr>
      </w:pPr>
      <w:r w:rsidRPr="00832995">
        <w:rPr>
          <w:lang w:val="es-ES"/>
        </w:rPr>
        <w:t xml:space="preserve">Contreras, José Fernando Lozano, </w:t>
      </w:r>
      <w:r w:rsidRPr="00832995">
        <w:rPr>
          <w:i/>
          <w:iCs/>
          <w:lang w:val="es-ES"/>
        </w:rPr>
        <w:t>La noción de debida diligencia en Derecho internacional público</w:t>
      </w:r>
      <w:r w:rsidRPr="00832995">
        <w:rPr>
          <w:lang w:val="es-ES"/>
        </w:rPr>
        <w:t xml:space="preserve"> (Atelier, 2007).</w:t>
      </w:r>
    </w:p>
    <w:p w14:paraId="13FE480E" w14:textId="77777777" w:rsidR="005A67A9" w:rsidRPr="008C3992" w:rsidRDefault="005A67A9" w:rsidP="0019002B">
      <w:pPr>
        <w:spacing w:after="120" w:line="240" w:lineRule="auto"/>
        <w:ind w:left="1418" w:right="1134" w:hanging="284"/>
        <w:jc w:val="both"/>
        <w:rPr>
          <w:lang w:val="en-US"/>
        </w:rPr>
      </w:pPr>
      <w:proofErr w:type="spellStart"/>
      <w:r w:rsidRPr="008C3992">
        <w:rPr>
          <w:lang w:val="en-US"/>
        </w:rPr>
        <w:t>Delerue</w:t>
      </w:r>
      <w:proofErr w:type="spellEnd"/>
      <w:r w:rsidRPr="008C3992">
        <w:rPr>
          <w:lang w:val="en-US"/>
        </w:rPr>
        <w:t xml:space="preserve">, François, </w:t>
      </w:r>
      <w:r w:rsidRPr="008C3992">
        <w:rPr>
          <w:i/>
          <w:iCs/>
          <w:lang w:val="en-US"/>
        </w:rPr>
        <w:t>Cyber Operations and the Principle of Due Diligence</w:t>
      </w:r>
      <w:r w:rsidRPr="008C3992">
        <w:rPr>
          <w:lang w:val="en-US"/>
        </w:rPr>
        <w:t xml:space="preserve"> (Cambridge: Cambridge University Press, 2020). </w:t>
      </w:r>
    </w:p>
    <w:p w14:paraId="1D1EEF65" w14:textId="77777777" w:rsidR="005A67A9" w:rsidRPr="00BA3231" w:rsidRDefault="005A67A9" w:rsidP="0019002B">
      <w:pPr>
        <w:spacing w:after="120" w:line="240" w:lineRule="auto"/>
        <w:ind w:left="1418" w:right="1134" w:hanging="284"/>
        <w:jc w:val="both"/>
        <w:rPr>
          <w:lang w:val="fr-FR"/>
        </w:rPr>
      </w:pPr>
      <w:r w:rsidRPr="414558A8">
        <w:t xml:space="preserve">Favre, Jean-Michel, </w:t>
      </w:r>
      <w:r w:rsidRPr="414558A8">
        <w:rPr>
          <w:i/>
          <w:iCs/>
        </w:rPr>
        <w:t>Essai sur la notion de standard dans la jurisprudence internationale</w:t>
      </w:r>
      <w:r w:rsidRPr="414558A8">
        <w:t>, Thèse, Université de Paris 1, 1994.</w:t>
      </w:r>
    </w:p>
    <w:p w14:paraId="46D2B2E8" w14:textId="77777777" w:rsidR="005A67A9" w:rsidRPr="008C3992" w:rsidRDefault="005A67A9" w:rsidP="0019002B">
      <w:pPr>
        <w:spacing w:after="120" w:line="240" w:lineRule="auto"/>
        <w:ind w:left="1418" w:right="1134" w:hanging="284"/>
        <w:jc w:val="both"/>
        <w:rPr>
          <w:lang w:val="en-US"/>
        </w:rPr>
      </w:pPr>
      <w:bookmarkStart w:id="304" w:name="_Hlk167011930"/>
      <w:r w:rsidRPr="008C3992">
        <w:rPr>
          <w:lang w:val="en-US"/>
        </w:rPr>
        <w:t>Foster, Caroline,</w:t>
      </w:r>
      <w:r w:rsidRPr="008C3992">
        <w:rPr>
          <w:i/>
          <w:iCs/>
          <w:lang w:val="en-US"/>
        </w:rPr>
        <w:t xml:space="preserve"> Global Regulatory Standards in Environmental and Health Disputes: Regulatory Coherence, Due Regard, and Due Diligence</w:t>
      </w:r>
      <w:r w:rsidRPr="008C3992">
        <w:rPr>
          <w:lang w:val="en-US"/>
        </w:rPr>
        <w:t>, (Oxford: Oxford University Press, 2021).</w:t>
      </w:r>
    </w:p>
    <w:bookmarkEnd w:id="304"/>
    <w:p w14:paraId="1C26577C" w14:textId="77777777" w:rsidR="005A67A9" w:rsidRPr="008C3992" w:rsidRDefault="005A67A9" w:rsidP="0019002B">
      <w:pPr>
        <w:spacing w:after="120" w:line="240" w:lineRule="auto"/>
        <w:ind w:left="1418" w:right="1134" w:hanging="284"/>
        <w:jc w:val="both"/>
        <w:rPr>
          <w:u w:val="single"/>
          <w:lang w:val="en-US"/>
        </w:rPr>
      </w:pPr>
      <w:r w:rsidRPr="008C3992">
        <w:rPr>
          <w:lang w:val="en-US"/>
        </w:rPr>
        <w:t xml:space="preserve">Krieger, Heike, Anne Peters and Leonhard Kreuzer (eds.), </w:t>
      </w:r>
      <w:r w:rsidRPr="008C3992">
        <w:rPr>
          <w:i/>
          <w:iCs/>
          <w:lang w:val="en-US"/>
        </w:rPr>
        <w:t>Due Diligence in the International Legal Order</w:t>
      </w:r>
      <w:r w:rsidRPr="008C3992">
        <w:rPr>
          <w:lang w:val="en-US"/>
        </w:rPr>
        <w:t xml:space="preserve"> (Oxford: Oxford University Press, 2020).</w:t>
      </w:r>
      <w:r w:rsidRPr="008C3992">
        <w:rPr>
          <w:u w:val="single"/>
          <w:lang w:val="en-US"/>
        </w:rPr>
        <w:t xml:space="preserve"> </w:t>
      </w:r>
    </w:p>
    <w:p w14:paraId="05F6E46D" w14:textId="77777777" w:rsidR="005A67A9" w:rsidRPr="00832995" w:rsidRDefault="005A67A9" w:rsidP="0019002B">
      <w:pPr>
        <w:spacing w:after="120" w:line="240" w:lineRule="auto"/>
        <w:ind w:left="1418" w:right="1134" w:hanging="284"/>
        <w:jc w:val="both"/>
        <w:rPr>
          <w:lang w:val="pl-PL"/>
        </w:rPr>
      </w:pPr>
      <w:r w:rsidRPr="00832995">
        <w:rPr>
          <w:lang w:val="pl-PL"/>
        </w:rPr>
        <w:t xml:space="preserve">Kulesza, Joanna, </w:t>
      </w:r>
      <w:r w:rsidRPr="00832995">
        <w:rPr>
          <w:i/>
          <w:iCs/>
          <w:lang w:val="pl-PL"/>
        </w:rPr>
        <w:t>Należyta staranność w prawie międzynarodowym</w:t>
      </w:r>
      <w:r w:rsidRPr="00832995">
        <w:rPr>
          <w:lang w:val="pl-PL"/>
        </w:rPr>
        <w:t xml:space="preserve"> (Łódz: Wydawnictwo Uniwersytetu Łódzkiego, 2013).</w:t>
      </w:r>
    </w:p>
    <w:p w14:paraId="6BA5DBCC" w14:textId="77777777" w:rsidR="005A67A9" w:rsidRPr="008C3992" w:rsidRDefault="005A67A9" w:rsidP="0019002B">
      <w:pPr>
        <w:spacing w:after="120" w:line="240" w:lineRule="auto"/>
        <w:ind w:left="1418" w:right="1134" w:hanging="284"/>
        <w:jc w:val="both"/>
        <w:rPr>
          <w:lang w:val="en-US"/>
        </w:rPr>
      </w:pPr>
      <w:r w:rsidRPr="008C3992">
        <w:rPr>
          <w:lang w:val="en-US"/>
        </w:rPr>
        <w:t>Kulesza, Joanna,</w:t>
      </w:r>
      <w:r w:rsidRPr="008C3992">
        <w:rPr>
          <w:i/>
          <w:lang w:val="en-US"/>
        </w:rPr>
        <w:t xml:space="preserve"> Due Diligence in International Law</w:t>
      </w:r>
      <w:r w:rsidRPr="008C3992">
        <w:rPr>
          <w:lang w:val="en-US"/>
        </w:rPr>
        <w:t xml:space="preserve"> (Leiden/Boston: </w:t>
      </w:r>
      <w:proofErr w:type="spellStart"/>
      <w:r w:rsidRPr="008C3992">
        <w:rPr>
          <w:lang w:val="en-US"/>
        </w:rPr>
        <w:t>Brill|Nijhoff</w:t>
      </w:r>
      <w:proofErr w:type="spellEnd"/>
      <w:r w:rsidRPr="008C3992">
        <w:rPr>
          <w:lang w:val="en-US"/>
        </w:rPr>
        <w:t>, 2016).</w:t>
      </w:r>
    </w:p>
    <w:p w14:paraId="54EE15C6"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Mantilla Blanco, Sebastián, </w:t>
      </w:r>
      <w:r w:rsidRPr="008C3992">
        <w:rPr>
          <w:i/>
          <w:iCs/>
          <w:lang w:val="en-US"/>
        </w:rPr>
        <w:t>Full Protection and Security in International Investment Law</w:t>
      </w:r>
      <w:r w:rsidRPr="008C3992">
        <w:rPr>
          <w:lang w:val="en-US"/>
        </w:rPr>
        <w:t xml:space="preserve"> (Bonn: Springer, 2019). </w:t>
      </w:r>
    </w:p>
    <w:p w14:paraId="4CC61FBA" w14:textId="77777777" w:rsidR="005A67A9" w:rsidRPr="008C3992" w:rsidRDefault="005A67A9" w:rsidP="0019002B">
      <w:pPr>
        <w:spacing w:after="120" w:line="240" w:lineRule="auto"/>
        <w:ind w:left="1418" w:right="1134" w:hanging="284"/>
        <w:jc w:val="both"/>
        <w:rPr>
          <w:lang w:val="en-US"/>
        </w:rPr>
      </w:pPr>
      <w:proofErr w:type="spellStart"/>
      <w:r w:rsidRPr="008C3992">
        <w:rPr>
          <w:lang w:val="en-US"/>
        </w:rPr>
        <w:t>Monnheimer</w:t>
      </w:r>
      <w:proofErr w:type="spellEnd"/>
      <w:r w:rsidRPr="008C3992">
        <w:rPr>
          <w:lang w:val="en-US"/>
        </w:rPr>
        <w:t xml:space="preserve">, Maria, </w:t>
      </w:r>
      <w:r w:rsidRPr="008C3992">
        <w:rPr>
          <w:i/>
          <w:iCs/>
          <w:lang w:val="en-US"/>
        </w:rPr>
        <w:t>Due Diligence Obligations in International Human Rights Law</w:t>
      </w:r>
      <w:r w:rsidRPr="008C3992">
        <w:rPr>
          <w:lang w:val="en-US"/>
        </w:rPr>
        <w:t xml:space="preserve"> (Cambridge: Cambridge University Press, 2021). </w:t>
      </w:r>
    </w:p>
    <w:p w14:paraId="67BBF165" w14:textId="77777777" w:rsidR="005A67A9" w:rsidRPr="008C3992" w:rsidRDefault="005A67A9" w:rsidP="0019002B">
      <w:pPr>
        <w:spacing w:after="120" w:line="240" w:lineRule="auto"/>
        <w:ind w:left="1418" w:right="1134" w:hanging="284"/>
        <w:jc w:val="both"/>
        <w:rPr>
          <w:lang w:val="en-US"/>
        </w:rPr>
      </w:pPr>
      <w:proofErr w:type="spellStart"/>
      <w:r w:rsidRPr="008C3992">
        <w:rPr>
          <w:lang w:val="en-US"/>
        </w:rPr>
        <w:t>Ollino</w:t>
      </w:r>
      <w:proofErr w:type="spellEnd"/>
      <w:r w:rsidRPr="008C3992">
        <w:rPr>
          <w:lang w:val="en-US"/>
        </w:rPr>
        <w:t>, Alice,</w:t>
      </w:r>
      <w:r w:rsidRPr="008C3992">
        <w:rPr>
          <w:i/>
          <w:iCs/>
          <w:lang w:val="en-US"/>
        </w:rPr>
        <w:t xml:space="preserve"> Due Diligence Obligations in International Law</w:t>
      </w:r>
      <w:r w:rsidRPr="008C3992">
        <w:rPr>
          <w:lang w:val="en-US"/>
        </w:rPr>
        <w:t xml:space="preserve"> (Cambridge: Cambridge University Press, 2022).</w:t>
      </w:r>
    </w:p>
    <w:p w14:paraId="30288CD4" w14:textId="77777777" w:rsidR="005A67A9" w:rsidRPr="00832995" w:rsidRDefault="005A67A9" w:rsidP="0019002B">
      <w:pPr>
        <w:spacing w:after="120" w:line="240" w:lineRule="auto"/>
        <w:ind w:left="1418" w:right="1134" w:hanging="284"/>
        <w:jc w:val="both"/>
        <w:rPr>
          <w:lang w:val="fr-FR"/>
        </w:rPr>
      </w:pPr>
      <w:proofErr w:type="spellStart"/>
      <w:r w:rsidRPr="00832995">
        <w:rPr>
          <w:lang w:val="fr-FR"/>
        </w:rPr>
        <w:t>Pisillo</w:t>
      </w:r>
      <w:proofErr w:type="spellEnd"/>
      <w:r w:rsidRPr="00832995">
        <w:rPr>
          <w:lang w:val="fr-FR"/>
        </w:rPr>
        <w:t xml:space="preserve"> </w:t>
      </w:r>
      <w:proofErr w:type="spellStart"/>
      <w:r w:rsidRPr="00832995">
        <w:rPr>
          <w:lang w:val="fr-FR"/>
        </w:rPr>
        <w:t>Mazzeschi</w:t>
      </w:r>
      <w:proofErr w:type="spellEnd"/>
      <w:r w:rsidRPr="00832995">
        <w:rPr>
          <w:lang w:val="fr-FR"/>
        </w:rPr>
        <w:t>, Riccardo,</w:t>
      </w:r>
      <w:r w:rsidRPr="00832995">
        <w:rPr>
          <w:i/>
          <w:iCs/>
          <w:lang w:val="fr-FR"/>
        </w:rPr>
        <w:t xml:space="preserve"> Due diligence e </w:t>
      </w:r>
      <w:proofErr w:type="spellStart"/>
      <w:r w:rsidRPr="00832995">
        <w:rPr>
          <w:i/>
          <w:iCs/>
          <w:lang w:val="fr-FR"/>
        </w:rPr>
        <w:t>responsabilità</w:t>
      </w:r>
      <w:proofErr w:type="spellEnd"/>
      <w:r w:rsidRPr="00832995">
        <w:rPr>
          <w:i/>
          <w:iCs/>
          <w:lang w:val="fr-FR"/>
        </w:rPr>
        <w:t xml:space="preserve"> </w:t>
      </w:r>
      <w:proofErr w:type="spellStart"/>
      <w:r w:rsidRPr="00832995">
        <w:rPr>
          <w:i/>
          <w:iCs/>
          <w:lang w:val="fr-FR"/>
        </w:rPr>
        <w:t>internazionale</w:t>
      </w:r>
      <w:proofErr w:type="spellEnd"/>
      <w:r w:rsidRPr="00832995">
        <w:rPr>
          <w:i/>
          <w:iCs/>
          <w:lang w:val="fr-FR"/>
        </w:rPr>
        <w:t xml:space="preserve"> </w:t>
      </w:r>
      <w:proofErr w:type="spellStart"/>
      <w:r w:rsidRPr="00832995">
        <w:rPr>
          <w:i/>
          <w:iCs/>
          <w:lang w:val="fr-FR"/>
        </w:rPr>
        <w:t>degli</w:t>
      </w:r>
      <w:proofErr w:type="spellEnd"/>
      <w:r w:rsidRPr="00832995">
        <w:rPr>
          <w:i/>
          <w:iCs/>
          <w:lang w:val="fr-FR"/>
        </w:rPr>
        <w:t xml:space="preserve"> </w:t>
      </w:r>
      <w:proofErr w:type="spellStart"/>
      <w:r w:rsidRPr="00832995">
        <w:rPr>
          <w:i/>
          <w:iCs/>
          <w:lang w:val="fr-FR"/>
        </w:rPr>
        <w:t>Stati</w:t>
      </w:r>
      <w:proofErr w:type="spellEnd"/>
      <w:r w:rsidRPr="00832995">
        <w:rPr>
          <w:lang w:val="fr-FR"/>
        </w:rPr>
        <w:t xml:space="preserve"> (Milan: </w:t>
      </w:r>
      <w:proofErr w:type="spellStart"/>
      <w:r w:rsidRPr="00832995">
        <w:rPr>
          <w:lang w:val="fr-FR"/>
        </w:rPr>
        <w:t>Giuffrè</w:t>
      </w:r>
      <w:proofErr w:type="spellEnd"/>
      <w:r w:rsidRPr="00832995">
        <w:rPr>
          <w:lang w:val="fr-FR"/>
        </w:rPr>
        <w:t>, 1989).</w:t>
      </w:r>
    </w:p>
    <w:p w14:paraId="1EAF7264" w14:textId="77777777" w:rsidR="005A67A9" w:rsidRPr="00832995" w:rsidRDefault="005A67A9" w:rsidP="0019002B">
      <w:pPr>
        <w:spacing w:after="120" w:line="240" w:lineRule="auto"/>
        <w:ind w:left="1418" w:right="1134" w:hanging="284"/>
        <w:jc w:val="both"/>
        <w:rPr>
          <w:lang w:val="fr-FR"/>
        </w:rPr>
      </w:pPr>
      <w:proofErr w:type="spellStart"/>
      <w:r w:rsidRPr="00832995">
        <w:rPr>
          <w:lang w:val="fr-FR"/>
        </w:rPr>
        <w:t>Societe</w:t>
      </w:r>
      <w:proofErr w:type="spellEnd"/>
      <w:r w:rsidRPr="00832995">
        <w:rPr>
          <w:lang w:val="fr-FR"/>
        </w:rPr>
        <w:t xml:space="preserve"> </w:t>
      </w:r>
      <w:proofErr w:type="spellStart"/>
      <w:r w:rsidRPr="00832995">
        <w:rPr>
          <w:lang w:val="fr-FR"/>
        </w:rPr>
        <w:t>Francaise</w:t>
      </w:r>
      <w:proofErr w:type="spellEnd"/>
      <w:r w:rsidRPr="00832995">
        <w:rPr>
          <w:lang w:val="fr-FR"/>
        </w:rPr>
        <w:t xml:space="preserve"> pour de Droit International (SFDI)/Sarah </w:t>
      </w:r>
      <w:proofErr w:type="spellStart"/>
      <w:r w:rsidRPr="00832995">
        <w:rPr>
          <w:lang w:val="fr-FR"/>
        </w:rPr>
        <w:t>Cassella</w:t>
      </w:r>
      <w:proofErr w:type="spellEnd"/>
      <w:r w:rsidRPr="00832995">
        <w:rPr>
          <w:lang w:val="fr-FR"/>
        </w:rPr>
        <w:t xml:space="preserve"> (</w:t>
      </w:r>
      <w:proofErr w:type="spellStart"/>
      <w:r w:rsidRPr="00832995">
        <w:rPr>
          <w:lang w:val="fr-FR"/>
        </w:rPr>
        <w:t>eds</w:t>
      </w:r>
      <w:proofErr w:type="spellEnd"/>
      <w:r w:rsidRPr="00832995">
        <w:rPr>
          <w:lang w:val="fr-FR"/>
        </w:rPr>
        <w:t xml:space="preserve">.), </w:t>
      </w:r>
      <w:r w:rsidRPr="00832995">
        <w:rPr>
          <w:i/>
          <w:iCs/>
          <w:lang w:val="fr-FR"/>
        </w:rPr>
        <w:t xml:space="preserve">Le standard de due diligence et la responsabilité internationale </w:t>
      </w:r>
      <w:r w:rsidRPr="00832995">
        <w:rPr>
          <w:lang w:val="fr-FR"/>
        </w:rPr>
        <w:t xml:space="preserve">(Paris : </w:t>
      </w:r>
      <w:proofErr w:type="spellStart"/>
      <w:r w:rsidRPr="00832995">
        <w:rPr>
          <w:lang w:val="fr-FR"/>
        </w:rPr>
        <w:t>Pedone</w:t>
      </w:r>
      <w:proofErr w:type="spellEnd"/>
      <w:r w:rsidRPr="00832995">
        <w:rPr>
          <w:lang w:val="fr-FR"/>
        </w:rPr>
        <w:t>, 2018).</w:t>
      </w:r>
    </w:p>
    <w:p w14:paraId="4BC423D8" w14:textId="77777777" w:rsidR="005A67A9" w:rsidRPr="00832995" w:rsidRDefault="005A67A9" w:rsidP="0019002B">
      <w:pPr>
        <w:spacing w:after="120" w:line="240" w:lineRule="auto"/>
        <w:ind w:left="1418" w:right="1134" w:hanging="284"/>
        <w:jc w:val="both"/>
        <w:rPr>
          <w:lang w:val="fr-FR"/>
        </w:rPr>
      </w:pPr>
      <w:proofErr w:type="spellStart"/>
      <w:r w:rsidRPr="00832995">
        <w:rPr>
          <w:lang w:val="fr-FR"/>
        </w:rPr>
        <w:t>Zannas</w:t>
      </w:r>
      <w:proofErr w:type="spellEnd"/>
      <w:r w:rsidRPr="00832995">
        <w:rPr>
          <w:lang w:val="fr-FR"/>
        </w:rPr>
        <w:t xml:space="preserve">, Pavlos </w:t>
      </w:r>
      <w:proofErr w:type="spellStart"/>
      <w:r w:rsidRPr="00832995">
        <w:rPr>
          <w:lang w:val="fr-FR"/>
        </w:rPr>
        <w:t>Alexandrou</w:t>
      </w:r>
      <w:proofErr w:type="spellEnd"/>
      <w:r w:rsidRPr="00832995">
        <w:rPr>
          <w:lang w:val="fr-FR"/>
        </w:rPr>
        <w:t xml:space="preserve">, </w:t>
      </w:r>
      <w:r w:rsidRPr="00832995">
        <w:rPr>
          <w:i/>
          <w:iCs/>
          <w:lang w:val="fr-FR"/>
        </w:rPr>
        <w:t>La responsabilité internationale des États pour les actes de négligence</w:t>
      </w:r>
      <w:r w:rsidRPr="00832995">
        <w:rPr>
          <w:lang w:val="fr-FR"/>
        </w:rPr>
        <w:t xml:space="preserve"> (Montreux: </w:t>
      </w:r>
      <w:proofErr w:type="spellStart"/>
      <w:r w:rsidRPr="00832995">
        <w:rPr>
          <w:lang w:val="fr-FR"/>
        </w:rPr>
        <w:t>Ganguin</w:t>
      </w:r>
      <w:proofErr w:type="spellEnd"/>
      <w:r w:rsidRPr="00832995">
        <w:rPr>
          <w:lang w:val="fr-FR"/>
        </w:rPr>
        <w:t>, 1952).</w:t>
      </w:r>
    </w:p>
    <w:p w14:paraId="3E9FF42E" w14:textId="77777777" w:rsidR="005A67A9" w:rsidRPr="005A67A9" w:rsidRDefault="005A67A9" w:rsidP="005A67A9">
      <w:pPr>
        <w:suppressAutoHyphens w:val="0"/>
        <w:kinsoku/>
        <w:overflowPunct/>
        <w:autoSpaceDE/>
        <w:autoSpaceDN/>
        <w:adjustRightInd/>
        <w:snapToGrid/>
        <w:spacing w:before="240" w:after="160" w:line="240" w:lineRule="auto"/>
        <w:ind w:left="1170" w:hanging="360"/>
        <w:jc w:val="both"/>
        <w:rPr>
          <w:lang w:val="en-US"/>
        </w:rPr>
      </w:pPr>
      <w:r w:rsidRPr="005A67A9">
        <w:rPr>
          <w:lang w:val="en-US"/>
        </w:rPr>
        <w:t>b.</w:t>
      </w:r>
      <w:r w:rsidRPr="005A67A9">
        <w:rPr>
          <w:lang w:val="en-US"/>
        </w:rPr>
        <w:tab/>
        <w:t>Articles, chapters and policy papers</w:t>
      </w:r>
    </w:p>
    <w:p w14:paraId="196752F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382B5C">
        <w:rPr>
          <w:rFonts w:asciiTheme="majorBidi" w:hAnsiTheme="majorBidi" w:cstheme="majorBidi"/>
          <w:lang w:val="es-ES"/>
        </w:rPr>
        <w:t>Abramovich</w:t>
      </w:r>
      <w:proofErr w:type="spellEnd"/>
      <w:r w:rsidRPr="00382B5C">
        <w:rPr>
          <w:rFonts w:asciiTheme="majorBidi" w:hAnsiTheme="majorBidi" w:cstheme="majorBidi"/>
          <w:lang w:val="es-ES"/>
        </w:rPr>
        <w:t>, Víctor. "Responsabilidad estatal por violencia de género: comentarios sobre el caso “Campo Algodonero” en la Corte Interamericana de Derechos Humanos." </w:t>
      </w:r>
      <w:proofErr w:type="spellStart"/>
      <w:r w:rsidRPr="008C3992">
        <w:rPr>
          <w:rFonts w:asciiTheme="majorBidi" w:hAnsiTheme="majorBidi" w:cstheme="majorBidi"/>
          <w:i/>
          <w:iCs/>
          <w:lang w:val="en-US"/>
        </w:rPr>
        <w:t>Anuario</w:t>
      </w:r>
      <w:proofErr w:type="spellEnd"/>
      <w:r w:rsidRPr="008C3992">
        <w:rPr>
          <w:rFonts w:asciiTheme="majorBidi" w:hAnsiTheme="majorBidi" w:cstheme="majorBidi"/>
          <w:i/>
          <w:iCs/>
          <w:lang w:val="en-US"/>
        </w:rPr>
        <w:t xml:space="preserve"> de Derechos Humanos</w:t>
      </w:r>
      <w:r w:rsidRPr="008C3992">
        <w:rPr>
          <w:rFonts w:asciiTheme="majorBidi" w:hAnsiTheme="majorBidi" w:cstheme="majorBidi"/>
          <w:lang w:val="en-US"/>
        </w:rPr>
        <w:t> 6.167 (2010): 10-5354.</w:t>
      </w:r>
    </w:p>
    <w:p w14:paraId="2BE6A7CC"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Alfatlawi, Ahmed and Azhar Al-</w:t>
      </w:r>
      <w:proofErr w:type="spellStart"/>
      <w:r w:rsidRPr="008C3992">
        <w:rPr>
          <w:rFonts w:asciiTheme="majorBidi" w:hAnsiTheme="majorBidi" w:cstheme="majorBidi"/>
          <w:lang w:val="en-US"/>
        </w:rPr>
        <w:t>Fatlawi</w:t>
      </w:r>
      <w:proofErr w:type="spellEnd"/>
      <w:r w:rsidRPr="008C3992">
        <w:rPr>
          <w:rFonts w:asciiTheme="majorBidi" w:hAnsiTheme="majorBidi" w:cstheme="majorBidi"/>
          <w:lang w:val="en-US"/>
        </w:rPr>
        <w:t xml:space="preserve">, “Conceptual Framework of Due Diligence and Notification in Light of the Rules of International Responsibility: COVID 19 as a Model”, </w:t>
      </w:r>
      <w:proofErr w:type="spellStart"/>
      <w:r w:rsidRPr="008C3992">
        <w:rPr>
          <w:rFonts w:asciiTheme="majorBidi" w:hAnsiTheme="majorBidi" w:cstheme="majorBidi"/>
          <w:i/>
          <w:iCs/>
          <w:lang w:val="en-US"/>
        </w:rPr>
        <w:t>Alrafidain</w:t>
      </w:r>
      <w:proofErr w:type="spellEnd"/>
      <w:r w:rsidRPr="008C3992">
        <w:rPr>
          <w:rFonts w:asciiTheme="majorBidi" w:hAnsiTheme="majorBidi" w:cstheme="majorBidi"/>
          <w:i/>
          <w:iCs/>
          <w:lang w:val="en-US"/>
        </w:rPr>
        <w:t xml:space="preserve"> of Law</w:t>
      </w:r>
      <w:r w:rsidRPr="008C3992">
        <w:rPr>
          <w:rFonts w:asciiTheme="majorBidi" w:hAnsiTheme="majorBidi" w:cstheme="majorBidi"/>
          <w:lang w:val="en-US"/>
        </w:rPr>
        <w:t>, vol. 22(79) (2024), pp. 72-110.</w:t>
      </w:r>
    </w:p>
    <w:p w14:paraId="4ABFFD53" w14:textId="77777777" w:rsidR="005A67A9" w:rsidRPr="00382B5C" w:rsidRDefault="005A67A9" w:rsidP="0019002B">
      <w:pPr>
        <w:spacing w:after="120" w:line="240" w:lineRule="auto"/>
        <w:ind w:left="1418" w:right="1134" w:hanging="284"/>
        <w:jc w:val="both"/>
        <w:rPr>
          <w:rFonts w:asciiTheme="majorBidi" w:hAnsiTheme="majorBidi" w:cstheme="majorBidi"/>
          <w:lang w:val="fr-FR"/>
        </w:rPr>
      </w:pPr>
      <w:proofErr w:type="spellStart"/>
      <w:r w:rsidRPr="00382B5C">
        <w:rPr>
          <w:rFonts w:asciiTheme="majorBidi" w:hAnsiTheme="majorBidi" w:cstheme="majorBidi"/>
          <w:lang w:val="fr-FR"/>
        </w:rPr>
        <w:t>Bannelier</w:t>
      </w:r>
      <w:proofErr w:type="spellEnd"/>
      <w:r w:rsidRPr="00382B5C">
        <w:rPr>
          <w:rFonts w:asciiTheme="majorBidi" w:hAnsiTheme="majorBidi" w:cstheme="majorBidi"/>
          <w:lang w:val="fr-FR"/>
        </w:rPr>
        <w:t xml:space="preserve">, Karine, “Obligations de diligence dans le cyberespace : qui a peur de la cyber-diligence ?”, </w:t>
      </w:r>
      <w:r w:rsidRPr="00382B5C">
        <w:rPr>
          <w:rFonts w:asciiTheme="majorBidi" w:hAnsiTheme="majorBidi" w:cstheme="majorBidi"/>
          <w:i/>
          <w:iCs/>
          <w:lang w:val="fr-FR"/>
        </w:rPr>
        <w:t>Revue belge de droit international</w:t>
      </w:r>
      <w:r w:rsidRPr="00382B5C">
        <w:rPr>
          <w:rFonts w:asciiTheme="majorBidi" w:hAnsiTheme="majorBidi" w:cstheme="majorBidi"/>
          <w:lang w:val="fr-FR"/>
        </w:rPr>
        <w:t>, vol. 2(2) (2017), pp. 612-665.</w:t>
      </w:r>
    </w:p>
    <w:p w14:paraId="4266262E"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lastRenderedPageBreak/>
        <w:t>Bannelier</w:t>
      </w:r>
      <w:proofErr w:type="spellEnd"/>
      <w:r w:rsidRPr="008C3992">
        <w:rPr>
          <w:rFonts w:asciiTheme="majorBidi" w:hAnsiTheme="majorBidi" w:cstheme="majorBidi"/>
          <w:lang w:val="en-US"/>
        </w:rPr>
        <w:t xml:space="preserve">, Karine, “Due Diligence as a Cardinal Principle in the Fight against Malicious Cyber Activities” in Antonio Segura Serrano (ed.), </w:t>
      </w:r>
      <w:r w:rsidRPr="008C3992">
        <w:rPr>
          <w:rFonts w:asciiTheme="majorBidi" w:hAnsiTheme="majorBidi" w:cstheme="majorBidi"/>
          <w:i/>
          <w:iCs/>
          <w:lang w:val="en-US"/>
        </w:rPr>
        <w:t>Global Cybersecurity and International Law</w:t>
      </w:r>
      <w:r w:rsidRPr="008C3992">
        <w:rPr>
          <w:rFonts w:asciiTheme="majorBidi" w:hAnsiTheme="majorBidi" w:cstheme="majorBidi"/>
          <w:lang w:val="en-US"/>
        </w:rPr>
        <w:t xml:space="preserve"> (London: Routledge, 2024).</w:t>
      </w:r>
    </w:p>
    <w:p w14:paraId="63D3820F" w14:textId="77777777" w:rsidR="005A67A9" w:rsidRPr="00382B5C" w:rsidRDefault="005A67A9" w:rsidP="0019002B">
      <w:pPr>
        <w:spacing w:after="120" w:line="240" w:lineRule="auto"/>
        <w:ind w:left="1418" w:right="1134" w:hanging="284"/>
        <w:jc w:val="both"/>
        <w:rPr>
          <w:rFonts w:asciiTheme="majorBidi" w:hAnsiTheme="majorBidi" w:cstheme="majorBidi"/>
          <w:lang w:val="en-GB"/>
        </w:rPr>
      </w:pPr>
      <w:r w:rsidRPr="00382B5C">
        <w:rPr>
          <w:rFonts w:asciiTheme="majorBidi" w:hAnsiTheme="majorBidi" w:cstheme="majorBidi"/>
          <w:lang w:val="en-GB"/>
        </w:rPr>
        <w:t xml:space="preserve">Barnidge, Robert P. “The Due Diligence Principle Under International Law”, </w:t>
      </w:r>
      <w:r w:rsidRPr="00382B5C">
        <w:rPr>
          <w:rFonts w:asciiTheme="majorBidi" w:hAnsiTheme="majorBidi" w:cstheme="majorBidi"/>
          <w:i/>
          <w:iCs/>
          <w:lang w:val="en-GB"/>
        </w:rPr>
        <w:t>International Community Law Review</w:t>
      </w:r>
      <w:r w:rsidRPr="00382B5C">
        <w:rPr>
          <w:rFonts w:asciiTheme="majorBidi" w:hAnsiTheme="majorBidi" w:cstheme="majorBidi"/>
          <w:lang w:val="en-GB"/>
        </w:rPr>
        <w:t xml:space="preserve">, vol. 8(1) (2016), pp. 81-121. </w:t>
      </w:r>
    </w:p>
    <w:p w14:paraId="44316100" w14:textId="1FC73DEF"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Berkes, Antal, “The Standard of </w:t>
      </w:r>
      <w:r w:rsidR="004C5E26">
        <w:rPr>
          <w:rFonts w:asciiTheme="majorBidi" w:hAnsiTheme="majorBidi" w:cstheme="majorBidi"/>
          <w:lang w:val="en-US"/>
        </w:rPr>
        <w:t>‘</w:t>
      </w:r>
      <w:r w:rsidRPr="008C3992">
        <w:rPr>
          <w:rFonts w:asciiTheme="majorBidi" w:hAnsiTheme="majorBidi" w:cstheme="majorBidi"/>
          <w:lang w:val="en-US"/>
        </w:rPr>
        <w:t>Due Diligence</w:t>
      </w:r>
      <w:r w:rsidR="004C5E26">
        <w:rPr>
          <w:rFonts w:asciiTheme="majorBidi" w:hAnsiTheme="majorBidi" w:cstheme="majorBidi"/>
          <w:lang w:val="en-US"/>
        </w:rPr>
        <w:t>’</w:t>
      </w:r>
      <w:r w:rsidRPr="008C3992">
        <w:rPr>
          <w:rFonts w:asciiTheme="majorBidi" w:hAnsiTheme="majorBidi" w:cstheme="majorBidi"/>
          <w:lang w:val="en-US"/>
        </w:rPr>
        <w:t xml:space="preserve"> as a Result of Interchange between the Law of Armed Conflict and General International Law”, </w:t>
      </w:r>
      <w:r w:rsidRPr="008C3992">
        <w:rPr>
          <w:rFonts w:asciiTheme="majorBidi" w:hAnsiTheme="majorBidi" w:cstheme="majorBidi"/>
          <w:i/>
          <w:iCs/>
          <w:lang w:val="en-US"/>
        </w:rPr>
        <w:t>Journal of Conflict and Security Law</w:t>
      </w:r>
      <w:r w:rsidRPr="008C3992">
        <w:rPr>
          <w:rFonts w:asciiTheme="majorBidi" w:hAnsiTheme="majorBidi" w:cstheme="majorBidi"/>
          <w:lang w:val="en-US"/>
        </w:rPr>
        <w:t>, vol. 23(3) (2018), pp. 433-460.</w:t>
      </w:r>
    </w:p>
    <w:p w14:paraId="356317E4"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Besson, Samantha, “La due Diligence </w:t>
      </w:r>
      <w:proofErr w:type="spellStart"/>
      <w:r w:rsidRPr="008C3992">
        <w:rPr>
          <w:rFonts w:asciiTheme="majorBidi" w:hAnsiTheme="majorBidi" w:cstheme="majorBidi"/>
          <w:lang w:val="en-US"/>
        </w:rPr>
        <w:t>en</w:t>
      </w:r>
      <w:proofErr w:type="spellEnd"/>
      <w:r w:rsidRPr="008C3992">
        <w:rPr>
          <w:rFonts w:asciiTheme="majorBidi" w:hAnsiTheme="majorBidi" w:cstheme="majorBidi"/>
          <w:lang w:val="en-US"/>
        </w:rPr>
        <w:t xml:space="preserve"> droit international”, </w:t>
      </w:r>
      <w:r w:rsidRPr="008C3992">
        <w:rPr>
          <w:rFonts w:asciiTheme="majorBidi" w:hAnsiTheme="majorBidi" w:cstheme="majorBidi"/>
          <w:i/>
          <w:iCs/>
          <w:lang w:val="en-US"/>
        </w:rPr>
        <w:t>Collected Courses of The Hague Academy of International Law</w:t>
      </w:r>
      <w:r w:rsidRPr="008C3992">
        <w:rPr>
          <w:rFonts w:asciiTheme="majorBidi" w:hAnsiTheme="majorBidi" w:cstheme="majorBidi"/>
          <w:lang w:val="en-US"/>
        </w:rPr>
        <w:t>, vol. 46 (2021), pp. 15-355.</w:t>
      </w:r>
    </w:p>
    <w:p w14:paraId="359845F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Bismuth, Regis, “The Emerging Human Rights and Environmental Due Diligence Responsibility of Financial Institutions” in William Blair, Chiara </w:t>
      </w:r>
      <w:proofErr w:type="spellStart"/>
      <w:r w:rsidRPr="008C3992">
        <w:rPr>
          <w:rFonts w:asciiTheme="majorBidi" w:hAnsiTheme="majorBidi" w:cstheme="majorBidi"/>
          <w:lang w:val="en-US"/>
        </w:rPr>
        <w:t>Zilioli</w:t>
      </w:r>
      <w:proofErr w:type="spellEnd"/>
      <w:r w:rsidRPr="008C3992">
        <w:rPr>
          <w:rFonts w:asciiTheme="majorBidi" w:hAnsiTheme="majorBidi" w:cstheme="majorBidi"/>
          <w:lang w:val="en-US"/>
        </w:rPr>
        <w:t xml:space="preserve"> and Christos </w:t>
      </w:r>
      <w:proofErr w:type="spellStart"/>
      <w:r w:rsidRPr="008C3992">
        <w:rPr>
          <w:rFonts w:asciiTheme="majorBidi" w:hAnsiTheme="majorBidi" w:cstheme="majorBidi"/>
          <w:lang w:val="en-US"/>
        </w:rPr>
        <w:t>Gortsos</w:t>
      </w:r>
      <w:proofErr w:type="spellEnd"/>
      <w:r w:rsidRPr="008C3992">
        <w:rPr>
          <w:rFonts w:asciiTheme="majorBidi" w:hAnsiTheme="majorBidi" w:cstheme="majorBidi"/>
          <w:lang w:val="en-US"/>
        </w:rPr>
        <w:t xml:space="preserve"> (eds.), </w:t>
      </w:r>
      <w:r w:rsidRPr="008C3992">
        <w:rPr>
          <w:rFonts w:asciiTheme="majorBidi" w:hAnsiTheme="majorBidi" w:cstheme="majorBidi"/>
          <w:i/>
          <w:iCs/>
          <w:lang w:val="en-US"/>
        </w:rPr>
        <w:t>International Monetary and Banking Law in the post COVID-19 World</w:t>
      </w:r>
      <w:r w:rsidRPr="008C3992">
        <w:rPr>
          <w:rFonts w:asciiTheme="majorBidi" w:hAnsiTheme="majorBidi" w:cstheme="majorBidi"/>
          <w:lang w:val="en-US"/>
        </w:rPr>
        <w:t xml:space="preserve"> (Oxford: Oxford University Press, 2023) pp. 330-351. </w:t>
      </w:r>
    </w:p>
    <w:p w14:paraId="2DC10127" w14:textId="5F417051"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Bonnitcha</w:t>
      </w:r>
      <w:proofErr w:type="spellEnd"/>
      <w:r w:rsidRPr="008C3992">
        <w:rPr>
          <w:rFonts w:asciiTheme="majorBidi" w:hAnsiTheme="majorBidi" w:cstheme="majorBidi"/>
          <w:lang w:val="en-US"/>
        </w:rPr>
        <w:t xml:space="preserve">, Jonathan, and Robert McCorquodale, “The Concept of </w:t>
      </w:r>
      <w:r w:rsidR="004C5E26">
        <w:rPr>
          <w:rFonts w:asciiTheme="majorBidi" w:hAnsiTheme="majorBidi" w:cstheme="majorBidi"/>
          <w:lang w:val="en-US"/>
        </w:rPr>
        <w:t>‘</w:t>
      </w:r>
      <w:r w:rsidRPr="008C3992">
        <w:rPr>
          <w:rFonts w:asciiTheme="majorBidi" w:hAnsiTheme="majorBidi" w:cstheme="majorBidi"/>
          <w:lang w:val="en-US"/>
        </w:rPr>
        <w:t>Due Diligence</w:t>
      </w:r>
      <w:r w:rsidR="004C5E26">
        <w:rPr>
          <w:rFonts w:asciiTheme="majorBidi" w:hAnsiTheme="majorBidi" w:cstheme="majorBidi"/>
          <w:lang w:val="en-US"/>
        </w:rPr>
        <w:t>’</w:t>
      </w:r>
      <w:r w:rsidRPr="008C3992">
        <w:rPr>
          <w:rFonts w:asciiTheme="majorBidi" w:hAnsiTheme="majorBidi" w:cstheme="majorBidi"/>
          <w:lang w:val="en-US"/>
        </w:rPr>
        <w:t xml:space="preserve"> in the UN Guiding Principles on Business and Human Rights”, </w:t>
      </w:r>
      <w:r w:rsidRPr="008C3992">
        <w:rPr>
          <w:rFonts w:asciiTheme="majorBidi" w:hAnsiTheme="majorBidi" w:cstheme="majorBidi"/>
          <w:i/>
          <w:iCs/>
          <w:lang w:val="en-US"/>
        </w:rPr>
        <w:t>The European Journal of International Law</w:t>
      </w:r>
      <w:r w:rsidRPr="008C3992">
        <w:rPr>
          <w:rFonts w:asciiTheme="majorBidi" w:hAnsiTheme="majorBidi" w:cstheme="majorBidi"/>
          <w:lang w:val="en-US"/>
        </w:rPr>
        <w:t>, vol. 28(3) (2017), pp. 899-919.</w:t>
      </w:r>
    </w:p>
    <w:p w14:paraId="605608A3"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Bourke-Martignoni, Joanna, “The History and Development of the Due Diligence Standard in International Law and Its Role in the Protection of Women against Violence” in Carin Benninger-</w:t>
      </w:r>
      <w:proofErr w:type="spellStart"/>
      <w:r w:rsidRPr="008C3992">
        <w:rPr>
          <w:rFonts w:asciiTheme="majorBidi" w:hAnsiTheme="majorBidi" w:cstheme="majorBidi"/>
          <w:lang w:val="en-US"/>
        </w:rPr>
        <w:t>Budel</w:t>
      </w:r>
      <w:proofErr w:type="spellEnd"/>
      <w:r w:rsidRPr="008C3992">
        <w:rPr>
          <w:rFonts w:asciiTheme="majorBidi" w:hAnsiTheme="majorBidi" w:cstheme="majorBidi"/>
          <w:lang w:val="en-US"/>
        </w:rPr>
        <w:t xml:space="preserve"> (ed.), </w:t>
      </w:r>
      <w:r w:rsidRPr="008C3992">
        <w:rPr>
          <w:rFonts w:asciiTheme="majorBidi" w:hAnsiTheme="majorBidi" w:cstheme="majorBidi"/>
          <w:i/>
          <w:lang w:val="en-US"/>
        </w:rPr>
        <w:t>Due Diligence and its Application to Protect Women from Violence</w:t>
      </w:r>
      <w:r w:rsidRPr="008C3992">
        <w:rPr>
          <w:rFonts w:asciiTheme="majorBidi" w:hAnsiTheme="majorBidi" w:cstheme="majorBidi"/>
          <w:lang w:val="en-US"/>
        </w:rPr>
        <w:t xml:space="preserve"> (Leiden/Boston: </w:t>
      </w:r>
      <w:proofErr w:type="spellStart"/>
      <w:r w:rsidRPr="008C3992">
        <w:rPr>
          <w:rFonts w:asciiTheme="majorBidi" w:hAnsiTheme="majorBidi" w:cstheme="majorBidi"/>
          <w:lang w:val="en-US"/>
        </w:rPr>
        <w:t>Brill|Nijhoff</w:t>
      </w:r>
      <w:proofErr w:type="spellEnd"/>
      <w:r w:rsidRPr="008C3992">
        <w:rPr>
          <w:rFonts w:asciiTheme="majorBidi" w:hAnsiTheme="majorBidi" w:cstheme="majorBidi"/>
          <w:lang w:val="en-US"/>
        </w:rPr>
        <w:t>, 2009), pp. 47-60.</w:t>
      </w:r>
    </w:p>
    <w:p w14:paraId="5F963C64"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Burgstaller, Markus, and Giorgio Risso, “Due Diligence in International Investment Law</w:t>
      </w:r>
      <w:r w:rsidRPr="008C3992">
        <w:rPr>
          <w:rFonts w:asciiTheme="majorBidi" w:hAnsiTheme="majorBidi" w:cstheme="majorBidi"/>
          <w:i/>
          <w:iCs/>
          <w:lang w:val="en-US"/>
        </w:rPr>
        <w:t>”, Journal of International Arbitration</w:t>
      </w:r>
      <w:r w:rsidRPr="008C3992">
        <w:rPr>
          <w:rFonts w:asciiTheme="majorBidi" w:hAnsiTheme="majorBidi" w:cstheme="majorBidi"/>
          <w:lang w:val="en-US"/>
        </w:rPr>
        <w:t>, vol. 38(6) (2021), pp. 697-922.</w:t>
      </w:r>
    </w:p>
    <w:p w14:paraId="2197A6BD" w14:textId="0E4871BA"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Campbell, Ellen et al</w:t>
      </w:r>
      <w:r w:rsidRPr="008C3992">
        <w:rPr>
          <w:rFonts w:asciiTheme="majorBidi" w:hAnsiTheme="majorBidi" w:cstheme="majorBidi"/>
          <w:i/>
          <w:iCs/>
          <w:lang w:val="en-US"/>
        </w:rPr>
        <w:t>.</w:t>
      </w:r>
      <w:r w:rsidRPr="008C3992">
        <w:rPr>
          <w:rFonts w:asciiTheme="majorBidi" w:hAnsiTheme="majorBidi" w:cstheme="majorBidi"/>
          <w:lang w:val="en-US"/>
        </w:rPr>
        <w:t xml:space="preserve">, “Due Diligence Obligations of International </w:t>
      </w:r>
      <w:proofErr w:type="spellStart"/>
      <w:r w:rsidRPr="008C3992">
        <w:rPr>
          <w:rFonts w:asciiTheme="majorBidi" w:hAnsiTheme="majorBidi" w:cstheme="majorBidi"/>
          <w:lang w:val="en-US"/>
        </w:rPr>
        <w:t>Organisations</w:t>
      </w:r>
      <w:proofErr w:type="spellEnd"/>
      <w:r w:rsidRPr="008C3992">
        <w:rPr>
          <w:rFonts w:asciiTheme="majorBidi" w:hAnsiTheme="majorBidi" w:cstheme="majorBidi"/>
          <w:lang w:val="en-US"/>
        </w:rPr>
        <w:t xml:space="preserve"> under International Law”, </w:t>
      </w:r>
      <w:r w:rsidRPr="008C3992">
        <w:rPr>
          <w:rFonts w:asciiTheme="majorBidi" w:hAnsiTheme="majorBidi" w:cstheme="majorBidi"/>
          <w:i/>
          <w:iCs/>
          <w:lang w:val="en-US"/>
        </w:rPr>
        <w:t>New York University Journal of International Law and Politics</w:t>
      </w:r>
      <w:r w:rsidRPr="008C3992">
        <w:rPr>
          <w:rFonts w:asciiTheme="majorBidi" w:hAnsiTheme="majorBidi" w:cstheme="majorBidi"/>
          <w:lang w:val="en-US"/>
        </w:rPr>
        <w:t>, vol.</w:t>
      </w:r>
      <w:r w:rsidR="0019002B">
        <w:rPr>
          <w:rFonts w:asciiTheme="majorBidi" w:hAnsiTheme="majorBidi" w:cstheme="majorBidi"/>
          <w:lang w:val="en-US"/>
        </w:rPr>
        <w:t> </w:t>
      </w:r>
      <w:r w:rsidRPr="008C3992">
        <w:rPr>
          <w:rFonts w:asciiTheme="majorBidi" w:hAnsiTheme="majorBidi" w:cstheme="majorBidi"/>
          <w:lang w:val="en-US"/>
        </w:rPr>
        <w:t xml:space="preserve">50(2) (2018), pp. 541-604. </w:t>
      </w:r>
    </w:p>
    <w:p w14:paraId="51E47567"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Chinkin, Christine, “The Duty of Due Diligence”, Ad Hoc Committee on Preventing and Combating Violence Against Women and Domestic Violence (2010). </w:t>
      </w:r>
    </w:p>
    <w:p w14:paraId="4478DAF7" w14:textId="530358CA"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Coco, Antonio and Talita Dias, “Prevent, Respond, Cooperate: States</w:t>
      </w:r>
      <w:r w:rsidR="004C5E26">
        <w:rPr>
          <w:rFonts w:asciiTheme="majorBidi" w:hAnsiTheme="majorBidi" w:cstheme="majorBidi"/>
          <w:lang w:val="en-US"/>
        </w:rPr>
        <w:t>’</w:t>
      </w:r>
      <w:r w:rsidRPr="008C3992">
        <w:rPr>
          <w:rFonts w:asciiTheme="majorBidi" w:hAnsiTheme="majorBidi" w:cstheme="majorBidi"/>
          <w:lang w:val="en-US"/>
        </w:rPr>
        <w:t xml:space="preserve"> Due Diligence Duties vis-à-vis the COVID-19 Pandemic”, </w:t>
      </w:r>
      <w:r w:rsidRPr="008C3992">
        <w:rPr>
          <w:rFonts w:asciiTheme="majorBidi" w:hAnsiTheme="majorBidi" w:cstheme="majorBidi"/>
          <w:i/>
          <w:iCs/>
          <w:lang w:val="en-US"/>
        </w:rPr>
        <w:t>Journal of International Humanitarian Legal Studies</w:t>
      </w:r>
      <w:r w:rsidRPr="008C3992">
        <w:rPr>
          <w:rFonts w:asciiTheme="majorBidi" w:hAnsiTheme="majorBidi" w:cstheme="majorBidi"/>
          <w:lang w:val="en-US"/>
        </w:rPr>
        <w:t>, vol. 11(2) (2020), pp. 218-236.</w:t>
      </w:r>
    </w:p>
    <w:p w14:paraId="6B751ACE" w14:textId="77777777" w:rsidR="005A67A9" w:rsidRPr="00382B5C" w:rsidRDefault="005A67A9" w:rsidP="0019002B">
      <w:pPr>
        <w:spacing w:after="120" w:line="240" w:lineRule="auto"/>
        <w:ind w:left="1418" w:right="1134" w:hanging="284"/>
        <w:jc w:val="both"/>
        <w:rPr>
          <w:rFonts w:asciiTheme="majorBidi" w:hAnsiTheme="majorBidi" w:cstheme="majorBidi"/>
          <w:lang w:val="fr-FR"/>
        </w:rPr>
      </w:pPr>
      <w:proofErr w:type="spellStart"/>
      <w:r w:rsidRPr="00382B5C">
        <w:rPr>
          <w:rFonts w:asciiTheme="majorBidi" w:hAnsiTheme="majorBidi" w:cstheme="majorBidi"/>
          <w:lang w:val="fr-FR"/>
        </w:rPr>
        <w:t>Corten</w:t>
      </w:r>
      <w:proofErr w:type="spellEnd"/>
      <w:r w:rsidRPr="00382B5C">
        <w:rPr>
          <w:rFonts w:asciiTheme="majorBidi" w:hAnsiTheme="majorBidi" w:cstheme="majorBidi"/>
          <w:lang w:val="fr-FR"/>
        </w:rPr>
        <w:t xml:space="preserve">, Olivier, “La “complicité” dans le droit de la responsabilité internationale : un concept inutile ?”, </w:t>
      </w:r>
      <w:r w:rsidRPr="00382B5C">
        <w:rPr>
          <w:rFonts w:asciiTheme="majorBidi" w:hAnsiTheme="majorBidi" w:cstheme="majorBidi"/>
          <w:i/>
          <w:iCs/>
          <w:lang w:val="fr-FR"/>
        </w:rPr>
        <w:t>Annuaire Français de Droit International</w:t>
      </w:r>
      <w:r w:rsidRPr="00382B5C">
        <w:rPr>
          <w:rFonts w:asciiTheme="majorBidi" w:hAnsiTheme="majorBidi" w:cstheme="majorBidi"/>
          <w:lang w:val="fr-FR"/>
        </w:rPr>
        <w:t>, vol. 57 (2011), pp. 57-84.</w:t>
      </w:r>
    </w:p>
    <w:p w14:paraId="06925251"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Davitti</w:t>
      </w:r>
      <w:proofErr w:type="spellEnd"/>
      <w:r w:rsidRPr="008C3992">
        <w:rPr>
          <w:rFonts w:asciiTheme="majorBidi" w:hAnsiTheme="majorBidi" w:cstheme="majorBidi"/>
          <w:lang w:val="en-US"/>
        </w:rPr>
        <w:t xml:space="preserve">, Daria, “On the Meanings of International Investment Law and International Human Rights Law: The Alternative Narrative of Due Diligence”, </w:t>
      </w:r>
      <w:r w:rsidRPr="008C3992">
        <w:rPr>
          <w:rFonts w:asciiTheme="majorBidi" w:hAnsiTheme="majorBidi" w:cstheme="majorBidi"/>
          <w:i/>
          <w:iCs/>
          <w:lang w:val="en-US"/>
        </w:rPr>
        <w:t>Human Rights Law Review</w:t>
      </w:r>
      <w:r w:rsidRPr="008C3992">
        <w:rPr>
          <w:rFonts w:asciiTheme="majorBidi" w:hAnsiTheme="majorBidi" w:cstheme="majorBidi"/>
          <w:lang w:val="en-US"/>
        </w:rPr>
        <w:t>, vol. 12(2) (2012), pp. 421-453.</w:t>
      </w:r>
    </w:p>
    <w:p w14:paraId="366C9C1B" w14:textId="2D0BC1BA"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De </w:t>
      </w:r>
      <w:proofErr w:type="spellStart"/>
      <w:r w:rsidRPr="008C3992">
        <w:rPr>
          <w:rFonts w:asciiTheme="majorBidi" w:hAnsiTheme="majorBidi" w:cstheme="majorBidi"/>
          <w:lang w:val="en-US"/>
        </w:rPr>
        <w:t>Brabandere</w:t>
      </w:r>
      <w:proofErr w:type="spellEnd"/>
      <w:r w:rsidRPr="008C3992">
        <w:rPr>
          <w:rFonts w:asciiTheme="majorBidi" w:hAnsiTheme="majorBidi" w:cstheme="majorBidi"/>
          <w:lang w:val="en-US"/>
        </w:rPr>
        <w:t>, Eric, “Host States</w:t>
      </w:r>
      <w:r w:rsidR="004C5E26">
        <w:rPr>
          <w:rFonts w:asciiTheme="majorBidi" w:hAnsiTheme="majorBidi" w:cstheme="majorBidi"/>
          <w:lang w:val="en-US"/>
        </w:rPr>
        <w:t>’</w:t>
      </w:r>
      <w:r w:rsidRPr="008C3992">
        <w:rPr>
          <w:rFonts w:asciiTheme="majorBidi" w:hAnsiTheme="majorBidi" w:cstheme="majorBidi"/>
          <w:lang w:val="en-US"/>
        </w:rPr>
        <w:t xml:space="preserve"> Due Diligence Obligations in International Investment Law”, </w:t>
      </w:r>
      <w:r w:rsidRPr="008C3992">
        <w:rPr>
          <w:rFonts w:asciiTheme="majorBidi" w:hAnsiTheme="majorBidi" w:cstheme="majorBidi"/>
          <w:i/>
          <w:iCs/>
          <w:lang w:val="en-US"/>
        </w:rPr>
        <w:t>Syracuse Journal of International Law and Commerce</w:t>
      </w:r>
      <w:r w:rsidRPr="008C3992">
        <w:rPr>
          <w:rFonts w:asciiTheme="majorBidi" w:hAnsiTheme="majorBidi" w:cstheme="majorBidi"/>
          <w:lang w:val="en-US"/>
        </w:rPr>
        <w:t xml:space="preserve">, vol. 42(2) (2015), pp. 320-361. </w:t>
      </w:r>
    </w:p>
    <w:p w14:paraId="7FAD97DD"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De Schutter, Olivier and Anita </w:t>
      </w:r>
      <w:proofErr w:type="spellStart"/>
      <w:r w:rsidRPr="008C3992">
        <w:rPr>
          <w:rFonts w:asciiTheme="majorBidi" w:hAnsiTheme="majorBidi" w:cstheme="majorBidi"/>
          <w:lang w:val="en-US"/>
        </w:rPr>
        <w:t>Ramasastry</w:t>
      </w:r>
      <w:proofErr w:type="spellEnd"/>
      <w:r w:rsidRPr="008C3992">
        <w:rPr>
          <w:rFonts w:asciiTheme="majorBidi" w:hAnsiTheme="majorBidi" w:cstheme="majorBidi"/>
          <w:lang w:val="en-US"/>
        </w:rPr>
        <w:t xml:space="preserve">, Mark B. Taylor, Robert C. Thompson, “Human Rights Due Diligence: The Role of States”, </w:t>
      </w:r>
      <w:r w:rsidRPr="008C3992">
        <w:rPr>
          <w:rFonts w:asciiTheme="majorBidi" w:hAnsiTheme="majorBidi" w:cstheme="majorBidi"/>
          <w:i/>
          <w:iCs/>
          <w:lang w:val="en-US"/>
        </w:rPr>
        <w:t xml:space="preserve">Business &amp; Human Rights Resource Centre </w:t>
      </w:r>
      <w:r w:rsidRPr="008C3992">
        <w:rPr>
          <w:rFonts w:asciiTheme="majorBidi" w:hAnsiTheme="majorBidi" w:cstheme="majorBidi"/>
          <w:lang w:val="en-US"/>
        </w:rPr>
        <w:t xml:space="preserve">(2012). </w:t>
      </w:r>
    </w:p>
    <w:p w14:paraId="41A7F43E" w14:textId="0CAE277F" w:rsidR="005A67A9" w:rsidRPr="00382B5C" w:rsidRDefault="005A67A9" w:rsidP="0019002B">
      <w:pPr>
        <w:spacing w:after="120" w:line="240" w:lineRule="auto"/>
        <w:ind w:left="1418" w:right="1134" w:hanging="284"/>
        <w:jc w:val="both"/>
        <w:rPr>
          <w:rFonts w:asciiTheme="majorBidi" w:hAnsiTheme="majorBidi" w:cstheme="majorBidi"/>
          <w:lang w:val="fr-FR"/>
        </w:rPr>
      </w:pPr>
      <w:proofErr w:type="spellStart"/>
      <w:r w:rsidRPr="00382B5C">
        <w:rPr>
          <w:rFonts w:asciiTheme="majorBidi" w:hAnsiTheme="majorBidi" w:cstheme="majorBidi"/>
          <w:lang w:val="fr-FR"/>
        </w:rPr>
        <w:t>Distefano</w:t>
      </w:r>
      <w:proofErr w:type="spellEnd"/>
      <w:r w:rsidRPr="00382B5C">
        <w:rPr>
          <w:rFonts w:asciiTheme="majorBidi" w:hAnsiTheme="majorBidi" w:cstheme="majorBidi"/>
          <w:lang w:val="fr-FR"/>
        </w:rPr>
        <w:t xml:space="preserve">, Giovanni, and Aymeric </w:t>
      </w:r>
      <w:proofErr w:type="spellStart"/>
      <w:r w:rsidRPr="00382B5C">
        <w:rPr>
          <w:rFonts w:asciiTheme="majorBidi" w:hAnsiTheme="majorBidi" w:cstheme="majorBidi"/>
          <w:lang w:val="fr-FR"/>
        </w:rPr>
        <w:t>Hêche</w:t>
      </w:r>
      <w:proofErr w:type="spellEnd"/>
      <w:r w:rsidRPr="00382B5C">
        <w:rPr>
          <w:rFonts w:asciiTheme="majorBidi" w:hAnsiTheme="majorBidi" w:cstheme="majorBidi"/>
          <w:lang w:val="fr-FR"/>
        </w:rPr>
        <w:t>, “L</w:t>
      </w:r>
      <w:r w:rsidR="004C5E26">
        <w:rPr>
          <w:rFonts w:asciiTheme="majorBidi" w:hAnsiTheme="majorBidi" w:cstheme="majorBidi"/>
          <w:lang w:val="fr-FR"/>
        </w:rPr>
        <w:t>’</w:t>
      </w:r>
      <w:r w:rsidRPr="00382B5C">
        <w:rPr>
          <w:rFonts w:asciiTheme="majorBidi" w:hAnsiTheme="majorBidi" w:cstheme="majorBidi"/>
          <w:lang w:val="fr-FR"/>
        </w:rPr>
        <w:t xml:space="preserve">Organe De Facto Dans La Responsabilité Internationale : Curia, Quo </w:t>
      </w:r>
      <w:proofErr w:type="spellStart"/>
      <w:r w:rsidRPr="00382B5C">
        <w:rPr>
          <w:rFonts w:asciiTheme="majorBidi" w:hAnsiTheme="majorBidi" w:cstheme="majorBidi"/>
          <w:lang w:val="fr-FR"/>
        </w:rPr>
        <w:t>Vadis</w:t>
      </w:r>
      <w:proofErr w:type="spellEnd"/>
      <w:r w:rsidRPr="00382B5C">
        <w:rPr>
          <w:rFonts w:asciiTheme="majorBidi" w:hAnsiTheme="majorBidi" w:cstheme="majorBidi"/>
          <w:lang w:val="fr-FR"/>
        </w:rPr>
        <w:t xml:space="preserve">?”, </w:t>
      </w:r>
      <w:r w:rsidRPr="00382B5C">
        <w:rPr>
          <w:rFonts w:asciiTheme="majorBidi" w:hAnsiTheme="majorBidi" w:cstheme="majorBidi"/>
          <w:i/>
          <w:iCs/>
          <w:lang w:val="fr-FR"/>
        </w:rPr>
        <w:t>Annuaire français de droit international</w:t>
      </w:r>
      <w:r w:rsidRPr="00382B5C">
        <w:rPr>
          <w:rFonts w:asciiTheme="majorBidi" w:hAnsiTheme="majorBidi" w:cstheme="majorBidi"/>
          <w:lang w:val="fr-FR"/>
        </w:rPr>
        <w:t xml:space="preserve">, LXI (2015), pp. 3-33. </w:t>
      </w:r>
    </w:p>
    <w:p w14:paraId="6351CB35"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Dupuy, Pierre-Marie, “Dionisio Anzilotti and the Law of International Responsibility of States”, </w:t>
      </w:r>
      <w:r w:rsidRPr="008C3992">
        <w:rPr>
          <w:rFonts w:asciiTheme="majorBidi" w:hAnsiTheme="majorBidi" w:cstheme="majorBidi"/>
          <w:i/>
          <w:iCs/>
          <w:lang w:val="en-US"/>
        </w:rPr>
        <w:t>European Journal of International Law</w:t>
      </w:r>
      <w:r w:rsidRPr="008C3992">
        <w:rPr>
          <w:rFonts w:asciiTheme="majorBidi" w:hAnsiTheme="majorBidi" w:cstheme="majorBidi"/>
          <w:lang w:val="en-US"/>
        </w:rPr>
        <w:t>, vol. 3(1) (1992), pp. 139-148.</w:t>
      </w:r>
    </w:p>
    <w:p w14:paraId="53EDA48B" w14:textId="77777777" w:rsidR="005A67A9" w:rsidRPr="00382B5C" w:rsidRDefault="005A67A9" w:rsidP="0019002B">
      <w:pPr>
        <w:spacing w:after="120" w:line="240" w:lineRule="auto"/>
        <w:ind w:left="1418" w:right="1134" w:hanging="284"/>
        <w:jc w:val="both"/>
        <w:rPr>
          <w:rFonts w:asciiTheme="majorBidi" w:hAnsiTheme="majorBidi" w:cstheme="majorBidi"/>
          <w:lang w:val="es-ES"/>
        </w:rPr>
      </w:pPr>
      <w:r w:rsidRPr="00382B5C">
        <w:rPr>
          <w:rFonts w:asciiTheme="majorBidi" w:hAnsiTheme="majorBidi" w:cstheme="majorBidi"/>
          <w:lang w:val="es-ES"/>
        </w:rPr>
        <w:t>Elorrio, Magdalena García. "Algunas consideraciones sobre las discordancias en torno a la noción de diligencia debida en el proyecto de la CDI sobre responsabilidad por hecho ilícito de los Estados." </w:t>
      </w:r>
      <w:r w:rsidRPr="00382B5C">
        <w:rPr>
          <w:rFonts w:asciiTheme="majorBidi" w:hAnsiTheme="majorBidi" w:cstheme="majorBidi"/>
          <w:i/>
          <w:iCs/>
          <w:lang w:val="es-ES"/>
        </w:rPr>
        <w:t>Revista de la Facultad de Derecho</w:t>
      </w:r>
      <w:r w:rsidRPr="00382B5C">
        <w:rPr>
          <w:rFonts w:asciiTheme="majorBidi" w:hAnsiTheme="majorBidi" w:cstheme="majorBidi"/>
          <w:lang w:val="es-ES"/>
        </w:rPr>
        <w:t> 2.1 (2011).</w:t>
      </w:r>
    </w:p>
    <w:p w14:paraId="5ECE3EBD"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382B5C">
        <w:rPr>
          <w:rFonts w:asciiTheme="majorBidi" w:hAnsiTheme="majorBidi" w:cstheme="majorBidi"/>
          <w:lang w:val="es-ES"/>
        </w:rPr>
        <w:t xml:space="preserve">Espada, Cesáreo Gutiérrez, </w:t>
      </w:r>
      <w:bookmarkStart w:id="305" w:name="_Hlk169768712"/>
      <w:r w:rsidRPr="00382B5C">
        <w:rPr>
          <w:rFonts w:asciiTheme="majorBidi" w:hAnsiTheme="majorBidi" w:cstheme="majorBidi"/>
          <w:lang w:val="es-ES"/>
        </w:rPr>
        <w:t>"</w:t>
      </w:r>
      <w:bookmarkEnd w:id="305"/>
      <w:r w:rsidRPr="00382B5C">
        <w:rPr>
          <w:rFonts w:asciiTheme="majorBidi" w:hAnsiTheme="majorBidi" w:cstheme="majorBidi"/>
          <w:lang w:val="es-ES"/>
        </w:rPr>
        <w:t>La noción de debida diligencia en Derecho internacional público.</w:t>
      </w:r>
      <w:bookmarkStart w:id="306" w:name="_Hlk169768727"/>
      <w:r w:rsidRPr="00382B5C">
        <w:rPr>
          <w:rFonts w:asciiTheme="majorBidi" w:hAnsiTheme="majorBidi" w:cstheme="majorBidi"/>
          <w:lang w:val="es-ES"/>
        </w:rPr>
        <w:t>"</w:t>
      </w:r>
      <w:bookmarkEnd w:id="306"/>
      <w:r w:rsidRPr="00382B5C">
        <w:rPr>
          <w:rFonts w:asciiTheme="majorBidi" w:hAnsiTheme="majorBidi" w:cstheme="majorBidi"/>
          <w:lang w:val="es-ES"/>
        </w:rPr>
        <w:t> </w:t>
      </w:r>
      <w:proofErr w:type="spellStart"/>
      <w:r w:rsidRPr="008C3992">
        <w:rPr>
          <w:rFonts w:asciiTheme="majorBidi" w:hAnsiTheme="majorBidi" w:cstheme="majorBidi"/>
          <w:i/>
          <w:iCs/>
          <w:lang w:val="en-US"/>
        </w:rPr>
        <w:t>Revista</w:t>
      </w:r>
      <w:proofErr w:type="spellEnd"/>
      <w:r w:rsidRPr="008C3992">
        <w:rPr>
          <w:rFonts w:asciiTheme="majorBidi" w:hAnsiTheme="majorBidi" w:cstheme="majorBidi"/>
          <w:i/>
          <w:iCs/>
          <w:lang w:val="en-US"/>
        </w:rPr>
        <w:t xml:space="preserve"> </w:t>
      </w:r>
      <w:proofErr w:type="spellStart"/>
      <w:r w:rsidRPr="008C3992">
        <w:rPr>
          <w:rFonts w:asciiTheme="majorBidi" w:hAnsiTheme="majorBidi" w:cstheme="majorBidi"/>
          <w:i/>
          <w:iCs/>
          <w:lang w:val="en-US"/>
        </w:rPr>
        <w:t>española</w:t>
      </w:r>
      <w:proofErr w:type="spellEnd"/>
      <w:r w:rsidRPr="008C3992">
        <w:rPr>
          <w:rFonts w:asciiTheme="majorBidi" w:hAnsiTheme="majorBidi" w:cstheme="majorBidi"/>
          <w:i/>
          <w:iCs/>
          <w:lang w:val="en-US"/>
        </w:rPr>
        <w:t xml:space="preserve"> de derecho </w:t>
      </w:r>
      <w:proofErr w:type="spellStart"/>
      <w:r w:rsidRPr="008C3992">
        <w:rPr>
          <w:rFonts w:asciiTheme="majorBidi" w:hAnsiTheme="majorBidi" w:cstheme="majorBidi"/>
          <w:i/>
          <w:iCs/>
          <w:lang w:val="en-US"/>
        </w:rPr>
        <w:t>internacional</w:t>
      </w:r>
      <w:proofErr w:type="spellEnd"/>
      <w:r w:rsidRPr="008C3992">
        <w:rPr>
          <w:rFonts w:asciiTheme="majorBidi" w:hAnsiTheme="majorBidi" w:cstheme="majorBidi"/>
          <w:lang w:val="en-US"/>
        </w:rPr>
        <w:t> vol. 59(2) (2007), pp. 904-905.</w:t>
      </w:r>
    </w:p>
    <w:p w14:paraId="2949B520" w14:textId="4B10A23C"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lastRenderedPageBreak/>
        <w:t xml:space="preserve">Fife, Rolf Einar, "Obligations of </w:t>
      </w:r>
      <w:r w:rsidR="004C5E26">
        <w:rPr>
          <w:rFonts w:asciiTheme="majorBidi" w:hAnsiTheme="majorBidi" w:cstheme="majorBidi"/>
          <w:lang w:val="en-US"/>
        </w:rPr>
        <w:t>‘</w:t>
      </w:r>
      <w:r w:rsidRPr="008C3992">
        <w:rPr>
          <w:rFonts w:asciiTheme="majorBidi" w:hAnsiTheme="majorBidi" w:cstheme="majorBidi"/>
          <w:lang w:val="en-US"/>
        </w:rPr>
        <w:t>Due Regard</w:t>
      </w:r>
      <w:r w:rsidR="004C5E26">
        <w:rPr>
          <w:rFonts w:asciiTheme="majorBidi" w:hAnsiTheme="majorBidi" w:cstheme="majorBidi"/>
          <w:lang w:val="en-US"/>
        </w:rPr>
        <w:t>’</w:t>
      </w:r>
      <w:r w:rsidRPr="008C3992">
        <w:rPr>
          <w:rFonts w:asciiTheme="majorBidi" w:hAnsiTheme="majorBidi" w:cstheme="majorBidi"/>
          <w:lang w:val="en-US"/>
        </w:rPr>
        <w:t xml:space="preserve"> in the Exclusive Economic Zone: Their Context, Purpose and State Practice." </w:t>
      </w:r>
      <w:r w:rsidRPr="008C3992">
        <w:rPr>
          <w:rFonts w:asciiTheme="majorBidi" w:hAnsiTheme="majorBidi" w:cstheme="majorBidi"/>
          <w:i/>
          <w:iCs/>
          <w:lang w:val="en-US"/>
        </w:rPr>
        <w:t>The International Journal of Marine and Coastal Law</w:t>
      </w:r>
      <w:r w:rsidRPr="008C3992">
        <w:rPr>
          <w:rFonts w:asciiTheme="majorBidi" w:hAnsiTheme="majorBidi" w:cstheme="majorBidi"/>
          <w:lang w:val="en-US"/>
        </w:rPr>
        <w:t> vol. 34(1) (2019), pp. 43-55. </w:t>
      </w:r>
    </w:p>
    <w:p w14:paraId="0BB645A6" w14:textId="46A27035"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Forteau, Mathias, “The Legal Nature and Content of </w:t>
      </w:r>
      <w:r w:rsidR="004C5E26">
        <w:rPr>
          <w:rFonts w:asciiTheme="majorBidi" w:hAnsiTheme="majorBidi" w:cstheme="majorBidi"/>
          <w:lang w:val="en-US"/>
        </w:rPr>
        <w:t>‘</w:t>
      </w:r>
      <w:r w:rsidRPr="008C3992">
        <w:rPr>
          <w:rFonts w:asciiTheme="majorBidi" w:hAnsiTheme="majorBidi" w:cstheme="majorBidi"/>
          <w:lang w:val="en-US"/>
        </w:rPr>
        <w:t>Due Regard</w:t>
      </w:r>
      <w:r w:rsidR="004C5E26">
        <w:rPr>
          <w:rFonts w:asciiTheme="majorBidi" w:hAnsiTheme="majorBidi" w:cstheme="majorBidi"/>
          <w:lang w:val="en-US"/>
        </w:rPr>
        <w:t>’</w:t>
      </w:r>
      <w:r w:rsidRPr="008C3992">
        <w:rPr>
          <w:rFonts w:asciiTheme="majorBidi" w:hAnsiTheme="majorBidi" w:cstheme="majorBidi"/>
          <w:lang w:val="en-US"/>
        </w:rPr>
        <w:t xml:space="preserve"> Obligations in Recent International Case Law”, </w:t>
      </w:r>
      <w:r w:rsidRPr="008C3992">
        <w:rPr>
          <w:rFonts w:asciiTheme="majorBidi" w:hAnsiTheme="majorBidi" w:cstheme="majorBidi"/>
          <w:i/>
          <w:iCs/>
          <w:lang w:val="en-US"/>
        </w:rPr>
        <w:t>The International Journal of Marine and Coastal Law</w:t>
      </w:r>
      <w:r w:rsidRPr="008C3992">
        <w:rPr>
          <w:rFonts w:asciiTheme="majorBidi" w:hAnsiTheme="majorBidi" w:cstheme="majorBidi"/>
          <w:lang w:val="en-US"/>
        </w:rPr>
        <w:t>, vol. 34(1) (2019), pp. 25-42.</w:t>
      </w:r>
    </w:p>
    <w:p w14:paraId="6A9AAD8B"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Frey, Barbara, “Due Diligence to Prevent Foreseeable Harm: The International Human Rights Agenda on Civilian Gun Violence”, </w:t>
      </w:r>
      <w:r w:rsidRPr="008C3992">
        <w:rPr>
          <w:rFonts w:asciiTheme="majorBidi" w:hAnsiTheme="majorBidi" w:cstheme="majorBidi"/>
          <w:i/>
          <w:iCs/>
          <w:lang w:val="en-US"/>
        </w:rPr>
        <w:t>Washington University Journal of Law &amp; Policy</w:t>
      </w:r>
      <w:r w:rsidRPr="008C3992">
        <w:rPr>
          <w:rFonts w:asciiTheme="majorBidi" w:hAnsiTheme="majorBidi" w:cstheme="majorBidi"/>
          <w:lang w:val="en-US"/>
        </w:rPr>
        <w:t>, vol. 60(1) (2019), pp. 91-110.</w:t>
      </w:r>
    </w:p>
    <w:p w14:paraId="4B00AF32" w14:textId="77777777" w:rsidR="005A67A9" w:rsidRPr="00382B5C" w:rsidRDefault="005A67A9" w:rsidP="0019002B">
      <w:pPr>
        <w:spacing w:after="120" w:line="240" w:lineRule="auto"/>
        <w:ind w:left="1418" w:right="1134" w:hanging="284"/>
        <w:jc w:val="both"/>
        <w:rPr>
          <w:rFonts w:asciiTheme="majorBidi" w:hAnsiTheme="majorBidi" w:cstheme="majorBidi"/>
          <w:lang w:val="fr-FR"/>
        </w:rPr>
      </w:pPr>
      <w:proofErr w:type="spellStart"/>
      <w:r w:rsidRPr="00382B5C">
        <w:rPr>
          <w:rFonts w:asciiTheme="majorBidi" w:hAnsiTheme="majorBidi" w:cstheme="majorBidi"/>
          <w:lang w:val="fr-FR"/>
        </w:rPr>
        <w:t>Gandur</w:t>
      </w:r>
      <w:proofErr w:type="spellEnd"/>
      <w:r w:rsidRPr="00382B5C">
        <w:rPr>
          <w:rFonts w:asciiTheme="majorBidi" w:hAnsiTheme="majorBidi" w:cstheme="majorBidi"/>
          <w:lang w:val="fr-FR"/>
        </w:rPr>
        <w:t xml:space="preserve">, Jean-Claude, “Due diligence: Les derniers maillons de la chaîne”, </w:t>
      </w:r>
      <w:r w:rsidRPr="00382B5C">
        <w:rPr>
          <w:rFonts w:asciiTheme="majorBidi" w:hAnsiTheme="majorBidi" w:cstheme="majorBidi"/>
          <w:i/>
          <w:iCs/>
          <w:lang w:val="fr-FR"/>
        </w:rPr>
        <w:t>Revue de droit uniforme</w:t>
      </w:r>
      <w:r w:rsidRPr="00382B5C">
        <w:rPr>
          <w:rFonts w:asciiTheme="majorBidi" w:hAnsiTheme="majorBidi" w:cstheme="majorBidi"/>
          <w:lang w:val="fr-FR"/>
        </w:rPr>
        <w:t>, vol. 20(4) (2015), pp. 651-655.</w:t>
      </w:r>
    </w:p>
    <w:p w14:paraId="744DFB1C" w14:textId="77777777" w:rsidR="005A67A9" w:rsidRPr="00382B5C" w:rsidRDefault="005A67A9" w:rsidP="0019002B">
      <w:pPr>
        <w:spacing w:after="120" w:line="240" w:lineRule="auto"/>
        <w:ind w:left="1418" w:right="1134" w:hanging="284"/>
        <w:jc w:val="both"/>
        <w:rPr>
          <w:rFonts w:asciiTheme="majorBidi" w:hAnsiTheme="majorBidi" w:cstheme="majorBidi"/>
          <w:lang w:val="es-ES"/>
        </w:rPr>
      </w:pPr>
      <w:r w:rsidRPr="00382B5C">
        <w:rPr>
          <w:rFonts w:asciiTheme="majorBidi" w:hAnsiTheme="majorBidi" w:cstheme="majorBidi"/>
          <w:lang w:val="es-ES"/>
        </w:rPr>
        <w:t>García, Gabriel Fernández, "Principio de debida diligencia y violencia de género en la casuística del Tribunal Europeo de Derechos Humanos”, in </w:t>
      </w:r>
      <w:r w:rsidRPr="00382B5C">
        <w:rPr>
          <w:rFonts w:asciiTheme="majorBidi" w:hAnsiTheme="majorBidi" w:cstheme="majorBidi"/>
          <w:i/>
          <w:iCs/>
          <w:lang w:val="es-ES"/>
        </w:rPr>
        <w:t>Mujer y derecho</w:t>
      </w:r>
      <w:r w:rsidRPr="00382B5C">
        <w:rPr>
          <w:rFonts w:asciiTheme="majorBidi" w:hAnsiTheme="majorBidi" w:cstheme="majorBidi"/>
          <w:lang w:val="es-ES"/>
        </w:rPr>
        <w:t>, (Astigi, 2020), pp. 89-103.</w:t>
      </w:r>
    </w:p>
    <w:p w14:paraId="6EA75B3A"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Hessbruegge</w:t>
      </w:r>
      <w:proofErr w:type="spellEnd"/>
      <w:r w:rsidRPr="008C3992">
        <w:rPr>
          <w:rFonts w:asciiTheme="majorBidi" w:hAnsiTheme="majorBidi" w:cstheme="majorBidi"/>
          <w:lang w:val="en-US"/>
        </w:rPr>
        <w:t xml:space="preserve">, Jan Arno, “The Historical Development of the Doctrines of Attribution and Due Diligence in International Law”, </w:t>
      </w:r>
      <w:r w:rsidRPr="008C3992">
        <w:rPr>
          <w:rFonts w:asciiTheme="majorBidi" w:hAnsiTheme="majorBidi" w:cstheme="majorBidi"/>
          <w:i/>
          <w:iCs/>
          <w:lang w:val="en-US"/>
        </w:rPr>
        <w:t>New York University Journal of International Law and Politics</w:t>
      </w:r>
      <w:r w:rsidRPr="008C3992">
        <w:rPr>
          <w:rFonts w:asciiTheme="majorBidi" w:hAnsiTheme="majorBidi" w:cstheme="majorBidi"/>
          <w:lang w:val="en-US"/>
        </w:rPr>
        <w:t>, vol. 36(4) (2004), pp. 265-306.</w:t>
      </w:r>
    </w:p>
    <w:p w14:paraId="2563BC3A"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International Law Association, “Berlin Conference Accountability of International </w:t>
      </w:r>
      <w:proofErr w:type="spellStart"/>
      <w:r w:rsidRPr="008C3992">
        <w:rPr>
          <w:rFonts w:asciiTheme="majorBidi" w:hAnsiTheme="majorBidi" w:cstheme="majorBidi"/>
          <w:lang w:val="en-US"/>
        </w:rPr>
        <w:t>Organisations</w:t>
      </w:r>
      <w:proofErr w:type="spellEnd"/>
      <w:r w:rsidRPr="008C3992">
        <w:rPr>
          <w:rFonts w:asciiTheme="majorBidi" w:hAnsiTheme="majorBidi" w:cstheme="majorBidi"/>
          <w:lang w:val="en-US"/>
        </w:rPr>
        <w:t xml:space="preserve">”, </w:t>
      </w:r>
      <w:r w:rsidRPr="008C3992">
        <w:rPr>
          <w:rFonts w:asciiTheme="majorBidi" w:hAnsiTheme="majorBidi" w:cstheme="majorBidi"/>
          <w:i/>
          <w:iCs/>
          <w:lang w:val="en-US"/>
        </w:rPr>
        <w:t>International Organizations Law Review</w:t>
      </w:r>
      <w:r w:rsidRPr="008C3992">
        <w:rPr>
          <w:rFonts w:asciiTheme="majorBidi" w:hAnsiTheme="majorBidi" w:cstheme="majorBidi"/>
          <w:lang w:val="en-US"/>
        </w:rPr>
        <w:t>, vol. 1(1) (2004), pp. 221-293.</w:t>
      </w:r>
    </w:p>
    <w:p w14:paraId="7E38D62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bookmarkStart w:id="307" w:name="_Hlk139609877"/>
      <w:r w:rsidRPr="008C3992">
        <w:rPr>
          <w:rFonts w:asciiTheme="majorBidi" w:hAnsiTheme="majorBidi" w:cstheme="majorBidi"/>
          <w:lang w:val="en-US"/>
        </w:rPr>
        <w:t>Katya,</w:t>
      </w:r>
      <w:bookmarkEnd w:id="307"/>
      <w:r w:rsidRPr="008C3992">
        <w:rPr>
          <w:rFonts w:asciiTheme="majorBidi" w:hAnsiTheme="majorBidi" w:cstheme="majorBidi"/>
          <w:lang w:val="en-US"/>
        </w:rPr>
        <w:t xml:space="preserve"> Samuel, “The Legal Character of Due Diligence: Standards, Obligations or Both?”,</w:t>
      </w:r>
      <w:r w:rsidRPr="008C3992">
        <w:rPr>
          <w:rFonts w:asciiTheme="majorBidi" w:hAnsiTheme="majorBidi" w:cstheme="majorBidi"/>
          <w:i/>
          <w:iCs/>
          <w:lang w:val="en-US"/>
        </w:rPr>
        <w:t xml:space="preserve"> Central Asian Yearbook of International Law and International Relations</w:t>
      </w:r>
      <w:r w:rsidRPr="008C3992">
        <w:rPr>
          <w:rFonts w:asciiTheme="majorBidi" w:hAnsiTheme="majorBidi" w:cstheme="majorBidi"/>
          <w:lang w:val="en-US"/>
        </w:rPr>
        <w:t>, vol. 1 (2022), pp. 33-70.</w:t>
      </w:r>
    </w:p>
    <w:p w14:paraId="657CBB9C" w14:textId="7AA691A1" w:rsidR="005A67A9" w:rsidRPr="00382B5C" w:rsidRDefault="005A67A9" w:rsidP="0019002B">
      <w:pPr>
        <w:spacing w:after="120" w:line="240" w:lineRule="auto"/>
        <w:ind w:left="1418" w:right="1134" w:hanging="284"/>
        <w:jc w:val="both"/>
        <w:rPr>
          <w:rFonts w:asciiTheme="majorBidi" w:hAnsiTheme="majorBidi" w:cstheme="majorBidi"/>
          <w:lang w:val="en-US"/>
        </w:rPr>
      </w:pPr>
      <w:r w:rsidRPr="00382B5C">
        <w:rPr>
          <w:rFonts w:asciiTheme="majorBidi" w:hAnsiTheme="majorBidi" w:cstheme="majorBidi"/>
          <w:lang w:val="en-US"/>
        </w:rPr>
        <w:t>Kim, Hyun Jung, “Flag States</w:t>
      </w:r>
      <w:r w:rsidR="004C5E26">
        <w:rPr>
          <w:rFonts w:asciiTheme="majorBidi" w:hAnsiTheme="majorBidi" w:cstheme="majorBidi"/>
          <w:lang w:val="en-US"/>
        </w:rPr>
        <w:t>’</w:t>
      </w:r>
      <w:r w:rsidRPr="00382B5C">
        <w:rPr>
          <w:rFonts w:asciiTheme="majorBidi" w:hAnsiTheme="majorBidi" w:cstheme="majorBidi"/>
          <w:lang w:val="en-US"/>
        </w:rPr>
        <w:t xml:space="preserve"> Obligations and Responsibilities of IUU Fishing”, </w:t>
      </w:r>
      <w:r w:rsidRPr="00382B5C">
        <w:rPr>
          <w:rFonts w:asciiTheme="majorBidi" w:hAnsiTheme="majorBidi" w:cstheme="majorBidi"/>
          <w:i/>
          <w:iCs/>
          <w:lang w:val="en-US"/>
        </w:rPr>
        <w:t>Seoul International Law Journal</w:t>
      </w:r>
      <w:r w:rsidRPr="00382B5C">
        <w:rPr>
          <w:rFonts w:asciiTheme="majorBidi" w:hAnsiTheme="majorBidi" w:cstheme="majorBidi"/>
          <w:lang w:val="en-US"/>
        </w:rPr>
        <w:t>, Vol. 22 No. 1 (2015), pp. 65-89 [</w:t>
      </w:r>
      <w:proofErr w:type="spellStart"/>
      <w:r w:rsidRPr="00382B5C">
        <w:rPr>
          <w:rFonts w:asciiTheme="majorBidi" w:eastAsia="Malgun Gothic" w:hAnsiTheme="majorBidi" w:cstheme="majorBidi"/>
          <w:lang w:val="en-US"/>
        </w:rPr>
        <w:t>김현정</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국제법상</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불법</w:t>
      </w:r>
      <w:r w:rsidRPr="00382B5C">
        <w:rPr>
          <w:rFonts w:asciiTheme="majorBidi" w:hAnsiTheme="majorBidi" w:cstheme="majorBidi"/>
          <w:lang w:val="en-US"/>
        </w:rPr>
        <w:t>·</w:t>
      </w:r>
      <w:r w:rsidRPr="00382B5C">
        <w:rPr>
          <w:rFonts w:asciiTheme="majorBidi" w:eastAsia="Malgun Gothic" w:hAnsiTheme="majorBidi" w:cstheme="majorBidi"/>
          <w:lang w:val="en-US"/>
        </w:rPr>
        <w:t>비보고</w:t>
      </w:r>
      <w:r w:rsidRPr="00382B5C">
        <w:rPr>
          <w:rFonts w:asciiTheme="majorBidi" w:hAnsiTheme="majorBidi" w:cstheme="majorBidi"/>
          <w:lang w:val="en-US"/>
        </w:rPr>
        <w:t>·</w:t>
      </w:r>
      <w:r w:rsidRPr="00382B5C">
        <w:rPr>
          <w:rFonts w:asciiTheme="majorBidi" w:eastAsia="Malgun Gothic" w:hAnsiTheme="majorBidi" w:cstheme="majorBidi"/>
          <w:lang w:val="en-US"/>
        </w:rPr>
        <w:t>비규제</w:t>
      </w:r>
      <w:proofErr w:type="spellEnd"/>
      <w:r w:rsidRPr="00382B5C">
        <w:rPr>
          <w:rFonts w:asciiTheme="majorBidi" w:hAnsiTheme="majorBidi" w:cstheme="majorBidi"/>
          <w:lang w:val="en-US"/>
        </w:rPr>
        <w:t xml:space="preserve">(IUU </w:t>
      </w:r>
      <w:proofErr w:type="spellStart"/>
      <w:r w:rsidRPr="00382B5C">
        <w:rPr>
          <w:rFonts w:asciiTheme="majorBidi" w:eastAsia="Malgun Gothic" w:hAnsiTheme="majorBidi" w:cstheme="majorBidi"/>
          <w:lang w:val="en-US"/>
        </w:rPr>
        <w:t>어업</w:t>
      </w:r>
      <w:proofErr w:type="spellEnd"/>
      <w:r w:rsidRPr="00382B5C">
        <w:rPr>
          <w:rFonts w:asciiTheme="majorBidi" w:hAnsiTheme="majorBidi" w:cstheme="majorBidi"/>
          <w:lang w:val="en-US"/>
        </w:rPr>
        <w:t>)</w:t>
      </w:r>
      <w:r w:rsidRPr="00382B5C">
        <w:rPr>
          <w:rFonts w:asciiTheme="majorBidi" w:eastAsia="Malgun Gothic" w:hAnsiTheme="majorBidi" w:cstheme="majorBidi"/>
          <w:lang w:val="en-US"/>
        </w:rPr>
        <w:t>에</w:t>
      </w:r>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관한</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기국의</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의무와</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책임</w:t>
      </w:r>
      <w:proofErr w:type="spellEnd"/>
      <w:r w:rsidRPr="00382B5C">
        <w:rPr>
          <w:rFonts w:asciiTheme="majorBidi" w:hAnsiTheme="majorBidi" w:cstheme="majorBidi"/>
          <w:lang w:val="en-US"/>
        </w:rPr>
        <w:t xml:space="preserve">, </w:t>
      </w:r>
      <w:proofErr w:type="spellStart"/>
      <w:r w:rsidRPr="00382B5C">
        <w:rPr>
          <w:rFonts w:asciiTheme="majorBidi" w:eastAsia="Malgun Gothic" w:hAnsiTheme="majorBidi" w:cstheme="majorBidi"/>
          <w:lang w:val="en-US"/>
        </w:rPr>
        <w:t>서울국제법연구</w:t>
      </w:r>
      <w:proofErr w:type="spellEnd"/>
      <w:r w:rsidRPr="00382B5C">
        <w:rPr>
          <w:rFonts w:asciiTheme="majorBidi" w:hAnsiTheme="majorBidi" w:cstheme="majorBidi"/>
          <w:lang w:val="en-US"/>
        </w:rPr>
        <w:t xml:space="preserve"> 22</w:t>
      </w:r>
      <w:r w:rsidRPr="00382B5C">
        <w:rPr>
          <w:rFonts w:asciiTheme="majorBidi" w:eastAsia="Malgun Gothic" w:hAnsiTheme="majorBidi" w:cstheme="majorBidi"/>
          <w:lang w:val="en-US"/>
        </w:rPr>
        <w:t>권</w:t>
      </w:r>
      <w:r w:rsidRPr="00382B5C">
        <w:rPr>
          <w:rFonts w:asciiTheme="majorBidi" w:hAnsiTheme="majorBidi" w:cstheme="majorBidi"/>
          <w:lang w:val="en-US"/>
        </w:rPr>
        <w:t xml:space="preserve"> 1</w:t>
      </w:r>
      <w:r w:rsidRPr="00382B5C">
        <w:rPr>
          <w:rFonts w:asciiTheme="majorBidi" w:eastAsia="Malgun Gothic" w:hAnsiTheme="majorBidi" w:cstheme="majorBidi"/>
          <w:lang w:val="en-US"/>
        </w:rPr>
        <w:t>호</w:t>
      </w:r>
      <w:r w:rsidRPr="00382B5C">
        <w:rPr>
          <w:rFonts w:asciiTheme="majorBidi" w:hAnsiTheme="majorBidi" w:cstheme="majorBidi"/>
          <w:lang w:val="en-US"/>
        </w:rPr>
        <w:t>]</w:t>
      </w:r>
    </w:p>
    <w:p w14:paraId="7D362BE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Koivurova</w:t>
      </w:r>
      <w:proofErr w:type="spellEnd"/>
      <w:r w:rsidRPr="008C3992">
        <w:rPr>
          <w:rFonts w:asciiTheme="majorBidi" w:hAnsiTheme="majorBidi" w:cstheme="majorBidi"/>
          <w:lang w:val="en-US"/>
        </w:rPr>
        <w:t xml:space="preserve">, Timo, “What is the Principle of Due Diligence?” in Jarna </w:t>
      </w:r>
      <w:proofErr w:type="spellStart"/>
      <w:r w:rsidRPr="008C3992">
        <w:rPr>
          <w:rFonts w:asciiTheme="majorBidi" w:hAnsiTheme="majorBidi" w:cstheme="majorBidi"/>
          <w:lang w:val="en-US"/>
        </w:rPr>
        <w:t>Petman</w:t>
      </w:r>
      <w:proofErr w:type="spellEnd"/>
      <w:r w:rsidRPr="008C3992">
        <w:rPr>
          <w:rFonts w:asciiTheme="majorBidi" w:hAnsiTheme="majorBidi" w:cstheme="majorBidi"/>
          <w:lang w:val="en-US"/>
        </w:rPr>
        <w:t xml:space="preserve">, Jan Klabbers (eds.), </w:t>
      </w:r>
      <w:r w:rsidRPr="008C3992">
        <w:rPr>
          <w:rFonts w:asciiTheme="majorBidi" w:hAnsiTheme="majorBidi" w:cstheme="majorBidi"/>
          <w:i/>
          <w:iCs/>
          <w:lang w:val="en-US"/>
        </w:rPr>
        <w:t xml:space="preserve">Nordic Cosmopolitanism: Essays in International Law for Martti </w:t>
      </w:r>
      <w:proofErr w:type="spellStart"/>
      <w:r w:rsidRPr="008C3992">
        <w:rPr>
          <w:rFonts w:asciiTheme="majorBidi" w:hAnsiTheme="majorBidi" w:cstheme="majorBidi"/>
          <w:i/>
          <w:iCs/>
          <w:lang w:val="en-US"/>
        </w:rPr>
        <w:t>Koskenniemi</w:t>
      </w:r>
      <w:proofErr w:type="spellEnd"/>
      <w:r w:rsidRPr="008C3992">
        <w:rPr>
          <w:rFonts w:asciiTheme="majorBidi" w:hAnsiTheme="majorBidi" w:cstheme="majorBidi"/>
          <w:lang w:val="en-US"/>
        </w:rPr>
        <w:t xml:space="preserve"> (Leiden/Boston: </w:t>
      </w:r>
      <w:proofErr w:type="spellStart"/>
      <w:r w:rsidRPr="008C3992">
        <w:rPr>
          <w:rFonts w:asciiTheme="majorBidi" w:hAnsiTheme="majorBidi" w:cstheme="majorBidi"/>
          <w:lang w:val="en-US"/>
        </w:rPr>
        <w:t>Brill|Nijhoff</w:t>
      </w:r>
      <w:proofErr w:type="spellEnd"/>
      <w:r w:rsidRPr="008C3992">
        <w:rPr>
          <w:rFonts w:asciiTheme="majorBidi" w:hAnsiTheme="majorBidi" w:cstheme="majorBidi"/>
          <w:lang w:val="en-US"/>
        </w:rPr>
        <w:t>, 2003), pp. 341-349.</w:t>
      </w:r>
    </w:p>
    <w:p w14:paraId="223F5420"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Koivurova</w:t>
      </w:r>
      <w:proofErr w:type="spellEnd"/>
      <w:r w:rsidRPr="008C3992">
        <w:rPr>
          <w:rFonts w:asciiTheme="majorBidi" w:hAnsiTheme="majorBidi" w:cstheme="majorBidi"/>
          <w:lang w:val="en-US"/>
        </w:rPr>
        <w:t xml:space="preserve">, Timo and Krittika Singh, “Due Diligence”, </w:t>
      </w:r>
      <w:r w:rsidRPr="008C3992">
        <w:rPr>
          <w:rFonts w:asciiTheme="majorBidi" w:hAnsiTheme="majorBidi" w:cstheme="majorBidi"/>
          <w:i/>
          <w:iCs/>
          <w:lang w:val="en-US"/>
        </w:rPr>
        <w:t>Max Planck Encyclopedia of Public International Law</w:t>
      </w:r>
      <w:r w:rsidRPr="008C3992">
        <w:rPr>
          <w:rFonts w:asciiTheme="majorBidi" w:hAnsiTheme="majorBidi" w:cstheme="majorBidi"/>
          <w:lang w:val="en-US"/>
        </w:rPr>
        <w:t xml:space="preserve"> (Oxford: Oxford University Press, 2022).</w:t>
      </w:r>
    </w:p>
    <w:p w14:paraId="728B1861"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König, Doris, “The Elaboration of Due Diligence Obligations as a Mechanism to Ensure Compliance with International Legal Obligations by Private Actors” in ITLOS (ed.), </w:t>
      </w:r>
      <w:r w:rsidRPr="008C3992">
        <w:rPr>
          <w:rFonts w:asciiTheme="majorBidi" w:hAnsiTheme="majorBidi" w:cstheme="majorBidi"/>
          <w:i/>
          <w:iCs/>
          <w:lang w:val="en-US"/>
        </w:rPr>
        <w:t>The Contribution of the International Tribunal for the Law of the Sea to the Rule of Law: 1996–2016</w:t>
      </w:r>
      <w:r w:rsidRPr="008C3992">
        <w:rPr>
          <w:rFonts w:asciiTheme="majorBidi" w:hAnsiTheme="majorBidi" w:cstheme="majorBidi"/>
          <w:lang w:val="en-US"/>
        </w:rPr>
        <w:t xml:space="preserve"> (Leiden/Boston </w:t>
      </w:r>
      <w:proofErr w:type="spellStart"/>
      <w:r w:rsidRPr="008C3992">
        <w:rPr>
          <w:rFonts w:asciiTheme="majorBidi" w:hAnsiTheme="majorBidi" w:cstheme="majorBidi"/>
          <w:lang w:val="en-US"/>
        </w:rPr>
        <w:t>Brill|Nijhoff</w:t>
      </w:r>
      <w:proofErr w:type="spellEnd"/>
      <w:r w:rsidRPr="008C3992">
        <w:rPr>
          <w:rFonts w:asciiTheme="majorBidi" w:hAnsiTheme="majorBidi" w:cstheme="majorBidi"/>
          <w:lang w:val="en-US"/>
        </w:rPr>
        <w:t xml:space="preserve">, 2018), pp. 83-95. </w:t>
      </w:r>
    </w:p>
    <w:p w14:paraId="5D332963" w14:textId="50F2DAE8"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Kulesza, Joanna, “Human Rights Due Diligence”, </w:t>
      </w:r>
      <w:r w:rsidRPr="008C3992">
        <w:rPr>
          <w:rFonts w:asciiTheme="majorBidi" w:hAnsiTheme="majorBidi" w:cstheme="majorBidi"/>
          <w:i/>
          <w:iCs/>
          <w:lang w:val="en-US"/>
        </w:rPr>
        <w:t>William &amp; Mary Bill Rights Journal</w:t>
      </w:r>
      <w:r w:rsidRPr="008C3992">
        <w:rPr>
          <w:rFonts w:asciiTheme="majorBidi" w:hAnsiTheme="majorBidi" w:cstheme="majorBidi"/>
          <w:lang w:val="en-US"/>
        </w:rPr>
        <w:t>, vol.</w:t>
      </w:r>
      <w:r w:rsidR="0019002B">
        <w:rPr>
          <w:rFonts w:asciiTheme="majorBidi" w:hAnsiTheme="majorBidi" w:cstheme="majorBidi"/>
          <w:lang w:val="en-US"/>
        </w:rPr>
        <w:t> </w:t>
      </w:r>
      <w:r w:rsidRPr="008C3992">
        <w:rPr>
          <w:rFonts w:asciiTheme="majorBidi" w:hAnsiTheme="majorBidi" w:cstheme="majorBidi"/>
          <w:lang w:val="en-US"/>
        </w:rPr>
        <w:t>30(2), (2021), pp. 265-289.</w:t>
      </w:r>
    </w:p>
    <w:p w14:paraId="0EC7A764" w14:textId="6C982F4F" w:rsidR="005A67A9" w:rsidRPr="00382B5C" w:rsidRDefault="005A67A9" w:rsidP="0019002B">
      <w:pPr>
        <w:spacing w:after="120" w:line="240" w:lineRule="auto"/>
        <w:ind w:left="1418" w:right="1134" w:hanging="284"/>
        <w:jc w:val="both"/>
        <w:rPr>
          <w:rFonts w:asciiTheme="majorBidi" w:hAnsiTheme="majorBidi" w:cstheme="majorBidi"/>
          <w:lang w:val="fr-FR"/>
        </w:rPr>
      </w:pPr>
      <w:bookmarkStart w:id="308" w:name="_Hlk169080199"/>
      <w:proofErr w:type="spellStart"/>
      <w:r w:rsidRPr="00382B5C">
        <w:rPr>
          <w:rFonts w:asciiTheme="majorBidi" w:hAnsiTheme="majorBidi" w:cstheme="majorBidi"/>
          <w:lang w:val="fr-FR"/>
        </w:rPr>
        <w:t>Lanovoy</w:t>
      </w:r>
      <w:proofErr w:type="spellEnd"/>
      <w:r w:rsidRPr="00382B5C">
        <w:rPr>
          <w:rFonts w:asciiTheme="majorBidi" w:hAnsiTheme="majorBidi" w:cstheme="majorBidi"/>
          <w:lang w:val="fr-FR"/>
        </w:rPr>
        <w:t xml:space="preserve">, </w:t>
      </w:r>
      <w:proofErr w:type="spellStart"/>
      <w:r w:rsidRPr="00382B5C">
        <w:rPr>
          <w:rFonts w:asciiTheme="majorBidi" w:hAnsiTheme="majorBidi" w:cstheme="majorBidi"/>
          <w:lang w:val="fr-FR"/>
        </w:rPr>
        <w:t>Vladyslav</w:t>
      </w:r>
      <w:proofErr w:type="spellEnd"/>
      <w:r w:rsidRPr="00382B5C">
        <w:rPr>
          <w:rFonts w:asciiTheme="majorBidi" w:hAnsiTheme="majorBidi" w:cstheme="majorBidi"/>
          <w:lang w:val="fr-FR"/>
        </w:rPr>
        <w:t>, "Les obligations de diligence requise à la lumière de la jurisprudence de la Cour internationale de Justice", in </w:t>
      </w:r>
      <w:r w:rsidRPr="00382B5C">
        <w:rPr>
          <w:rFonts w:asciiTheme="majorBidi" w:hAnsiTheme="majorBidi" w:cstheme="majorBidi"/>
          <w:i/>
          <w:iCs/>
          <w:lang w:val="fr-FR"/>
        </w:rPr>
        <w:t xml:space="preserve">Liber </w:t>
      </w:r>
      <w:proofErr w:type="spellStart"/>
      <w:r w:rsidRPr="00382B5C">
        <w:rPr>
          <w:rFonts w:asciiTheme="majorBidi" w:hAnsiTheme="majorBidi" w:cstheme="majorBidi"/>
          <w:i/>
          <w:iCs/>
          <w:lang w:val="fr-FR"/>
        </w:rPr>
        <w:t>amicorum</w:t>
      </w:r>
      <w:proofErr w:type="spellEnd"/>
      <w:r w:rsidRPr="00382B5C">
        <w:rPr>
          <w:rFonts w:asciiTheme="majorBidi" w:hAnsiTheme="majorBidi" w:cstheme="majorBidi"/>
          <w:i/>
          <w:iCs/>
          <w:lang w:val="fr-FR"/>
        </w:rPr>
        <w:t xml:space="preserve"> en l</w:t>
      </w:r>
      <w:r w:rsidR="004C5E26">
        <w:rPr>
          <w:rFonts w:asciiTheme="majorBidi" w:hAnsiTheme="majorBidi" w:cstheme="majorBidi"/>
          <w:i/>
          <w:iCs/>
          <w:lang w:val="fr-FR"/>
        </w:rPr>
        <w:t>’</w:t>
      </w:r>
      <w:r w:rsidRPr="00382B5C">
        <w:rPr>
          <w:rFonts w:asciiTheme="majorBidi" w:hAnsiTheme="majorBidi" w:cstheme="majorBidi"/>
          <w:i/>
          <w:iCs/>
          <w:lang w:val="fr-FR"/>
        </w:rPr>
        <w:t xml:space="preserve">honneur de professeur Mohamed </w:t>
      </w:r>
      <w:proofErr w:type="spellStart"/>
      <w:r w:rsidRPr="00382B5C">
        <w:rPr>
          <w:rFonts w:asciiTheme="majorBidi" w:hAnsiTheme="majorBidi" w:cstheme="majorBidi"/>
          <w:i/>
          <w:iCs/>
          <w:lang w:val="fr-FR"/>
        </w:rPr>
        <w:t>Bennouna</w:t>
      </w:r>
      <w:proofErr w:type="spellEnd"/>
      <w:r w:rsidRPr="00382B5C">
        <w:rPr>
          <w:rFonts w:asciiTheme="majorBidi" w:hAnsiTheme="majorBidi" w:cstheme="majorBidi"/>
          <w:i/>
          <w:iCs/>
          <w:lang w:val="fr-FR"/>
        </w:rPr>
        <w:t>: Souveraineté, sécurité et droits de la personne</w:t>
      </w:r>
      <w:r w:rsidRPr="00382B5C">
        <w:rPr>
          <w:rFonts w:asciiTheme="majorBidi" w:hAnsiTheme="majorBidi" w:cstheme="majorBidi"/>
          <w:lang w:val="fr-FR"/>
        </w:rPr>
        <w:t xml:space="preserve"> (Paris: </w:t>
      </w:r>
      <w:proofErr w:type="spellStart"/>
      <w:r w:rsidRPr="00382B5C">
        <w:rPr>
          <w:rFonts w:asciiTheme="majorBidi" w:hAnsiTheme="majorBidi" w:cstheme="majorBidi"/>
          <w:lang w:val="fr-FR"/>
        </w:rPr>
        <w:t>Pedone</w:t>
      </w:r>
      <w:proofErr w:type="spellEnd"/>
      <w:r w:rsidRPr="00382B5C">
        <w:rPr>
          <w:rFonts w:asciiTheme="majorBidi" w:hAnsiTheme="majorBidi" w:cstheme="majorBidi"/>
          <w:lang w:val="fr-FR"/>
        </w:rPr>
        <w:t>, 2023) pp. 129-150.</w:t>
      </w:r>
    </w:p>
    <w:p w14:paraId="1C6D5470" w14:textId="77777777" w:rsidR="005A67A9" w:rsidRPr="00382B5C" w:rsidRDefault="005A67A9" w:rsidP="0019002B">
      <w:pPr>
        <w:spacing w:after="120" w:line="240" w:lineRule="auto"/>
        <w:ind w:left="1418" w:right="1134" w:hanging="284"/>
        <w:jc w:val="both"/>
        <w:rPr>
          <w:rFonts w:asciiTheme="majorBidi" w:hAnsiTheme="majorBidi" w:cstheme="majorBidi"/>
          <w:lang w:val="en-GB"/>
        </w:rPr>
      </w:pPr>
      <w:proofErr w:type="spellStart"/>
      <w:r w:rsidRPr="008C3992">
        <w:rPr>
          <w:rFonts w:asciiTheme="majorBidi" w:hAnsiTheme="majorBidi" w:cstheme="majorBidi"/>
          <w:lang w:val="en-US"/>
        </w:rPr>
        <w:t>Lipkina</w:t>
      </w:r>
      <w:proofErr w:type="spellEnd"/>
      <w:r w:rsidRPr="008C3992">
        <w:rPr>
          <w:rFonts w:asciiTheme="majorBidi" w:hAnsiTheme="majorBidi" w:cstheme="majorBidi"/>
          <w:lang w:val="en-US"/>
        </w:rPr>
        <w:t xml:space="preserve">, Nadezhda N. and Dmitry V. </w:t>
      </w:r>
      <w:proofErr w:type="spellStart"/>
      <w:r w:rsidRPr="008C3992">
        <w:rPr>
          <w:rFonts w:asciiTheme="majorBidi" w:hAnsiTheme="majorBidi" w:cstheme="majorBidi"/>
          <w:lang w:val="en-US"/>
        </w:rPr>
        <w:t>Krasikov</w:t>
      </w:r>
      <w:proofErr w:type="spellEnd"/>
      <w:r w:rsidRPr="008C3992">
        <w:rPr>
          <w:rFonts w:asciiTheme="majorBidi" w:hAnsiTheme="majorBidi" w:cstheme="majorBidi"/>
          <w:lang w:val="en-US"/>
        </w:rPr>
        <w:t xml:space="preserve"> “The international legal obligation of due diligence in cyberspace” European Proceedings of Social and </w:t>
      </w:r>
      <w:proofErr w:type="spellStart"/>
      <w:r w:rsidRPr="008C3992">
        <w:rPr>
          <w:rFonts w:asciiTheme="majorBidi" w:hAnsiTheme="majorBidi" w:cstheme="majorBidi"/>
          <w:lang w:val="en-US"/>
        </w:rPr>
        <w:t>Behavioural</w:t>
      </w:r>
      <w:proofErr w:type="spellEnd"/>
      <w:r w:rsidRPr="008C3992">
        <w:rPr>
          <w:rFonts w:asciiTheme="majorBidi" w:hAnsiTheme="majorBidi" w:cstheme="majorBidi"/>
          <w:lang w:val="en-US"/>
        </w:rPr>
        <w:t xml:space="preserve"> Sciences (2022)</w:t>
      </w:r>
      <w:r w:rsidRPr="00382B5C">
        <w:rPr>
          <w:rFonts w:asciiTheme="majorBidi" w:hAnsiTheme="majorBidi" w:cstheme="majorBidi"/>
          <w:lang w:val="en-GB"/>
        </w:rPr>
        <w:t>.</w:t>
      </w:r>
    </w:p>
    <w:p w14:paraId="294D0D81" w14:textId="6A470D21"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Longobardo, Marco, </w:t>
      </w:r>
      <w:r w:rsidR="004C5E26">
        <w:rPr>
          <w:rFonts w:asciiTheme="majorBidi" w:hAnsiTheme="majorBidi" w:cstheme="majorBidi"/>
          <w:lang w:val="en-US"/>
        </w:rPr>
        <w:t>‘</w:t>
      </w:r>
      <w:r w:rsidRPr="008C3992">
        <w:rPr>
          <w:rFonts w:asciiTheme="majorBidi" w:hAnsiTheme="majorBidi" w:cstheme="majorBidi"/>
          <w:lang w:val="en-US"/>
        </w:rPr>
        <w:t>The Relevance of the Concept of Due Diligence for International Humanitarian Law</w:t>
      </w:r>
      <w:r w:rsidR="004C5E26">
        <w:rPr>
          <w:rFonts w:asciiTheme="majorBidi" w:hAnsiTheme="majorBidi" w:cstheme="majorBidi"/>
          <w:lang w:val="en-US"/>
        </w:rPr>
        <w:t>’</w:t>
      </w:r>
      <w:r w:rsidRPr="008C3992">
        <w:rPr>
          <w:rFonts w:asciiTheme="majorBidi" w:hAnsiTheme="majorBidi" w:cstheme="majorBidi"/>
          <w:lang w:val="en-US"/>
        </w:rPr>
        <w:t xml:space="preserve"> </w:t>
      </w:r>
      <w:r w:rsidRPr="008C3992">
        <w:rPr>
          <w:rFonts w:asciiTheme="majorBidi" w:hAnsiTheme="majorBidi" w:cstheme="majorBidi"/>
          <w:i/>
          <w:iCs/>
          <w:lang w:val="en-US"/>
        </w:rPr>
        <w:t>Wisconsin International Law Journal</w:t>
      </w:r>
      <w:r w:rsidRPr="008C3992">
        <w:rPr>
          <w:rFonts w:asciiTheme="majorBidi" w:hAnsiTheme="majorBidi" w:cstheme="majorBidi"/>
          <w:lang w:val="en-US"/>
        </w:rPr>
        <w:t xml:space="preserve"> vol. 37 (2019) pp. 44-87.</w:t>
      </w:r>
    </w:p>
    <w:bookmarkEnd w:id="308"/>
    <w:p w14:paraId="0C0BC5EA"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Malaihollo, Medes, “Due Diligence in International Environmental Law and International Human Rights Law: A Comparative Legal Study of the Nationally Determined Contributions under the Paris Agreement and Positive Obligations under the European Convention on Human Rights”, </w:t>
      </w:r>
      <w:r w:rsidRPr="008C3992">
        <w:rPr>
          <w:rFonts w:asciiTheme="majorBidi" w:hAnsiTheme="majorBidi" w:cstheme="majorBidi"/>
          <w:i/>
          <w:iCs/>
          <w:lang w:val="en-US"/>
        </w:rPr>
        <w:t>Netherlands International Law Review</w:t>
      </w:r>
      <w:r w:rsidRPr="008C3992">
        <w:rPr>
          <w:rFonts w:asciiTheme="majorBidi" w:hAnsiTheme="majorBidi" w:cstheme="majorBidi"/>
          <w:lang w:val="en-US"/>
        </w:rPr>
        <w:t>, vol. 68 (2021), pp. 121-155.</w:t>
      </w:r>
    </w:p>
    <w:p w14:paraId="3AB45064" w14:textId="11BBFAA8"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lastRenderedPageBreak/>
        <w:t xml:space="preserve">Malaihollo, Medes, “On Due Diligence and the Rights of Indigenous Peoples in International Law: What a Māori World View Can Offer”, </w:t>
      </w:r>
      <w:r w:rsidRPr="008C3992">
        <w:rPr>
          <w:rFonts w:asciiTheme="majorBidi" w:hAnsiTheme="majorBidi" w:cstheme="majorBidi"/>
          <w:i/>
          <w:iCs/>
          <w:lang w:val="en-US"/>
        </w:rPr>
        <w:t>Netherlands International Law Review</w:t>
      </w:r>
      <w:r w:rsidRPr="008C3992">
        <w:rPr>
          <w:rFonts w:asciiTheme="majorBidi" w:hAnsiTheme="majorBidi" w:cstheme="majorBidi"/>
          <w:lang w:val="en-US"/>
        </w:rPr>
        <w:t>, vol.</w:t>
      </w:r>
      <w:r w:rsidR="0019002B">
        <w:rPr>
          <w:rFonts w:asciiTheme="majorBidi" w:hAnsiTheme="majorBidi" w:cstheme="majorBidi"/>
          <w:lang w:val="en-US"/>
        </w:rPr>
        <w:t> </w:t>
      </w:r>
      <w:r w:rsidRPr="008C3992">
        <w:rPr>
          <w:rFonts w:asciiTheme="majorBidi" w:hAnsiTheme="majorBidi" w:cstheme="majorBidi"/>
          <w:lang w:val="en-US"/>
        </w:rPr>
        <w:t>70 (2023), pp. 65-86.</w:t>
      </w:r>
    </w:p>
    <w:p w14:paraId="327CD084"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Martin-Ortega, Olga, “Human Rights Due Diligence for Corporations: From Voluntary Standards to Hard Law at Last?”, </w:t>
      </w:r>
      <w:r w:rsidRPr="008C3992">
        <w:rPr>
          <w:rFonts w:asciiTheme="majorBidi" w:hAnsiTheme="majorBidi" w:cstheme="majorBidi"/>
          <w:i/>
          <w:iCs/>
          <w:lang w:val="en-US"/>
        </w:rPr>
        <w:t>Netherlands Quarterly of Human Rights</w:t>
      </w:r>
      <w:r w:rsidRPr="008C3992">
        <w:rPr>
          <w:rFonts w:asciiTheme="majorBidi" w:hAnsiTheme="majorBidi" w:cstheme="majorBidi"/>
          <w:lang w:val="en-US"/>
        </w:rPr>
        <w:t xml:space="preserve">, vol. 32(1) (2014), pp. 44-74. </w:t>
      </w:r>
    </w:p>
    <w:p w14:paraId="795816AA"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Mateus de Albuquerque, Beatriz, “Human Rights Due Diligence in International Law: Where Do We Go from Here?” in Paulo Pinto de Albuquerque, Krzysztof </w:t>
      </w:r>
      <w:proofErr w:type="spellStart"/>
      <w:r w:rsidRPr="008C3992">
        <w:rPr>
          <w:rFonts w:asciiTheme="majorBidi" w:hAnsiTheme="majorBidi" w:cstheme="majorBidi"/>
          <w:lang w:val="en-US"/>
        </w:rPr>
        <w:t>Wojtyczek</w:t>
      </w:r>
      <w:proofErr w:type="spellEnd"/>
      <w:r w:rsidRPr="008C3992">
        <w:rPr>
          <w:rFonts w:asciiTheme="majorBidi" w:hAnsiTheme="majorBidi" w:cstheme="majorBidi"/>
          <w:lang w:val="en-US"/>
        </w:rPr>
        <w:t xml:space="preserve"> (eds.), </w:t>
      </w:r>
      <w:r w:rsidRPr="008C3992">
        <w:rPr>
          <w:rFonts w:asciiTheme="majorBidi" w:hAnsiTheme="majorBidi" w:cstheme="majorBidi"/>
          <w:i/>
          <w:iCs/>
          <w:lang w:val="en-US"/>
        </w:rPr>
        <w:t xml:space="preserve">Judicial Power in a Globalized World: Liber </w:t>
      </w:r>
      <w:proofErr w:type="spellStart"/>
      <w:r w:rsidRPr="008C3992">
        <w:rPr>
          <w:rFonts w:asciiTheme="majorBidi" w:hAnsiTheme="majorBidi" w:cstheme="majorBidi"/>
          <w:i/>
          <w:iCs/>
          <w:lang w:val="en-US"/>
        </w:rPr>
        <w:t>Amicorum</w:t>
      </w:r>
      <w:proofErr w:type="spellEnd"/>
      <w:r w:rsidRPr="008C3992">
        <w:rPr>
          <w:rFonts w:asciiTheme="majorBidi" w:hAnsiTheme="majorBidi" w:cstheme="majorBidi"/>
          <w:i/>
          <w:iCs/>
          <w:lang w:val="en-US"/>
        </w:rPr>
        <w:t xml:space="preserve"> Vincent De Gaetano</w:t>
      </w:r>
      <w:r w:rsidRPr="008C3992">
        <w:rPr>
          <w:rFonts w:asciiTheme="majorBidi" w:hAnsiTheme="majorBidi" w:cstheme="majorBidi"/>
          <w:lang w:val="en-US"/>
        </w:rPr>
        <w:t xml:space="preserve"> (Berlin: Springer, 2019), pp. 229-256. </w:t>
      </w:r>
    </w:p>
    <w:p w14:paraId="436A793C"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Mbengue, </w:t>
      </w:r>
      <w:proofErr w:type="spellStart"/>
      <w:r w:rsidRPr="008C3992">
        <w:rPr>
          <w:rFonts w:asciiTheme="majorBidi" w:hAnsiTheme="majorBidi" w:cstheme="majorBidi"/>
          <w:lang w:val="en-US"/>
        </w:rPr>
        <w:t>Makane</w:t>
      </w:r>
      <w:proofErr w:type="spellEnd"/>
      <w:r w:rsidRPr="008C3992">
        <w:rPr>
          <w:rFonts w:asciiTheme="majorBidi" w:hAnsiTheme="majorBidi" w:cstheme="majorBidi"/>
          <w:lang w:val="en-US"/>
        </w:rPr>
        <w:t xml:space="preserve"> Moïse, “The South China Sea Arbitration: Innovations in Marine Environmental Fact-Finding and Due Diligence Obligations”, </w:t>
      </w:r>
      <w:r w:rsidRPr="008C3992">
        <w:rPr>
          <w:rFonts w:asciiTheme="majorBidi" w:hAnsiTheme="majorBidi" w:cstheme="majorBidi"/>
          <w:i/>
          <w:iCs/>
          <w:lang w:val="en-US"/>
        </w:rPr>
        <w:t>American Journal of International Law</w:t>
      </w:r>
      <w:r w:rsidRPr="008C3992">
        <w:rPr>
          <w:rFonts w:asciiTheme="majorBidi" w:hAnsiTheme="majorBidi" w:cstheme="majorBidi"/>
          <w:lang w:val="en-US"/>
        </w:rPr>
        <w:t>, vol. 110 (2016), pp. 285-289.</w:t>
      </w:r>
    </w:p>
    <w:p w14:paraId="66B9C7D7"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McDonald, Neil, “The Role of Due Diligence in International Law”, </w:t>
      </w:r>
      <w:r w:rsidRPr="008C3992">
        <w:rPr>
          <w:rFonts w:asciiTheme="majorBidi" w:hAnsiTheme="majorBidi" w:cstheme="majorBidi"/>
          <w:i/>
          <w:iCs/>
          <w:lang w:val="en-US"/>
        </w:rPr>
        <w:t>International and Comparative Law Quarterly</w:t>
      </w:r>
      <w:r w:rsidRPr="008C3992">
        <w:rPr>
          <w:rFonts w:asciiTheme="majorBidi" w:hAnsiTheme="majorBidi" w:cstheme="majorBidi"/>
          <w:lang w:val="en-US"/>
        </w:rPr>
        <w:t>, vol. 68(4) (2019), pp. 1041-1054.</w:t>
      </w:r>
    </w:p>
    <w:p w14:paraId="0034632B" w14:textId="4AC7764E"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O</w:t>
      </w:r>
      <w:r w:rsidR="004C5E26">
        <w:rPr>
          <w:rFonts w:asciiTheme="majorBidi" w:hAnsiTheme="majorBidi" w:cstheme="majorBidi"/>
          <w:lang w:val="en-US"/>
        </w:rPr>
        <w:t>’</w:t>
      </w:r>
      <w:r w:rsidRPr="008C3992">
        <w:rPr>
          <w:rFonts w:asciiTheme="majorBidi" w:hAnsiTheme="majorBidi" w:cstheme="majorBidi"/>
          <w:lang w:val="en-US"/>
        </w:rPr>
        <w:t xml:space="preserve">Donoghue, Aoife, “The Exercise of Governance Authority by International </w:t>
      </w:r>
      <w:proofErr w:type="spellStart"/>
      <w:r w:rsidRPr="008C3992">
        <w:rPr>
          <w:rFonts w:asciiTheme="majorBidi" w:hAnsiTheme="majorBidi" w:cstheme="majorBidi"/>
          <w:lang w:val="en-US"/>
        </w:rPr>
        <w:t>Organisations</w:t>
      </w:r>
      <w:proofErr w:type="spellEnd"/>
      <w:r w:rsidRPr="008C3992">
        <w:rPr>
          <w:rFonts w:asciiTheme="majorBidi" w:hAnsiTheme="majorBidi" w:cstheme="majorBidi"/>
          <w:lang w:val="en-US"/>
        </w:rPr>
        <w:t xml:space="preserve">: The Role of Due Diligence Obligations after Conflict” in Matthew Saul, James Sweeney (eds.), </w:t>
      </w:r>
      <w:r w:rsidRPr="008C3992">
        <w:rPr>
          <w:rFonts w:asciiTheme="majorBidi" w:hAnsiTheme="majorBidi" w:cstheme="majorBidi"/>
          <w:i/>
          <w:iCs/>
          <w:lang w:val="en-US"/>
        </w:rPr>
        <w:t>International Law and Post-Conflict</w:t>
      </w:r>
      <w:r w:rsidRPr="008C3992">
        <w:rPr>
          <w:rFonts w:asciiTheme="majorBidi" w:hAnsiTheme="majorBidi" w:cstheme="majorBidi"/>
          <w:lang w:val="en-US"/>
        </w:rPr>
        <w:t xml:space="preserve"> (New York: Routledge, 2015), pp. 45-65.</w:t>
      </w:r>
    </w:p>
    <w:p w14:paraId="74CD16D9" w14:textId="193F0304" w:rsidR="005A67A9" w:rsidRPr="005A67A9" w:rsidRDefault="005A67A9" w:rsidP="0019002B">
      <w:pPr>
        <w:spacing w:after="120" w:line="240" w:lineRule="auto"/>
        <w:ind w:left="1418" w:right="1134" w:hanging="284"/>
        <w:jc w:val="both"/>
        <w:rPr>
          <w:rFonts w:asciiTheme="majorBidi" w:hAnsiTheme="majorBidi" w:cstheme="majorBidi"/>
        </w:rPr>
      </w:pPr>
      <w:r w:rsidRPr="005A67A9">
        <w:rPr>
          <w:rFonts w:asciiTheme="majorBidi" w:hAnsiTheme="majorBidi" w:cstheme="majorBidi"/>
        </w:rPr>
        <w:t xml:space="preserve">Oliveira, </w:t>
      </w:r>
      <w:proofErr w:type="spellStart"/>
      <w:r w:rsidRPr="005A67A9">
        <w:rPr>
          <w:rFonts w:asciiTheme="majorBidi" w:hAnsiTheme="majorBidi" w:cstheme="majorBidi"/>
        </w:rPr>
        <w:t>Jardim</w:t>
      </w:r>
      <w:proofErr w:type="spellEnd"/>
      <w:r w:rsidRPr="005A67A9">
        <w:rPr>
          <w:rFonts w:asciiTheme="majorBidi" w:hAnsiTheme="majorBidi" w:cstheme="majorBidi"/>
        </w:rPr>
        <w:t xml:space="preserve">, and </w:t>
      </w:r>
      <w:proofErr w:type="spellStart"/>
      <w:r w:rsidRPr="005A67A9">
        <w:rPr>
          <w:rFonts w:asciiTheme="majorBidi" w:hAnsiTheme="majorBidi" w:cstheme="majorBidi"/>
        </w:rPr>
        <w:t>Thiago</w:t>
      </w:r>
      <w:proofErr w:type="spellEnd"/>
      <w:r w:rsidRPr="005A67A9">
        <w:rPr>
          <w:rFonts w:asciiTheme="majorBidi" w:hAnsiTheme="majorBidi" w:cstheme="majorBidi"/>
        </w:rPr>
        <w:t xml:space="preserve"> </w:t>
      </w:r>
      <w:proofErr w:type="spellStart"/>
      <w:r w:rsidRPr="005A67A9">
        <w:rPr>
          <w:rFonts w:asciiTheme="majorBidi" w:hAnsiTheme="majorBidi" w:cstheme="majorBidi"/>
        </w:rPr>
        <w:t>Braz</w:t>
      </w:r>
      <w:proofErr w:type="spellEnd"/>
      <w:r w:rsidRPr="005A67A9">
        <w:rPr>
          <w:rFonts w:asciiTheme="majorBidi" w:hAnsiTheme="majorBidi" w:cstheme="majorBidi"/>
        </w:rPr>
        <w:t>, “La diligence due dans la prévention des dommages à l</w:t>
      </w:r>
      <w:r w:rsidR="004C5E26">
        <w:rPr>
          <w:rFonts w:asciiTheme="majorBidi" w:hAnsiTheme="majorBidi" w:cstheme="majorBidi"/>
        </w:rPr>
        <w:t>’</w:t>
      </w:r>
      <w:r w:rsidRPr="005A67A9">
        <w:rPr>
          <w:rFonts w:asciiTheme="majorBidi" w:hAnsiTheme="majorBidi" w:cstheme="majorBidi"/>
        </w:rPr>
        <w:t xml:space="preserve">environnement”, </w:t>
      </w:r>
      <w:r w:rsidRPr="005A67A9">
        <w:rPr>
          <w:rFonts w:asciiTheme="majorBidi" w:hAnsiTheme="majorBidi" w:cstheme="majorBidi"/>
          <w:i/>
          <w:iCs/>
        </w:rPr>
        <w:t xml:space="preserve">VII </w:t>
      </w:r>
      <w:proofErr w:type="spellStart"/>
      <w:r w:rsidRPr="005A67A9">
        <w:rPr>
          <w:rFonts w:asciiTheme="majorBidi" w:hAnsiTheme="majorBidi" w:cstheme="majorBidi"/>
          <w:i/>
          <w:iCs/>
        </w:rPr>
        <w:t>Anuário</w:t>
      </w:r>
      <w:proofErr w:type="spellEnd"/>
      <w:r w:rsidRPr="005A67A9">
        <w:rPr>
          <w:rFonts w:asciiTheme="majorBidi" w:hAnsiTheme="majorBidi" w:cstheme="majorBidi"/>
          <w:i/>
          <w:iCs/>
        </w:rPr>
        <w:t xml:space="preserve"> </w:t>
      </w:r>
      <w:proofErr w:type="spellStart"/>
      <w:r w:rsidRPr="005A67A9">
        <w:rPr>
          <w:rFonts w:asciiTheme="majorBidi" w:hAnsiTheme="majorBidi" w:cstheme="majorBidi"/>
          <w:i/>
          <w:iCs/>
        </w:rPr>
        <w:t>Brasileiro</w:t>
      </w:r>
      <w:proofErr w:type="spellEnd"/>
      <w:r w:rsidRPr="005A67A9">
        <w:rPr>
          <w:rFonts w:asciiTheme="majorBidi" w:hAnsiTheme="majorBidi" w:cstheme="majorBidi"/>
          <w:i/>
          <w:iCs/>
        </w:rPr>
        <w:t xml:space="preserve"> de </w:t>
      </w:r>
      <w:proofErr w:type="spellStart"/>
      <w:r w:rsidRPr="005A67A9">
        <w:rPr>
          <w:rFonts w:asciiTheme="majorBidi" w:hAnsiTheme="majorBidi" w:cstheme="majorBidi"/>
          <w:i/>
          <w:iCs/>
        </w:rPr>
        <w:t>Direito</w:t>
      </w:r>
      <w:proofErr w:type="spellEnd"/>
      <w:r w:rsidRPr="005A67A9">
        <w:rPr>
          <w:rFonts w:asciiTheme="majorBidi" w:hAnsiTheme="majorBidi" w:cstheme="majorBidi"/>
          <w:i/>
          <w:iCs/>
        </w:rPr>
        <w:t xml:space="preserve"> Internacional</w:t>
      </w:r>
      <w:r w:rsidRPr="005A67A9">
        <w:rPr>
          <w:rFonts w:asciiTheme="majorBidi" w:hAnsiTheme="majorBidi" w:cstheme="majorBidi"/>
        </w:rPr>
        <w:t>, vol. 2(3) (2012), pp. 205-242.</w:t>
      </w:r>
    </w:p>
    <w:p w14:paraId="7AF285CE"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Ong, David M, “The International Legal Obligations of States in Disputed Maritime Jurisdiction Zones and Prospects for Co-operative Arrangements in the East China Sea Region” </w:t>
      </w:r>
      <w:r w:rsidRPr="008C3992">
        <w:rPr>
          <w:rFonts w:asciiTheme="majorBidi" w:hAnsiTheme="majorBidi" w:cstheme="majorBidi"/>
          <w:i/>
          <w:iCs/>
          <w:lang w:val="en-US"/>
        </w:rPr>
        <w:t>Asian Yearbook of International Law</w:t>
      </w:r>
      <w:r w:rsidRPr="008C3992">
        <w:rPr>
          <w:rFonts w:asciiTheme="majorBidi" w:hAnsiTheme="majorBidi" w:cstheme="majorBidi"/>
          <w:lang w:val="en-US"/>
        </w:rPr>
        <w:t>, vol 22 (2016 ) pp. 119-130.</w:t>
      </w:r>
    </w:p>
    <w:p w14:paraId="45042B8B" w14:textId="63B1B515"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382B5C">
        <w:rPr>
          <w:rFonts w:asciiTheme="majorBidi" w:hAnsiTheme="majorBidi" w:cstheme="majorBidi"/>
          <w:lang w:val="fr-FR"/>
        </w:rPr>
        <w:t>Ouedraogo</w:t>
      </w:r>
      <w:proofErr w:type="spellEnd"/>
      <w:r w:rsidRPr="00382B5C">
        <w:rPr>
          <w:rFonts w:asciiTheme="majorBidi" w:hAnsiTheme="majorBidi" w:cstheme="majorBidi"/>
          <w:lang w:val="fr-FR"/>
        </w:rPr>
        <w:t xml:space="preserve">, </w:t>
      </w:r>
      <w:proofErr w:type="spellStart"/>
      <w:r w:rsidRPr="00382B5C">
        <w:rPr>
          <w:rFonts w:asciiTheme="majorBidi" w:hAnsiTheme="majorBidi" w:cstheme="majorBidi"/>
          <w:lang w:val="fr-FR"/>
        </w:rPr>
        <w:t>Awalou</w:t>
      </w:r>
      <w:proofErr w:type="spellEnd"/>
      <w:r w:rsidRPr="00382B5C">
        <w:rPr>
          <w:rFonts w:asciiTheme="majorBidi" w:hAnsiTheme="majorBidi" w:cstheme="majorBidi"/>
          <w:lang w:val="fr-FR"/>
        </w:rPr>
        <w:t>, “La neutralité et l</w:t>
      </w:r>
      <w:r w:rsidR="004C5E26">
        <w:rPr>
          <w:rFonts w:asciiTheme="majorBidi" w:hAnsiTheme="majorBidi" w:cstheme="majorBidi"/>
          <w:lang w:val="fr-FR"/>
        </w:rPr>
        <w:t>’</w:t>
      </w:r>
      <w:r w:rsidRPr="00382B5C">
        <w:rPr>
          <w:rFonts w:asciiTheme="majorBidi" w:hAnsiTheme="majorBidi" w:cstheme="majorBidi"/>
          <w:lang w:val="fr-FR"/>
        </w:rPr>
        <w:t xml:space="preserve">émergence du concept de due diligence en droit international. </w:t>
      </w:r>
      <w:proofErr w:type="spellStart"/>
      <w:r w:rsidRPr="008C3992">
        <w:rPr>
          <w:rFonts w:asciiTheme="majorBidi" w:hAnsiTheme="majorBidi" w:cstheme="majorBidi"/>
          <w:lang w:val="en-US"/>
        </w:rPr>
        <w:t>L</w:t>
      </w:r>
      <w:r w:rsidR="004C5E26">
        <w:rPr>
          <w:rFonts w:asciiTheme="majorBidi" w:hAnsiTheme="majorBidi" w:cstheme="majorBidi"/>
          <w:lang w:val="en-US"/>
        </w:rPr>
        <w:t>’</w:t>
      </w:r>
      <w:r w:rsidRPr="008C3992">
        <w:rPr>
          <w:rFonts w:asciiTheme="majorBidi" w:hAnsiTheme="majorBidi" w:cstheme="majorBidi"/>
          <w:lang w:val="en-US"/>
        </w:rPr>
        <w:t>affaire</w:t>
      </w:r>
      <w:proofErr w:type="spellEnd"/>
      <w:r w:rsidRPr="008C3992">
        <w:rPr>
          <w:rFonts w:asciiTheme="majorBidi" w:hAnsiTheme="majorBidi" w:cstheme="majorBidi"/>
          <w:lang w:val="en-US"/>
        </w:rPr>
        <w:t xml:space="preserve"> de </w:t>
      </w:r>
      <w:proofErr w:type="spellStart"/>
      <w:r w:rsidRPr="008C3992">
        <w:rPr>
          <w:rFonts w:asciiTheme="majorBidi" w:hAnsiTheme="majorBidi" w:cstheme="majorBidi"/>
          <w:lang w:val="en-US"/>
        </w:rPr>
        <w:t>l</w:t>
      </w:r>
      <w:r w:rsidR="004C5E26">
        <w:rPr>
          <w:rFonts w:asciiTheme="majorBidi" w:hAnsiTheme="majorBidi" w:cstheme="majorBidi"/>
          <w:lang w:val="en-US"/>
        </w:rPr>
        <w:t>’</w:t>
      </w:r>
      <w:r w:rsidRPr="008C3992">
        <w:rPr>
          <w:rFonts w:asciiTheme="majorBidi" w:hAnsiTheme="majorBidi" w:cstheme="majorBidi"/>
          <w:lang w:val="en-US"/>
        </w:rPr>
        <w:t>Alabama</w:t>
      </w:r>
      <w:proofErr w:type="spellEnd"/>
      <w:r w:rsidRPr="008C3992">
        <w:rPr>
          <w:rFonts w:asciiTheme="majorBidi" w:hAnsiTheme="majorBidi" w:cstheme="majorBidi"/>
          <w:lang w:val="en-US"/>
        </w:rPr>
        <w:t xml:space="preserve"> </w:t>
      </w:r>
      <w:proofErr w:type="spellStart"/>
      <w:r w:rsidRPr="008C3992">
        <w:rPr>
          <w:rFonts w:asciiTheme="majorBidi" w:hAnsiTheme="majorBidi" w:cstheme="majorBidi"/>
          <w:lang w:val="en-US"/>
        </w:rPr>
        <w:t>revisitée</w:t>
      </w:r>
      <w:proofErr w:type="spellEnd"/>
      <w:r w:rsidRPr="00382B5C">
        <w:rPr>
          <w:rFonts w:asciiTheme="majorBidi" w:hAnsiTheme="majorBidi" w:cstheme="majorBidi"/>
          <w:lang w:val="en-GB"/>
        </w:rPr>
        <w:t>”</w:t>
      </w:r>
      <w:r w:rsidRPr="008C3992">
        <w:rPr>
          <w:rFonts w:asciiTheme="majorBidi" w:hAnsiTheme="majorBidi" w:cstheme="majorBidi"/>
          <w:lang w:val="en-US"/>
        </w:rPr>
        <w:t xml:space="preserve">, </w:t>
      </w:r>
      <w:r w:rsidRPr="008C3992">
        <w:rPr>
          <w:rFonts w:asciiTheme="majorBidi" w:hAnsiTheme="majorBidi" w:cstheme="majorBidi"/>
          <w:i/>
          <w:iCs/>
          <w:lang w:val="en-US"/>
        </w:rPr>
        <w:t>Journal of the History of International Law</w:t>
      </w:r>
      <w:r w:rsidRPr="008C3992">
        <w:rPr>
          <w:rFonts w:asciiTheme="majorBidi" w:hAnsiTheme="majorBidi" w:cstheme="majorBidi"/>
          <w:lang w:val="en-US"/>
        </w:rPr>
        <w:t xml:space="preserve">, vol. 13(2) (2011), pp. 307-346. </w:t>
      </w:r>
    </w:p>
    <w:p w14:paraId="4C074924" w14:textId="77777777" w:rsidR="005A67A9" w:rsidRPr="00382B5C" w:rsidRDefault="005A67A9" w:rsidP="0019002B">
      <w:pPr>
        <w:spacing w:after="120" w:line="240" w:lineRule="auto"/>
        <w:ind w:left="1418" w:right="1134" w:hanging="284"/>
        <w:jc w:val="both"/>
        <w:rPr>
          <w:rFonts w:asciiTheme="majorBidi" w:hAnsiTheme="majorBidi" w:cstheme="majorBidi"/>
          <w:lang w:val="fr-FR"/>
        </w:rPr>
      </w:pPr>
      <w:bookmarkStart w:id="309" w:name="_Hlk160459284"/>
      <w:proofErr w:type="spellStart"/>
      <w:r w:rsidRPr="00382B5C">
        <w:rPr>
          <w:rFonts w:asciiTheme="majorBidi" w:hAnsiTheme="majorBidi" w:cstheme="majorBidi"/>
          <w:lang w:val="fr-FR"/>
        </w:rPr>
        <w:t>Ouedraogo</w:t>
      </w:r>
      <w:bookmarkEnd w:id="309"/>
      <w:proofErr w:type="spellEnd"/>
      <w:r w:rsidRPr="00382B5C">
        <w:rPr>
          <w:rFonts w:asciiTheme="majorBidi" w:hAnsiTheme="majorBidi" w:cstheme="majorBidi"/>
          <w:lang w:val="fr-FR"/>
        </w:rPr>
        <w:t xml:space="preserve">, </w:t>
      </w:r>
      <w:proofErr w:type="spellStart"/>
      <w:r w:rsidRPr="00382B5C">
        <w:rPr>
          <w:rFonts w:asciiTheme="majorBidi" w:hAnsiTheme="majorBidi" w:cstheme="majorBidi"/>
          <w:lang w:val="fr-FR"/>
        </w:rPr>
        <w:t>Awalou</w:t>
      </w:r>
      <w:proofErr w:type="spellEnd"/>
      <w:r w:rsidRPr="00382B5C">
        <w:rPr>
          <w:rFonts w:asciiTheme="majorBidi" w:hAnsiTheme="majorBidi" w:cstheme="majorBidi"/>
          <w:lang w:val="fr-FR"/>
        </w:rPr>
        <w:t xml:space="preserve">, “La due diligence en droit international : de la règle de la neutralité au principe général”, </w:t>
      </w:r>
      <w:r w:rsidRPr="00382B5C">
        <w:rPr>
          <w:rFonts w:asciiTheme="majorBidi" w:hAnsiTheme="majorBidi" w:cstheme="majorBidi"/>
          <w:i/>
          <w:iCs/>
          <w:lang w:val="fr-FR"/>
        </w:rPr>
        <w:t>Revue générale de droit</w:t>
      </w:r>
      <w:r w:rsidRPr="00382B5C">
        <w:rPr>
          <w:rFonts w:asciiTheme="majorBidi" w:hAnsiTheme="majorBidi" w:cstheme="majorBidi"/>
          <w:lang w:val="fr-FR"/>
        </w:rPr>
        <w:t xml:space="preserve">, vol. 42(2) (2012), pp. 641-683. </w:t>
      </w:r>
    </w:p>
    <w:p w14:paraId="4E8DB52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382B5C">
        <w:rPr>
          <w:rFonts w:asciiTheme="majorBidi" w:hAnsiTheme="majorBidi" w:cstheme="majorBidi"/>
          <w:lang w:val="es-ES"/>
        </w:rPr>
        <w:t>Papayannis</w:t>
      </w:r>
      <w:proofErr w:type="spellEnd"/>
      <w:r w:rsidRPr="00382B5C">
        <w:rPr>
          <w:rFonts w:asciiTheme="majorBidi" w:hAnsiTheme="majorBidi" w:cstheme="majorBidi"/>
          <w:lang w:val="es-ES"/>
        </w:rPr>
        <w:t>, Diego M., "Razonabilidad e incertidumbre en los estándares de diligencia." </w:t>
      </w:r>
      <w:proofErr w:type="spellStart"/>
      <w:r w:rsidRPr="008C3992">
        <w:rPr>
          <w:rFonts w:asciiTheme="majorBidi" w:hAnsiTheme="majorBidi" w:cstheme="majorBidi"/>
          <w:i/>
          <w:iCs/>
          <w:lang w:val="en-US"/>
        </w:rPr>
        <w:t>Isonomía</w:t>
      </w:r>
      <w:proofErr w:type="spellEnd"/>
      <w:r w:rsidRPr="008C3992">
        <w:rPr>
          <w:rFonts w:asciiTheme="majorBidi" w:hAnsiTheme="majorBidi" w:cstheme="majorBidi"/>
          <w:lang w:val="en-US"/>
        </w:rPr>
        <w:t xml:space="preserve"> 55 (2021), pp. 61-83. </w:t>
      </w:r>
    </w:p>
    <w:p w14:paraId="2D6B9986"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Peters, Anne, Heike Krieger, Leonhard Kreuzer, “Due Diligence: The Risky Risk Management Tool in International Law”, </w:t>
      </w:r>
      <w:r w:rsidRPr="008C3992">
        <w:rPr>
          <w:rFonts w:asciiTheme="majorBidi" w:hAnsiTheme="majorBidi" w:cstheme="majorBidi"/>
          <w:i/>
          <w:iCs/>
          <w:lang w:val="en-US"/>
        </w:rPr>
        <w:t>Cambridge International Law Journal</w:t>
      </w:r>
      <w:r w:rsidRPr="008C3992">
        <w:rPr>
          <w:rFonts w:asciiTheme="majorBidi" w:hAnsiTheme="majorBidi" w:cstheme="majorBidi"/>
          <w:lang w:val="en-US"/>
        </w:rPr>
        <w:t xml:space="preserve">, vol. 9(2) (2020), pp. 121-136. </w:t>
      </w:r>
    </w:p>
    <w:p w14:paraId="13ED62EE" w14:textId="77777777" w:rsidR="005A67A9" w:rsidRPr="00382B5C" w:rsidRDefault="005A67A9" w:rsidP="0019002B">
      <w:pPr>
        <w:spacing w:after="120" w:line="240" w:lineRule="auto"/>
        <w:ind w:left="1418" w:right="1134" w:hanging="284"/>
        <w:jc w:val="both"/>
        <w:rPr>
          <w:rFonts w:asciiTheme="majorBidi" w:hAnsiTheme="majorBidi" w:cstheme="majorBidi"/>
          <w:lang w:val="en-US"/>
        </w:rPr>
      </w:pPr>
      <w:r w:rsidRPr="00382B5C">
        <w:rPr>
          <w:rFonts w:asciiTheme="majorBidi" w:hAnsiTheme="majorBidi" w:cstheme="majorBidi"/>
          <w:lang w:val="es-ES"/>
        </w:rPr>
        <w:t>Piernas, Jorge, "El principio de diligencia debida en Derecho internacional y su aplicación al contexto cibernético." </w:t>
      </w:r>
      <w:proofErr w:type="spellStart"/>
      <w:r w:rsidRPr="008C3992">
        <w:rPr>
          <w:rFonts w:asciiTheme="majorBidi" w:hAnsiTheme="majorBidi" w:cstheme="majorBidi"/>
          <w:i/>
          <w:iCs/>
          <w:lang w:val="en-US"/>
        </w:rPr>
        <w:t>Anales</w:t>
      </w:r>
      <w:proofErr w:type="spellEnd"/>
      <w:r w:rsidRPr="008C3992">
        <w:rPr>
          <w:rFonts w:asciiTheme="majorBidi" w:hAnsiTheme="majorBidi" w:cstheme="majorBidi"/>
          <w:i/>
          <w:iCs/>
          <w:lang w:val="en-US"/>
        </w:rPr>
        <w:t xml:space="preserve"> de Derecho</w:t>
      </w:r>
      <w:r w:rsidRPr="008C3992">
        <w:rPr>
          <w:rFonts w:asciiTheme="majorBidi" w:hAnsiTheme="majorBidi" w:cstheme="majorBidi"/>
          <w:lang w:val="en-US"/>
        </w:rPr>
        <w:t>, vol. 41(1) (2024), pp. 66-95.</w:t>
      </w:r>
    </w:p>
    <w:p w14:paraId="14F8EF3F"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Pisillo-Mazzeschi</w:t>
      </w:r>
      <w:proofErr w:type="spellEnd"/>
      <w:r w:rsidRPr="008C3992">
        <w:rPr>
          <w:rFonts w:asciiTheme="majorBidi" w:hAnsiTheme="majorBidi" w:cstheme="majorBidi"/>
          <w:lang w:val="en-US"/>
        </w:rPr>
        <w:t xml:space="preserve">, Riccardo, “Forms of International Responsibility for Environmental Harm” in Francesco Francioni, Tullio </w:t>
      </w:r>
      <w:proofErr w:type="spellStart"/>
      <w:r w:rsidRPr="008C3992">
        <w:rPr>
          <w:rFonts w:asciiTheme="majorBidi" w:hAnsiTheme="majorBidi" w:cstheme="majorBidi"/>
          <w:lang w:val="en-US"/>
        </w:rPr>
        <w:t>Scovazzi</w:t>
      </w:r>
      <w:proofErr w:type="spellEnd"/>
      <w:r w:rsidRPr="008C3992">
        <w:rPr>
          <w:rFonts w:asciiTheme="majorBidi" w:hAnsiTheme="majorBidi" w:cstheme="majorBidi"/>
          <w:lang w:val="en-US"/>
        </w:rPr>
        <w:t xml:space="preserve"> (eds.), </w:t>
      </w:r>
      <w:r w:rsidRPr="008C3992">
        <w:rPr>
          <w:rFonts w:asciiTheme="majorBidi" w:hAnsiTheme="majorBidi" w:cstheme="majorBidi"/>
          <w:i/>
          <w:iCs/>
          <w:lang w:val="en-US"/>
        </w:rPr>
        <w:t>International Responsibility for Environmental Harm</w:t>
      </w:r>
      <w:r w:rsidRPr="008C3992">
        <w:rPr>
          <w:rFonts w:asciiTheme="majorBidi" w:hAnsiTheme="majorBidi" w:cstheme="majorBidi"/>
          <w:lang w:val="en-US"/>
        </w:rPr>
        <w:t xml:space="preserve"> (London: Graham &amp; Trotman, 1991), pp. 15-35.</w:t>
      </w:r>
    </w:p>
    <w:p w14:paraId="2CFF12DD"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Pisillo-Mazzeschi</w:t>
      </w:r>
      <w:proofErr w:type="spellEnd"/>
      <w:r w:rsidRPr="008C3992">
        <w:rPr>
          <w:rFonts w:asciiTheme="majorBidi" w:hAnsiTheme="majorBidi" w:cstheme="majorBidi"/>
          <w:lang w:val="en-US"/>
        </w:rPr>
        <w:t xml:space="preserve">, Riccardo, “The Due Diligence Rule and the Nature of the International Responsibility of States”, </w:t>
      </w:r>
      <w:r w:rsidRPr="008C3992">
        <w:rPr>
          <w:rFonts w:asciiTheme="majorBidi" w:hAnsiTheme="majorBidi" w:cstheme="majorBidi"/>
          <w:i/>
          <w:iCs/>
          <w:lang w:val="en-US"/>
        </w:rPr>
        <w:t>German Yearbook of International Law</w:t>
      </w:r>
      <w:r w:rsidRPr="008C3992">
        <w:rPr>
          <w:rFonts w:asciiTheme="majorBidi" w:hAnsiTheme="majorBidi" w:cstheme="majorBidi"/>
          <w:lang w:val="en-US"/>
        </w:rPr>
        <w:t xml:space="preserve">, vol. 35 (1992), pp. 9-51.  </w:t>
      </w:r>
    </w:p>
    <w:p w14:paraId="50836CFE"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382B5C">
        <w:rPr>
          <w:rFonts w:asciiTheme="majorBidi" w:hAnsiTheme="majorBidi" w:cstheme="majorBidi"/>
          <w:lang w:val="es-ES"/>
        </w:rPr>
        <w:t>Pizarro Wilson, Carlos. "La culpa como elemento constitutivo del incumplimiento en las obligaciones de medio o de diligencia." </w:t>
      </w:r>
      <w:proofErr w:type="spellStart"/>
      <w:r w:rsidRPr="008C3992">
        <w:rPr>
          <w:rFonts w:asciiTheme="majorBidi" w:hAnsiTheme="majorBidi" w:cstheme="majorBidi"/>
          <w:i/>
          <w:iCs/>
          <w:lang w:val="en-US"/>
        </w:rPr>
        <w:t>Revista</w:t>
      </w:r>
      <w:proofErr w:type="spellEnd"/>
      <w:r w:rsidRPr="008C3992">
        <w:rPr>
          <w:rFonts w:asciiTheme="majorBidi" w:hAnsiTheme="majorBidi" w:cstheme="majorBidi"/>
          <w:i/>
          <w:iCs/>
          <w:lang w:val="en-US"/>
        </w:rPr>
        <w:t xml:space="preserve"> de derecho (Valparaíso)</w:t>
      </w:r>
      <w:r w:rsidRPr="008C3992">
        <w:rPr>
          <w:rFonts w:asciiTheme="majorBidi" w:hAnsiTheme="majorBidi" w:cstheme="majorBidi"/>
          <w:lang w:val="en-US"/>
        </w:rPr>
        <w:t> 31 (2008): 255-265.</w:t>
      </w:r>
    </w:p>
    <w:p w14:paraId="5CF93BC4"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Rheinberger</w:t>
      </w:r>
      <w:proofErr w:type="spellEnd"/>
      <w:r w:rsidRPr="008C3992">
        <w:rPr>
          <w:rFonts w:asciiTheme="majorBidi" w:hAnsiTheme="majorBidi" w:cstheme="majorBidi"/>
          <w:lang w:val="en-US"/>
        </w:rPr>
        <w:t xml:space="preserve">, Brigitte, and Nicola Pain, “The Due Diligence Principle from International to Domestic Law: Applying the Principle in Practice”, </w:t>
      </w:r>
      <w:r w:rsidRPr="008C3992">
        <w:rPr>
          <w:rFonts w:asciiTheme="majorBidi" w:hAnsiTheme="majorBidi" w:cstheme="majorBidi"/>
          <w:i/>
          <w:iCs/>
          <w:lang w:val="en-US"/>
        </w:rPr>
        <w:t>Australian International Law Journal</w:t>
      </w:r>
      <w:r w:rsidRPr="008C3992">
        <w:rPr>
          <w:rFonts w:asciiTheme="majorBidi" w:hAnsiTheme="majorBidi" w:cstheme="majorBidi"/>
          <w:lang w:val="en-US"/>
        </w:rPr>
        <w:t xml:space="preserve">, vol. 25 (2018), pp. 81-101. </w:t>
      </w:r>
    </w:p>
    <w:p w14:paraId="6076B2D5" w14:textId="247888C3"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Roguski, Przemysław, “Application of International Law to Cyber Operations: A Comparative Analysis of States</w:t>
      </w:r>
      <w:r w:rsidR="004C5E26">
        <w:rPr>
          <w:rFonts w:asciiTheme="majorBidi" w:hAnsiTheme="majorBidi" w:cstheme="majorBidi"/>
          <w:lang w:val="en-US"/>
        </w:rPr>
        <w:t>’</w:t>
      </w:r>
      <w:r w:rsidRPr="008C3992">
        <w:rPr>
          <w:rFonts w:asciiTheme="majorBidi" w:hAnsiTheme="majorBidi" w:cstheme="majorBidi"/>
          <w:lang w:val="en-US"/>
        </w:rPr>
        <w:t xml:space="preserve"> Views”, </w:t>
      </w:r>
      <w:r w:rsidRPr="008C3992">
        <w:rPr>
          <w:rFonts w:asciiTheme="majorBidi" w:hAnsiTheme="majorBidi" w:cstheme="majorBidi"/>
          <w:i/>
          <w:iCs/>
          <w:lang w:val="en-US"/>
        </w:rPr>
        <w:t>The Hague Program for Cyber Norms Policy Brief</w:t>
      </w:r>
      <w:r w:rsidRPr="008C3992">
        <w:rPr>
          <w:rFonts w:asciiTheme="majorBidi" w:hAnsiTheme="majorBidi" w:cstheme="majorBidi"/>
          <w:lang w:val="en-US"/>
        </w:rPr>
        <w:t xml:space="preserve"> (2020).</w:t>
      </w:r>
    </w:p>
    <w:p w14:paraId="44B76D0C" w14:textId="498057EF"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lastRenderedPageBreak/>
        <w:t>Ruggie</w:t>
      </w:r>
      <w:proofErr w:type="spellEnd"/>
      <w:r w:rsidRPr="008C3992">
        <w:rPr>
          <w:rFonts w:asciiTheme="majorBidi" w:hAnsiTheme="majorBidi" w:cstheme="majorBidi"/>
          <w:lang w:val="en-US"/>
        </w:rPr>
        <w:t>, John Gerard, and John F Sherman, III, “The Concept of Due Diligence</w:t>
      </w:r>
      <w:r w:rsidR="004C5E26">
        <w:rPr>
          <w:rFonts w:asciiTheme="majorBidi" w:hAnsiTheme="majorBidi" w:cstheme="majorBidi"/>
          <w:lang w:val="en-US"/>
        </w:rPr>
        <w:t>’</w:t>
      </w:r>
      <w:r w:rsidRPr="008C3992">
        <w:rPr>
          <w:rFonts w:asciiTheme="majorBidi" w:hAnsiTheme="majorBidi" w:cstheme="majorBidi"/>
          <w:lang w:val="en-US"/>
        </w:rPr>
        <w:t xml:space="preserve"> in the UN Guiding Principles on Business and Human Rights: A Reply to Johnathan </w:t>
      </w:r>
      <w:proofErr w:type="spellStart"/>
      <w:r w:rsidRPr="008C3992">
        <w:rPr>
          <w:rFonts w:asciiTheme="majorBidi" w:hAnsiTheme="majorBidi" w:cstheme="majorBidi"/>
          <w:lang w:val="en-US"/>
        </w:rPr>
        <w:t>Bonnitcha</w:t>
      </w:r>
      <w:proofErr w:type="spellEnd"/>
      <w:r w:rsidRPr="008C3992">
        <w:rPr>
          <w:rFonts w:asciiTheme="majorBidi" w:hAnsiTheme="majorBidi" w:cstheme="majorBidi"/>
          <w:lang w:val="en-US"/>
        </w:rPr>
        <w:t xml:space="preserve"> and Robert McCorquodale”,</w:t>
      </w:r>
      <w:r w:rsidRPr="008C3992">
        <w:rPr>
          <w:rFonts w:asciiTheme="majorBidi" w:hAnsiTheme="majorBidi" w:cstheme="majorBidi"/>
          <w:i/>
          <w:iCs/>
          <w:lang w:val="en-US"/>
        </w:rPr>
        <w:t xml:space="preserve"> The</w:t>
      </w:r>
      <w:r w:rsidRPr="008C3992">
        <w:rPr>
          <w:rFonts w:asciiTheme="majorBidi" w:hAnsiTheme="majorBidi" w:cstheme="majorBidi"/>
          <w:lang w:val="en-US"/>
        </w:rPr>
        <w:t xml:space="preserve"> </w:t>
      </w:r>
      <w:r w:rsidRPr="008C3992">
        <w:rPr>
          <w:rFonts w:asciiTheme="majorBidi" w:hAnsiTheme="majorBidi" w:cstheme="majorBidi"/>
          <w:i/>
          <w:iCs/>
          <w:lang w:val="en-US"/>
        </w:rPr>
        <w:t>European Journal of International Law</w:t>
      </w:r>
      <w:r w:rsidRPr="008C3992">
        <w:rPr>
          <w:rFonts w:asciiTheme="majorBidi" w:hAnsiTheme="majorBidi" w:cstheme="majorBidi"/>
          <w:lang w:val="en-US"/>
        </w:rPr>
        <w:t>, vol. 28(3) (2017), pp. 921-928.</w:t>
      </w:r>
    </w:p>
    <w:p w14:paraId="4BDF2CC4"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Samuel, Katja L. H., and Silvia Venier, “The Due Diligence Obligations of International </w:t>
      </w:r>
      <w:proofErr w:type="spellStart"/>
      <w:r w:rsidRPr="008C3992">
        <w:rPr>
          <w:rFonts w:asciiTheme="majorBidi" w:hAnsiTheme="majorBidi" w:cstheme="majorBidi"/>
          <w:lang w:val="en-US"/>
        </w:rPr>
        <w:t>Organisations</w:t>
      </w:r>
      <w:proofErr w:type="spellEnd"/>
      <w:r w:rsidRPr="008C3992">
        <w:rPr>
          <w:rFonts w:asciiTheme="majorBidi" w:hAnsiTheme="majorBidi" w:cstheme="majorBidi"/>
          <w:lang w:val="en-US"/>
        </w:rPr>
        <w:t xml:space="preserve"> Engaged in Disaster Management” in Sergey </w:t>
      </w:r>
      <w:proofErr w:type="spellStart"/>
      <w:r w:rsidRPr="008C3992">
        <w:rPr>
          <w:rFonts w:asciiTheme="majorBidi" w:hAnsiTheme="majorBidi" w:cstheme="majorBidi"/>
          <w:lang w:val="en-US"/>
        </w:rPr>
        <w:t>Sayapin</w:t>
      </w:r>
      <w:proofErr w:type="spellEnd"/>
      <w:r w:rsidRPr="008C3992">
        <w:rPr>
          <w:rFonts w:asciiTheme="majorBidi" w:hAnsiTheme="majorBidi" w:cstheme="majorBidi"/>
          <w:lang w:val="en-US"/>
        </w:rPr>
        <w:t xml:space="preserve"> </w:t>
      </w:r>
      <w:r w:rsidRPr="008C3992">
        <w:rPr>
          <w:rFonts w:asciiTheme="majorBidi" w:hAnsiTheme="majorBidi" w:cstheme="majorBidi"/>
          <w:i/>
          <w:iCs/>
          <w:lang w:val="en-US"/>
        </w:rPr>
        <w:t>et al.</w:t>
      </w:r>
      <w:r w:rsidRPr="008C3992">
        <w:rPr>
          <w:rFonts w:asciiTheme="majorBidi" w:hAnsiTheme="majorBidi" w:cstheme="majorBidi"/>
          <w:lang w:val="en-US"/>
        </w:rPr>
        <w:t xml:space="preserve"> (eds.), </w:t>
      </w:r>
      <w:r w:rsidRPr="008C3992">
        <w:rPr>
          <w:rFonts w:asciiTheme="majorBidi" w:hAnsiTheme="majorBidi" w:cstheme="majorBidi"/>
          <w:i/>
          <w:iCs/>
          <w:lang w:val="en-US"/>
        </w:rPr>
        <w:t>International Conflict and Security Law: A Research Handbook</w:t>
      </w:r>
      <w:r w:rsidRPr="008C3992">
        <w:rPr>
          <w:rFonts w:asciiTheme="majorBidi" w:hAnsiTheme="majorBidi" w:cstheme="majorBidi"/>
          <w:lang w:val="en-US"/>
        </w:rPr>
        <w:t xml:space="preserve"> (The Hague: T.M.C. Asser Press, 2022), pp. 527-551.</w:t>
      </w:r>
    </w:p>
    <w:p w14:paraId="4BC53903"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Schmid, Evelyne, and Ayse Özge </w:t>
      </w:r>
      <w:proofErr w:type="spellStart"/>
      <w:r w:rsidRPr="008C3992">
        <w:rPr>
          <w:rFonts w:asciiTheme="majorBidi" w:hAnsiTheme="majorBidi" w:cstheme="majorBidi"/>
          <w:lang w:val="en-US"/>
        </w:rPr>
        <w:t>Erceis</w:t>
      </w:r>
      <w:proofErr w:type="spellEnd"/>
      <w:r w:rsidRPr="008C3992">
        <w:rPr>
          <w:rFonts w:asciiTheme="majorBidi" w:hAnsiTheme="majorBidi" w:cstheme="majorBidi"/>
          <w:lang w:val="en-US"/>
        </w:rPr>
        <w:t xml:space="preserve">, “The Attribution of Omissions: Due Diligence in Cyberspace and State Responsibility”, </w:t>
      </w:r>
      <w:r w:rsidRPr="008C3992">
        <w:rPr>
          <w:rFonts w:asciiTheme="majorBidi" w:hAnsiTheme="majorBidi" w:cstheme="majorBidi"/>
          <w:i/>
          <w:iCs/>
          <w:lang w:val="en-US"/>
        </w:rPr>
        <w:t>Swiss Review of International and European Law</w:t>
      </w:r>
      <w:r w:rsidRPr="008C3992">
        <w:rPr>
          <w:rFonts w:asciiTheme="majorBidi" w:hAnsiTheme="majorBidi" w:cstheme="majorBidi"/>
          <w:lang w:val="en-US"/>
        </w:rPr>
        <w:t xml:space="preserve">, vol. 33(4) (2023), pp. 577-596. </w:t>
      </w:r>
    </w:p>
    <w:p w14:paraId="682911D0"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Schmitt, Michael N., “In Defense of Due Diligence in Cyberspace”, </w:t>
      </w:r>
      <w:r w:rsidRPr="008C3992">
        <w:rPr>
          <w:rFonts w:asciiTheme="majorBidi" w:hAnsiTheme="majorBidi" w:cstheme="majorBidi"/>
          <w:i/>
          <w:iCs/>
          <w:lang w:val="en-US"/>
        </w:rPr>
        <w:t>Yale Law Journal Forum</w:t>
      </w:r>
      <w:r w:rsidRPr="008C3992">
        <w:rPr>
          <w:rFonts w:asciiTheme="majorBidi" w:hAnsiTheme="majorBidi" w:cstheme="majorBidi"/>
          <w:lang w:val="en-US"/>
        </w:rPr>
        <w:t xml:space="preserve">, vol. 125 (2015), pp. 68-81. </w:t>
      </w:r>
    </w:p>
    <w:p w14:paraId="0A9D3DB8"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Scott, Richard Mackenzie-Gray, “Due Diligence as a Secondary Rule of General International Law”, </w:t>
      </w:r>
      <w:r w:rsidRPr="008C3992">
        <w:rPr>
          <w:rFonts w:asciiTheme="majorBidi" w:hAnsiTheme="majorBidi" w:cstheme="majorBidi"/>
          <w:i/>
          <w:iCs/>
          <w:lang w:val="en-US"/>
        </w:rPr>
        <w:t>Leiden Journal of International Law</w:t>
      </w:r>
      <w:r w:rsidRPr="008C3992">
        <w:rPr>
          <w:rFonts w:asciiTheme="majorBidi" w:hAnsiTheme="majorBidi" w:cstheme="majorBidi"/>
          <w:lang w:val="en-US"/>
        </w:rPr>
        <w:t>, vol. 34(2) (2021), pp. 343-372.</w:t>
      </w:r>
    </w:p>
    <w:p w14:paraId="4D557790"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Seibert-Fohr, Anja, “From Complicity to Due Diligence: When Do States Incur Responsibility for Their Involvement in Serious International Wrongdoing?”, </w:t>
      </w:r>
      <w:r w:rsidRPr="008C3992">
        <w:rPr>
          <w:rFonts w:asciiTheme="majorBidi" w:hAnsiTheme="majorBidi" w:cstheme="majorBidi"/>
          <w:i/>
          <w:iCs/>
          <w:lang w:val="en-US"/>
        </w:rPr>
        <w:t>German Yearbook of International Law</w:t>
      </w:r>
      <w:r w:rsidRPr="008C3992">
        <w:rPr>
          <w:rFonts w:asciiTheme="majorBidi" w:hAnsiTheme="majorBidi" w:cstheme="majorBidi"/>
          <w:lang w:val="en-US"/>
        </w:rPr>
        <w:t>, vol. 60 (2017), pp. 667-708.</w:t>
      </w:r>
    </w:p>
    <w:p w14:paraId="62D8A03C"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Seršić</w:t>
      </w:r>
      <w:proofErr w:type="spellEnd"/>
      <w:r w:rsidRPr="008C3992">
        <w:rPr>
          <w:rFonts w:asciiTheme="majorBidi" w:hAnsiTheme="majorBidi" w:cstheme="majorBidi"/>
          <w:lang w:val="en-US"/>
        </w:rPr>
        <w:t xml:space="preserve">, Maja, “Due Diligence: Fault-Based Responsibility or Autonomous Standard?” in Rüdiger Wolfrum, Maja </w:t>
      </w:r>
      <w:proofErr w:type="spellStart"/>
      <w:r w:rsidRPr="008C3992">
        <w:rPr>
          <w:rFonts w:asciiTheme="majorBidi" w:hAnsiTheme="majorBidi" w:cstheme="majorBidi"/>
          <w:lang w:val="en-US"/>
        </w:rPr>
        <w:t>Seršić</w:t>
      </w:r>
      <w:proofErr w:type="spellEnd"/>
      <w:r w:rsidRPr="008C3992">
        <w:rPr>
          <w:rFonts w:asciiTheme="majorBidi" w:hAnsiTheme="majorBidi" w:cstheme="majorBidi"/>
          <w:lang w:val="en-US"/>
        </w:rPr>
        <w:t xml:space="preserve">, </w:t>
      </w:r>
      <w:proofErr w:type="spellStart"/>
      <w:r w:rsidRPr="008C3992">
        <w:rPr>
          <w:rFonts w:asciiTheme="majorBidi" w:hAnsiTheme="majorBidi" w:cstheme="majorBidi"/>
          <w:lang w:val="en-US"/>
        </w:rPr>
        <w:t>Trpimir</w:t>
      </w:r>
      <w:proofErr w:type="spellEnd"/>
      <w:r w:rsidRPr="008C3992">
        <w:rPr>
          <w:rFonts w:asciiTheme="majorBidi" w:hAnsiTheme="majorBidi" w:cstheme="majorBidi"/>
          <w:lang w:val="en-US"/>
        </w:rPr>
        <w:t xml:space="preserve"> M. </w:t>
      </w:r>
      <w:proofErr w:type="spellStart"/>
      <w:r w:rsidRPr="008C3992">
        <w:rPr>
          <w:rFonts w:asciiTheme="majorBidi" w:hAnsiTheme="majorBidi" w:cstheme="majorBidi"/>
          <w:lang w:val="en-US"/>
        </w:rPr>
        <w:t>Šošić</w:t>
      </w:r>
      <w:proofErr w:type="spellEnd"/>
      <w:r w:rsidRPr="008C3992">
        <w:rPr>
          <w:rFonts w:asciiTheme="majorBidi" w:hAnsiTheme="majorBidi" w:cstheme="majorBidi"/>
          <w:lang w:val="en-US"/>
        </w:rPr>
        <w:t xml:space="preserve"> (eds.), </w:t>
      </w:r>
      <w:r w:rsidRPr="008C3992">
        <w:rPr>
          <w:rFonts w:asciiTheme="majorBidi" w:hAnsiTheme="majorBidi" w:cstheme="majorBidi"/>
          <w:i/>
          <w:iCs/>
          <w:lang w:val="en-US"/>
        </w:rPr>
        <w:t xml:space="preserve">Contemporary Developments in International Law: Essays in </w:t>
      </w:r>
      <w:proofErr w:type="spellStart"/>
      <w:r w:rsidRPr="008C3992">
        <w:rPr>
          <w:rFonts w:asciiTheme="majorBidi" w:hAnsiTheme="majorBidi" w:cstheme="majorBidi"/>
          <w:i/>
          <w:iCs/>
          <w:lang w:val="en-US"/>
        </w:rPr>
        <w:t>Honour</w:t>
      </w:r>
      <w:proofErr w:type="spellEnd"/>
      <w:r w:rsidRPr="008C3992">
        <w:rPr>
          <w:rFonts w:asciiTheme="majorBidi" w:hAnsiTheme="majorBidi" w:cstheme="majorBidi"/>
          <w:i/>
          <w:iCs/>
          <w:lang w:val="en-US"/>
        </w:rPr>
        <w:t xml:space="preserve"> of Budislav Vukas</w:t>
      </w:r>
      <w:r w:rsidRPr="008C3992">
        <w:rPr>
          <w:rFonts w:asciiTheme="majorBidi" w:hAnsiTheme="majorBidi" w:cstheme="majorBidi"/>
          <w:lang w:val="en-US"/>
        </w:rPr>
        <w:t xml:space="preserve"> (Leiden/Boston: </w:t>
      </w:r>
      <w:proofErr w:type="spellStart"/>
      <w:r w:rsidRPr="008C3992">
        <w:rPr>
          <w:rFonts w:asciiTheme="majorBidi" w:hAnsiTheme="majorBidi" w:cstheme="majorBidi"/>
          <w:lang w:val="en-US"/>
        </w:rPr>
        <w:t>Brill|Nijhoff</w:t>
      </w:r>
      <w:proofErr w:type="spellEnd"/>
      <w:r w:rsidRPr="008C3992">
        <w:rPr>
          <w:rFonts w:asciiTheme="majorBidi" w:hAnsiTheme="majorBidi" w:cstheme="majorBidi"/>
          <w:lang w:val="en-US"/>
        </w:rPr>
        <w:t>, 2015), pp. 151-160.</w:t>
      </w:r>
    </w:p>
    <w:p w14:paraId="2B87FE3B"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Shackelford, Scott J., Scott Russell, Andreas Kuehn, “Unpacking the International Law on Cybersecurity Due Diligence: Lessons from the Public and Private Sectors”, </w:t>
      </w:r>
      <w:r w:rsidRPr="008C3992">
        <w:rPr>
          <w:rFonts w:asciiTheme="majorBidi" w:hAnsiTheme="majorBidi" w:cstheme="majorBidi"/>
          <w:i/>
          <w:iCs/>
          <w:lang w:val="en-US"/>
        </w:rPr>
        <w:t>Chicago Journal of International Law</w:t>
      </w:r>
      <w:r w:rsidRPr="008C3992">
        <w:rPr>
          <w:rFonts w:asciiTheme="majorBidi" w:hAnsiTheme="majorBidi" w:cstheme="majorBidi"/>
          <w:lang w:val="en-US"/>
        </w:rPr>
        <w:t xml:space="preserve">, vol. 17(1) (2016), pp. 1-50. </w:t>
      </w:r>
    </w:p>
    <w:p w14:paraId="1B30EE82" w14:textId="2EA2DA27" w:rsidR="005A67A9" w:rsidRPr="00382B5C" w:rsidRDefault="005A67A9" w:rsidP="0019002B">
      <w:pPr>
        <w:spacing w:after="120" w:line="240" w:lineRule="auto"/>
        <w:ind w:left="1418" w:right="1134" w:hanging="284"/>
        <w:jc w:val="both"/>
        <w:rPr>
          <w:rFonts w:asciiTheme="majorBidi" w:hAnsiTheme="majorBidi" w:cstheme="majorBidi"/>
          <w:lang w:val="fr-FR"/>
        </w:rPr>
      </w:pPr>
      <w:r w:rsidRPr="00382B5C">
        <w:rPr>
          <w:rFonts w:asciiTheme="majorBidi" w:hAnsiTheme="majorBidi" w:cstheme="majorBidi"/>
          <w:lang w:val="fr-FR"/>
        </w:rPr>
        <w:t>Simo, Emmanuel, “Réflexions épistémologiques sur l</w:t>
      </w:r>
      <w:r w:rsidR="004C5E26">
        <w:rPr>
          <w:rFonts w:asciiTheme="majorBidi" w:hAnsiTheme="majorBidi" w:cstheme="majorBidi"/>
          <w:lang w:val="fr-FR"/>
        </w:rPr>
        <w:t>’</w:t>
      </w:r>
      <w:r w:rsidRPr="00382B5C">
        <w:rPr>
          <w:rFonts w:asciiTheme="majorBidi" w:hAnsiTheme="majorBidi" w:cstheme="majorBidi"/>
          <w:lang w:val="fr-FR"/>
        </w:rPr>
        <w:t>illicéité résultant de l</w:t>
      </w:r>
      <w:r w:rsidR="004C5E26">
        <w:rPr>
          <w:rFonts w:asciiTheme="majorBidi" w:hAnsiTheme="majorBidi" w:cstheme="majorBidi"/>
          <w:lang w:val="fr-FR"/>
        </w:rPr>
        <w:t>’</w:t>
      </w:r>
      <w:r w:rsidRPr="00382B5C">
        <w:rPr>
          <w:rFonts w:asciiTheme="majorBidi" w:hAnsiTheme="majorBidi" w:cstheme="majorBidi"/>
          <w:lang w:val="fr-FR"/>
        </w:rPr>
        <w:t xml:space="preserve">incompatibilité du droit interne par rapport au droit international”, </w:t>
      </w:r>
      <w:r w:rsidRPr="00382B5C">
        <w:rPr>
          <w:rFonts w:asciiTheme="majorBidi" w:hAnsiTheme="majorBidi" w:cstheme="majorBidi"/>
          <w:i/>
          <w:iCs/>
          <w:lang w:val="fr-FR"/>
        </w:rPr>
        <w:t>Annuaire canadien de droit international</w:t>
      </w:r>
      <w:r w:rsidRPr="00382B5C">
        <w:rPr>
          <w:rFonts w:asciiTheme="majorBidi" w:hAnsiTheme="majorBidi" w:cstheme="majorBidi"/>
          <w:lang w:val="fr-FR"/>
        </w:rPr>
        <w:t>, vol. 59 (2022), pp. 36-79.</w:t>
      </w:r>
    </w:p>
    <w:p w14:paraId="3F3AB93C" w14:textId="77777777" w:rsidR="005A67A9" w:rsidRPr="00382B5C" w:rsidRDefault="005A67A9" w:rsidP="0019002B">
      <w:pPr>
        <w:spacing w:after="120" w:line="240" w:lineRule="auto"/>
        <w:ind w:left="1418" w:right="1134" w:hanging="284"/>
        <w:jc w:val="both"/>
        <w:rPr>
          <w:rFonts w:asciiTheme="majorBidi" w:hAnsiTheme="majorBidi" w:cstheme="majorBidi"/>
          <w:lang w:val="fr-FR"/>
        </w:rPr>
      </w:pPr>
      <w:r w:rsidRPr="00382B5C">
        <w:rPr>
          <w:rFonts w:asciiTheme="majorBidi" w:hAnsiTheme="majorBidi" w:cstheme="majorBidi"/>
          <w:lang w:val="fr-FR"/>
        </w:rPr>
        <w:t xml:space="preserve">So, </w:t>
      </w:r>
      <w:proofErr w:type="spellStart"/>
      <w:r w:rsidRPr="00382B5C">
        <w:rPr>
          <w:rFonts w:asciiTheme="majorBidi" w:hAnsiTheme="majorBidi" w:cstheme="majorBidi"/>
          <w:lang w:val="fr-FR"/>
        </w:rPr>
        <w:t>Byungchun</w:t>
      </w:r>
      <w:proofErr w:type="spellEnd"/>
      <w:r w:rsidRPr="00382B5C">
        <w:rPr>
          <w:rFonts w:asciiTheme="majorBidi" w:hAnsiTheme="majorBidi" w:cstheme="majorBidi"/>
          <w:lang w:val="fr-FR"/>
        </w:rPr>
        <w:t xml:space="preserve">, “Due Diligence in Prevention </w:t>
      </w:r>
      <w:proofErr w:type="spellStart"/>
      <w:r w:rsidRPr="00382B5C">
        <w:rPr>
          <w:rFonts w:asciiTheme="majorBidi" w:hAnsiTheme="majorBidi" w:cstheme="majorBidi"/>
          <w:lang w:val="fr-FR"/>
        </w:rPr>
        <w:t>Principle</w:t>
      </w:r>
      <w:proofErr w:type="spellEnd"/>
      <w:r w:rsidRPr="00382B5C">
        <w:rPr>
          <w:rFonts w:asciiTheme="majorBidi" w:hAnsiTheme="majorBidi" w:cstheme="majorBidi"/>
          <w:lang w:val="fr-FR"/>
        </w:rPr>
        <w:t xml:space="preserve"> in International </w:t>
      </w:r>
      <w:proofErr w:type="spellStart"/>
      <w:r w:rsidRPr="00382B5C">
        <w:rPr>
          <w:rFonts w:asciiTheme="majorBidi" w:hAnsiTheme="majorBidi" w:cstheme="majorBidi"/>
          <w:lang w:val="fr-FR"/>
        </w:rPr>
        <w:t>Environmental</w:t>
      </w:r>
      <w:proofErr w:type="spellEnd"/>
      <w:r w:rsidRPr="00382B5C">
        <w:rPr>
          <w:rFonts w:asciiTheme="majorBidi" w:hAnsiTheme="majorBidi" w:cstheme="majorBidi"/>
          <w:lang w:val="fr-FR"/>
        </w:rPr>
        <w:t xml:space="preserve"> Law – </w:t>
      </w:r>
      <w:proofErr w:type="spellStart"/>
      <w:r w:rsidRPr="00382B5C">
        <w:rPr>
          <w:rFonts w:asciiTheme="majorBidi" w:hAnsiTheme="majorBidi" w:cstheme="majorBidi"/>
          <w:lang w:val="fr-FR"/>
        </w:rPr>
        <w:t>Focusing</w:t>
      </w:r>
      <w:proofErr w:type="spellEnd"/>
      <w:r w:rsidRPr="00382B5C">
        <w:rPr>
          <w:rFonts w:asciiTheme="majorBidi" w:hAnsiTheme="majorBidi" w:cstheme="majorBidi"/>
          <w:lang w:val="fr-FR"/>
        </w:rPr>
        <w:t xml:space="preserve"> on Transnational EIA”, </w:t>
      </w:r>
      <w:proofErr w:type="spellStart"/>
      <w:r w:rsidRPr="00382B5C">
        <w:rPr>
          <w:rFonts w:asciiTheme="majorBidi" w:hAnsiTheme="majorBidi" w:cstheme="majorBidi"/>
          <w:i/>
          <w:iCs/>
          <w:lang w:val="fr-FR"/>
        </w:rPr>
        <w:t>Korean</w:t>
      </w:r>
      <w:proofErr w:type="spellEnd"/>
      <w:r w:rsidRPr="00382B5C">
        <w:rPr>
          <w:rFonts w:asciiTheme="majorBidi" w:hAnsiTheme="majorBidi" w:cstheme="majorBidi"/>
          <w:i/>
          <w:iCs/>
          <w:lang w:val="fr-FR"/>
        </w:rPr>
        <w:t xml:space="preserve"> Journal of International Law</w:t>
      </w:r>
      <w:r w:rsidRPr="00382B5C">
        <w:rPr>
          <w:rFonts w:asciiTheme="majorBidi" w:hAnsiTheme="majorBidi" w:cstheme="majorBidi"/>
          <w:lang w:val="fr-FR"/>
        </w:rPr>
        <w:t>, Vol. 66 No. 4 (2021), pp. 97-130 (2021) [</w:t>
      </w:r>
      <w:proofErr w:type="spellStart"/>
      <w:r w:rsidRPr="00382B5C">
        <w:rPr>
          <w:rFonts w:asciiTheme="majorBidi" w:eastAsia="Malgun Gothic" w:hAnsiTheme="majorBidi" w:cstheme="majorBidi"/>
          <w:lang w:val="en-US"/>
        </w:rPr>
        <w:t>소병천</w:t>
      </w:r>
      <w:proofErr w:type="spellEnd"/>
      <w:r w:rsidRPr="00382B5C">
        <w:rPr>
          <w:rFonts w:asciiTheme="majorBidi" w:hAnsiTheme="majorBidi" w:cstheme="majorBidi"/>
          <w:lang w:val="fr-FR"/>
        </w:rPr>
        <w:t>, “</w:t>
      </w:r>
      <w:proofErr w:type="spellStart"/>
      <w:r w:rsidRPr="00382B5C">
        <w:rPr>
          <w:rFonts w:asciiTheme="majorBidi" w:eastAsia="Malgun Gothic" w:hAnsiTheme="majorBidi" w:cstheme="majorBidi"/>
          <w:lang w:val="en-US"/>
        </w:rPr>
        <w:t>국제환경법의</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예방원칙과</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상당한</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주의</w:t>
      </w:r>
      <w:proofErr w:type="spellEnd"/>
      <w:r w:rsidRPr="00382B5C">
        <w:rPr>
          <w:rFonts w:asciiTheme="majorBidi" w:hAnsiTheme="majorBidi" w:cstheme="majorBidi"/>
          <w:lang w:val="fr-FR"/>
        </w:rPr>
        <w:t xml:space="preserve"> – </w:t>
      </w:r>
      <w:proofErr w:type="spellStart"/>
      <w:r w:rsidRPr="00382B5C">
        <w:rPr>
          <w:rFonts w:asciiTheme="majorBidi" w:eastAsia="Malgun Gothic" w:hAnsiTheme="majorBidi" w:cstheme="majorBidi"/>
          <w:lang w:val="en-US"/>
        </w:rPr>
        <w:t>초국경</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환경영향평가를</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중심으로</w:t>
      </w:r>
      <w:proofErr w:type="spellEnd"/>
      <w:r w:rsidRPr="00382B5C">
        <w:rPr>
          <w:rFonts w:asciiTheme="majorBidi" w:hAnsiTheme="majorBidi" w:cstheme="majorBidi"/>
          <w:lang w:val="fr-FR"/>
        </w:rPr>
        <w:t xml:space="preserve">”, </w:t>
      </w:r>
      <w:proofErr w:type="spellStart"/>
      <w:r w:rsidRPr="00382B5C">
        <w:rPr>
          <w:rFonts w:asciiTheme="majorBidi" w:eastAsia="Malgun Gothic" w:hAnsiTheme="majorBidi" w:cstheme="majorBidi"/>
          <w:lang w:val="en-US"/>
        </w:rPr>
        <w:t>국제법학회논총</w:t>
      </w:r>
      <w:proofErr w:type="spellEnd"/>
      <w:r w:rsidRPr="00382B5C">
        <w:rPr>
          <w:rFonts w:asciiTheme="majorBidi" w:hAnsiTheme="majorBidi" w:cstheme="majorBidi"/>
          <w:lang w:val="fr-FR"/>
        </w:rPr>
        <w:t xml:space="preserve"> 66</w:t>
      </w:r>
      <w:r w:rsidRPr="00382B5C">
        <w:rPr>
          <w:rFonts w:asciiTheme="majorBidi" w:eastAsia="Malgun Gothic" w:hAnsiTheme="majorBidi" w:cstheme="majorBidi"/>
          <w:lang w:val="en-US"/>
        </w:rPr>
        <w:t>권</w:t>
      </w:r>
      <w:r w:rsidRPr="00382B5C">
        <w:rPr>
          <w:rFonts w:asciiTheme="majorBidi" w:hAnsiTheme="majorBidi" w:cstheme="majorBidi"/>
          <w:lang w:val="fr-FR"/>
        </w:rPr>
        <w:t xml:space="preserve"> 4</w:t>
      </w:r>
      <w:r w:rsidRPr="00382B5C">
        <w:rPr>
          <w:rFonts w:asciiTheme="majorBidi" w:eastAsia="Malgun Gothic" w:hAnsiTheme="majorBidi" w:cstheme="majorBidi"/>
          <w:lang w:val="en-US"/>
        </w:rPr>
        <w:t>호</w:t>
      </w:r>
      <w:r w:rsidRPr="00382B5C">
        <w:rPr>
          <w:rFonts w:asciiTheme="majorBidi" w:hAnsiTheme="majorBidi" w:cstheme="majorBidi"/>
          <w:lang w:val="fr-FR"/>
        </w:rPr>
        <w:t>]</w:t>
      </w:r>
    </w:p>
    <w:p w14:paraId="4AE0FBA0"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Takano, Akiko, “Land-Based Pollution of the Sea and Due Diligence Obligations” </w:t>
      </w:r>
      <w:r w:rsidRPr="008C3992">
        <w:rPr>
          <w:rFonts w:asciiTheme="majorBidi" w:hAnsiTheme="majorBidi" w:cstheme="majorBidi"/>
          <w:i/>
          <w:iCs/>
          <w:lang w:val="en-US"/>
        </w:rPr>
        <w:t>Journal of Law Policy and Globalization</w:t>
      </w:r>
      <w:r w:rsidRPr="008C3992">
        <w:rPr>
          <w:rFonts w:asciiTheme="majorBidi" w:hAnsiTheme="majorBidi" w:cstheme="majorBidi"/>
          <w:lang w:val="en-US"/>
        </w:rPr>
        <w:t xml:space="preserve"> vol 60 (2017), pp. 92-98.</w:t>
      </w:r>
    </w:p>
    <w:p w14:paraId="3422183F"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Takano, Akito, “Due Diligence Obligations and Transboundary Environmental Harm: Cybersecurity Applications”, </w:t>
      </w:r>
      <w:r w:rsidRPr="008C3992">
        <w:rPr>
          <w:rFonts w:asciiTheme="majorBidi" w:hAnsiTheme="majorBidi" w:cstheme="majorBidi"/>
          <w:i/>
          <w:iCs/>
          <w:lang w:val="en-US"/>
        </w:rPr>
        <w:t>MDPI Laws</w:t>
      </w:r>
      <w:r w:rsidRPr="008C3992">
        <w:rPr>
          <w:rFonts w:asciiTheme="majorBidi" w:hAnsiTheme="majorBidi" w:cstheme="majorBidi"/>
          <w:lang w:val="en-US"/>
        </w:rPr>
        <w:t xml:space="preserve">, vol. 7(4) (2018), pp. 1-12. </w:t>
      </w:r>
    </w:p>
    <w:p w14:paraId="1B08EAAD"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 xml:space="preserve">Townley, Stephen, “The Rise and Risk in International Law”, </w:t>
      </w:r>
      <w:r w:rsidRPr="008C3992">
        <w:rPr>
          <w:rFonts w:asciiTheme="majorBidi" w:hAnsiTheme="majorBidi" w:cstheme="majorBidi"/>
          <w:i/>
          <w:iCs/>
          <w:lang w:val="en-US"/>
        </w:rPr>
        <w:t>Chicago Journal of International Law</w:t>
      </w:r>
      <w:r w:rsidRPr="008C3992">
        <w:rPr>
          <w:rFonts w:asciiTheme="majorBidi" w:hAnsiTheme="majorBidi" w:cstheme="majorBidi"/>
          <w:lang w:val="en-US"/>
        </w:rPr>
        <w:t>, vol. 18(2) (2017), pp. 594-646.</w:t>
      </w:r>
    </w:p>
    <w:p w14:paraId="401FB4C2"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Tzevelekos</w:t>
      </w:r>
      <w:proofErr w:type="spellEnd"/>
      <w:r w:rsidRPr="008C3992">
        <w:rPr>
          <w:rFonts w:asciiTheme="majorBidi" w:hAnsiTheme="majorBidi" w:cstheme="majorBidi"/>
          <w:lang w:val="en-US"/>
        </w:rPr>
        <w:t xml:space="preserve">, Vassilis P., “Revisiting the </w:t>
      </w:r>
      <w:proofErr w:type="spellStart"/>
      <w:r w:rsidRPr="008C3992">
        <w:rPr>
          <w:rFonts w:asciiTheme="majorBidi" w:hAnsiTheme="majorBidi" w:cstheme="majorBidi"/>
          <w:lang w:val="en-US"/>
        </w:rPr>
        <w:t>Humanisation</w:t>
      </w:r>
      <w:proofErr w:type="spellEnd"/>
      <w:r w:rsidRPr="008C3992">
        <w:rPr>
          <w:rFonts w:asciiTheme="majorBidi" w:hAnsiTheme="majorBidi" w:cstheme="majorBidi"/>
          <w:lang w:val="en-US"/>
        </w:rPr>
        <w:t xml:space="preserve"> of International Law: Limits and Potential - Obligations Erga Omnes, Hierarchy of Rules and the Principle of Due Diligence as the Basis for Further </w:t>
      </w:r>
      <w:proofErr w:type="spellStart"/>
      <w:r w:rsidRPr="008C3992">
        <w:rPr>
          <w:rFonts w:asciiTheme="majorBidi" w:hAnsiTheme="majorBidi" w:cstheme="majorBidi"/>
          <w:lang w:val="en-US"/>
        </w:rPr>
        <w:t>Humanisation</w:t>
      </w:r>
      <w:proofErr w:type="spellEnd"/>
      <w:r w:rsidRPr="008C3992">
        <w:rPr>
          <w:rFonts w:asciiTheme="majorBidi" w:hAnsiTheme="majorBidi" w:cstheme="majorBidi"/>
          <w:lang w:val="en-US"/>
        </w:rPr>
        <w:t xml:space="preserve">”, </w:t>
      </w:r>
      <w:r w:rsidRPr="008C3992">
        <w:rPr>
          <w:rFonts w:asciiTheme="majorBidi" w:hAnsiTheme="majorBidi" w:cstheme="majorBidi"/>
          <w:i/>
          <w:iCs/>
          <w:lang w:val="en-US"/>
        </w:rPr>
        <w:t>Erasmus Law Review</w:t>
      </w:r>
      <w:r w:rsidRPr="008C3992">
        <w:rPr>
          <w:rFonts w:asciiTheme="majorBidi" w:hAnsiTheme="majorBidi" w:cstheme="majorBidi"/>
          <w:lang w:val="en-US"/>
        </w:rPr>
        <w:t>, vol. 6(1) (2013), pp. 62-76.</w:t>
      </w:r>
    </w:p>
    <w:p w14:paraId="1B663C03"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r w:rsidRPr="008C3992">
        <w:rPr>
          <w:rFonts w:asciiTheme="majorBidi" w:hAnsiTheme="majorBidi" w:cstheme="majorBidi"/>
          <w:lang w:val="en-US"/>
        </w:rPr>
        <w:t>Viñuales, Jorge E., “Due Diligence in International Environmental Law: A Fine-Grained Cartography” in Heike Krieger, Anne Peters and Leonhard Kreuzer</w:t>
      </w:r>
      <w:r w:rsidRPr="008C3992">
        <w:rPr>
          <w:rFonts w:asciiTheme="majorBidi" w:hAnsiTheme="majorBidi" w:cstheme="majorBidi"/>
          <w:i/>
          <w:iCs/>
          <w:lang w:val="en-US"/>
        </w:rPr>
        <w:t xml:space="preserve"> </w:t>
      </w:r>
      <w:r w:rsidRPr="008C3992">
        <w:rPr>
          <w:rFonts w:asciiTheme="majorBidi" w:hAnsiTheme="majorBidi" w:cstheme="majorBidi"/>
          <w:lang w:val="en-US"/>
        </w:rPr>
        <w:t xml:space="preserve">(eds.), </w:t>
      </w:r>
      <w:r w:rsidRPr="008C3992">
        <w:rPr>
          <w:rFonts w:asciiTheme="majorBidi" w:hAnsiTheme="majorBidi" w:cstheme="majorBidi"/>
          <w:i/>
          <w:iCs/>
          <w:lang w:val="en-US"/>
        </w:rPr>
        <w:t>Due Diligence in the International Legal Order</w:t>
      </w:r>
      <w:r w:rsidRPr="008C3992">
        <w:rPr>
          <w:rFonts w:asciiTheme="majorBidi" w:hAnsiTheme="majorBidi" w:cstheme="majorBidi"/>
          <w:lang w:val="en-US"/>
        </w:rPr>
        <w:t xml:space="preserve"> (Oxford: Oxford University Press, 2020), pp. 111-128. </w:t>
      </w:r>
    </w:p>
    <w:p w14:paraId="3C190825" w14:textId="77777777" w:rsidR="005A67A9" w:rsidRPr="008C3992" w:rsidRDefault="005A67A9" w:rsidP="0019002B">
      <w:pPr>
        <w:spacing w:after="120" w:line="240" w:lineRule="auto"/>
        <w:ind w:left="1418" w:right="1134" w:hanging="284"/>
        <w:jc w:val="both"/>
        <w:rPr>
          <w:rFonts w:asciiTheme="majorBidi" w:hAnsiTheme="majorBidi" w:cstheme="majorBidi"/>
          <w:lang w:val="en-US"/>
        </w:rPr>
      </w:pPr>
      <w:proofErr w:type="spellStart"/>
      <w:r w:rsidRPr="008C3992">
        <w:rPr>
          <w:rFonts w:asciiTheme="majorBidi" w:hAnsiTheme="majorBidi" w:cstheme="majorBidi"/>
          <w:lang w:val="en-US"/>
        </w:rPr>
        <w:t>Yotova</w:t>
      </w:r>
      <w:proofErr w:type="spellEnd"/>
      <w:r w:rsidRPr="008C3992">
        <w:rPr>
          <w:rFonts w:asciiTheme="majorBidi" w:hAnsiTheme="majorBidi" w:cstheme="majorBidi"/>
          <w:lang w:val="en-US"/>
        </w:rPr>
        <w:t xml:space="preserve">, Rumiana, “The Principles of Due Diligence and Prevention in International Environmental Law”, </w:t>
      </w:r>
      <w:r w:rsidRPr="008C3992">
        <w:rPr>
          <w:rFonts w:asciiTheme="majorBidi" w:hAnsiTheme="majorBidi" w:cstheme="majorBidi"/>
          <w:i/>
          <w:iCs/>
          <w:lang w:val="en-US"/>
        </w:rPr>
        <w:t>The Cambridge Law Journal</w:t>
      </w:r>
      <w:r w:rsidRPr="008C3992">
        <w:rPr>
          <w:rFonts w:asciiTheme="majorBidi" w:hAnsiTheme="majorBidi" w:cstheme="majorBidi"/>
          <w:lang w:val="en-US"/>
        </w:rPr>
        <w:t>, vol. 75(3) (2016), pp. 445-448.</w:t>
      </w:r>
    </w:p>
    <w:p w14:paraId="275A511B" w14:textId="77777777" w:rsidR="005A67A9" w:rsidRPr="005F7217" w:rsidRDefault="005A67A9" w:rsidP="0019002B">
      <w:pPr>
        <w:suppressAutoHyphens w:val="0"/>
        <w:kinsoku/>
        <w:overflowPunct/>
        <w:autoSpaceDE/>
        <w:autoSpaceDN/>
        <w:adjustRightInd/>
        <w:snapToGrid/>
        <w:spacing w:before="240" w:after="160" w:line="240" w:lineRule="auto"/>
        <w:ind w:left="1170" w:hanging="360"/>
        <w:jc w:val="both"/>
        <w:rPr>
          <w:lang w:val="en-US"/>
        </w:rPr>
      </w:pPr>
      <w:r w:rsidRPr="005F7217">
        <w:rPr>
          <w:lang w:val="en-US"/>
        </w:rPr>
        <w:t>c.</w:t>
      </w:r>
      <w:r w:rsidRPr="005F7217">
        <w:rPr>
          <w:lang w:val="en-US"/>
        </w:rPr>
        <w:tab/>
        <w:t>International bodies</w:t>
      </w:r>
    </w:p>
    <w:p w14:paraId="4EE62E3B"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International Law Association Study Group on Due Diligence in International Law, </w:t>
      </w:r>
      <w:r w:rsidRPr="008C3992">
        <w:rPr>
          <w:i/>
          <w:iCs/>
          <w:lang w:val="en-US"/>
        </w:rPr>
        <w:t>First Report</w:t>
      </w:r>
      <w:r w:rsidRPr="008C3992">
        <w:rPr>
          <w:lang w:val="en-US"/>
        </w:rPr>
        <w:t xml:space="preserve">, Duncan French (Chair), Tim Stephens (Rapporteur) (2014). </w:t>
      </w:r>
    </w:p>
    <w:p w14:paraId="6F887AD4" w14:textId="77777777" w:rsidR="005A67A9" w:rsidRPr="008C3992" w:rsidRDefault="005A67A9" w:rsidP="0019002B">
      <w:pPr>
        <w:spacing w:after="120" w:line="240" w:lineRule="auto"/>
        <w:ind w:left="1418" w:right="1134" w:hanging="284"/>
        <w:jc w:val="both"/>
        <w:rPr>
          <w:lang w:val="en-US"/>
        </w:rPr>
      </w:pPr>
      <w:bookmarkStart w:id="310" w:name="_Hlk167365875"/>
      <w:r w:rsidRPr="008C3992">
        <w:rPr>
          <w:lang w:val="en-US"/>
        </w:rPr>
        <w:lastRenderedPageBreak/>
        <w:t xml:space="preserve">International Law Association Study Group on Due Diligence in International Law, </w:t>
      </w:r>
      <w:r w:rsidRPr="008C3992">
        <w:rPr>
          <w:i/>
          <w:iCs/>
          <w:lang w:val="en-US"/>
        </w:rPr>
        <w:t>Second Report</w:t>
      </w:r>
      <w:r w:rsidRPr="008C3992">
        <w:rPr>
          <w:lang w:val="en-US"/>
        </w:rPr>
        <w:t>, Duncan French (Chair), Tim Stephens (Rapporteur) (2016</w:t>
      </w:r>
      <w:bookmarkEnd w:id="310"/>
      <w:r w:rsidRPr="008C3992">
        <w:rPr>
          <w:lang w:val="en-US"/>
        </w:rPr>
        <w:t>).</w:t>
      </w:r>
    </w:p>
    <w:p w14:paraId="61DCF859" w14:textId="77777777" w:rsidR="005A67A9" w:rsidRPr="008C3992" w:rsidRDefault="005A67A9" w:rsidP="0019002B">
      <w:pPr>
        <w:spacing w:after="120" w:line="240" w:lineRule="auto"/>
        <w:ind w:left="1418" w:right="1134" w:hanging="284"/>
        <w:jc w:val="both"/>
        <w:rPr>
          <w:lang w:val="en-US"/>
        </w:rPr>
      </w:pPr>
      <w:proofErr w:type="spellStart"/>
      <w:r w:rsidRPr="008C3992">
        <w:rPr>
          <w:i/>
          <w:iCs/>
          <w:lang w:val="en-US"/>
        </w:rPr>
        <w:t>Institut</w:t>
      </w:r>
      <w:proofErr w:type="spellEnd"/>
      <w:r w:rsidRPr="008C3992">
        <w:rPr>
          <w:i/>
          <w:iCs/>
          <w:lang w:val="en-US"/>
        </w:rPr>
        <w:t xml:space="preserve"> de Droit International</w:t>
      </w:r>
      <w:r w:rsidRPr="008C3992">
        <w:rPr>
          <w:lang w:val="en-US"/>
        </w:rPr>
        <w:t>, 3</w:t>
      </w:r>
      <w:r w:rsidRPr="008C3992">
        <w:rPr>
          <w:vertAlign w:val="superscript"/>
          <w:lang w:val="en-US"/>
        </w:rPr>
        <w:t>rd</w:t>
      </w:r>
      <w:r w:rsidRPr="008C3992">
        <w:rPr>
          <w:lang w:val="en-US"/>
        </w:rPr>
        <w:t xml:space="preserve"> Commission, Harm Prevention Rules Applicable to the Global Commons, Editions, A. Pedone, 2023.</w:t>
      </w:r>
    </w:p>
    <w:p w14:paraId="7530465F" w14:textId="77777777" w:rsidR="005A67A9" w:rsidRPr="005A67A9" w:rsidRDefault="005A67A9" w:rsidP="0019002B">
      <w:pPr>
        <w:spacing w:after="120" w:line="240" w:lineRule="auto"/>
        <w:ind w:left="1418" w:right="1134" w:hanging="284"/>
        <w:jc w:val="both"/>
        <w:rPr>
          <w:lang w:val="en-US"/>
        </w:rPr>
      </w:pPr>
      <w:r w:rsidRPr="008C3992">
        <w:rPr>
          <w:lang w:val="en-US"/>
        </w:rPr>
        <w:t xml:space="preserve">UN ILC, Yearbook … </w:t>
      </w:r>
      <w:r w:rsidRPr="005A67A9">
        <w:rPr>
          <w:lang w:val="en-US"/>
        </w:rPr>
        <w:t>(various years).</w:t>
      </w:r>
    </w:p>
    <w:p w14:paraId="580894C2" w14:textId="77777777" w:rsidR="005A67A9" w:rsidRPr="00832995" w:rsidRDefault="005A67A9" w:rsidP="0019002B">
      <w:pPr>
        <w:suppressAutoHyphens w:val="0"/>
        <w:kinsoku/>
        <w:overflowPunct/>
        <w:autoSpaceDE/>
        <w:autoSpaceDN/>
        <w:adjustRightInd/>
        <w:snapToGrid/>
        <w:spacing w:before="240" w:after="160" w:line="240" w:lineRule="auto"/>
        <w:ind w:left="1170" w:hanging="360"/>
        <w:jc w:val="both"/>
        <w:rPr>
          <w:lang w:val="pl-PL"/>
        </w:rPr>
      </w:pPr>
      <w:r w:rsidRPr="00832995">
        <w:rPr>
          <w:lang w:val="pl-PL"/>
        </w:rPr>
        <w:t>d.</w:t>
      </w:r>
      <w:r w:rsidRPr="00832995">
        <w:rPr>
          <w:lang w:val="pl-PL"/>
        </w:rPr>
        <w:tab/>
        <w:t>Judicial decisions</w:t>
      </w:r>
    </w:p>
    <w:p w14:paraId="5C3FC631" w14:textId="77777777" w:rsidR="005A67A9" w:rsidRPr="005A67A9" w:rsidRDefault="005A67A9" w:rsidP="0019002B">
      <w:pPr>
        <w:pStyle w:val="Notedebasdepage"/>
        <w:spacing w:after="120"/>
        <w:ind w:left="1418" w:hanging="284"/>
        <w:rPr>
          <w:sz w:val="20"/>
          <w:lang w:val="en-US"/>
        </w:rPr>
      </w:pPr>
      <w:r w:rsidRPr="005A67A9">
        <w:rPr>
          <w:i/>
          <w:iCs/>
          <w:sz w:val="20"/>
          <w:lang w:val="en-US"/>
        </w:rPr>
        <w:t xml:space="preserve">Alabama Claims </w:t>
      </w:r>
      <w:r w:rsidRPr="005A67A9">
        <w:rPr>
          <w:sz w:val="20"/>
          <w:lang w:val="en-US"/>
        </w:rPr>
        <w:t xml:space="preserve">Arbitration </w:t>
      </w:r>
      <w:r w:rsidRPr="005A67A9">
        <w:rPr>
          <w:i/>
          <w:iCs/>
          <w:sz w:val="20"/>
          <w:lang w:val="en-US"/>
        </w:rPr>
        <w:t xml:space="preserve">(United States of America </w:t>
      </w:r>
      <w:r w:rsidRPr="005A67A9">
        <w:rPr>
          <w:sz w:val="20"/>
          <w:lang w:val="en-US"/>
        </w:rPr>
        <w:t xml:space="preserve">v. </w:t>
      </w:r>
      <w:r w:rsidRPr="005A67A9">
        <w:rPr>
          <w:i/>
          <w:iCs/>
          <w:sz w:val="20"/>
          <w:lang w:val="en-US"/>
        </w:rPr>
        <w:t>United Kingdom)</w:t>
      </w:r>
      <w:r w:rsidRPr="005A67A9">
        <w:rPr>
          <w:sz w:val="20"/>
          <w:lang w:val="en-US"/>
        </w:rPr>
        <w:t>, Final Award of 15 September 1872, RIAA Vol. XXIX pp.125-134.</w:t>
      </w:r>
    </w:p>
    <w:p w14:paraId="15A33F56" w14:textId="77777777" w:rsidR="005A67A9" w:rsidRPr="005A67A9" w:rsidRDefault="005A67A9" w:rsidP="0019002B">
      <w:pPr>
        <w:pStyle w:val="Notedebasdepage"/>
        <w:spacing w:after="120"/>
        <w:ind w:left="1418" w:hanging="284"/>
        <w:rPr>
          <w:sz w:val="20"/>
          <w:lang w:val="en-US"/>
        </w:rPr>
      </w:pPr>
      <w:r w:rsidRPr="005A67A9">
        <w:rPr>
          <w:i/>
          <w:iCs/>
          <w:sz w:val="20"/>
          <w:lang w:val="en-US"/>
        </w:rPr>
        <w:t xml:space="preserve">Frederick Wipperman Arbitration (United States of America </w:t>
      </w:r>
      <w:r w:rsidRPr="005A67A9">
        <w:rPr>
          <w:sz w:val="20"/>
          <w:lang w:val="en-US"/>
        </w:rPr>
        <w:t xml:space="preserve">v. </w:t>
      </w:r>
      <w:r w:rsidRPr="005A67A9">
        <w:rPr>
          <w:i/>
          <w:iCs/>
          <w:sz w:val="20"/>
          <w:lang w:val="en-US"/>
        </w:rPr>
        <w:t>Venezuela)</w:t>
      </w:r>
      <w:r w:rsidRPr="005A67A9">
        <w:rPr>
          <w:sz w:val="20"/>
          <w:lang w:val="en-US"/>
        </w:rPr>
        <w:t>, Final Award of 2 September 1890, Moore, History and Digest, vol. 3, pp. 3039-3043.</w:t>
      </w:r>
    </w:p>
    <w:p w14:paraId="32C1918C" w14:textId="59D94312" w:rsidR="005A67A9" w:rsidRPr="008C3992" w:rsidRDefault="005A67A9" w:rsidP="0019002B">
      <w:pPr>
        <w:spacing w:after="120" w:line="240" w:lineRule="auto"/>
        <w:ind w:left="1418" w:right="1134" w:hanging="284"/>
        <w:jc w:val="both"/>
        <w:rPr>
          <w:lang w:val="en-US"/>
        </w:rPr>
      </w:pPr>
      <w:r w:rsidRPr="008C3992">
        <w:rPr>
          <w:i/>
          <w:iCs/>
          <w:lang w:val="en-GB"/>
        </w:rPr>
        <w:t xml:space="preserve">Affaire des </w:t>
      </w:r>
      <w:proofErr w:type="spellStart"/>
      <w:r w:rsidRPr="008C3992">
        <w:rPr>
          <w:i/>
          <w:iCs/>
          <w:lang w:val="en-GB"/>
        </w:rPr>
        <w:t>biens</w:t>
      </w:r>
      <w:proofErr w:type="spellEnd"/>
      <w:r w:rsidRPr="008C3992">
        <w:rPr>
          <w:i/>
          <w:iCs/>
          <w:lang w:val="en-GB"/>
        </w:rPr>
        <w:t xml:space="preserve"> </w:t>
      </w:r>
      <w:proofErr w:type="spellStart"/>
      <w:r w:rsidRPr="008C3992">
        <w:rPr>
          <w:i/>
          <w:iCs/>
          <w:lang w:val="en-GB"/>
        </w:rPr>
        <w:t>britanniques</w:t>
      </w:r>
      <w:proofErr w:type="spellEnd"/>
      <w:r w:rsidRPr="008C3992">
        <w:rPr>
          <w:i/>
          <w:iCs/>
          <w:lang w:val="en-GB"/>
        </w:rPr>
        <w:t xml:space="preserve"> au Maroc </w:t>
      </w:r>
      <w:proofErr w:type="spellStart"/>
      <w:r w:rsidRPr="008C3992">
        <w:rPr>
          <w:i/>
          <w:iCs/>
          <w:lang w:val="en-GB"/>
        </w:rPr>
        <w:t>espagnol</w:t>
      </w:r>
      <w:proofErr w:type="spellEnd"/>
      <w:r w:rsidRPr="008C3992">
        <w:rPr>
          <w:i/>
          <w:iCs/>
          <w:lang w:val="en-GB"/>
        </w:rPr>
        <w:t xml:space="preserve"> (</w:t>
      </w:r>
      <w:proofErr w:type="spellStart"/>
      <w:r w:rsidRPr="008C3992">
        <w:rPr>
          <w:i/>
          <w:iCs/>
          <w:lang w:val="en-GB"/>
        </w:rPr>
        <w:t>Espagne</w:t>
      </w:r>
      <w:proofErr w:type="spellEnd"/>
      <w:r w:rsidRPr="008C3992">
        <w:rPr>
          <w:i/>
          <w:iCs/>
          <w:lang w:val="en-GB"/>
        </w:rPr>
        <w:t xml:space="preserve"> </w:t>
      </w:r>
      <w:proofErr w:type="spellStart"/>
      <w:r w:rsidRPr="008C3992">
        <w:rPr>
          <w:i/>
          <w:iCs/>
          <w:lang w:val="en-GB"/>
        </w:rPr>
        <w:t>contre</w:t>
      </w:r>
      <w:proofErr w:type="spellEnd"/>
      <w:r w:rsidRPr="008C3992">
        <w:rPr>
          <w:i/>
          <w:iCs/>
          <w:lang w:val="en-GB"/>
        </w:rPr>
        <w:t xml:space="preserve"> </w:t>
      </w:r>
      <w:proofErr w:type="spellStart"/>
      <w:r w:rsidRPr="008C3992">
        <w:rPr>
          <w:i/>
          <w:iCs/>
          <w:lang w:val="en-GB"/>
        </w:rPr>
        <w:t>Royaume</w:t>
      </w:r>
      <w:proofErr w:type="spellEnd"/>
      <w:r w:rsidR="00E25AB0">
        <w:rPr>
          <w:i/>
          <w:iCs/>
          <w:lang w:val="en-GB"/>
        </w:rPr>
        <w:t>-</w:t>
      </w:r>
      <w:r w:rsidRPr="008C3992">
        <w:rPr>
          <w:i/>
          <w:iCs/>
          <w:lang w:val="en-GB"/>
        </w:rPr>
        <w:t xml:space="preserve">Uni) </w:t>
      </w:r>
      <w:r w:rsidRPr="008C3992">
        <w:rPr>
          <w:lang w:val="en-GB"/>
        </w:rPr>
        <w:t>[</w:t>
      </w:r>
      <w:r w:rsidRPr="008C3992">
        <w:rPr>
          <w:i/>
          <w:iCs/>
          <w:lang w:val="en-GB"/>
        </w:rPr>
        <w:t>British Property in Spanish Morocco Arbitration (Spain v. United Kingdom)</w:t>
      </w:r>
      <w:r w:rsidRPr="008C3992">
        <w:rPr>
          <w:lang w:val="en-GB"/>
        </w:rPr>
        <w:t>]</w:t>
      </w:r>
      <w:r w:rsidRPr="008C3992">
        <w:rPr>
          <w:i/>
          <w:iCs/>
          <w:lang w:val="en-GB"/>
        </w:rPr>
        <w:t xml:space="preserve">, </w:t>
      </w:r>
      <w:r w:rsidRPr="008C3992">
        <w:rPr>
          <w:lang w:val="en-GB"/>
        </w:rPr>
        <w:t xml:space="preserve">Final Award of 1 May 1925, RIAA Vol. </w:t>
      </w:r>
      <w:r w:rsidRPr="008C3992">
        <w:rPr>
          <w:lang w:val="en-US"/>
        </w:rPr>
        <w:t>II pp. 615-742.</w:t>
      </w:r>
    </w:p>
    <w:p w14:paraId="46F97064" w14:textId="77777777" w:rsidR="005A67A9" w:rsidRPr="008C3992" w:rsidRDefault="005A67A9" w:rsidP="0019002B">
      <w:pPr>
        <w:spacing w:after="120" w:line="240" w:lineRule="auto"/>
        <w:ind w:left="1418" w:right="1134" w:hanging="284"/>
        <w:jc w:val="both"/>
        <w:rPr>
          <w:lang w:val="en-US"/>
        </w:rPr>
      </w:pPr>
      <w:r w:rsidRPr="008C3992">
        <w:rPr>
          <w:i/>
          <w:iCs/>
          <w:lang w:val="en-US"/>
        </w:rPr>
        <w:t xml:space="preserve">Island of Palmas Arbitration (The Netherlands v. United States of America), </w:t>
      </w:r>
      <w:r w:rsidRPr="008C3992">
        <w:rPr>
          <w:lang w:val="en-US"/>
        </w:rPr>
        <w:t>Final Award of 4 April 1928, RIAA Vol. II pp. 829-871.</w:t>
      </w:r>
    </w:p>
    <w:p w14:paraId="6A597F92" w14:textId="77777777" w:rsidR="005A67A9" w:rsidRPr="008C3992" w:rsidRDefault="005A67A9" w:rsidP="0019002B">
      <w:pPr>
        <w:spacing w:after="120" w:line="240" w:lineRule="auto"/>
        <w:ind w:left="1418" w:right="1134" w:hanging="284"/>
        <w:jc w:val="both"/>
        <w:rPr>
          <w:lang w:val="en-US"/>
        </w:rPr>
      </w:pPr>
      <w:r w:rsidRPr="008C3992">
        <w:rPr>
          <w:i/>
          <w:iCs/>
          <w:lang w:val="en-US"/>
        </w:rPr>
        <w:t xml:space="preserve">S.S. Lotus (France </w:t>
      </w:r>
      <w:r w:rsidRPr="008C3992">
        <w:rPr>
          <w:lang w:val="en-US"/>
        </w:rPr>
        <w:t xml:space="preserve">v. </w:t>
      </w:r>
      <w:r w:rsidRPr="008C3992">
        <w:rPr>
          <w:i/>
          <w:iCs/>
          <w:lang w:val="en-US"/>
        </w:rPr>
        <w:t>Turkey)</w:t>
      </w:r>
      <w:r w:rsidRPr="008C3992">
        <w:rPr>
          <w:lang w:val="en-US"/>
        </w:rPr>
        <w:t xml:space="preserve">, Judgment of 7 September 1927, </w:t>
      </w:r>
      <w:r w:rsidRPr="008C3992">
        <w:rPr>
          <w:i/>
          <w:iCs/>
          <w:lang w:val="en-US"/>
        </w:rPr>
        <w:t>P.C.I.J. Reports 1927</w:t>
      </w:r>
      <w:r w:rsidRPr="008C3992">
        <w:rPr>
          <w:lang w:val="en-US"/>
        </w:rPr>
        <w:t>, Series A No. 10.</w:t>
      </w:r>
    </w:p>
    <w:p w14:paraId="067FFCAD" w14:textId="77777777" w:rsidR="005A67A9" w:rsidRPr="005A67A9" w:rsidRDefault="005A67A9" w:rsidP="0019002B">
      <w:pPr>
        <w:pStyle w:val="Notedebasdepage"/>
        <w:spacing w:after="120"/>
        <w:ind w:left="1418" w:hanging="284"/>
        <w:rPr>
          <w:sz w:val="20"/>
          <w:lang w:val="en-US"/>
        </w:rPr>
      </w:pPr>
      <w:r w:rsidRPr="005A67A9">
        <w:rPr>
          <w:i/>
          <w:iCs/>
          <w:sz w:val="20"/>
          <w:lang w:val="en-US"/>
        </w:rPr>
        <w:t>William E. Chapman Arbitration</w:t>
      </w:r>
      <w:r w:rsidRPr="005A67A9">
        <w:rPr>
          <w:sz w:val="20"/>
          <w:lang w:val="en-US"/>
        </w:rPr>
        <w:t xml:space="preserve"> </w:t>
      </w:r>
      <w:r w:rsidRPr="005A67A9">
        <w:rPr>
          <w:i/>
          <w:iCs/>
          <w:sz w:val="20"/>
          <w:lang w:val="en-US"/>
        </w:rPr>
        <w:t xml:space="preserve">(United States of America </w:t>
      </w:r>
      <w:r w:rsidRPr="005A67A9">
        <w:rPr>
          <w:sz w:val="20"/>
          <w:lang w:val="en-US"/>
        </w:rPr>
        <w:t xml:space="preserve">v. </w:t>
      </w:r>
      <w:r w:rsidRPr="005A67A9">
        <w:rPr>
          <w:i/>
          <w:iCs/>
          <w:sz w:val="20"/>
          <w:lang w:val="en-US"/>
        </w:rPr>
        <w:t>United Mexican States)</w:t>
      </w:r>
      <w:r w:rsidRPr="005A67A9">
        <w:rPr>
          <w:sz w:val="20"/>
          <w:lang w:val="en-US"/>
        </w:rPr>
        <w:t>, Final Award of 24 October 1930, RIAA Vol. IV pp. 632-640.</w:t>
      </w:r>
    </w:p>
    <w:p w14:paraId="770D3D41" w14:textId="77777777" w:rsidR="005A67A9" w:rsidRPr="008C3992" w:rsidRDefault="005A67A9" w:rsidP="0019002B">
      <w:pPr>
        <w:spacing w:after="120" w:line="240" w:lineRule="auto"/>
        <w:ind w:left="1418" w:right="1134" w:hanging="284"/>
        <w:jc w:val="both"/>
        <w:rPr>
          <w:i/>
          <w:iCs/>
          <w:lang w:val="en-US"/>
        </w:rPr>
      </w:pPr>
      <w:r w:rsidRPr="008C3992">
        <w:rPr>
          <w:i/>
          <w:iCs/>
          <w:lang w:val="en-US"/>
        </w:rPr>
        <w:t xml:space="preserve">Trail Smelter Arbitration (United States of America v. Canada), </w:t>
      </w:r>
      <w:r w:rsidRPr="008C3992">
        <w:rPr>
          <w:lang w:val="en-US"/>
        </w:rPr>
        <w:t>Final Award of 11 March 1941, RIAA Vol. III p. 1938, pp. 1905-1982.</w:t>
      </w:r>
    </w:p>
    <w:p w14:paraId="51F3E099" w14:textId="77777777" w:rsidR="005A67A9" w:rsidRPr="00382B5C" w:rsidRDefault="005A67A9" w:rsidP="0019002B">
      <w:pPr>
        <w:spacing w:after="120" w:line="240" w:lineRule="auto"/>
        <w:ind w:left="1418" w:right="1134" w:hanging="284"/>
        <w:jc w:val="both"/>
        <w:rPr>
          <w:lang w:val="en-GB"/>
        </w:rPr>
      </w:pPr>
      <w:r w:rsidRPr="008C3992">
        <w:rPr>
          <w:i/>
          <w:iCs/>
          <w:lang w:val="en-US"/>
        </w:rPr>
        <w:t xml:space="preserve">Corfu Channel (United Kingdom of Great Britain and Northern Ireland </w:t>
      </w:r>
      <w:r w:rsidRPr="008C3992">
        <w:rPr>
          <w:lang w:val="en-US"/>
        </w:rPr>
        <w:t xml:space="preserve">v. </w:t>
      </w:r>
      <w:r w:rsidRPr="008C3992">
        <w:rPr>
          <w:i/>
          <w:iCs/>
          <w:lang w:val="en-US"/>
        </w:rPr>
        <w:t>Albania)</w:t>
      </w:r>
      <w:r w:rsidRPr="008C3992">
        <w:rPr>
          <w:lang w:val="en-US"/>
        </w:rPr>
        <w:t>, Judgment of 9 April 1949, I.C.J. Reports (1949) p. 4.</w:t>
      </w:r>
    </w:p>
    <w:p w14:paraId="13FC1C56" w14:textId="77777777" w:rsidR="005A67A9" w:rsidRPr="008C3992" w:rsidRDefault="005A67A9" w:rsidP="0019002B">
      <w:pPr>
        <w:spacing w:after="120" w:line="240" w:lineRule="auto"/>
        <w:ind w:left="1418" w:right="1134" w:hanging="284"/>
        <w:jc w:val="both"/>
        <w:rPr>
          <w:lang w:val="en-US"/>
        </w:rPr>
      </w:pPr>
      <w:r w:rsidRPr="008C3992">
        <w:rPr>
          <w:i/>
          <w:iCs/>
          <w:lang w:val="en-US"/>
        </w:rPr>
        <w:t>United States Diplomatic and Consular Staff in Tehran</w:t>
      </w:r>
      <w:r w:rsidRPr="008C3992">
        <w:rPr>
          <w:lang w:val="en-US"/>
        </w:rPr>
        <w:t>, Merits, Judgment, I.C.J. Reports 1980 p. 3.</w:t>
      </w:r>
    </w:p>
    <w:p w14:paraId="49D7BF0C" w14:textId="77777777" w:rsidR="005A67A9" w:rsidRPr="008C3992" w:rsidRDefault="005A67A9" w:rsidP="0019002B">
      <w:pPr>
        <w:spacing w:after="120" w:line="240" w:lineRule="auto"/>
        <w:ind w:left="1418" w:right="1134" w:hanging="284"/>
        <w:jc w:val="both"/>
        <w:rPr>
          <w:lang w:val="en-US"/>
        </w:rPr>
      </w:pPr>
      <w:r w:rsidRPr="008C3992">
        <w:rPr>
          <w:i/>
          <w:iCs/>
          <w:lang w:val="en-US"/>
        </w:rPr>
        <w:t>Military and Paramilitary Activities in and against Nicaragua</w:t>
      </w:r>
      <w:r w:rsidRPr="008C3992">
        <w:rPr>
          <w:lang w:val="en-US"/>
        </w:rPr>
        <w:t>, Merits, Judgments, I.C.J. Reports 1986 p. 14.</w:t>
      </w:r>
    </w:p>
    <w:p w14:paraId="74C904DA" w14:textId="77777777" w:rsidR="005A67A9" w:rsidRPr="008C3992" w:rsidRDefault="005A67A9" w:rsidP="0019002B">
      <w:pPr>
        <w:spacing w:after="120" w:line="240" w:lineRule="auto"/>
        <w:ind w:left="1418" w:right="1134" w:hanging="284"/>
        <w:jc w:val="both"/>
        <w:rPr>
          <w:lang w:val="en-US"/>
        </w:rPr>
      </w:pPr>
      <w:r w:rsidRPr="008C3992">
        <w:rPr>
          <w:i/>
          <w:iCs/>
          <w:lang w:val="en-US"/>
        </w:rPr>
        <w:t>Legality of the Threat or Use of Nuclear Weapons</w:t>
      </w:r>
      <w:r w:rsidRPr="008C3992">
        <w:rPr>
          <w:lang w:val="en-US"/>
        </w:rPr>
        <w:t>, Advisory Opinion, I.C.J. Reports 1996, p. 226.</w:t>
      </w:r>
    </w:p>
    <w:p w14:paraId="5ECC02B3" w14:textId="77777777" w:rsidR="005A67A9" w:rsidRPr="008C3992" w:rsidRDefault="005A67A9" w:rsidP="0019002B">
      <w:pPr>
        <w:spacing w:after="120" w:line="240" w:lineRule="auto"/>
        <w:ind w:left="1418" w:right="1134" w:hanging="284"/>
        <w:jc w:val="both"/>
        <w:rPr>
          <w:lang w:val="en-US"/>
        </w:rPr>
      </w:pPr>
      <w:r w:rsidRPr="008C3992">
        <w:rPr>
          <w:i/>
          <w:iCs/>
          <w:lang w:val="en-US"/>
        </w:rPr>
        <w:t xml:space="preserve">The </w:t>
      </w:r>
      <w:proofErr w:type="spellStart"/>
      <w:r w:rsidRPr="008C3992">
        <w:rPr>
          <w:i/>
          <w:iCs/>
          <w:lang w:val="en-US"/>
        </w:rPr>
        <w:t>Gabcikovo-Nagymaros</w:t>
      </w:r>
      <w:proofErr w:type="spellEnd"/>
      <w:r w:rsidRPr="008C3992">
        <w:rPr>
          <w:i/>
          <w:iCs/>
          <w:lang w:val="en-US"/>
        </w:rPr>
        <w:t xml:space="preserve"> Project</w:t>
      </w:r>
      <w:r w:rsidRPr="008C3992">
        <w:rPr>
          <w:lang w:val="en-US"/>
        </w:rPr>
        <w:t>, Merits, I.C.J. Reports 1997, p. 7.</w:t>
      </w:r>
    </w:p>
    <w:p w14:paraId="53906F42" w14:textId="77777777" w:rsidR="005A67A9" w:rsidRPr="008C3992" w:rsidRDefault="005A67A9" w:rsidP="0019002B">
      <w:pPr>
        <w:spacing w:after="120" w:line="240" w:lineRule="auto"/>
        <w:ind w:left="1418" w:right="1134" w:hanging="284"/>
        <w:jc w:val="both"/>
        <w:rPr>
          <w:lang w:val="en-US"/>
        </w:rPr>
      </w:pPr>
      <w:r w:rsidRPr="008C3992">
        <w:rPr>
          <w:i/>
          <w:iCs/>
          <w:lang w:val="en-US"/>
        </w:rPr>
        <w:t>Case Concerning Armed Activities on the Territory of the Congo (Democratic Republic of the Congo v. Uganda</w:t>
      </w:r>
      <w:r w:rsidRPr="008C3992">
        <w:rPr>
          <w:lang w:val="en-US"/>
        </w:rPr>
        <w:t>) Judgment, I.C.J. Reports 2005, p. 168.</w:t>
      </w:r>
    </w:p>
    <w:p w14:paraId="670915D5" w14:textId="77777777" w:rsidR="005A67A9" w:rsidRPr="008C3992" w:rsidRDefault="005A67A9" w:rsidP="0019002B">
      <w:pPr>
        <w:spacing w:after="120" w:line="240" w:lineRule="auto"/>
        <w:ind w:left="1418" w:right="1134" w:hanging="284"/>
        <w:jc w:val="both"/>
        <w:rPr>
          <w:lang w:val="en-US"/>
        </w:rPr>
      </w:pPr>
      <w:r w:rsidRPr="008C3992">
        <w:rPr>
          <w:i/>
          <w:iCs/>
          <w:lang w:val="en-US"/>
        </w:rPr>
        <w:t>Application of the Convention on the Prevention and Punishment of the Crime of Genocide (Bosnia and Herzegovina v. Serbia and Montenegro)</w:t>
      </w:r>
      <w:r w:rsidRPr="008C3992">
        <w:rPr>
          <w:lang w:val="en-US"/>
        </w:rPr>
        <w:t xml:space="preserve"> (Merits) Judgment, I.C.J. Reports 2007, p.43.</w:t>
      </w:r>
    </w:p>
    <w:p w14:paraId="62978AEE" w14:textId="77777777" w:rsidR="005A67A9" w:rsidRPr="008C3992" w:rsidRDefault="005A67A9" w:rsidP="0019002B">
      <w:pPr>
        <w:spacing w:after="120" w:line="240" w:lineRule="auto"/>
        <w:ind w:left="1418" w:right="1134" w:hanging="284"/>
        <w:jc w:val="both"/>
        <w:rPr>
          <w:lang w:val="en-US"/>
        </w:rPr>
      </w:pPr>
      <w:r w:rsidRPr="008C3992">
        <w:rPr>
          <w:i/>
          <w:iCs/>
          <w:lang w:val="en-US"/>
        </w:rPr>
        <w:t>Pulp Mills on the River Uruguay</w:t>
      </w:r>
      <w:r w:rsidRPr="008C3992">
        <w:rPr>
          <w:lang w:val="en-US"/>
        </w:rPr>
        <w:t>, Merits, I.C.J. Reports 2010, p. 14.</w:t>
      </w:r>
    </w:p>
    <w:p w14:paraId="6AB9C4A5" w14:textId="77777777" w:rsidR="005A67A9" w:rsidRPr="008C3992" w:rsidRDefault="005A67A9" w:rsidP="0019002B">
      <w:pPr>
        <w:spacing w:after="120" w:line="240" w:lineRule="auto"/>
        <w:ind w:left="1418" w:right="1134" w:hanging="284"/>
        <w:jc w:val="both"/>
        <w:rPr>
          <w:lang w:val="en-US"/>
        </w:rPr>
      </w:pPr>
      <w:r w:rsidRPr="008C3992">
        <w:rPr>
          <w:i/>
          <w:iCs/>
          <w:lang w:val="en-US"/>
        </w:rPr>
        <w:t>Certain Activities carried out by Nicaragua in the Border Area</w:t>
      </w:r>
      <w:r w:rsidRPr="008C3992">
        <w:rPr>
          <w:lang w:val="en-US"/>
        </w:rPr>
        <w:t>, Merits, I.C.J. Reports 2015, p. 665.</w:t>
      </w:r>
    </w:p>
    <w:p w14:paraId="73B9D544" w14:textId="77777777" w:rsidR="005A67A9" w:rsidRPr="008C3992" w:rsidRDefault="005A67A9" w:rsidP="0019002B">
      <w:pPr>
        <w:spacing w:after="120" w:line="240" w:lineRule="auto"/>
        <w:ind w:left="1418" w:right="1134" w:hanging="284"/>
        <w:jc w:val="both"/>
        <w:rPr>
          <w:lang w:val="en-US"/>
        </w:rPr>
      </w:pPr>
      <w:r w:rsidRPr="008C3992">
        <w:rPr>
          <w:i/>
          <w:iCs/>
          <w:lang w:val="en-US"/>
        </w:rPr>
        <w:t xml:space="preserve">Indus Waters </w:t>
      </w:r>
      <w:proofErr w:type="spellStart"/>
      <w:r w:rsidRPr="008C3992">
        <w:rPr>
          <w:i/>
          <w:iCs/>
          <w:lang w:val="en-US"/>
        </w:rPr>
        <w:t>Kishenganga</w:t>
      </w:r>
      <w:proofErr w:type="spellEnd"/>
      <w:r w:rsidRPr="008C3992">
        <w:rPr>
          <w:i/>
          <w:iCs/>
          <w:lang w:val="en-US"/>
        </w:rPr>
        <w:t xml:space="preserve"> </w:t>
      </w:r>
      <w:r w:rsidRPr="008C3992">
        <w:rPr>
          <w:lang w:val="en-US"/>
        </w:rPr>
        <w:t>Arbitration, Partial Award of 18 February 2013, PCA 2011-01.</w:t>
      </w:r>
    </w:p>
    <w:p w14:paraId="3B377E0D" w14:textId="77777777" w:rsidR="005A67A9" w:rsidRPr="008C3992" w:rsidRDefault="005A67A9" w:rsidP="0019002B">
      <w:pPr>
        <w:spacing w:after="120" w:line="240" w:lineRule="auto"/>
        <w:ind w:left="1418" w:right="1134" w:hanging="284"/>
        <w:jc w:val="both"/>
        <w:rPr>
          <w:lang w:val="en-US"/>
        </w:rPr>
      </w:pPr>
      <w:proofErr w:type="spellStart"/>
      <w:r w:rsidRPr="008C3992">
        <w:rPr>
          <w:i/>
          <w:iCs/>
          <w:lang w:val="en-US"/>
        </w:rPr>
        <w:t>Opuz</w:t>
      </w:r>
      <w:proofErr w:type="spellEnd"/>
      <w:r w:rsidRPr="008C3992">
        <w:rPr>
          <w:i/>
          <w:iCs/>
          <w:lang w:val="en-US"/>
        </w:rPr>
        <w:t xml:space="preserve"> v Turkey, </w:t>
      </w:r>
      <w:r w:rsidRPr="008C3992">
        <w:rPr>
          <w:lang w:val="en-US"/>
        </w:rPr>
        <w:t>European Court of Justice (Application no. 33401/02), Judgment, 9 June 2009.</w:t>
      </w:r>
    </w:p>
    <w:p w14:paraId="5AEB855F"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ITLOS, </w:t>
      </w:r>
      <w:r w:rsidRPr="008C3992">
        <w:rPr>
          <w:i/>
          <w:iCs/>
          <w:lang w:val="en-US"/>
        </w:rPr>
        <w:t>Responsibilities and Obligations of States Sponsoring Persons and Entities with Respect to Activities in the Area</w:t>
      </w:r>
      <w:r w:rsidRPr="008C3992">
        <w:rPr>
          <w:lang w:val="en-US"/>
        </w:rPr>
        <w:t>, Advisory Opinion, 2011.</w:t>
      </w:r>
    </w:p>
    <w:p w14:paraId="186886C0" w14:textId="77777777" w:rsidR="005A67A9" w:rsidRPr="008C3992" w:rsidRDefault="005A67A9" w:rsidP="0019002B">
      <w:pPr>
        <w:spacing w:after="120" w:line="240" w:lineRule="auto"/>
        <w:ind w:left="1418" w:right="1134" w:hanging="284"/>
        <w:jc w:val="both"/>
        <w:rPr>
          <w:lang w:val="en-US"/>
        </w:rPr>
      </w:pPr>
      <w:r w:rsidRPr="008C3992">
        <w:rPr>
          <w:lang w:val="en-US"/>
        </w:rPr>
        <w:t xml:space="preserve">ITLOS, </w:t>
      </w:r>
      <w:r w:rsidRPr="008C3992">
        <w:rPr>
          <w:i/>
          <w:iCs/>
          <w:lang w:val="en-US"/>
        </w:rPr>
        <w:t>Request for an Advisory Opinion submitted by the Sub-Regional Fisheries Commission</w:t>
      </w:r>
      <w:r w:rsidRPr="008C3992">
        <w:rPr>
          <w:lang w:val="en-US"/>
        </w:rPr>
        <w:t xml:space="preserve">, Advisory Opinion, 2015. </w:t>
      </w:r>
    </w:p>
    <w:p w14:paraId="7D06232D" w14:textId="77777777" w:rsidR="005A67A9" w:rsidRPr="008C3992" w:rsidRDefault="005A67A9" w:rsidP="0019002B">
      <w:pPr>
        <w:spacing w:after="120" w:line="240" w:lineRule="auto"/>
        <w:ind w:left="1418" w:right="1134" w:hanging="284"/>
        <w:jc w:val="both"/>
        <w:rPr>
          <w:lang w:val="en-US"/>
        </w:rPr>
      </w:pPr>
      <w:bookmarkStart w:id="311" w:name="_Hlk167270060"/>
      <w:r w:rsidRPr="008C3992">
        <w:rPr>
          <w:lang w:val="en-US"/>
        </w:rPr>
        <w:t xml:space="preserve">ITLOS, </w:t>
      </w:r>
      <w:r w:rsidRPr="008C3992">
        <w:rPr>
          <w:i/>
          <w:iCs/>
          <w:lang w:val="en-US"/>
        </w:rPr>
        <w:t>Request Submitted to the Tribunal by the Commission of Small Islands States on Climate Change and International Law</w:t>
      </w:r>
      <w:r w:rsidRPr="008C3992">
        <w:rPr>
          <w:lang w:val="en-US"/>
        </w:rPr>
        <w:t xml:space="preserve">, Advisory Opinion, 21 May 2024. </w:t>
      </w:r>
    </w:p>
    <w:bookmarkEnd w:id="311"/>
    <w:p w14:paraId="345F9BFE" w14:textId="08B6DC72" w:rsidR="005A67A9" w:rsidRPr="005A67A9" w:rsidRDefault="005A67A9" w:rsidP="005A67A9">
      <w:pPr>
        <w:pStyle w:val="SingleTxtG"/>
        <w:spacing w:before="240" w:after="0"/>
        <w:jc w:val="center"/>
        <w:rPr>
          <w:u w:val="single"/>
          <w:lang w:val="en-US"/>
        </w:rPr>
      </w:pPr>
      <w:r>
        <w:rPr>
          <w:u w:val="single"/>
          <w:lang w:val="en-US"/>
        </w:rPr>
        <w:tab/>
      </w:r>
      <w:r>
        <w:rPr>
          <w:u w:val="single"/>
          <w:lang w:val="en-US"/>
        </w:rPr>
        <w:tab/>
      </w:r>
      <w:r>
        <w:rPr>
          <w:u w:val="single"/>
          <w:lang w:val="en-US"/>
        </w:rPr>
        <w:tab/>
      </w:r>
    </w:p>
    <w:sectPr w:rsidR="005A67A9" w:rsidRPr="005A67A9" w:rsidSect="005A67A9">
      <w:headerReference w:type="even" r:id="rId108"/>
      <w:headerReference w:type="default" r:id="rId109"/>
      <w:footerReference w:type="even" r:id="rId110"/>
      <w:footerReference w:type="default" r:id="rId111"/>
      <w:footnotePr>
        <w:numRestart w:val="eachSect"/>
      </w:footnotePr>
      <w:endnotePr>
        <w:numFmt w:val="decimal"/>
      </w:endnotePr>
      <w:pgSz w:w="11907" w:h="16840" w:code="9"/>
      <w:pgMar w:top="1417" w:right="1134" w:bottom="1134" w:left="1134" w:header="85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F2D2D" w14:textId="77777777" w:rsidR="00E61B26" w:rsidRDefault="00E61B26"/>
  </w:endnote>
  <w:endnote w:type="continuationSeparator" w:id="0">
    <w:p w14:paraId="2E662D99" w14:textId="77777777" w:rsidR="00E61B26" w:rsidRDefault="00E61B26">
      <w:pPr>
        <w:pStyle w:val="Pieddepage"/>
      </w:pPr>
    </w:p>
  </w:endnote>
  <w:endnote w:type="continuationNotice" w:id="1">
    <w:p w14:paraId="341C034F" w14:textId="77777777" w:rsidR="00E61B26" w:rsidRPr="00C451B9" w:rsidRDefault="00E61B26"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39D8D" w14:textId="77777777" w:rsidR="00BD03A2" w:rsidRDefault="00145146">
    <w:pPr>
      <w:pStyle w:val="Pieddepage"/>
    </w:pPr>
    <w:r>
      <w:rPr>
        <w:noProof/>
        <w:lang w:eastAsia="fr-CH"/>
      </w:rPr>
      <w:drawing>
        <wp:anchor distT="0" distB="0" distL="114300" distR="114300" simplePos="0" relativeHeight="251660288" behindDoc="0" locked="0" layoutInCell="1" allowOverlap="1" wp14:anchorId="51F816EC" wp14:editId="359447B5">
          <wp:simplePos x="0" y="0"/>
          <wp:positionH relativeFrom="margin">
            <wp:posOffset>5489575</wp:posOffset>
          </wp:positionH>
          <wp:positionV relativeFrom="margin">
            <wp:posOffset>8891905</wp:posOffset>
          </wp:positionV>
          <wp:extent cx="628650" cy="628650"/>
          <wp:effectExtent l="0" t="0" r="0" b="0"/>
          <wp:wrapNone/>
          <wp:docPr id="19260195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D03A2">
      <w:rPr>
        <w:noProof/>
        <w:lang w:eastAsia="fr-CH"/>
      </w:rPr>
      <w:drawing>
        <wp:anchor distT="0" distB="0" distL="114300" distR="114300" simplePos="0" relativeHeight="251659264" behindDoc="0" locked="0" layoutInCell="1" allowOverlap="0" wp14:anchorId="1A9EF285" wp14:editId="5ECAA664">
          <wp:simplePos x="0" y="0"/>
          <wp:positionH relativeFrom="margin">
            <wp:posOffset>4319905</wp:posOffset>
          </wp:positionH>
          <wp:positionV relativeFrom="margin">
            <wp:posOffset>9144000</wp:posOffset>
          </wp:positionV>
          <wp:extent cx="1105200" cy="234000"/>
          <wp:effectExtent l="0" t="0" r="0" b="0"/>
          <wp:wrapNone/>
          <wp:docPr id="4" name="Image 4"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25EF9" w14:textId="610B08F5" w:rsidR="005D2955" w:rsidRPr="005D2955" w:rsidRDefault="005D2955" w:rsidP="005D2955">
    <w:pPr>
      <w:pStyle w:val="Pieddepage"/>
      <w:tabs>
        <w:tab w:val="right" w:pos="9638"/>
      </w:tabs>
      <w:rPr>
        <w:b/>
        <w:sz w:val="18"/>
      </w:rPr>
    </w:pPr>
    <w:r w:rsidRPr="005D2955">
      <w:t>GE.24-14319</w:t>
    </w:r>
    <w:r w:rsidR="005A67A9">
      <w:tab/>
    </w:r>
    <w:r w:rsidR="005A67A9">
      <w:rPr>
        <w:b/>
        <w:sz w:val="18"/>
      </w:rPr>
      <w:fldChar w:fldCharType="begin"/>
    </w:r>
    <w:r w:rsidR="005A67A9">
      <w:rPr>
        <w:b/>
        <w:sz w:val="18"/>
      </w:rPr>
      <w:instrText xml:space="preserve"> PAGE  \* MERGEFORMAT </w:instrText>
    </w:r>
    <w:r w:rsidR="005A67A9">
      <w:rPr>
        <w:b/>
        <w:sz w:val="18"/>
      </w:rPr>
      <w:fldChar w:fldCharType="separate"/>
    </w:r>
    <w:r w:rsidR="005A67A9">
      <w:rPr>
        <w:b/>
        <w:sz w:val="18"/>
      </w:rPr>
      <w:t>69</w:t>
    </w:r>
    <w:r w:rsidR="005A67A9">
      <w:rPr>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2505" w14:textId="7EEAF3EC" w:rsidR="005A67A9" w:rsidRPr="005A67A9" w:rsidRDefault="005A67A9" w:rsidP="005A67A9">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92</w:t>
    </w:r>
    <w:r>
      <w:rPr>
        <w:b/>
        <w:sz w:val="18"/>
      </w:rPr>
      <w:fldChar w:fldCharType="end"/>
    </w:r>
    <w:r>
      <w:rPr>
        <w:b/>
        <w:sz w:val="18"/>
      </w:rPr>
      <w:tab/>
    </w:r>
    <w:r w:rsidRPr="005A67A9">
      <w:t>GE.24-14319</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C5392" w14:textId="79359E5D" w:rsidR="005A67A9" w:rsidRPr="005A67A9" w:rsidRDefault="005A67A9" w:rsidP="005A67A9">
    <w:pPr>
      <w:pStyle w:val="Pieddepage"/>
      <w:tabs>
        <w:tab w:val="right" w:pos="9638"/>
      </w:tabs>
      <w:rPr>
        <w:b/>
        <w:sz w:val="18"/>
      </w:rPr>
    </w:pPr>
    <w:r>
      <w:t>GE.</w:t>
    </w:r>
    <w:r w:rsidRPr="005A67A9">
      <w:t>24</w:t>
    </w:r>
    <w:r>
      <w:t>-</w:t>
    </w:r>
    <w:r w:rsidRPr="005A67A9">
      <w:t>14319</w:t>
    </w:r>
    <w:r>
      <w:tab/>
    </w:r>
    <w:r>
      <w:rPr>
        <w:b/>
        <w:sz w:val="18"/>
      </w:rPr>
      <w:fldChar w:fldCharType="begin"/>
    </w:r>
    <w:r>
      <w:rPr>
        <w:b/>
        <w:sz w:val="18"/>
      </w:rPr>
      <w:instrText xml:space="preserve"> PAGE  \* MERGEFORMAT </w:instrText>
    </w:r>
    <w:r>
      <w:rPr>
        <w:b/>
        <w:sz w:val="18"/>
      </w:rPr>
      <w:fldChar w:fldCharType="separate"/>
    </w:r>
    <w:r>
      <w:rPr>
        <w:b/>
        <w:noProof/>
        <w:sz w:val="18"/>
      </w:rPr>
      <w:t>93</w:t>
    </w:r>
    <w:r>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89E02" w14:textId="77777777" w:rsidR="00145146" w:rsidRDefault="0014514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21482" w14:textId="77777777" w:rsidR="00B7180A" w:rsidRDefault="00B718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5AA5A" w14:textId="77777777" w:rsidR="00B7180A" w:rsidRDefault="00B7180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BBE89" w14:textId="77777777" w:rsidR="00145146" w:rsidRPr="00145146" w:rsidRDefault="00145146" w:rsidP="00145146">
    <w:pPr>
      <w:pStyle w:val="Pieddepage"/>
      <w:tabs>
        <w:tab w:val="right" w:pos="9638"/>
      </w:tabs>
    </w:pPr>
    <w:r w:rsidRPr="00145146">
      <w:rPr>
        <w:b/>
        <w:sz w:val="18"/>
      </w:rPr>
      <w:fldChar w:fldCharType="begin"/>
    </w:r>
    <w:r w:rsidRPr="00145146">
      <w:rPr>
        <w:b/>
        <w:sz w:val="18"/>
      </w:rPr>
      <w:instrText xml:space="preserve"> PAGE  \* MERGEFORMAT </w:instrText>
    </w:r>
    <w:r w:rsidRPr="00145146">
      <w:rPr>
        <w:b/>
        <w:sz w:val="18"/>
      </w:rPr>
      <w:fldChar w:fldCharType="separate"/>
    </w:r>
    <w:r w:rsidRPr="00145146">
      <w:rPr>
        <w:b/>
        <w:noProof/>
        <w:sz w:val="18"/>
      </w:rPr>
      <w:t>iv</w:t>
    </w:r>
    <w:r w:rsidRPr="00145146">
      <w:rPr>
        <w:b/>
        <w:sz w:val="18"/>
      </w:rPr>
      <w:fldChar w:fldCharType="end"/>
    </w:r>
    <w:r>
      <w:rPr>
        <w:b/>
        <w:sz w:val="18"/>
      </w:rPr>
      <w:tab/>
    </w:r>
    <w:r>
      <w:t>GE.24-14319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A58F3" w14:textId="77777777" w:rsidR="00B7180A" w:rsidRPr="00145146" w:rsidRDefault="00145146" w:rsidP="00145146">
    <w:pPr>
      <w:pStyle w:val="Pieddepage"/>
      <w:tabs>
        <w:tab w:val="right" w:pos="9638"/>
      </w:tabs>
      <w:rPr>
        <w:b/>
        <w:sz w:val="18"/>
      </w:rPr>
    </w:pPr>
    <w:r>
      <w:t>GE.24-14319</w:t>
    </w:r>
    <w:r>
      <w:tab/>
    </w:r>
    <w:r w:rsidRPr="00145146">
      <w:rPr>
        <w:b/>
        <w:sz w:val="18"/>
      </w:rPr>
      <w:fldChar w:fldCharType="begin"/>
    </w:r>
    <w:r w:rsidRPr="00145146">
      <w:rPr>
        <w:b/>
        <w:sz w:val="18"/>
      </w:rPr>
      <w:instrText xml:space="preserve"> PAGE  \* MERGEFORMAT </w:instrText>
    </w:r>
    <w:r w:rsidRPr="00145146">
      <w:rPr>
        <w:b/>
        <w:sz w:val="18"/>
      </w:rPr>
      <w:fldChar w:fldCharType="separate"/>
    </w:r>
    <w:r w:rsidRPr="00145146">
      <w:rPr>
        <w:b/>
        <w:noProof/>
        <w:sz w:val="18"/>
      </w:rPr>
      <w:t>v</w:t>
    </w:r>
    <w:r w:rsidRPr="00145146">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45340" w14:textId="477D7379" w:rsidR="00145146" w:rsidRPr="00145146" w:rsidRDefault="00145146" w:rsidP="00145146">
    <w:pPr>
      <w:pStyle w:val="Pieddepage"/>
      <w:tabs>
        <w:tab w:val="right" w:pos="9638"/>
      </w:tabs>
      <w:spacing w:before="120"/>
      <w:rPr>
        <w:b/>
        <w:sz w:val="18"/>
      </w:rPr>
    </w:pPr>
    <w:r>
      <w:rPr>
        <w:sz w:val="20"/>
      </w:rPr>
      <w:t xml:space="preserve">GE.24-14319  (F)    200824    </w:t>
    </w:r>
    <w:r w:rsidR="008D6DE1">
      <w:rPr>
        <w:sz w:val="20"/>
      </w:rPr>
      <w:t>0</w:t>
    </w:r>
    <w:r w:rsidR="00FF43CE">
      <w:rPr>
        <w:sz w:val="20"/>
      </w:rPr>
      <w:t>5</w:t>
    </w:r>
    <w:r w:rsidR="008D6DE1">
      <w:rPr>
        <w:sz w:val="20"/>
      </w:rPr>
      <w:t>09</w:t>
    </w:r>
    <w:r w:rsidR="00EA5197">
      <w:rPr>
        <w:sz w:val="20"/>
      </w:rPr>
      <w:t>24</w:t>
    </w:r>
    <w:r>
      <w:rPr>
        <w:sz w:val="20"/>
      </w:rPr>
      <w:tab/>
    </w:r>
    <w:r>
      <w:rPr>
        <w:b/>
        <w:sz w:val="18"/>
      </w:rPr>
      <w:fldChar w:fldCharType="begin"/>
    </w:r>
    <w:r>
      <w:rPr>
        <w:b/>
        <w:sz w:val="18"/>
      </w:rPr>
      <w:instrText xml:space="preserve"> PAGE  \* MERGEFORMAT </w:instrText>
    </w:r>
    <w:r>
      <w:rPr>
        <w:b/>
        <w:sz w:val="18"/>
      </w:rPr>
      <w:fldChar w:fldCharType="separate"/>
    </w:r>
    <w:r>
      <w:rPr>
        <w:b/>
        <w:noProof/>
        <w:sz w:val="18"/>
      </w:rPr>
      <w:t>iii</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FB402" w14:textId="77777777" w:rsidR="00145146" w:rsidRPr="00145146" w:rsidRDefault="00145146" w:rsidP="00145146">
    <w:pPr>
      <w:pStyle w:val="Pieddepage"/>
      <w:tabs>
        <w:tab w:val="right" w:pos="9638"/>
      </w:tabs>
      <w:rPr>
        <w:b/>
        <w:sz w:val="18"/>
      </w:rPr>
    </w:pPr>
    <w:r>
      <w:t>GE.24-14319</w:t>
    </w:r>
    <w:r>
      <w:tab/>
    </w:r>
    <w:r w:rsidRPr="00145146">
      <w:rPr>
        <w:b/>
        <w:sz w:val="18"/>
      </w:rPr>
      <w:fldChar w:fldCharType="begin"/>
    </w:r>
    <w:r w:rsidRPr="00145146">
      <w:rPr>
        <w:b/>
        <w:sz w:val="18"/>
      </w:rPr>
      <w:instrText xml:space="preserve"> PAGE  \* MERGEFORMAT </w:instrText>
    </w:r>
    <w:r w:rsidRPr="00145146">
      <w:rPr>
        <w:b/>
        <w:sz w:val="18"/>
      </w:rPr>
      <w:fldChar w:fldCharType="separate"/>
    </w:r>
    <w:r w:rsidRPr="00145146">
      <w:rPr>
        <w:b/>
        <w:noProof/>
        <w:sz w:val="18"/>
      </w:rPr>
      <w:t>v</w:t>
    </w:r>
    <w:r w:rsidRPr="00145146">
      <w:rPr>
        <w:b/>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22F1" w14:textId="48479839" w:rsidR="005D2955" w:rsidRPr="005D2955" w:rsidRDefault="005D2955" w:rsidP="005D2955">
    <w:pPr>
      <w:pStyle w:val="Pieddepage"/>
      <w:tabs>
        <w:tab w:val="right" w:pos="9638"/>
      </w:tabs>
      <w:rPr>
        <w:b/>
        <w:sz w:val="18"/>
      </w:rPr>
    </w:pPr>
    <w:r>
      <w:rPr>
        <w:b/>
        <w:sz w:val="18"/>
      </w:rPr>
      <w:fldChar w:fldCharType="begin"/>
    </w:r>
    <w:r>
      <w:rPr>
        <w:b/>
        <w:sz w:val="18"/>
      </w:rPr>
      <w:instrText xml:space="preserve"> PAGE  \* MERGEFORMAT </w:instrText>
    </w:r>
    <w:r>
      <w:rPr>
        <w:b/>
        <w:sz w:val="18"/>
      </w:rPr>
      <w:fldChar w:fldCharType="separate"/>
    </w:r>
    <w:r>
      <w:rPr>
        <w:b/>
        <w:noProof/>
        <w:sz w:val="18"/>
      </w:rPr>
      <w:t>2</w:t>
    </w:r>
    <w:r>
      <w:rPr>
        <w:b/>
        <w:sz w:val="18"/>
      </w:rPr>
      <w:fldChar w:fldCharType="end"/>
    </w:r>
    <w:r w:rsidR="005A67A9">
      <w:rPr>
        <w:b/>
        <w:sz w:val="18"/>
      </w:rPr>
      <w:tab/>
    </w:r>
    <w:r w:rsidR="005A67A9">
      <w:t>GE.</w:t>
    </w:r>
    <w:r w:rsidR="005A67A9" w:rsidRPr="005D2955">
      <w:t>24</w:t>
    </w:r>
    <w:r w:rsidR="005A67A9">
      <w:t>-</w:t>
    </w:r>
    <w:r w:rsidR="005A67A9" w:rsidRPr="005D2955">
      <w:t>14319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4A237" w14:textId="77777777" w:rsidR="00E61B26" w:rsidRPr="00D27D5E" w:rsidRDefault="00E61B26" w:rsidP="00D27D5E">
      <w:pPr>
        <w:tabs>
          <w:tab w:val="right" w:pos="2155"/>
        </w:tabs>
        <w:spacing w:after="80"/>
        <w:ind w:left="680"/>
        <w:rPr>
          <w:u w:val="single"/>
        </w:rPr>
      </w:pPr>
      <w:r>
        <w:rPr>
          <w:u w:val="single"/>
        </w:rPr>
        <w:tab/>
      </w:r>
    </w:p>
  </w:footnote>
  <w:footnote w:type="continuationSeparator" w:id="0">
    <w:p w14:paraId="35916808" w14:textId="77777777" w:rsidR="00E61B26" w:rsidRPr="00D171D4" w:rsidRDefault="00E61B26" w:rsidP="00D171D4">
      <w:pPr>
        <w:tabs>
          <w:tab w:val="right" w:pos="2155"/>
        </w:tabs>
        <w:spacing w:after="80"/>
        <w:ind w:left="680"/>
        <w:rPr>
          <w:u w:val="single"/>
        </w:rPr>
      </w:pPr>
      <w:r w:rsidRPr="00D171D4">
        <w:rPr>
          <w:u w:val="single"/>
        </w:rPr>
        <w:tab/>
      </w:r>
    </w:p>
  </w:footnote>
  <w:footnote w:type="continuationNotice" w:id="1">
    <w:p w14:paraId="06FB69AF" w14:textId="77777777" w:rsidR="00E61B26" w:rsidRPr="00C451B9" w:rsidRDefault="00E61B26" w:rsidP="00C451B9">
      <w:pPr>
        <w:spacing w:line="240" w:lineRule="auto"/>
        <w:rPr>
          <w:sz w:val="2"/>
          <w:szCs w:val="2"/>
        </w:rPr>
      </w:pPr>
    </w:p>
  </w:footnote>
  <w:footnote w:id="2">
    <w:p w14:paraId="507C029D" w14:textId="71BBAEF0" w:rsidR="00C324CF" w:rsidRPr="00450147" w:rsidRDefault="00C324CF" w:rsidP="00E9227E">
      <w:pPr>
        <w:pStyle w:val="Notedebasdepage"/>
      </w:pPr>
      <w:r>
        <w:rPr>
          <w:lang w:val="fr-FR"/>
        </w:rPr>
        <w:tab/>
      </w:r>
      <w:r w:rsidRPr="00E9227E">
        <w:rPr>
          <w:rStyle w:val="Appelnotedebasdep"/>
        </w:rPr>
        <w:footnoteRef/>
      </w:r>
      <w:r>
        <w:rPr>
          <w:lang w:val="fr-FR"/>
        </w:rPr>
        <w:tab/>
        <w:t xml:space="preserve">Voir </w:t>
      </w:r>
      <w:r>
        <w:rPr>
          <w:i/>
          <w:iCs/>
          <w:lang w:val="fr-FR"/>
        </w:rPr>
        <w:t xml:space="preserve">infra </w:t>
      </w:r>
      <w:r>
        <w:rPr>
          <w:lang w:val="fr-FR"/>
        </w:rPr>
        <w:t>le paragraphe 4.</w:t>
      </w:r>
    </w:p>
  </w:footnote>
  <w:footnote w:id="3">
    <w:p w14:paraId="407D1DA6" w14:textId="48331D6E" w:rsidR="00C324CF" w:rsidRPr="0077491F" w:rsidRDefault="00C324CF" w:rsidP="00E9227E">
      <w:pPr>
        <w:pStyle w:val="Notedebasdepage"/>
        <w:rPr>
          <w:lang w:val="fr-FR"/>
        </w:rPr>
      </w:pPr>
      <w:r>
        <w:tab/>
      </w:r>
      <w:r w:rsidRPr="00E9227E">
        <w:rPr>
          <w:rStyle w:val="Appelnotedebasdep"/>
        </w:rPr>
        <w:footnoteRef/>
      </w:r>
      <w:r>
        <w:tab/>
      </w:r>
      <w:r>
        <w:rPr>
          <w:lang w:val="fr-FR"/>
        </w:rPr>
        <w:t xml:space="preserve">Voir </w:t>
      </w:r>
      <w:r>
        <w:rPr>
          <w:i/>
          <w:iCs/>
          <w:lang w:val="fr-FR"/>
        </w:rPr>
        <w:t xml:space="preserve">infra </w:t>
      </w:r>
      <w:r>
        <w:rPr>
          <w:lang w:val="fr-FR"/>
        </w:rPr>
        <w:t>le paragraphe 4.</w:t>
      </w:r>
    </w:p>
  </w:footnote>
  <w:footnote w:id="4">
    <w:p w14:paraId="1AE73044" w14:textId="6BFCE2B2" w:rsidR="00C324CF" w:rsidRPr="00450147" w:rsidRDefault="00C324CF" w:rsidP="00E9227E">
      <w:pPr>
        <w:pStyle w:val="Notedebasdepage"/>
      </w:pPr>
      <w:r w:rsidRPr="00163A47">
        <w:rPr>
          <w:lang w:val="fr-FR"/>
        </w:rPr>
        <w:tab/>
      </w:r>
      <w:r w:rsidRPr="00E9227E">
        <w:rPr>
          <w:rStyle w:val="Appelnotedebasdep"/>
        </w:rPr>
        <w:footnoteRef/>
      </w:r>
      <w:r>
        <w:rPr>
          <w:lang w:val="fr-FR"/>
        </w:rPr>
        <w:tab/>
        <w:t xml:space="preserve">Voir </w:t>
      </w:r>
      <w:r>
        <w:rPr>
          <w:i/>
          <w:iCs/>
          <w:lang w:val="fr-FR"/>
        </w:rPr>
        <w:t xml:space="preserve">infra </w:t>
      </w:r>
      <w:r>
        <w:rPr>
          <w:lang w:val="fr-FR"/>
        </w:rPr>
        <w:t>le paragraphe 3.</w:t>
      </w:r>
    </w:p>
  </w:footnote>
  <w:footnote w:id="5">
    <w:p w14:paraId="323354B4" w14:textId="77777777" w:rsidR="00C324CF" w:rsidRPr="00450147" w:rsidRDefault="00C324CF" w:rsidP="00E9227E">
      <w:pPr>
        <w:pStyle w:val="Notedebasdepage"/>
      </w:pPr>
      <w:r>
        <w:rPr>
          <w:lang w:val="fr-FR"/>
        </w:rPr>
        <w:tab/>
      </w:r>
      <w:r w:rsidRPr="00E9227E">
        <w:rPr>
          <w:rStyle w:val="Appelnotedebasdep"/>
        </w:rPr>
        <w:footnoteRef/>
      </w:r>
      <w:r>
        <w:rPr>
          <w:lang w:val="fr-FR"/>
        </w:rPr>
        <w:tab/>
        <w:t xml:space="preserve">Voir </w:t>
      </w:r>
      <w:hyperlink r:id="rId1" w:history="1">
        <w:r w:rsidRPr="0051462E">
          <w:rPr>
            <w:rStyle w:val="Lienhypertexte"/>
            <w:lang w:val="fr-FR"/>
          </w:rPr>
          <w:t>A/CN.4/773</w:t>
        </w:r>
      </w:hyperlink>
      <w:r>
        <w:rPr>
          <w:lang w:val="fr-FR"/>
        </w:rPr>
        <w:t xml:space="preserve"> et </w:t>
      </w:r>
      <w:hyperlink r:id="rId2" w:history="1">
        <w:r w:rsidRPr="0051462E">
          <w:rPr>
            <w:rStyle w:val="Lienhypertexte"/>
            <w:lang w:val="fr-FR"/>
          </w:rPr>
          <w:t>Add.1</w:t>
        </w:r>
      </w:hyperlink>
      <w:r>
        <w:rPr>
          <w:lang w:val="fr-FR"/>
        </w:rPr>
        <w:t>.</w:t>
      </w:r>
    </w:p>
  </w:footnote>
  <w:footnote w:id="6">
    <w:p w14:paraId="76455979" w14:textId="77777777" w:rsidR="00C324CF" w:rsidRPr="00450147" w:rsidRDefault="00C324CF" w:rsidP="00E9227E">
      <w:pPr>
        <w:pStyle w:val="Notedebasdepage"/>
      </w:pPr>
      <w:r w:rsidRPr="00E72669">
        <w:rPr>
          <w:lang w:val="fr-FR"/>
        </w:rPr>
        <w:tab/>
      </w:r>
      <w:r w:rsidRPr="00E9227E">
        <w:rPr>
          <w:rStyle w:val="Appelnotedebasdep"/>
        </w:rPr>
        <w:footnoteRef/>
      </w:r>
      <w:r>
        <w:rPr>
          <w:lang w:val="fr-FR"/>
        </w:rPr>
        <w:tab/>
        <w:t xml:space="preserve">Voir </w:t>
      </w:r>
      <w:hyperlink r:id="rId3" w:history="1">
        <w:r w:rsidRPr="0051462E">
          <w:rPr>
            <w:rStyle w:val="Lienhypertexte"/>
            <w:lang w:val="fr-FR"/>
          </w:rPr>
          <w:t>A/CN.4/776</w:t>
        </w:r>
      </w:hyperlink>
      <w:r>
        <w:rPr>
          <w:lang w:val="fr-FR"/>
        </w:rPr>
        <w:t xml:space="preserve"> et </w:t>
      </w:r>
      <w:hyperlink r:id="rId4" w:history="1">
        <w:r w:rsidRPr="0051462E">
          <w:rPr>
            <w:rStyle w:val="Lienhypertexte"/>
            <w:lang w:val="fr-FR"/>
          </w:rPr>
          <w:t>Add.1</w:t>
        </w:r>
      </w:hyperlink>
      <w:r>
        <w:rPr>
          <w:lang w:val="fr-FR"/>
        </w:rPr>
        <w:t>.</w:t>
      </w:r>
    </w:p>
  </w:footnote>
  <w:footnote w:id="7">
    <w:p w14:paraId="5D868039" w14:textId="721D574B" w:rsidR="00C324CF" w:rsidRPr="00450147" w:rsidRDefault="00C324CF" w:rsidP="00E9227E">
      <w:pPr>
        <w:pStyle w:val="Notedebasdepage"/>
      </w:pPr>
      <w:r>
        <w:rPr>
          <w:lang w:val="fr-FR"/>
        </w:rPr>
        <w:tab/>
      </w:r>
      <w:r w:rsidRPr="00E9227E">
        <w:rPr>
          <w:rStyle w:val="Appelnotedebasdep"/>
        </w:rPr>
        <w:footnoteRef/>
      </w:r>
      <w:r>
        <w:rPr>
          <w:lang w:val="fr-FR"/>
        </w:rPr>
        <w:tab/>
        <w:t xml:space="preserve">M. Yacouba Cissé, M. Mathias </w:t>
      </w:r>
      <w:proofErr w:type="spellStart"/>
      <w:r>
        <w:rPr>
          <w:lang w:val="fr-FR"/>
        </w:rPr>
        <w:t>Forteau</w:t>
      </w:r>
      <w:proofErr w:type="spellEnd"/>
      <w:r>
        <w:rPr>
          <w:lang w:val="fr-FR"/>
        </w:rPr>
        <w:t xml:space="preserve">, M. Claudio Grossman </w:t>
      </w:r>
      <w:proofErr w:type="spellStart"/>
      <w:r>
        <w:rPr>
          <w:lang w:val="fr-FR"/>
        </w:rPr>
        <w:t>Guiloff</w:t>
      </w:r>
      <w:proofErr w:type="spellEnd"/>
      <w:r>
        <w:rPr>
          <w:lang w:val="fr-FR"/>
        </w:rPr>
        <w:t xml:space="preserve">, M. Charles </w:t>
      </w:r>
      <w:proofErr w:type="spellStart"/>
      <w:r>
        <w:rPr>
          <w:lang w:val="fr-FR"/>
        </w:rPr>
        <w:t>Chernor</w:t>
      </w:r>
      <w:proofErr w:type="spellEnd"/>
      <w:r>
        <w:rPr>
          <w:lang w:val="fr-FR"/>
        </w:rPr>
        <w:t xml:space="preserve"> </w:t>
      </w:r>
      <w:proofErr w:type="spellStart"/>
      <w:r>
        <w:rPr>
          <w:lang w:val="fr-FR"/>
        </w:rPr>
        <w:t>Jalloh</w:t>
      </w:r>
      <w:proofErr w:type="spellEnd"/>
      <w:r>
        <w:rPr>
          <w:lang w:val="fr-FR"/>
        </w:rPr>
        <w:t>, M.</w:t>
      </w:r>
      <w:r w:rsidR="00D07ED4">
        <w:rPr>
          <w:lang w:val="fr-FR"/>
        </w:rPr>
        <w:t> </w:t>
      </w:r>
      <w:r>
        <w:rPr>
          <w:lang w:val="fr-FR"/>
        </w:rPr>
        <w:t xml:space="preserve">August </w:t>
      </w:r>
      <w:proofErr w:type="spellStart"/>
      <w:r>
        <w:rPr>
          <w:lang w:val="fr-FR"/>
        </w:rPr>
        <w:t>Reinisch</w:t>
      </w:r>
      <w:proofErr w:type="spellEnd"/>
      <w:r>
        <w:rPr>
          <w:lang w:val="fr-FR"/>
        </w:rPr>
        <w:t xml:space="preserve"> et M. Marcelo </w:t>
      </w:r>
      <w:proofErr w:type="spellStart"/>
      <w:r>
        <w:rPr>
          <w:lang w:val="fr-FR"/>
        </w:rPr>
        <w:t>Vázquez-Bermúdez</w:t>
      </w:r>
      <w:proofErr w:type="spellEnd"/>
      <w:r>
        <w:rPr>
          <w:lang w:val="fr-FR"/>
        </w:rPr>
        <w:t>. À sa 3681</w:t>
      </w:r>
      <w:r w:rsidRPr="00166F39">
        <w:rPr>
          <w:vertAlign w:val="superscript"/>
          <w:lang w:val="fr-FR"/>
        </w:rPr>
        <w:t>e</w:t>
      </w:r>
      <w:r>
        <w:rPr>
          <w:lang w:val="fr-FR"/>
        </w:rPr>
        <w:t> séance, le 10 juillet 2024, la Commission a été informée de la démission de M. Yacouba Cissé en tant que Rapporteur spécial pour le sujet « Prévention et répression de la piraterie et du vol à main armée en mer ». À sa 3701</w:t>
      </w:r>
      <w:r w:rsidRPr="0077491F">
        <w:rPr>
          <w:vertAlign w:val="superscript"/>
          <w:lang w:val="fr-FR"/>
        </w:rPr>
        <w:t>e</w:t>
      </w:r>
      <w:r>
        <w:rPr>
          <w:lang w:val="fr-FR"/>
        </w:rPr>
        <w:t xml:space="preserve"> séance, le 2 août 2024, elle a désigné M. Louis </w:t>
      </w:r>
      <w:proofErr w:type="spellStart"/>
      <w:r>
        <w:rPr>
          <w:lang w:val="fr-FR"/>
        </w:rPr>
        <w:t>Savadogo</w:t>
      </w:r>
      <w:proofErr w:type="spellEnd"/>
      <w:r>
        <w:rPr>
          <w:lang w:val="fr-FR"/>
        </w:rPr>
        <w:t xml:space="preserve"> Rapporteur spécial pour le sujet.</w:t>
      </w:r>
    </w:p>
  </w:footnote>
  <w:footnote w:id="8">
    <w:p w14:paraId="0BF201EC" w14:textId="77777777" w:rsidR="00C324CF" w:rsidRPr="00450147" w:rsidRDefault="00C324CF" w:rsidP="00E9227E">
      <w:pPr>
        <w:pStyle w:val="Notedebasdepage"/>
      </w:pPr>
      <w:r w:rsidRPr="00F94832">
        <w:rPr>
          <w:lang w:val="fr-FR"/>
        </w:rPr>
        <w:tab/>
      </w:r>
      <w:r w:rsidRPr="00E9227E">
        <w:rPr>
          <w:rStyle w:val="Appelnotedebasdep"/>
        </w:rPr>
        <w:footnoteRef/>
      </w:r>
      <w:r>
        <w:rPr>
          <w:lang w:val="fr-FR"/>
        </w:rPr>
        <w:tab/>
        <w:t>M. Yacouba Cissé, M</w:t>
      </w:r>
      <w:r w:rsidRPr="00166F39">
        <w:rPr>
          <w:vertAlign w:val="superscript"/>
          <w:lang w:val="fr-FR"/>
        </w:rPr>
        <w:t>me</w:t>
      </w:r>
      <w:r>
        <w:rPr>
          <w:lang w:val="fr-FR"/>
        </w:rPr>
        <w:t xml:space="preserve"> </w:t>
      </w:r>
      <w:proofErr w:type="spellStart"/>
      <w:r>
        <w:rPr>
          <w:lang w:val="fr-FR"/>
        </w:rPr>
        <w:t>Patrícia</w:t>
      </w:r>
      <w:proofErr w:type="spellEnd"/>
      <w:r>
        <w:rPr>
          <w:lang w:val="fr-FR"/>
        </w:rPr>
        <w:t xml:space="preserve"> </w:t>
      </w:r>
      <w:proofErr w:type="spellStart"/>
      <w:r>
        <w:rPr>
          <w:lang w:val="fr-FR"/>
        </w:rPr>
        <w:t>Galvão</w:t>
      </w:r>
      <w:proofErr w:type="spellEnd"/>
      <w:r>
        <w:rPr>
          <w:lang w:val="fr-FR"/>
        </w:rPr>
        <w:t xml:space="preserve"> </w:t>
      </w:r>
      <w:proofErr w:type="spellStart"/>
      <w:r>
        <w:rPr>
          <w:lang w:val="fr-FR"/>
        </w:rPr>
        <w:t>Teles</w:t>
      </w:r>
      <w:proofErr w:type="spellEnd"/>
      <w:r>
        <w:rPr>
          <w:lang w:val="fr-FR"/>
        </w:rPr>
        <w:t>, M</w:t>
      </w:r>
      <w:r w:rsidRPr="00166F39">
        <w:rPr>
          <w:vertAlign w:val="superscript"/>
          <w:lang w:val="fr-FR"/>
        </w:rPr>
        <w:t>me</w:t>
      </w:r>
      <w:r>
        <w:rPr>
          <w:lang w:val="fr-FR"/>
        </w:rPr>
        <w:t xml:space="preserve"> </w:t>
      </w:r>
      <w:proofErr w:type="spellStart"/>
      <w:r>
        <w:rPr>
          <w:lang w:val="fr-FR"/>
        </w:rPr>
        <w:t>Nilüfer</w:t>
      </w:r>
      <w:proofErr w:type="spellEnd"/>
      <w:r>
        <w:rPr>
          <w:lang w:val="fr-FR"/>
        </w:rPr>
        <w:t xml:space="preserve"> Oral et M. Juan José </w:t>
      </w:r>
      <w:proofErr w:type="spellStart"/>
      <w:r>
        <w:rPr>
          <w:lang w:val="fr-FR"/>
        </w:rPr>
        <w:t>Ruda</w:t>
      </w:r>
      <w:proofErr w:type="spellEnd"/>
      <w:r>
        <w:rPr>
          <w:lang w:val="fr-FR"/>
        </w:rPr>
        <w:t xml:space="preserve"> </w:t>
      </w:r>
      <w:proofErr w:type="spellStart"/>
      <w:r>
        <w:rPr>
          <w:lang w:val="fr-FR"/>
        </w:rPr>
        <w:t>Santolaria</w:t>
      </w:r>
      <w:proofErr w:type="spellEnd"/>
      <w:r>
        <w:rPr>
          <w:lang w:val="fr-FR"/>
        </w:rPr>
        <w:t>.</w:t>
      </w:r>
    </w:p>
  </w:footnote>
  <w:footnote w:id="9">
    <w:p w14:paraId="5E406DD5" w14:textId="305DB08F" w:rsidR="00C324CF" w:rsidRPr="00450147" w:rsidRDefault="00C324CF" w:rsidP="00E9227E">
      <w:pPr>
        <w:pStyle w:val="Notedebasdepage"/>
      </w:pPr>
      <w:r>
        <w:rPr>
          <w:lang w:val="fr-FR"/>
        </w:rPr>
        <w:tab/>
      </w:r>
      <w:r w:rsidRPr="00E9227E">
        <w:rPr>
          <w:rStyle w:val="Appelnotedebasdep"/>
        </w:rPr>
        <w:footnoteRef/>
      </w:r>
      <w:r>
        <w:rPr>
          <w:lang w:val="fr-FR"/>
        </w:rPr>
        <w:tab/>
        <w:t xml:space="preserve">Voir </w:t>
      </w:r>
      <w:r w:rsidRPr="0077491F">
        <w:rPr>
          <w:i/>
          <w:iCs/>
          <w:lang w:val="fr-FR"/>
        </w:rPr>
        <w:t>supra</w:t>
      </w:r>
      <w:r>
        <w:rPr>
          <w:lang w:val="fr-FR"/>
        </w:rPr>
        <w:t xml:space="preserve"> la note </w:t>
      </w:r>
      <w:r w:rsidR="00214004">
        <w:rPr>
          <w:lang w:val="fr-FR"/>
        </w:rPr>
        <w:fldChar w:fldCharType="begin"/>
      </w:r>
      <w:r w:rsidR="00214004">
        <w:rPr>
          <w:lang w:val="fr-FR"/>
        </w:rPr>
        <w:instrText xml:space="preserve"> NOTEREF _Ref175052861 \h </w:instrText>
      </w:r>
      <w:r w:rsidR="00214004">
        <w:rPr>
          <w:lang w:val="fr-FR"/>
        </w:rPr>
      </w:r>
      <w:r w:rsidR="00214004">
        <w:rPr>
          <w:lang w:val="fr-FR"/>
        </w:rPr>
        <w:fldChar w:fldCharType="separate"/>
      </w:r>
      <w:r w:rsidR="00EC4FDE">
        <w:rPr>
          <w:lang w:val="fr-FR"/>
        </w:rPr>
        <w:t>6</w:t>
      </w:r>
      <w:r w:rsidR="00214004">
        <w:rPr>
          <w:lang w:val="fr-FR"/>
        </w:rPr>
        <w:fldChar w:fldCharType="end"/>
      </w:r>
      <w:r>
        <w:rPr>
          <w:lang w:val="fr-FR"/>
        </w:rPr>
        <w:t>.</w:t>
      </w:r>
    </w:p>
  </w:footnote>
  <w:footnote w:id="10">
    <w:p w14:paraId="56A468A0" w14:textId="364731E5"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r>
      <w:r w:rsidRPr="00DD13BA">
        <w:rPr>
          <w:i/>
          <w:iCs/>
          <w:lang w:val="fr-FR"/>
        </w:rPr>
        <w:t>Documents officiels de l</w:t>
      </w:r>
      <w:r w:rsidR="004937A0">
        <w:rPr>
          <w:i/>
          <w:iCs/>
          <w:lang w:val="fr-FR"/>
        </w:rPr>
        <w:t>’</w:t>
      </w:r>
      <w:r w:rsidRPr="00DD13BA">
        <w:rPr>
          <w:i/>
          <w:iCs/>
          <w:lang w:val="fr-FR"/>
        </w:rPr>
        <w:t>Assemblée générale, soixante-dix-septième session, Supplément n</w:t>
      </w:r>
      <w:r w:rsidRPr="00DD13BA">
        <w:rPr>
          <w:i/>
          <w:iCs/>
          <w:vertAlign w:val="superscript"/>
          <w:lang w:val="fr-FR"/>
        </w:rPr>
        <w:t>o</w:t>
      </w:r>
      <w:r w:rsidRPr="00DD13BA">
        <w:rPr>
          <w:i/>
          <w:iCs/>
          <w:lang w:val="fr-FR"/>
        </w:rPr>
        <w:t> 10</w:t>
      </w:r>
      <w:r>
        <w:rPr>
          <w:lang w:val="fr-FR"/>
        </w:rPr>
        <w:t xml:space="preserve"> (</w:t>
      </w:r>
      <w:hyperlink r:id="rId5" w:history="1">
        <w:r w:rsidRPr="00DD13BA">
          <w:rPr>
            <w:rStyle w:val="Lienhypertexte"/>
            <w:lang w:val="fr-FR"/>
          </w:rPr>
          <w:t>A/77/10</w:t>
        </w:r>
      </w:hyperlink>
      <w:r>
        <w:rPr>
          <w:lang w:val="fr-FR"/>
        </w:rPr>
        <w:t>), par. 68.</w:t>
      </w:r>
    </w:p>
  </w:footnote>
  <w:footnote w:id="11">
    <w:p w14:paraId="7C4EAF24" w14:textId="77777777"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t>Ibid., par. 69.</w:t>
      </w:r>
    </w:p>
  </w:footnote>
  <w:footnote w:id="12">
    <w:p w14:paraId="71A2034B" w14:textId="77777777"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t xml:space="preserve">Ibid., </w:t>
      </w:r>
      <w:r w:rsidRPr="00DD13BA">
        <w:rPr>
          <w:i/>
          <w:iCs/>
          <w:lang w:val="fr-FR"/>
        </w:rPr>
        <w:t>soixante-dix-huitième session, Supplément n</w:t>
      </w:r>
      <w:r w:rsidRPr="00DD13BA">
        <w:rPr>
          <w:i/>
          <w:iCs/>
          <w:vertAlign w:val="superscript"/>
          <w:lang w:val="fr-FR"/>
        </w:rPr>
        <w:t>o</w:t>
      </w:r>
      <w:r w:rsidRPr="00DD13BA">
        <w:rPr>
          <w:i/>
          <w:iCs/>
          <w:lang w:val="fr-FR"/>
        </w:rPr>
        <w:t> 10</w:t>
      </w:r>
      <w:r>
        <w:rPr>
          <w:lang w:val="fr-FR"/>
        </w:rPr>
        <w:t xml:space="preserve"> (</w:t>
      </w:r>
      <w:hyperlink r:id="rId6" w:history="1">
        <w:r w:rsidRPr="00DD13BA">
          <w:rPr>
            <w:rStyle w:val="Lienhypertexte"/>
            <w:lang w:val="fr-FR"/>
          </w:rPr>
          <w:t>A/78/10</w:t>
        </w:r>
      </w:hyperlink>
      <w:r>
        <w:rPr>
          <w:lang w:val="fr-FR"/>
        </w:rPr>
        <w:t>), par. 38.</w:t>
      </w:r>
    </w:p>
  </w:footnote>
  <w:footnote w:id="13">
    <w:p w14:paraId="6F6540F7" w14:textId="77777777"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t xml:space="preserve">Ibid., </w:t>
      </w:r>
      <w:r w:rsidRPr="00DD13BA">
        <w:rPr>
          <w:i/>
          <w:iCs/>
          <w:lang w:val="fr-FR"/>
        </w:rPr>
        <w:t>soixante-quatorzième session, Supplément n</w:t>
      </w:r>
      <w:r w:rsidRPr="00DD13BA">
        <w:rPr>
          <w:i/>
          <w:iCs/>
          <w:vertAlign w:val="superscript"/>
          <w:lang w:val="fr-FR"/>
        </w:rPr>
        <w:t>o</w:t>
      </w:r>
      <w:r w:rsidRPr="00DD13BA">
        <w:rPr>
          <w:i/>
          <w:iCs/>
          <w:lang w:val="fr-FR"/>
        </w:rPr>
        <w:t> 10</w:t>
      </w:r>
      <w:r>
        <w:rPr>
          <w:lang w:val="fr-FR"/>
        </w:rPr>
        <w:t xml:space="preserve"> (</w:t>
      </w:r>
      <w:hyperlink r:id="rId7" w:history="1">
        <w:r w:rsidRPr="00DD13BA">
          <w:rPr>
            <w:rStyle w:val="Lienhypertexte"/>
            <w:lang w:val="fr-FR"/>
          </w:rPr>
          <w:t>A/74/10</w:t>
        </w:r>
      </w:hyperlink>
      <w:r>
        <w:rPr>
          <w:lang w:val="fr-FR"/>
        </w:rPr>
        <w:t>), par. 31 à 33.</w:t>
      </w:r>
    </w:p>
  </w:footnote>
  <w:footnote w:id="14">
    <w:p w14:paraId="1A7A3327" w14:textId="77777777"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t xml:space="preserve">Ibid., </w:t>
      </w:r>
      <w:r w:rsidRPr="00DD13BA">
        <w:rPr>
          <w:i/>
          <w:iCs/>
          <w:lang w:val="fr-FR"/>
        </w:rPr>
        <w:t>soixante-seizième session, Supplément n</w:t>
      </w:r>
      <w:r w:rsidRPr="00DD13BA">
        <w:rPr>
          <w:i/>
          <w:iCs/>
          <w:vertAlign w:val="superscript"/>
          <w:lang w:val="fr-FR"/>
        </w:rPr>
        <w:t>o</w:t>
      </w:r>
      <w:r w:rsidRPr="00DD13BA">
        <w:rPr>
          <w:i/>
          <w:iCs/>
          <w:lang w:val="fr-FR"/>
        </w:rPr>
        <w:t> 10</w:t>
      </w:r>
      <w:r>
        <w:rPr>
          <w:lang w:val="fr-FR"/>
        </w:rPr>
        <w:t xml:space="preserve"> (</w:t>
      </w:r>
      <w:hyperlink r:id="rId8" w:history="1">
        <w:r w:rsidRPr="00DD13BA">
          <w:rPr>
            <w:rStyle w:val="Lienhypertexte"/>
            <w:lang w:val="fr-FR"/>
          </w:rPr>
          <w:t>A/76/10</w:t>
        </w:r>
      </w:hyperlink>
      <w:r>
        <w:rPr>
          <w:lang w:val="fr-FR"/>
        </w:rPr>
        <w:t>), par. 26.</w:t>
      </w:r>
    </w:p>
  </w:footnote>
  <w:footnote w:id="15">
    <w:p w14:paraId="5D09168A" w14:textId="77777777" w:rsidR="00C324CF" w:rsidRPr="00DD0E03" w:rsidRDefault="00C324CF" w:rsidP="00E9227E">
      <w:pPr>
        <w:pStyle w:val="Notedebasdepage"/>
        <w:rPr>
          <w:sz w:val="17"/>
          <w:szCs w:val="17"/>
          <w:lang w:val="fr-CA"/>
        </w:rPr>
      </w:pPr>
      <w:r>
        <w:rPr>
          <w:lang w:val="fr-FR"/>
        </w:rPr>
        <w:tab/>
      </w:r>
      <w:r w:rsidRPr="00E9227E">
        <w:rPr>
          <w:rStyle w:val="Appelnotedebasdep"/>
        </w:rPr>
        <w:footnoteRef/>
      </w:r>
      <w:r>
        <w:rPr>
          <w:lang w:val="fr-FR"/>
        </w:rPr>
        <w:tab/>
        <w:t xml:space="preserve">Ibid., </w:t>
      </w:r>
      <w:r w:rsidRPr="00DD13BA">
        <w:rPr>
          <w:i/>
          <w:iCs/>
          <w:lang w:val="fr-FR"/>
        </w:rPr>
        <w:t>soixante-dix-septième session, Supplément n</w:t>
      </w:r>
      <w:r w:rsidRPr="00DD13BA">
        <w:rPr>
          <w:i/>
          <w:iCs/>
          <w:vertAlign w:val="superscript"/>
          <w:lang w:val="fr-FR"/>
        </w:rPr>
        <w:t>o</w:t>
      </w:r>
      <w:r w:rsidRPr="00DD13BA">
        <w:rPr>
          <w:i/>
          <w:iCs/>
          <w:lang w:val="fr-FR"/>
        </w:rPr>
        <w:t> 10</w:t>
      </w:r>
      <w:r>
        <w:rPr>
          <w:lang w:val="fr-FR"/>
        </w:rPr>
        <w:t xml:space="preserve"> (</w:t>
      </w:r>
      <w:hyperlink r:id="rId9" w:history="1">
        <w:r w:rsidRPr="00DD13BA">
          <w:rPr>
            <w:rStyle w:val="Lienhypertexte"/>
            <w:lang w:val="fr-FR"/>
          </w:rPr>
          <w:t>A/77/10</w:t>
        </w:r>
      </w:hyperlink>
      <w:r>
        <w:rPr>
          <w:lang w:val="fr-FR"/>
        </w:rPr>
        <w:t>), par. 28.</w:t>
      </w:r>
    </w:p>
  </w:footnote>
  <w:footnote w:id="16">
    <w:p w14:paraId="40B28EE3" w14:textId="77777777" w:rsidR="00C324CF" w:rsidRPr="00DD0E03" w:rsidRDefault="00C324CF" w:rsidP="00E9227E">
      <w:pPr>
        <w:pStyle w:val="Notedebasdepage"/>
        <w:rPr>
          <w:lang w:val="fr-CA"/>
        </w:rPr>
      </w:pPr>
      <w:r>
        <w:rPr>
          <w:lang w:val="fr-FR"/>
        </w:rPr>
        <w:tab/>
      </w:r>
      <w:r w:rsidRPr="00E9227E">
        <w:rPr>
          <w:rStyle w:val="Appelnotedebasdep"/>
        </w:rPr>
        <w:footnoteRef/>
      </w:r>
      <w:r>
        <w:rPr>
          <w:lang w:val="fr-FR"/>
        </w:rPr>
        <w:tab/>
        <w:t xml:space="preserve">Ibid., </w:t>
      </w:r>
      <w:r w:rsidRPr="00DD13BA">
        <w:rPr>
          <w:i/>
          <w:iCs/>
          <w:lang w:val="fr-FR"/>
        </w:rPr>
        <w:t>soixante-dix-huitième session, Supplément n</w:t>
      </w:r>
      <w:r w:rsidRPr="00DD13BA">
        <w:rPr>
          <w:i/>
          <w:iCs/>
          <w:vertAlign w:val="superscript"/>
          <w:lang w:val="fr-FR"/>
        </w:rPr>
        <w:t>o</w:t>
      </w:r>
      <w:r w:rsidRPr="00DD13BA">
        <w:rPr>
          <w:i/>
          <w:iCs/>
          <w:lang w:val="fr-FR"/>
        </w:rPr>
        <w:t> 10</w:t>
      </w:r>
      <w:r>
        <w:rPr>
          <w:lang w:val="fr-FR"/>
        </w:rPr>
        <w:t xml:space="preserve"> (</w:t>
      </w:r>
      <w:hyperlink r:id="rId10" w:history="1">
        <w:r w:rsidRPr="00DD13BA">
          <w:rPr>
            <w:rStyle w:val="Lienhypertexte"/>
            <w:lang w:val="fr-FR"/>
          </w:rPr>
          <w:t>A/78/10</w:t>
        </w:r>
      </w:hyperlink>
      <w:r>
        <w:rPr>
          <w:lang w:val="fr-FR"/>
        </w:rPr>
        <w:t>), par. 28.</w:t>
      </w:r>
    </w:p>
  </w:footnote>
  <w:footnote w:id="17">
    <w:p w14:paraId="3FC0FD2E" w14:textId="34F8FB5C" w:rsidR="00C324CF" w:rsidRPr="00D13C0A" w:rsidRDefault="00C324CF" w:rsidP="00E9227E">
      <w:pPr>
        <w:pStyle w:val="Notedebasdepage"/>
      </w:pPr>
      <w:r>
        <w:rPr>
          <w:lang w:val="fr-FR"/>
        </w:rPr>
        <w:tab/>
      </w:r>
      <w:r w:rsidRPr="00E9227E">
        <w:rPr>
          <w:rStyle w:val="Appelnotedebasdep"/>
        </w:rPr>
        <w:footnoteRef/>
      </w:r>
      <w:r>
        <w:rPr>
          <w:lang w:val="fr-FR"/>
        </w:rPr>
        <w:tab/>
        <w:t>À sa 3582</w:t>
      </w:r>
      <w:r w:rsidRPr="006835AA">
        <w:rPr>
          <w:vertAlign w:val="superscript"/>
          <w:lang w:val="fr-FR"/>
        </w:rPr>
        <w:t>e</w:t>
      </w:r>
      <w:r>
        <w:rPr>
          <w:lang w:val="fr-FR"/>
        </w:rPr>
        <w:t xml:space="preserve"> séance, le 17 mai 2022. Le sujet avait été inscrit au programme de travail à long terme de la Commission à sa soixante-huitième session (2016), sur la base de la proposition reproduite à l</w:t>
      </w:r>
      <w:r w:rsidR="004937A0">
        <w:rPr>
          <w:lang w:val="fr-FR"/>
        </w:rPr>
        <w:t>’</w:t>
      </w:r>
      <w:r>
        <w:rPr>
          <w:lang w:val="fr-FR"/>
        </w:rPr>
        <w:t>annexe du rapport de la Commission sur les travaux de cette session (</w:t>
      </w:r>
      <w:hyperlink r:id="rId11" w:history="1">
        <w:r w:rsidRPr="00CF6612">
          <w:rPr>
            <w:rStyle w:val="Lienhypertexte"/>
            <w:i/>
            <w:iCs/>
            <w:lang w:val="fr-FR"/>
          </w:rPr>
          <w:t xml:space="preserve">Annuaire … 2016, </w:t>
        </w:r>
        <w:r w:rsidRPr="00AE505A">
          <w:rPr>
            <w:rStyle w:val="Lienhypertexte"/>
            <w:lang w:val="fr-FR"/>
          </w:rPr>
          <w:t>vol.</w:t>
        </w:r>
        <w:r w:rsidR="00D07ED4">
          <w:rPr>
            <w:rStyle w:val="Lienhypertexte"/>
            <w:lang w:val="fr-FR"/>
          </w:rPr>
          <w:t> </w:t>
        </w:r>
        <w:r w:rsidRPr="00AE505A">
          <w:rPr>
            <w:rStyle w:val="Lienhypertexte"/>
            <w:lang w:val="fr-FR"/>
          </w:rPr>
          <w:t>II</w:t>
        </w:r>
        <w:r w:rsidRPr="00043161">
          <w:rPr>
            <w:rStyle w:val="Lienhypertexte"/>
            <w:lang w:val="fr-FR"/>
          </w:rPr>
          <w:t xml:space="preserve"> </w:t>
        </w:r>
        <w:r w:rsidRPr="00CF6612">
          <w:rPr>
            <w:rStyle w:val="Lienhypertexte"/>
            <w:lang w:val="fr-FR"/>
          </w:rPr>
          <w:t>(2</w:t>
        </w:r>
        <w:r w:rsidRPr="00CF6612">
          <w:rPr>
            <w:rStyle w:val="Lienhypertexte"/>
            <w:vertAlign w:val="superscript"/>
            <w:lang w:val="fr-FR"/>
          </w:rPr>
          <w:t>e</w:t>
        </w:r>
        <w:r w:rsidRPr="00CF6612">
          <w:rPr>
            <w:rStyle w:val="Lienhypertexte"/>
            <w:lang w:val="fr-FR"/>
          </w:rPr>
          <w:t> partie)</w:t>
        </w:r>
      </w:hyperlink>
      <w:r>
        <w:rPr>
          <w:lang w:val="fr-FR"/>
        </w:rPr>
        <w:t>, annexe I, p. 247).</w:t>
      </w:r>
    </w:p>
  </w:footnote>
  <w:footnote w:id="18">
    <w:p w14:paraId="69BD93EB" w14:textId="77777777" w:rsidR="00C324CF" w:rsidRPr="00D13C0A" w:rsidRDefault="00C324CF" w:rsidP="00E9227E">
      <w:pPr>
        <w:pStyle w:val="Notedebasdepage"/>
      </w:pPr>
      <w:r>
        <w:rPr>
          <w:lang w:val="fr-FR"/>
        </w:rPr>
        <w:tab/>
      </w:r>
      <w:r w:rsidRPr="00E9227E">
        <w:rPr>
          <w:rStyle w:val="Appelnotedebasdep"/>
        </w:rPr>
        <w:footnoteRef/>
      </w:r>
      <w:r>
        <w:rPr>
          <w:lang w:val="fr-FR"/>
        </w:rPr>
        <w:tab/>
        <w:t>À sa 3612</w:t>
      </w:r>
      <w:r w:rsidRPr="002D02E3">
        <w:rPr>
          <w:vertAlign w:val="superscript"/>
          <w:lang w:val="fr-FR"/>
        </w:rPr>
        <w:t>e</w:t>
      </w:r>
      <w:r>
        <w:rPr>
          <w:lang w:val="fr-FR"/>
        </w:rPr>
        <w:t> séance, le 5 août 2022.</w:t>
      </w:r>
    </w:p>
  </w:footnote>
  <w:footnote w:id="19">
    <w:p w14:paraId="28E07FC8" w14:textId="0AC66725" w:rsidR="00C324CF" w:rsidRPr="00D13C0A" w:rsidRDefault="00C324CF" w:rsidP="00E9227E">
      <w:pPr>
        <w:pStyle w:val="Notedebasdepage"/>
      </w:pPr>
      <w:r>
        <w:rPr>
          <w:lang w:val="fr-FR"/>
        </w:rPr>
        <w:tab/>
      </w:r>
      <w:r w:rsidRPr="00E9227E">
        <w:rPr>
          <w:rStyle w:val="Appelnotedebasdep"/>
        </w:rPr>
        <w:footnoteRef/>
      </w:r>
      <w:r>
        <w:rPr>
          <w:lang w:val="fr-FR"/>
        </w:rPr>
        <w:tab/>
      </w:r>
      <w:r>
        <w:rPr>
          <w:lang w:val="fr-FR"/>
        </w:rPr>
        <w:tab/>
      </w:r>
      <w:hyperlink r:id="rId12" w:history="1">
        <w:r w:rsidRPr="00CF6612">
          <w:rPr>
            <w:rStyle w:val="Lienhypertexte"/>
            <w:lang w:val="fr-FR"/>
          </w:rPr>
          <w:t>A/CN.4/756</w:t>
        </w:r>
      </w:hyperlink>
      <w:r>
        <w:rPr>
          <w:lang w:val="fr-FR"/>
        </w:rPr>
        <w:t>.</w:t>
      </w:r>
    </w:p>
  </w:footnote>
  <w:footnote w:id="20">
    <w:p w14:paraId="4792D43A" w14:textId="786F9E00" w:rsidR="00C324CF" w:rsidRPr="00D13C0A" w:rsidRDefault="00C324CF" w:rsidP="00E9227E">
      <w:pPr>
        <w:pStyle w:val="Notedebasdepage"/>
      </w:pPr>
      <w:r>
        <w:rPr>
          <w:lang w:val="fr-FR"/>
        </w:rPr>
        <w:tab/>
      </w:r>
      <w:r w:rsidRPr="00E9227E">
        <w:rPr>
          <w:rStyle w:val="Appelnotedebasdep"/>
        </w:rPr>
        <w:footnoteRef/>
      </w:r>
      <w:r>
        <w:rPr>
          <w:lang w:val="fr-FR"/>
        </w:rPr>
        <w:tab/>
      </w:r>
      <w:r>
        <w:rPr>
          <w:lang w:val="fr-FR"/>
        </w:rPr>
        <w:tab/>
        <w:t xml:space="preserve">Voir </w:t>
      </w:r>
      <w:hyperlink r:id="rId13" w:history="1">
        <w:r w:rsidRPr="00CF6612">
          <w:rPr>
            <w:rStyle w:val="Lienhypertexte"/>
            <w:lang w:val="fr-FR"/>
          </w:rPr>
          <w:t>A/78/10</w:t>
        </w:r>
      </w:hyperlink>
      <w:r>
        <w:rPr>
          <w:lang w:val="fr-FR"/>
        </w:rPr>
        <w:t>, par. 44 à 49.</w:t>
      </w:r>
    </w:p>
  </w:footnote>
  <w:footnote w:id="21">
    <w:p w14:paraId="2CEC45C2" w14:textId="63A13A5D" w:rsidR="00C324CF" w:rsidRPr="00656774" w:rsidRDefault="00C324CF" w:rsidP="00E9227E">
      <w:pPr>
        <w:pStyle w:val="Notedebasdepage"/>
        <w:rPr>
          <w:lang w:val="fr-FR"/>
        </w:rPr>
      </w:pPr>
      <w:r>
        <w:tab/>
      </w:r>
      <w:r w:rsidRPr="00E9227E">
        <w:rPr>
          <w:rStyle w:val="Appelnotedebasdep"/>
        </w:rPr>
        <w:footnoteRef/>
      </w:r>
      <w:r>
        <w:tab/>
        <w:t>Les raisons pour lesquelles la Commission a décidé d</w:t>
      </w:r>
      <w:r w:rsidR="004937A0">
        <w:t>’</w:t>
      </w:r>
      <w:r>
        <w:t>introduire une distinction entre les deux catégories de différends (ceux entre organisations internationales et entre organisations internationales et États, d</w:t>
      </w:r>
      <w:r w:rsidR="004937A0">
        <w:t>’</w:t>
      </w:r>
      <w:r>
        <w:t>une part, et ceux entre organisations internationales et parties privées, d</w:t>
      </w:r>
      <w:r w:rsidR="004937A0">
        <w:t>’</w:t>
      </w:r>
      <w:r>
        <w:t>autre part) sont exposées dans le texte de la déclaration faite le 31 mai 2024 par la Présidente du Comité de rédaction (</w:t>
      </w:r>
      <w:hyperlink r:id="rId14" w:history="1">
        <w:r w:rsidR="00E0650A" w:rsidRPr="00FD0B8C">
          <w:rPr>
            <w:rStyle w:val="Lienhypertexte"/>
          </w:rPr>
          <w:t>https://legal.un.org/ilc/documentation/english/statements/2024_dc_chair_statement_sidio.pdf</w:t>
        </w:r>
      </w:hyperlink>
      <w:r>
        <w:t>).</w:t>
      </w:r>
    </w:p>
  </w:footnote>
  <w:footnote w:id="22">
    <w:p w14:paraId="7F3CF8E4" w14:textId="77777777"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r>
      <w:r w:rsidRPr="00DD4F4E">
        <w:rPr>
          <w:szCs w:val="18"/>
          <w:lang w:val="fr-FR"/>
        </w:rPr>
        <w:t xml:space="preserve">Deuxième rapport sur le règlement des différends auxquels des organisations internationales sont parties, par </w:t>
      </w:r>
      <w:r>
        <w:rPr>
          <w:szCs w:val="18"/>
          <w:lang w:val="fr-FR"/>
        </w:rPr>
        <w:t>le</w:t>
      </w:r>
      <w:r w:rsidRPr="00DD4F4E">
        <w:rPr>
          <w:szCs w:val="18"/>
          <w:lang w:val="fr-FR"/>
        </w:rPr>
        <w:t xml:space="preserve"> Rapporteur spécial (</w:t>
      </w:r>
      <w:hyperlink r:id="rId15" w:history="1">
        <w:r w:rsidRPr="00DD4F4E">
          <w:rPr>
            <w:rStyle w:val="Lienhypertexte"/>
            <w:szCs w:val="18"/>
            <w:lang w:val="fr-FR"/>
          </w:rPr>
          <w:t>A/CN.4/766</w:t>
        </w:r>
      </w:hyperlink>
      <w:r w:rsidRPr="00DD4F4E">
        <w:rPr>
          <w:szCs w:val="18"/>
          <w:lang w:val="fr-FR"/>
        </w:rPr>
        <w:t xml:space="preserve">), </w:t>
      </w:r>
      <w:r>
        <w:rPr>
          <w:szCs w:val="18"/>
          <w:lang w:val="fr-FR"/>
        </w:rPr>
        <w:t>par. </w:t>
      </w:r>
      <w:r w:rsidRPr="00DD4F4E">
        <w:rPr>
          <w:szCs w:val="18"/>
          <w:lang w:val="fr-FR"/>
        </w:rPr>
        <w:t>15.</w:t>
      </w:r>
    </w:p>
  </w:footnote>
  <w:footnote w:id="23">
    <w:p w14:paraId="612545BA" w14:textId="7569176E"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r>
      <w:r w:rsidRPr="00DD4F4E">
        <w:rPr>
          <w:szCs w:val="18"/>
          <w:lang w:val="fr-FR"/>
        </w:rPr>
        <w:t>Voir, par exemple, Cour permanente d</w:t>
      </w:r>
      <w:r w:rsidR="004937A0">
        <w:rPr>
          <w:szCs w:val="18"/>
          <w:lang w:val="fr-FR"/>
        </w:rPr>
        <w:t>’</w:t>
      </w:r>
      <w:r w:rsidRPr="00DD4F4E">
        <w:rPr>
          <w:szCs w:val="18"/>
          <w:lang w:val="fr-FR"/>
        </w:rPr>
        <w:t xml:space="preserve">arbitrage, </w:t>
      </w:r>
      <w:r w:rsidRPr="00DD4F4E">
        <w:rPr>
          <w:i/>
          <w:iCs/>
          <w:szCs w:val="18"/>
          <w:lang w:val="fr-FR"/>
        </w:rPr>
        <w:t xml:space="preserve">International Management Group v. </w:t>
      </w:r>
      <w:proofErr w:type="spellStart"/>
      <w:r w:rsidRPr="00DD4F4E">
        <w:rPr>
          <w:i/>
          <w:iCs/>
          <w:szCs w:val="18"/>
          <w:lang w:val="fr-FR"/>
        </w:rPr>
        <w:t>European</w:t>
      </w:r>
      <w:proofErr w:type="spellEnd"/>
      <w:r w:rsidRPr="00DD4F4E">
        <w:rPr>
          <w:i/>
          <w:iCs/>
          <w:szCs w:val="18"/>
          <w:lang w:val="fr-FR"/>
        </w:rPr>
        <w:t xml:space="preserve"> Union, </w:t>
      </w:r>
      <w:proofErr w:type="spellStart"/>
      <w:r w:rsidRPr="00DD4F4E">
        <w:rPr>
          <w:i/>
          <w:iCs/>
          <w:szCs w:val="18"/>
          <w:lang w:val="fr-FR"/>
        </w:rPr>
        <w:t>represented</w:t>
      </w:r>
      <w:proofErr w:type="spellEnd"/>
      <w:r w:rsidRPr="00DD4F4E">
        <w:rPr>
          <w:i/>
          <w:iCs/>
          <w:szCs w:val="18"/>
          <w:lang w:val="fr-FR"/>
        </w:rPr>
        <w:t xml:space="preserve"> by the </w:t>
      </w:r>
      <w:proofErr w:type="spellStart"/>
      <w:r w:rsidRPr="00DD4F4E">
        <w:rPr>
          <w:i/>
          <w:iCs/>
          <w:szCs w:val="18"/>
          <w:lang w:val="fr-FR"/>
        </w:rPr>
        <w:t>European</w:t>
      </w:r>
      <w:proofErr w:type="spellEnd"/>
      <w:r w:rsidRPr="00DD4F4E">
        <w:rPr>
          <w:i/>
          <w:iCs/>
          <w:szCs w:val="18"/>
          <w:lang w:val="fr-FR"/>
        </w:rPr>
        <w:t xml:space="preserve"> Commission</w:t>
      </w:r>
      <w:r w:rsidRPr="00DD4F4E">
        <w:rPr>
          <w:szCs w:val="18"/>
          <w:lang w:val="fr-FR"/>
        </w:rPr>
        <w:t>, affaires n</w:t>
      </w:r>
      <w:r w:rsidRPr="00DD4F4E">
        <w:rPr>
          <w:szCs w:val="18"/>
          <w:vertAlign w:val="superscript"/>
          <w:lang w:val="fr-FR"/>
        </w:rPr>
        <w:t>os</w:t>
      </w:r>
      <w:r w:rsidRPr="00DD4F4E">
        <w:rPr>
          <w:szCs w:val="18"/>
          <w:lang w:val="fr-FR"/>
        </w:rPr>
        <w:t xml:space="preserve"> 2017-03 et 2017-04. Voir </w:t>
      </w:r>
      <w:hyperlink r:id="rId16" w:history="1">
        <w:r w:rsidRPr="00DD4F4E">
          <w:rPr>
            <w:rStyle w:val="Lienhypertexte"/>
            <w:szCs w:val="18"/>
            <w:lang w:val="fr-FR"/>
          </w:rPr>
          <w:t>https://pca-cpa.org/fr/cases/157/</w:t>
        </w:r>
      </w:hyperlink>
      <w:r w:rsidRPr="00DD4F4E">
        <w:rPr>
          <w:szCs w:val="18"/>
          <w:lang w:val="fr-FR"/>
        </w:rPr>
        <w:t xml:space="preserve"> et </w:t>
      </w:r>
      <w:hyperlink r:id="rId17" w:history="1">
        <w:r w:rsidRPr="00DD4F4E">
          <w:rPr>
            <w:rStyle w:val="Lienhypertexte"/>
            <w:szCs w:val="18"/>
            <w:lang w:val="fr-FR"/>
          </w:rPr>
          <w:t>https://pca-cpa.org/fr/cases/158/</w:t>
        </w:r>
      </w:hyperlink>
      <w:r>
        <w:rPr>
          <w:szCs w:val="18"/>
          <w:lang w:val="fr-FR"/>
        </w:rPr>
        <w:t>.</w:t>
      </w:r>
    </w:p>
  </w:footnote>
  <w:footnote w:id="24">
    <w:p w14:paraId="6DF0D6FF" w14:textId="77777777" w:rsidR="00C324CF" w:rsidRPr="00DD4F4E" w:rsidRDefault="00C324CF" w:rsidP="00E9227E">
      <w:pPr>
        <w:pStyle w:val="Notedebasdepage"/>
        <w:rPr>
          <w:szCs w:val="18"/>
        </w:rPr>
      </w:pPr>
      <w:r>
        <w:rPr>
          <w:szCs w:val="18"/>
          <w:lang w:val="fr-FR"/>
        </w:rPr>
        <w:tab/>
      </w:r>
      <w:r w:rsidRPr="00E9227E">
        <w:rPr>
          <w:rStyle w:val="Appelnotedebasdep"/>
        </w:rPr>
        <w:footnoteRef/>
      </w:r>
      <w:r>
        <w:rPr>
          <w:szCs w:val="18"/>
          <w:lang w:val="fr-FR"/>
        </w:rPr>
        <w:tab/>
      </w:r>
      <w:r w:rsidRPr="00DD4F4E">
        <w:rPr>
          <w:szCs w:val="18"/>
          <w:lang w:val="fr-FR"/>
        </w:rPr>
        <w:t>Règlement des différends auxquels des organisations internationales sont parties, Étude du Secrétariat (</w:t>
      </w:r>
      <w:hyperlink r:id="rId18" w:history="1">
        <w:r w:rsidRPr="00DD4F4E">
          <w:rPr>
            <w:rStyle w:val="Lienhypertexte"/>
            <w:szCs w:val="18"/>
            <w:lang w:val="fr-FR"/>
          </w:rPr>
          <w:t>A/CN.4/764</w:t>
        </w:r>
      </w:hyperlink>
      <w:r w:rsidRPr="00DD4F4E">
        <w:rPr>
          <w:szCs w:val="18"/>
          <w:lang w:val="fr-FR"/>
        </w:rPr>
        <w:t xml:space="preserve">), </w:t>
      </w:r>
      <w:r>
        <w:rPr>
          <w:szCs w:val="18"/>
          <w:lang w:val="fr-FR"/>
        </w:rPr>
        <w:t>chap. </w:t>
      </w:r>
      <w:r w:rsidRPr="00DD4F4E">
        <w:rPr>
          <w:szCs w:val="18"/>
          <w:lang w:val="fr-FR"/>
        </w:rPr>
        <w:t xml:space="preserve">II, </w:t>
      </w:r>
      <w:r>
        <w:rPr>
          <w:szCs w:val="18"/>
          <w:lang w:val="fr-FR"/>
        </w:rPr>
        <w:t>sect. </w:t>
      </w:r>
      <w:r w:rsidRPr="00DD4F4E">
        <w:rPr>
          <w:szCs w:val="18"/>
          <w:lang w:val="fr-FR"/>
        </w:rPr>
        <w:t>B 1.</w:t>
      </w:r>
    </w:p>
  </w:footnote>
  <w:footnote w:id="25">
    <w:p w14:paraId="4B74DA17" w14:textId="48E8F8E6" w:rsidR="00C324CF" w:rsidRPr="004F0CDF" w:rsidRDefault="00C324CF" w:rsidP="00E9227E">
      <w:pPr>
        <w:pStyle w:val="Notedebasdepage"/>
        <w:rPr>
          <w:szCs w:val="18"/>
        </w:rPr>
      </w:pPr>
      <w:r>
        <w:rPr>
          <w:szCs w:val="18"/>
          <w:lang w:val="fr-FR"/>
        </w:rPr>
        <w:tab/>
      </w:r>
      <w:r w:rsidRPr="00E9227E">
        <w:rPr>
          <w:rStyle w:val="Appelnotedebasdep"/>
        </w:rPr>
        <w:footnoteRef/>
      </w:r>
      <w:r>
        <w:rPr>
          <w:szCs w:val="18"/>
          <w:lang w:val="fr-FR"/>
        </w:rPr>
        <w:tab/>
      </w:r>
      <w:r w:rsidRPr="00DD4F4E">
        <w:rPr>
          <w:szCs w:val="18"/>
          <w:lang w:val="fr-FR"/>
        </w:rPr>
        <w:tab/>
      </w:r>
      <w:r w:rsidRPr="004F0CDF">
        <w:rPr>
          <w:i/>
          <w:iCs/>
          <w:szCs w:val="18"/>
          <w:lang w:val="fr-FR"/>
        </w:rPr>
        <w:t>Interprétation de l</w:t>
      </w:r>
      <w:r w:rsidR="004937A0">
        <w:rPr>
          <w:i/>
          <w:iCs/>
          <w:szCs w:val="18"/>
          <w:lang w:val="fr-FR"/>
        </w:rPr>
        <w:t>’</w:t>
      </w:r>
      <w:r w:rsidR="00E0650A" w:rsidRPr="004F0CDF">
        <w:rPr>
          <w:i/>
          <w:iCs/>
          <w:szCs w:val="18"/>
          <w:lang w:val="fr-FR"/>
        </w:rPr>
        <w:t>A</w:t>
      </w:r>
      <w:r w:rsidRPr="004F0CDF">
        <w:rPr>
          <w:i/>
          <w:iCs/>
          <w:szCs w:val="18"/>
          <w:lang w:val="fr-FR"/>
        </w:rPr>
        <w:t>ccord du 25 mars 1951 entre l</w:t>
      </w:r>
      <w:r w:rsidR="004937A0">
        <w:rPr>
          <w:i/>
          <w:iCs/>
          <w:szCs w:val="18"/>
          <w:lang w:val="fr-FR"/>
        </w:rPr>
        <w:t>’</w:t>
      </w:r>
      <w:r w:rsidRPr="004F0CDF">
        <w:rPr>
          <w:i/>
          <w:iCs/>
          <w:szCs w:val="18"/>
          <w:lang w:val="fr-FR"/>
        </w:rPr>
        <w:t>OMS et l</w:t>
      </w:r>
      <w:r w:rsidR="004937A0">
        <w:rPr>
          <w:i/>
          <w:iCs/>
          <w:szCs w:val="18"/>
          <w:lang w:val="fr-FR"/>
        </w:rPr>
        <w:t>’</w:t>
      </w:r>
      <w:r w:rsidRPr="004F0CDF">
        <w:rPr>
          <w:i/>
          <w:iCs/>
          <w:szCs w:val="18"/>
          <w:lang w:val="fr-FR"/>
        </w:rPr>
        <w:t>Égypte</w:t>
      </w:r>
      <w:r w:rsidRPr="004F0CDF">
        <w:rPr>
          <w:szCs w:val="18"/>
          <w:lang w:val="fr-FR"/>
        </w:rPr>
        <w:t xml:space="preserve">, </w:t>
      </w:r>
      <w:r w:rsidRPr="004F0CDF">
        <w:rPr>
          <w:i/>
          <w:iCs/>
          <w:szCs w:val="18"/>
          <w:lang w:val="fr-FR"/>
        </w:rPr>
        <w:t>avis consultatif du 20 décembre 1980</w:t>
      </w:r>
      <w:r w:rsidRPr="004F0CDF">
        <w:rPr>
          <w:szCs w:val="18"/>
          <w:lang w:val="fr-FR"/>
        </w:rPr>
        <w:t xml:space="preserve">, </w:t>
      </w:r>
      <w:r w:rsidRPr="004F0CDF">
        <w:rPr>
          <w:i/>
          <w:iCs/>
          <w:szCs w:val="18"/>
          <w:lang w:val="fr-FR"/>
        </w:rPr>
        <w:t>C.I.J. Recueil 1980</w:t>
      </w:r>
      <w:r w:rsidRPr="004F0CDF">
        <w:rPr>
          <w:szCs w:val="18"/>
          <w:lang w:val="fr-FR"/>
        </w:rPr>
        <w:t>, p. 73.</w:t>
      </w:r>
    </w:p>
  </w:footnote>
  <w:footnote w:id="26">
    <w:p w14:paraId="5CDF7C18" w14:textId="27CC0BDB" w:rsidR="00C324CF" w:rsidRPr="00DD4F4E" w:rsidRDefault="00C324CF" w:rsidP="00E9227E">
      <w:pPr>
        <w:pStyle w:val="Notedebasdepage"/>
        <w:rPr>
          <w:szCs w:val="18"/>
        </w:rPr>
      </w:pPr>
      <w:r w:rsidRPr="004F0CDF">
        <w:rPr>
          <w:i/>
          <w:iCs/>
          <w:szCs w:val="18"/>
          <w:lang w:val="fr-FR"/>
        </w:rPr>
        <w:tab/>
      </w:r>
      <w:r w:rsidRPr="00E9227E">
        <w:rPr>
          <w:rStyle w:val="Appelnotedebasdep"/>
        </w:rPr>
        <w:footnoteRef/>
      </w:r>
      <w:r w:rsidRPr="004F0CDF">
        <w:rPr>
          <w:i/>
          <w:iCs/>
          <w:szCs w:val="18"/>
          <w:lang w:val="fr-FR"/>
        </w:rPr>
        <w:tab/>
        <w:t>Applicabilité de</w:t>
      </w:r>
      <w:r w:rsidRPr="00DD4F4E">
        <w:rPr>
          <w:i/>
          <w:iCs/>
          <w:szCs w:val="18"/>
          <w:lang w:val="fr-FR"/>
        </w:rPr>
        <w:t xml:space="preserve"> l</w:t>
      </w:r>
      <w:r w:rsidR="004937A0">
        <w:rPr>
          <w:i/>
          <w:iCs/>
          <w:szCs w:val="18"/>
          <w:lang w:val="fr-FR"/>
        </w:rPr>
        <w:t>’</w:t>
      </w:r>
      <w:r w:rsidRPr="00DD4F4E">
        <w:rPr>
          <w:i/>
          <w:iCs/>
          <w:szCs w:val="18"/>
          <w:lang w:val="fr-FR"/>
        </w:rPr>
        <w:t>obligation d</w:t>
      </w:r>
      <w:r w:rsidR="004937A0">
        <w:rPr>
          <w:i/>
          <w:iCs/>
          <w:szCs w:val="18"/>
          <w:lang w:val="fr-FR"/>
        </w:rPr>
        <w:t>’</w:t>
      </w:r>
      <w:r w:rsidRPr="00DD4F4E">
        <w:rPr>
          <w:i/>
          <w:iCs/>
          <w:szCs w:val="18"/>
          <w:lang w:val="fr-FR"/>
        </w:rPr>
        <w:t>arbitrage en vertu de la section 21 de l</w:t>
      </w:r>
      <w:r w:rsidR="004937A0">
        <w:rPr>
          <w:i/>
          <w:iCs/>
          <w:szCs w:val="18"/>
          <w:lang w:val="fr-FR"/>
        </w:rPr>
        <w:t>’</w:t>
      </w:r>
      <w:r w:rsidRPr="00DD4F4E">
        <w:rPr>
          <w:i/>
          <w:iCs/>
          <w:szCs w:val="18"/>
          <w:lang w:val="fr-FR"/>
        </w:rPr>
        <w:t>Accord du 26 juin 1947 relatif au Siège de l</w:t>
      </w:r>
      <w:r w:rsidR="004937A0">
        <w:rPr>
          <w:i/>
          <w:iCs/>
          <w:szCs w:val="18"/>
          <w:lang w:val="fr-FR"/>
        </w:rPr>
        <w:t>’</w:t>
      </w:r>
      <w:r w:rsidRPr="00DD4F4E">
        <w:rPr>
          <w:i/>
          <w:iCs/>
          <w:szCs w:val="18"/>
          <w:lang w:val="fr-FR"/>
        </w:rPr>
        <w:t>Organisation des Nations Unies</w:t>
      </w:r>
      <w:r w:rsidRPr="00DD4F4E">
        <w:rPr>
          <w:szCs w:val="18"/>
          <w:lang w:val="fr-FR"/>
        </w:rPr>
        <w:t xml:space="preserve">, </w:t>
      </w:r>
      <w:r w:rsidRPr="00DD4F4E">
        <w:rPr>
          <w:i/>
          <w:iCs/>
          <w:szCs w:val="18"/>
          <w:lang w:val="fr-FR"/>
        </w:rPr>
        <w:t>avis consultatif du 26 avril 1988</w:t>
      </w:r>
      <w:r w:rsidRPr="00DD4F4E">
        <w:rPr>
          <w:szCs w:val="18"/>
          <w:lang w:val="fr-FR"/>
        </w:rPr>
        <w:t xml:space="preserve">, </w:t>
      </w:r>
      <w:r w:rsidRPr="00DD4F4E">
        <w:rPr>
          <w:i/>
          <w:iCs/>
          <w:szCs w:val="18"/>
          <w:lang w:val="fr-FR"/>
        </w:rPr>
        <w:t>C.I.J. Recueil 1988</w:t>
      </w:r>
      <w:r w:rsidRPr="00DD4F4E">
        <w:rPr>
          <w:szCs w:val="18"/>
          <w:lang w:val="fr-FR"/>
        </w:rPr>
        <w:t xml:space="preserve">, </w:t>
      </w:r>
      <w:r>
        <w:rPr>
          <w:szCs w:val="18"/>
          <w:lang w:val="fr-FR"/>
        </w:rPr>
        <w:t>p. </w:t>
      </w:r>
      <w:r w:rsidRPr="00DD4F4E">
        <w:rPr>
          <w:szCs w:val="18"/>
          <w:lang w:val="fr-FR"/>
        </w:rPr>
        <w:t>12.</w:t>
      </w:r>
    </w:p>
  </w:footnote>
  <w:footnote w:id="27">
    <w:p w14:paraId="04A89976" w14:textId="554737D4"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r>
      <w:r w:rsidRPr="00DD4F4E">
        <w:rPr>
          <w:szCs w:val="18"/>
          <w:lang w:val="fr-FR"/>
        </w:rPr>
        <w:t xml:space="preserve">Voir, par exemple, Comité des relations avec le pays hôte, créé en application de la résolution </w:t>
      </w:r>
      <w:hyperlink r:id="rId19" w:history="1">
        <w:r w:rsidRPr="00E0650A">
          <w:rPr>
            <w:rStyle w:val="Lienhypertexte"/>
            <w:szCs w:val="18"/>
            <w:lang w:val="fr-FR"/>
          </w:rPr>
          <w:t>2819 (XXVI)</w:t>
        </w:r>
      </w:hyperlink>
      <w:r w:rsidRPr="00DD4F4E">
        <w:rPr>
          <w:szCs w:val="18"/>
          <w:lang w:val="fr-FR"/>
        </w:rPr>
        <w:t xml:space="preserve"> de l</w:t>
      </w:r>
      <w:r w:rsidR="004937A0">
        <w:rPr>
          <w:szCs w:val="18"/>
          <w:lang w:val="fr-FR"/>
        </w:rPr>
        <w:t>’</w:t>
      </w:r>
      <w:r w:rsidRPr="00DD4F4E">
        <w:rPr>
          <w:szCs w:val="18"/>
          <w:lang w:val="fr-FR"/>
        </w:rPr>
        <w:t>Assemblée générale en date du 15 décembre 1971.</w:t>
      </w:r>
    </w:p>
  </w:footnote>
  <w:footnote w:id="28">
    <w:p w14:paraId="5313F731" w14:textId="77777777" w:rsidR="00C324CF" w:rsidRPr="00DD4F4E" w:rsidRDefault="00C324CF" w:rsidP="00E9227E">
      <w:pPr>
        <w:pStyle w:val="Notedebasdepage"/>
        <w:rPr>
          <w:szCs w:val="18"/>
        </w:rPr>
      </w:pPr>
      <w:r>
        <w:rPr>
          <w:i/>
          <w:iCs/>
          <w:szCs w:val="18"/>
          <w:lang w:val="fr-FR"/>
        </w:rPr>
        <w:tab/>
      </w:r>
      <w:r w:rsidRPr="00E9227E">
        <w:rPr>
          <w:rStyle w:val="Appelnotedebasdep"/>
        </w:rPr>
        <w:footnoteRef/>
      </w:r>
      <w:r>
        <w:rPr>
          <w:i/>
          <w:iCs/>
          <w:szCs w:val="18"/>
          <w:lang w:val="fr-FR"/>
        </w:rPr>
        <w:tab/>
      </w:r>
      <w:proofErr w:type="spellStart"/>
      <w:r w:rsidRPr="00DD4F4E">
        <w:rPr>
          <w:i/>
          <w:iCs/>
          <w:szCs w:val="18"/>
          <w:lang w:val="fr-FR"/>
        </w:rPr>
        <w:t>European</w:t>
      </w:r>
      <w:proofErr w:type="spellEnd"/>
      <w:r w:rsidRPr="00DD4F4E">
        <w:rPr>
          <w:i/>
          <w:iCs/>
          <w:szCs w:val="18"/>
          <w:lang w:val="fr-FR"/>
        </w:rPr>
        <w:t xml:space="preserve"> </w:t>
      </w:r>
      <w:proofErr w:type="spellStart"/>
      <w:r w:rsidRPr="00DD4F4E">
        <w:rPr>
          <w:i/>
          <w:iCs/>
          <w:szCs w:val="18"/>
          <w:lang w:val="fr-FR"/>
        </w:rPr>
        <w:t>Molecular</w:t>
      </w:r>
      <w:proofErr w:type="spellEnd"/>
      <w:r w:rsidRPr="00DD4F4E">
        <w:rPr>
          <w:i/>
          <w:iCs/>
          <w:szCs w:val="18"/>
          <w:lang w:val="fr-FR"/>
        </w:rPr>
        <w:t xml:space="preserve"> </w:t>
      </w:r>
      <w:proofErr w:type="spellStart"/>
      <w:r w:rsidRPr="00DD4F4E">
        <w:rPr>
          <w:i/>
          <w:iCs/>
          <w:szCs w:val="18"/>
          <w:lang w:val="fr-FR"/>
        </w:rPr>
        <w:t>Biology</w:t>
      </w:r>
      <w:proofErr w:type="spellEnd"/>
      <w:r w:rsidRPr="00DD4F4E">
        <w:rPr>
          <w:i/>
          <w:iCs/>
          <w:szCs w:val="18"/>
          <w:lang w:val="fr-FR"/>
        </w:rPr>
        <w:t xml:space="preserve"> </w:t>
      </w:r>
      <w:proofErr w:type="spellStart"/>
      <w:r w:rsidRPr="00DD4F4E">
        <w:rPr>
          <w:i/>
          <w:iCs/>
          <w:szCs w:val="18"/>
          <w:lang w:val="fr-FR"/>
        </w:rPr>
        <w:t>Laboratory</w:t>
      </w:r>
      <w:proofErr w:type="spellEnd"/>
      <w:r w:rsidRPr="00DD4F4E">
        <w:rPr>
          <w:i/>
          <w:iCs/>
          <w:szCs w:val="18"/>
          <w:lang w:val="fr-FR"/>
        </w:rPr>
        <w:t xml:space="preserve"> (EMBL) v. Germany</w:t>
      </w:r>
      <w:r w:rsidRPr="00DD4F4E">
        <w:rPr>
          <w:szCs w:val="18"/>
          <w:lang w:val="fr-FR"/>
        </w:rPr>
        <w:t xml:space="preserve">, Sentence arbitrale, 29 juin 1990, </w:t>
      </w:r>
      <w:r w:rsidRPr="00DD4F4E">
        <w:rPr>
          <w:i/>
          <w:iCs/>
          <w:szCs w:val="18"/>
          <w:lang w:val="fr-FR"/>
        </w:rPr>
        <w:t>International Law Reports</w:t>
      </w:r>
      <w:r w:rsidRPr="00DD4F4E">
        <w:rPr>
          <w:szCs w:val="18"/>
          <w:lang w:val="fr-FR"/>
        </w:rPr>
        <w:t xml:space="preserve">, </w:t>
      </w:r>
      <w:r>
        <w:rPr>
          <w:szCs w:val="18"/>
          <w:lang w:val="fr-FR"/>
        </w:rPr>
        <w:t>vol. </w:t>
      </w:r>
      <w:r w:rsidRPr="00DD4F4E">
        <w:rPr>
          <w:szCs w:val="18"/>
          <w:lang w:val="fr-FR"/>
        </w:rPr>
        <w:t xml:space="preserve">105 (1997), </w:t>
      </w:r>
      <w:r>
        <w:rPr>
          <w:szCs w:val="18"/>
          <w:lang w:val="fr-FR"/>
        </w:rPr>
        <w:t>p. </w:t>
      </w:r>
      <w:r w:rsidRPr="00DD4F4E">
        <w:rPr>
          <w:szCs w:val="18"/>
          <w:lang w:val="fr-FR"/>
        </w:rPr>
        <w:t>1 à 74.</w:t>
      </w:r>
    </w:p>
  </w:footnote>
  <w:footnote w:id="29">
    <w:p w14:paraId="3FFEFCE6" w14:textId="2BD212EE"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sidRPr="00DD4F4E">
        <w:rPr>
          <w:i/>
          <w:iCs/>
          <w:szCs w:val="18"/>
          <w:lang w:val="fr-FR"/>
        </w:rPr>
        <w:t>Sur la question du régime fiscal des pensions versées aux fonctionnaires retraités de l</w:t>
      </w:r>
      <w:r w:rsidR="004937A0">
        <w:rPr>
          <w:i/>
          <w:iCs/>
          <w:szCs w:val="18"/>
          <w:lang w:val="fr-FR"/>
        </w:rPr>
        <w:t>’</w:t>
      </w:r>
      <w:r w:rsidRPr="00DD4F4E">
        <w:rPr>
          <w:i/>
          <w:iCs/>
          <w:szCs w:val="18"/>
          <w:lang w:val="fr-FR"/>
        </w:rPr>
        <w:t>UNESCO résidant en France</w:t>
      </w:r>
      <w:r w:rsidRPr="00DD4F4E">
        <w:rPr>
          <w:szCs w:val="18"/>
          <w:lang w:val="fr-FR"/>
        </w:rPr>
        <w:t xml:space="preserve">, sentence du 14 janvier 2003, </w:t>
      </w:r>
      <w:r w:rsidRPr="00656774">
        <w:rPr>
          <w:i/>
          <w:iCs/>
          <w:szCs w:val="18"/>
          <w:lang w:val="fr-FR"/>
        </w:rPr>
        <w:t>Recueil des sentences arbitrales</w:t>
      </w:r>
      <w:r w:rsidRPr="00DD4F4E">
        <w:rPr>
          <w:szCs w:val="18"/>
          <w:lang w:val="fr-FR"/>
        </w:rPr>
        <w:t xml:space="preserve">, </w:t>
      </w:r>
      <w:r>
        <w:rPr>
          <w:szCs w:val="18"/>
          <w:lang w:val="fr-FR"/>
        </w:rPr>
        <w:t>vol. </w:t>
      </w:r>
      <w:r w:rsidRPr="00DD4F4E">
        <w:rPr>
          <w:szCs w:val="18"/>
          <w:lang w:val="fr-FR"/>
        </w:rPr>
        <w:t xml:space="preserve">XXV, </w:t>
      </w:r>
      <w:r>
        <w:rPr>
          <w:szCs w:val="18"/>
          <w:lang w:val="fr-FR"/>
        </w:rPr>
        <w:t>p. </w:t>
      </w:r>
      <w:r w:rsidRPr="00DD4F4E">
        <w:rPr>
          <w:szCs w:val="18"/>
          <w:lang w:val="fr-FR"/>
        </w:rPr>
        <w:t>231 à</w:t>
      </w:r>
      <w:r>
        <w:rPr>
          <w:szCs w:val="18"/>
          <w:lang w:val="fr-FR"/>
        </w:rPr>
        <w:t> </w:t>
      </w:r>
      <w:r w:rsidRPr="00DD4F4E">
        <w:rPr>
          <w:szCs w:val="18"/>
          <w:lang w:val="fr-FR"/>
        </w:rPr>
        <w:t>266.</w:t>
      </w:r>
    </w:p>
  </w:footnote>
  <w:footnote w:id="30">
    <w:p w14:paraId="3438E530" w14:textId="1D6323CE"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Pr>
          <w:szCs w:val="18"/>
          <w:lang w:val="fr-FR"/>
        </w:rPr>
        <w:t>Art. </w:t>
      </w:r>
      <w:r w:rsidRPr="00DD4F4E">
        <w:rPr>
          <w:szCs w:val="18"/>
          <w:lang w:val="fr-FR"/>
        </w:rPr>
        <w:t xml:space="preserve">VIII, </w:t>
      </w:r>
      <w:r>
        <w:rPr>
          <w:szCs w:val="18"/>
          <w:lang w:val="fr-FR"/>
        </w:rPr>
        <w:t>sect. </w:t>
      </w:r>
      <w:r w:rsidRPr="00DD4F4E">
        <w:rPr>
          <w:szCs w:val="18"/>
          <w:lang w:val="fr-FR"/>
        </w:rPr>
        <w:t xml:space="preserve">30, Convention sur les privilèges et immunités des Nations Unies (Convention générale) (New York, 13 février 1946),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1, n</w:t>
      </w:r>
      <w:r w:rsidRPr="00DD4F4E">
        <w:rPr>
          <w:szCs w:val="18"/>
          <w:vertAlign w:val="superscript"/>
          <w:lang w:val="fr-FR"/>
        </w:rPr>
        <w:t>o</w:t>
      </w:r>
      <w:r w:rsidRPr="00DD4F4E">
        <w:rPr>
          <w:szCs w:val="18"/>
          <w:lang w:val="fr-FR"/>
        </w:rPr>
        <w:t xml:space="preserve"> 4, </w:t>
      </w:r>
      <w:r>
        <w:rPr>
          <w:szCs w:val="18"/>
          <w:lang w:val="fr-FR"/>
        </w:rPr>
        <w:t>p. </w:t>
      </w:r>
      <w:r w:rsidRPr="00DD4F4E">
        <w:rPr>
          <w:szCs w:val="18"/>
          <w:lang w:val="fr-FR"/>
        </w:rPr>
        <w:t xml:space="preserve">15 ; </w:t>
      </w:r>
      <w:r>
        <w:rPr>
          <w:szCs w:val="18"/>
          <w:lang w:val="fr-FR"/>
        </w:rPr>
        <w:t>art. </w:t>
      </w:r>
      <w:r w:rsidRPr="00DD4F4E">
        <w:rPr>
          <w:szCs w:val="18"/>
          <w:lang w:val="fr-FR"/>
        </w:rPr>
        <w:t xml:space="preserve">IX, </w:t>
      </w:r>
      <w:r>
        <w:rPr>
          <w:szCs w:val="18"/>
          <w:lang w:val="fr-FR"/>
        </w:rPr>
        <w:t>sect. </w:t>
      </w:r>
      <w:r w:rsidRPr="00DD4F4E">
        <w:rPr>
          <w:szCs w:val="18"/>
          <w:lang w:val="fr-FR"/>
        </w:rPr>
        <w:t>32, Convention sur les privilèges et immunités des institutions spécialisées (New York, 21</w:t>
      </w:r>
      <w:r>
        <w:rPr>
          <w:szCs w:val="18"/>
          <w:lang w:val="fr-FR"/>
        </w:rPr>
        <w:t> </w:t>
      </w:r>
      <w:r w:rsidRPr="00DD4F4E">
        <w:rPr>
          <w:szCs w:val="18"/>
          <w:lang w:val="fr-FR"/>
        </w:rPr>
        <w:t xml:space="preserve">novembre 1947),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33, n</w:t>
      </w:r>
      <w:r w:rsidRPr="00DD4F4E">
        <w:rPr>
          <w:szCs w:val="18"/>
          <w:vertAlign w:val="superscript"/>
          <w:lang w:val="fr-FR"/>
        </w:rPr>
        <w:t>o</w:t>
      </w:r>
      <w:r w:rsidRPr="00DD4F4E">
        <w:rPr>
          <w:szCs w:val="18"/>
          <w:lang w:val="fr-FR"/>
        </w:rPr>
        <w:t xml:space="preserve"> 521, </w:t>
      </w:r>
      <w:r>
        <w:rPr>
          <w:szCs w:val="18"/>
          <w:lang w:val="fr-FR"/>
        </w:rPr>
        <w:t>p. </w:t>
      </w:r>
      <w:r w:rsidRPr="00DD4F4E">
        <w:rPr>
          <w:szCs w:val="18"/>
          <w:lang w:val="fr-FR"/>
        </w:rPr>
        <w:t>261. Voir aussi Roberto</w:t>
      </w:r>
      <w:r w:rsidR="00E0650A">
        <w:rPr>
          <w:szCs w:val="18"/>
          <w:lang w:val="fr-FR"/>
        </w:rPr>
        <w:t> </w:t>
      </w:r>
      <w:proofErr w:type="spellStart"/>
      <w:r w:rsidRPr="00DD4F4E">
        <w:rPr>
          <w:szCs w:val="18"/>
          <w:lang w:val="fr-FR"/>
        </w:rPr>
        <w:t>Ago</w:t>
      </w:r>
      <w:proofErr w:type="spellEnd"/>
      <w:r w:rsidRPr="00DD4F4E">
        <w:rPr>
          <w:szCs w:val="18"/>
          <w:lang w:val="fr-FR"/>
        </w:rPr>
        <w:t xml:space="preserve">, </w:t>
      </w:r>
      <w:r w:rsidR="001B261C">
        <w:rPr>
          <w:szCs w:val="18"/>
          <w:lang w:val="fr-FR"/>
        </w:rPr>
        <w:t>« </w:t>
      </w:r>
      <w:r w:rsidR="001B261C" w:rsidRPr="001B261C">
        <w:rPr>
          <w:szCs w:val="18"/>
        </w:rPr>
        <w:t>“</w:t>
      </w:r>
      <w:r w:rsidRPr="00DD4F4E">
        <w:rPr>
          <w:szCs w:val="18"/>
          <w:lang w:val="fr-FR"/>
        </w:rPr>
        <w:t>Binding</w:t>
      </w:r>
      <w:r w:rsidR="001B261C" w:rsidRPr="001B261C">
        <w:rPr>
          <w:szCs w:val="18"/>
        </w:rPr>
        <w:t>”</w:t>
      </w:r>
      <w:r w:rsidRPr="00DD4F4E">
        <w:rPr>
          <w:szCs w:val="18"/>
          <w:lang w:val="fr-FR"/>
        </w:rPr>
        <w:t xml:space="preserve"> </w:t>
      </w:r>
      <w:proofErr w:type="spellStart"/>
      <w:r w:rsidRPr="00DD4F4E">
        <w:rPr>
          <w:szCs w:val="18"/>
          <w:lang w:val="fr-FR"/>
        </w:rPr>
        <w:t>advisory</w:t>
      </w:r>
      <w:proofErr w:type="spellEnd"/>
      <w:r w:rsidRPr="00DD4F4E">
        <w:rPr>
          <w:szCs w:val="18"/>
          <w:lang w:val="fr-FR"/>
        </w:rPr>
        <w:t xml:space="preserve"> opinions of the International Court of Justice</w:t>
      </w:r>
      <w:r w:rsidR="001B261C">
        <w:rPr>
          <w:szCs w:val="18"/>
          <w:lang w:val="fr-FR"/>
        </w:rPr>
        <w:t> »</w:t>
      </w:r>
      <w:r w:rsidRPr="00DD4F4E">
        <w:rPr>
          <w:szCs w:val="18"/>
          <w:lang w:val="fr-FR"/>
        </w:rPr>
        <w:t xml:space="preserve">, </w:t>
      </w:r>
      <w:r w:rsidRPr="00DD4F4E">
        <w:rPr>
          <w:i/>
          <w:iCs/>
          <w:szCs w:val="18"/>
          <w:lang w:val="fr-FR"/>
        </w:rPr>
        <w:t>American Journal of International Law</w:t>
      </w:r>
      <w:r w:rsidRPr="00DD4F4E">
        <w:rPr>
          <w:szCs w:val="18"/>
          <w:lang w:val="fr-FR"/>
        </w:rPr>
        <w:t xml:space="preserve">, </w:t>
      </w:r>
      <w:r>
        <w:rPr>
          <w:szCs w:val="18"/>
          <w:lang w:val="fr-FR"/>
        </w:rPr>
        <w:t>vol. </w:t>
      </w:r>
      <w:r w:rsidRPr="00DD4F4E">
        <w:rPr>
          <w:szCs w:val="18"/>
          <w:lang w:val="fr-FR"/>
        </w:rPr>
        <w:t>85 (1991), p</w:t>
      </w:r>
      <w:r>
        <w:rPr>
          <w:szCs w:val="18"/>
          <w:lang w:val="fr-FR"/>
        </w:rPr>
        <w:t>. </w:t>
      </w:r>
      <w:r w:rsidRPr="00DD4F4E">
        <w:rPr>
          <w:szCs w:val="18"/>
          <w:lang w:val="fr-FR"/>
        </w:rPr>
        <w:t>439 à 451 ; Guillaume Bacot, «</w:t>
      </w:r>
      <w:r>
        <w:rPr>
          <w:szCs w:val="18"/>
          <w:lang w:val="fr-FR"/>
        </w:rPr>
        <w:t> </w:t>
      </w:r>
      <w:r w:rsidRPr="00DD4F4E">
        <w:rPr>
          <w:szCs w:val="18"/>
          <w:lang w:val="fr-FR"/>
        </w:rPr>
        <w:t>Réflexions sur les clauses qui rendent obligatoires les avis consultatifs de la C.P.I.J. et de la C.I.J.</w:t>
      </w:r>
      <w:r>
        <w:rPr>
          <w:szCs w:val="18"/>
          <w:lang w:val="fr-FR"/>
        </w:rPr>
        <w:t> </w:t>
      </w:r>
      <w:r w:rsidRPr="00DD4F4E">
        <w:rPr>
          <w:szCs w:val="18"/>
          <w:lang w:val="fr-FR"/>
        </w:rPr>
        <w:t xml:space="preserve">», </w:t>
      </w:r>
      <w:r w:rsidRPr="00DD4F4E">
        <w:rPr>
          <w:i/>
          <w:iCs/>
          <w:szCs w:val="18"/>
          <w:lang w:val="fr-FR"/>
        </w:rPr>
        <w:t>Revue générale de droit international public</w:t>
      </w:r>
      <w:r w:rsidRPr="00DD4F4E">
        <w:rPr>
          <w:szCs w:val="18"/>
          <w:lang w:val="fr-FR"/>
        </w:rPr>
        <w:t xml:space="preserve">, </w:t>
      </w:r>
      <w:r>
        <w:rPr>
          <w:szCs w:val="18"/>
          <w:lang w:val="fr-FR"/>
        </w:rPr>
        <w:t>vol. </w:t>
      </w:r>
      <w:r w:rsidRPr="00DD4F4E">
        <w:rPr>
          <w:szCs w:val="18"/>
          <w:lang w:val="fr-FR"/>
        </w:rPr>
        <w:t xml:space="preserve">84 (1980), </w:t>
      </w:r>
      <w:r>
        <w:rPr>
          <w:szCs w:val="18"/>
          <w:lang w:val="fr-FR"/>
        </w:rPr>
        <w:t>p. </w:t>
      </w:r>
      <w:r w:rsidRPr="00DD4F4E">
        <w:rPr>
          <w:szCs w:val="18"/>
          <w:lang w:val="fr-FR"/>
        </w:rPr>
        <w:t>1027 à 1067.</w:t>
      </w:r>
    </w:p>
  </w:footnote>
  <w:footnote w:id="31">
    <w:p w14:paraId="05BD2FEB" w14:textId="36D31338"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sidRPr="00DD4F4E">
        <w:rPr>
          <w:i/>
          <w:iCs/>
          <w:szCs w:val="18"/>
          <w:lang w:val="fr-FR"/>
        </w:rPr>
        <w:t>Différend relatif à l</w:t>
      </w:r>
      <w:r w:rsidR="004937A0">
        <w:rPr>
          <w:i/>
          <w:iCs/>
          <w:szCs w:val="18"/>
          <w:lang w:val="fr-FR"/>
        </w:rPr>
        <w:t>’</w:t>
      </w:r>
      <w:r w:rsidRPr="00DD4F4E">
        <w:rPr>
          <w:i/>
          <w:iCs/>
          <w:szCs w:val="18"/>
          <w:lang w:val="fr-FR"/>
        </w:rPr>
        <w:t>immunité de juridiction d</w:t>
      </w:r>
      <w:r w:rsidR="004937A0">
        <w:rPr>
          <w:i/>
          <w:iCs/>
          <w:szCs w:val="18"/>
          <w:lang w:val="fr-FR"/>
        </w:rPr>
        <w:t>’</w:t>
      </w:r>
      <w:r w:rsidRPr="00DD4F4E">
        <w:rPr>
          <w:i/>
          <w:iCs/>
          <w:szCs w:val="18"/>
          <w:lang w:val="fr-FR"/>
        </w:rPr>
        <w:t>un rapporteur spécial de la Commission des droits de l</w:t>
      </w:r>
      <w:r w:rsidR="004937A0">
        <w:rPr>
          <w:i/>
          <w:iCs/>
          <w:szCs w:val="18"/>
          <w:lang w:val="fr-FR"/>
        </w:rPr>
        <w:t>’</w:t>
      </w:r>
      <w:r w:rsidRPr="00DD4F4E">
        <w:rPr>
          <w:i/>
          <w:iCs/>
          <w:szCs w:val="18"/>
          <w:lang w:val="fr-FR"/>
        </w:rPr>
        <w:t>homme</w:t>
      </w:r>
      <w:r w:rsidRPr="00DD4F4E">
        <w:rPr>
          <w:szCs w:val="18"/>
          <w:lang w:val="fr-FR"/>
        </w:rPr>
        <w:t xml:space="preserve">, </w:t>
      </w:r>
      <w:r w:rsidRPr="00DD4F4E">
        <w:rPr>
          <w:i/>
          <w:iCs/>
          <w:szCs w:val="18"/>
          <w:lang w:val="fr-FR"/>
        </w:rPr>
        <w:t>Avis consultatif</w:t>
      </w:r>
      <w:r w:rsidRPr="00DD4F4E">
        <w:rPr>
          <w:szCs w:val="18"/>
          <w:lang w:val="fr-FR"/>
        </w:rPr>
        <w:t xml:space="preserve">, </w:t>
      </w:r>
      <w:r w:rsidRPr="00DD4F4E">
        <w:rPr>
          <w:i/>
          <w:iCs/>
          <w:szCs w:val="18"/>
          <w:lang w:val="fr-FR"/>
        </w:rPr>
        <w:t>C.I.J. Recueil 1999</w:t>
      </w:r>
      <w:r w:rsidRPr="00DD4F4E">
        <w:rPr>
          <w:szCs w:val="18"/>
          <w:lang w:val="fr-FR"/>
        </w:rPr>
        <w:t xml:space="preserve">, </w:t>
      </w:r>
      <w:r>
        <w:rPr>
          <w:szCs w:val="18"/>
          <w:lang w:val="fr-FR"/>
        </w:rPr>
        <w:t>p. </w:t>
      </w:r>
      <w:r w:rsidRPr="00DD4F4E">
        <w:rPr>
          <w:szCs w:val="18"/>
          <w:lang w:val="fr-FR"/>
        </w:rPr>
        <w:t>62.</w:t>
      </w:r>
    </w:p>
  </w:footnote>
  <w:footnote w:id="32">
    <w:p w14:paraId="45E3F6CE" w14:textId="5DFCBBDA"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sidRPr="00624DBA">
        <w:rPr>
          <w:szCs w:val="18"/>
          <w:lang w:val="fr-FR"/>
        </w:rPr>
        <w:t>Voir, par exemple, art. 263 du Traité sur le fonctionnement de l</w:t>
      </w:r>
      <w:r w:rsidR="004937A0">
        <w:rPr>
          <w:szCs w:val="18"/>
          <w:lang w:val="fr-FR"/>
        </w:rPr>
        <w:t>’</w:t>
      </w:r>
      <w:r w:rsidRPr="00624DBA">
        <w:rPr>
          <w:szCs w:val="18"/>
          <w:lang w:val="fr-FR"/>
        </w:rPr>
        <w:t xml:space="preserve">Union européenne (version consolidée), </w:t>
      </w:r>
      <w:r w:rsidRPr="00624DBA">
        <w:rPr>
          <w:i/>
          <w:iCs/>
          <w:szCs w:val="18"/>
          <w:lang w:val="fr-FR"/>
        </w:rPr>
        <w:t>Journal officiel de l</w:t>
      </w:r>
      <w:r w:rsidR="004937A0">
        <w:rPr>
          <w:i/>
          <w:iCs/>
          <w:szCs w:val="18"/>
          <w:lang w:val="fr-FR"/>
        </w:rPr>
        <w:t>’</w:t>
      </w:r>
      <w:r w:rsidRPr="00624DBA">
        <w:rPr>
          <w:i/>
          <w:iCs/>
          <w:szCs w:val="18"/>
          <w:lang w:val="fr-FR"/>
        </w:rPr>
        <w:t>Union européenne</w:t>
      </w:r>
      <w:r w:rsidRPr="00624DBA">
        <w:rPr>
          <w:szCs w:val="18"/>
          <w:lang w:val="fr-FR"/>
        </w:rPr>
        <w:t>, C 115, 9 mai 2008, p. 162 ; art. 22 (al. b)</w:t>
      </w:r>
      <w:r w:rsidR="00DF52C6" w:rsidRPr="00624DBA">
        <w:rPr>
          <w:szCs w:val="18"/>
          <w:lang w:val="fr-FR"/>
        </w:rPr>
        <w:t>)</w:t>
      </w:r>
      <w:r w:rsidRPr="00624DBA">
        <w:rPr>
          <w:szCs w:val="18"/>
          <w:lang w:val="fr-FR"/>
        </w:rPr>
        <w:t>, Convention concernant le Statut de la Cour centraméricaine de Justice (Panama, 10 décembre 1992), Nations</w:t>
      </w:r>
      <w:r w:rsidR="00DF52C6" w:rsidRPr="00624DBA">
        <w:rPr>
          <w:szCs w:val="18"/>
          <w:lang w:val="fr-FR"/>
        </w:rPr>
        <w:t> </w:t>
      </w:r>
      <w:r w:rsidRPr="00624DBA">
        <w:rPr>
          <w:szCs w:val="18"/>
          <w:lang w:val="fr-FR"/>
        </w:rPr>
        <w:t xml:space="preserve">Unies, </w:t>
      </w:r>
      <w:r w:rsidRPr="00624DBA">
        <w:rPr>
          <w:i/>
          <w:iCs/>
          <w:szCs w:val="18"/>
          <w:lang w:val="fr-FR"/>
        </w:rPr>
        <w:t>Recueil des Traités</w:t>
      </w:r>
      <w:r w:rsidRPr="00624DBA">
        <w:rPr>
          <w:szCs w:val="18"/>
          <w:lang w:val="fr-FR"/>
        </w:rPr>
        <w:t>, vol. 1821, n</w:t>
      </w:r>
      <w:r w:rsidRPr="00624DBA">
        <w:rPr>
          <w:szCs w:val="18"/>
          <w:vertAlign w:val="superscript"/>
          <w:lang w:val="fr-FR"/>
        </w:rPr>
        <w:t>o</w:t>
      </w:r>
      <w:r w:rsidRPr="00624DBA">
        <w:rPr>
          <w:szCs w:val="18"/>
          <w:lang w:val="fr-FR"/>
        </w:rPr>
        <w:t xml:space="preserve"> 31191, p. 279 ; art. 17 et </w:t>
      </w:r>
      <w:proofErr w:type="spellStart"/>
      <w:r w:rsidRPr="00624DBA">
        <w:rPr>
          <w:szCs w:val="18"/>
          <w:lang w:val="fr-FR"/>
        </w:rPr>
        <w:t>suiv</w:t>
      </w:r>
      <w:proofErr w:type="spellEnd"/>
      <w:r w:rsidR="00DF52C6" w:rsidRPr="00624DBA">
        <w:rPr>
          <w:szCs w:val="18"/>
          <w:lang w:val="fr-FR"/>
        </w:rPr>
        <w:t>.</w:t>
      </w:r>
      <w:r w:rsidRPr="00624DBA">
        <w:rPr>
          <w:szCs w:val="18"/>
          <w:lang w:val="fr-FR"/>
        </w:rPr>
        <w:t>, Traité portant création de la Cour de justice de l</w:t>
      </w:r>
      <w:r w:rsidR="004937A0">
        <w:rPr>
          <w:szCs w:val="18"/>
          <w:lang w:val="fr-FR"/>
        </w:rPr>
        <w:t>’</w:t>
      </w:r>
      <w:r w:rsidRPr="00624DBA">
        <w:rPr>
          <w:szCs w:val="18"/>
          <w:lang w:val="fr-FR"/>
        </w:rPr>
        <w:t xml:space="preserve">Accord de Carthagène (Communauté andine) (Carthagène, 28 mai 1979), </w:t>
      </w:r>
      <w:r w:rsidRPr="00624DBA">
        <w:rPr>
          <w:i/>
          <w:iCs/>
          <w:szCs w:val="18"/>
          <w:lang w:val="fr-FR"/>
        </w:rPr>
        <w:t>International Legal Materials</w:t>
      </w:r>
      <w:r w:rsidRPr="00624DBA">
        <w:rPr>
          <w:szCs w:val="18"/>
          <w:lang w:val="fr-FR"/>
        </w:rPr>
        <w:t>, vol. 18 (1979), p. 1203, tel que modifié par le Protocole de Cochabamba portant modification du Traité portant création de la Cour de justice (Cochabamba, 28 mai 1996), disponible</w:t>
      </w:r>
      <w:r w:rsidRPr="00DD4F4E">
        <w:rPr>
          <w:szCs w:val="18"/>
          <w:lang w:val="fr-FR"/>
        </w:rPr>
        <w:t xml:space="preserve"> à l</w:t>
      </w:r>
      <w:r w:rsidR="004937A0">
        <w:rPr>
          <w:szCs w:val="18"/>
          <w:lang w:val="fr-FR"/>
        </w:rPr>
        <w:t>’</w:t>
      </w:r>
      <w:r w:rsidRPr="00DD4F4E">
        <w:rPr>
          <w:szCs w:val="18"/>
          <w:lang w:val="fr-FR"/>
        </w:rPr>
        <w:t>adresse suivante</w:t>
      </w:r>
      <w:r>
        <w:rPr>
          <w:szCs w:val="18"/>
          <w:lang w:val="fr-FR"/>
        </w:rPr>
        <w:t> </w:t>
      </w:r>
      <w:r w:rsidRPr="00DD4F4E">
        <w:rPr>
          <w:szCs w:val="18"/>
          <w:lang w:val="fr-FR"/>
        </w:rPr>
        <w:t xml:space="preserve">: </w:t>
      </w:r>
      <w:hyperlink r:id="rId20" w:history="1">
        <w:r w:rsidRPr="00D169D5">
          <w:rPr>
            <w:rStyle w:val="Lienhypertexte"/>
            <w:szCs w:val="18"/>
            <w:lang w:val="fr-FR"/>
          </w:rPr>
          <w:t>https://www.wipo.int/wipolex/en/treaties/details/401</w:t>
        </w:r>
      </w:hyperlink>
      <w:r>
        <w:rPr>
          <w:szCs w:val="18"/>
          <w:lang w:val="fr-FR"/>
        </w:rPr>
        <w:t> </w:t>
      </w:r>
      <w:r w:rsidRPr="00DD4F4E">
        <w:rPr>
          <w:szCs w:val="18"/>
          <w:lang w:val="fr-FR"/>
        </w:rPr>
        <w:t xml:space="preserve">; </w:t>
      </w:r>
      <w:r>
        <w:rPr>
          <w:szCs w:val="18"/>
          <w:lang w:val="fr-FR"/>
        </w:rPr>
        <w:t>art. </w:t>
      </w:r>
      <w:r w:rsidRPr="00DD4F4E">
        <w:rPr>
          <w:szCs w:val="18"/>
          <w:lang w:val="fr-FR"/>
        </w:rPr>
        <w:t>9 (</w:t>
      </w:r>
      <w:r>
        <w:rPr>
          <w:szCs w:val="18"/>
          <w:lang w:val="fr-FR"/>
        </w:rPr>
        <w:t>par. </w:t>
      </w:r>
      <w:r w:rsidRPr="00DD4F4E">
        <w:rPr>
          <w:szCs w:val="18"/>
          <w:lang w:val="fr-FR"/>
        </w:rPr>
        <w:t>1</w:t>
      </w:r>
      <w:r>
        <w:rPr>
          <w:szCs w:val="18"/>
          <w:lang w:val="fr-FR"/>
        </w:rPr>
        <w:t> </w:t>
      </w:r>
      <w:r w:rsidRPr="00DD4F4E">
        <w:rPr>
          <w:szCs w:val="18"/>
          <w:lang w:val="fr-FR"/>
        </w:rPr>
        <w:t>c)), Protocole relatif à la Cour de justice de la Communauté (CEDEAO) (</w:t>
      </w:r>
      <w:r>
        <w:rPr>
          <w:szCs w:val="18"/>
          <w:lang w:val="fr-FR"/>
        </w:rPr>
        <w:t>Abuja</w:t>
      </w:r>
      <w:r w:rsidRPr="00DD4F4E">
        <w:rPr>
          <w:szCs w:val="18"/>
          <w:lang w:val="fr-FR"/>
        </w:rPr>
        <w:t xml:space="preserve">, 6 juillet 1991), </w:t>
      </w:r>
      <w:r w:rsidRPr="00DF52C6">
        <w:rPr>
          <w:szCs w:val="18"/>
          <w:lang w:val="fr-FR"/>
        </w:rPr>
        <w:t>Nations Unies,</w:t>
      </w:r>
      <w:r w:rsidRPr="00DD4F4E">
        <w:rPr>
          <w:i/>
          <w:iCs/>
          <w:szCs w:val="18"/>
          <w:lang w:val="fr-FR"/>
        </w:rPr>
        <w:t xml:space="preserve"> Recueil des Traités</w:t>
      </w:r>
      <w:r w:rsidRPr="00DD4F4E">
        <w:rPr>
          <w:szCs w:val="18"/>
          <w:lang w:val="fr-FR"/>
        </w:rPr>
        <w:t xml:space="preserve">, </w:t>
      </w:r>
      <w:r>
        <w:rPr>
          <w:szCs w:val="18"/>
          <w:lang w:val="fr-FR"/>
        </w:rPr>
        <w:t>vol. </w:t>
      </w:r>
      <w:r w:rsidRPr="00DD4F4E">
        <w:rPr>
          <w:szCs w:val="18"/>
          <w:lang w:val="fr-FR"/>
        </w:rPr>
        <w:t>2375, n</w:t>
      </w:r>
      <w:r w:rsidRPr="00D169D5">
        <w:rPr>
          <w:szCs w:val="18"/>
          <w:vertAlign w:val="superscript"/>
          <w:lang w:val="fr-FR"/>
        </w:rPr>
        <w:t>o</w:t>
      </w:r>
      <w:r>
        <w:rPr>
          <w:szCs w:val="18"/>
          <w:lang w:val="fr-FR"/>
        </w:rPr>
        <w:t> </w:t>
      </w:r>
      <w:r w:rsidRPr="00DD4F4E">
        <w:rPr>
          <w:szCs w:val="18"/>
          <w:lang w:val="fr-FR"/>
        </w:rPr>
        <w:t xml:space="preserve">14843, </w:t>
      </w:r>
      <w:r>
        <w:rPr>
          <w:szCs w:val="18"/>
          <w:lang w:val="fr-FR"/>
        </w:rPr>
        <w:t>p. </w:t>
      </w:r>
      <w:r w:rsidRPr="00DD4F4E">
        <w:rPr>
          <w:szCs w:val="18"/>
          <w:lang w:val="fr-FR"/>
        </w:rPr>
        <w:t xml:space="preserve">178, tel que modifié par le Protocole additionnel portant amendement du Protocole relatif à la Cour de justice de la Communauté (Accra, 19 janvier 2005), document de la CEDAO </w:t>
      </w:r>
      <w:r w:rsidRPr="00D169D5">
        <w:rPr>
          <w:szCs w:val="18"/>
          <w:lang w:val="fr-FR"/>
        </w:rPr>
        <w:t>A/SP.1/01/</w:t>
      </w:r>
      <w:r w:rsidRPr="00DD4F4E">
        <w:rPr>
          <w:szCs w:val="18"/>
          <w:lang w:val="fr-FR"/>
        </w:rPr>
        <w:t xml:space="preserve"> 05 ; </w:t>
      </w:r>
      <w:r>
        <w:rPr>
          <w:szCs w:val="18"/>
          <w:lang w:val="fr-FR"/>
        </w:rPr>
        <w:t>art. </w:t>
      </w:r>
      <w:r w:rsidRPr="00DD4F4E">
        <w:rPr>
          <w:szCs w:val="18"/>
          <w:lang w:val="fr-FR"/>
        </w:rPr>
        <w:t>15 (</w:t>
      </w:r>
      <w:r>
        <w:rPr>
          <w:szCs w:val="18"/>
          <w:lang w:val="fr-FR"/>
        </w:rPr>
        <w:t>par. </w:t>
      </w:r>
      <w:r w:rsidRPr="00DD4F4E">
        <w:rPr>
          <w:szCs w:val="18"/>
          <w:lang w:val="fr-FR"/>
        </w:rPr>
        <w:t xml:space="preserve">2), Règlement </w:t>
      </w:r>
      <w:r>
        <w:rPr>
          <w:szCs w:val="18"/>
          <w:lang w:val="fr-FR"/>
        </w:rPr>
        <w:t>n</w:t>
      </w:r>
      <w:r w:rsidRPr="00D169D5">
        <w:rPr>
          <w:szCs w:val="18"/>
          <w:vertAlign w:val="superscript"/>
          <w:lang w:val="fr-FR"/>
        </w:rPr>
        <w:t>o</w:t>
      </w:r>
      <w:r>
        <w:rPr>
          <w:szCs w:val="18"/>
          <w:lang w:val="fr-FR"/>
        </w:rPr>
        <w:t> </w:t>
      </w:r>
      <w:r w:rsidRPr="00DD4F4E">
        <w:rPr>
          <w:szCs w:val="18"/>
          <w:lang w:val="fr-FR"/>
        </w:rPr>
        <w:t xml:space="preserve">1 1/96/CM portant Règlement des procédures de </w:t>
      </w:r>
      <w:r w:rsidRPr="00C92339">
        <w:rPr>
          <w:szCs w:val="18"/>
          <w:lang w:val="fr-FR"/>
        </w:rPr>
        <w:t xml:space="preserve">la Cour de </w:t>
      </w:r>
      <w:r w:rsidR="009B6E35" w:rsidRPr="00C92339">
        <w:rPr>
          <w:szCs w:val="18"/>
          <w:lang w:val="fr-FR"/>
        </w:rPr>
        <w:t>j</w:t>
      </w:r>
      <w:r w:rsidRPr="00C92339">
        <w:rPr>
          <w:szCs w:val="18"/>
          <w:lang w:val="fr-FR"/>
        </w:rPr>
        <w:t>ustice de</w:t>
      </w:r>
      <w:r w:rsidRPr="00DD4F4E">
        <w:rPr>
          <w:szCs w:val="18"/>
          <w:lang w:val="fr-FR"/>
        </w:rPr>
        <w:t xml:space="preserve"> l</w:t>
      </w:r>
      <w:r w:rsidR="004937A0">
        <w:rPr>
          <w:szCs w:val="18"/>
          <w:lang w:val="fr-FR"/>
        </w:rPr>
        <w:t>’</w:t>
      </w:r>
      <w:r w:rsidRPr="00DD4F4E">
        <w:rPr>
          <w:szCs w:val="18"/>
          <w:lang w:val="fr-FR"/>
        </w:rPr>
        <w:t xml:space="preserve">UEMOA (5 juillet 1996). </w:t>
      </w:r>
    </w:p>
  </w:footnote>
  <w:footnote w:id="33">
    <w:p w14:paraId="55800BA9" w14:textId="57EF1C3E"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t xml:space="preserve">Voir, par exemple, </w:t>
      </w:r>
      <w:r>
        <w:rPr>
          <w:szCs w:val="18"/>
          <w:lang w:val="fr-FR"/>
        </w:rPr>
        <w:t>art. </w:t>
      </w:r>
      <w:r w:rsidRPr="00DD4F4E">
        <w:rPr>
          <w:szCs w:val="18"/>
          <w:lang w:val="fr-FR"/>
        </w:rPr>
        <w:t>258 et 259 du Traité sur le fonctionnement de l</w:t>
      </w:r>
      <w:r w:rsidR="004937A0">
        <w:rPr>
          <w:szCs w:val="18"/>
          <w:lang w:val="fr-FR"/>
        </w:rPr>
        <w:t>’</w:t>
      </w:r>
      <w:r w:rsidRPr="00DD4F4E">
        <w:rPr>
          <w:szCs w:val="18"/>
          <w:lang w:val="fr-FR"/>
        </w:rPr>
        <w:t xml:space="preserve">Union européenne (version consolidée) ; </w:t>
      </w:r>
      <w:r>
        <w:rPr>
          <w:szCs w:val="18"/>
          <w:lang w:val="fr-FR"/>
        </w:rPr>
        <w:t>art. </w:t>
      </w:r>
      <w:r w:rsidRPr="00DD4F4E">
        <w:rPr>
          <w:szCs w:val="18"/>
          <w:lang w:val="fr-FR"/>
        </w:rPr>
        <w:t xml:space="preserve">23 et </w:t>
      </w:r>
      <w:proofErr w:type="spellStart"/>
      <w:r w:rsidRPr="00DD4F4E">
        <w:rPr>
          <w:szCs w:val="18"/>
          <w:lang w:val="fr-FR"/>
        </w:rPr>
        <w:t>suiv</w:t>
      </w:r>
      <w:proofErr w:type="spellEnd"/>
      <w:r w:rsidR="00DF52C6">
        <w:rPr>
          <w:szCs w:val="18"/>
          <w:lang w:val="fr-FR"/>
        </w:rPr>
        <w:t>.</w:t>
      </w:r>
      <w:r w:rsidRPr="00DD4F4E">
        <w:rPr>
          <w:szCs w:val="18"/>
          <w:lang w:val="fr-FR"/>
        </w:rPr>
        <w:t xml:space="preserve">, Protocole de Cochabamba ; </w:t>
      </w:r>
      <w:r>
        <w:rPr>
          <w:szCs w:val="18"/>
          <w:lang w:val="fr-FR"/>
        </w:rPr>
        <w:t>art. </w:t>
      </w:r>
      <w:r w:rsidRPr="00DD4F4E">
        <w:rPr>
          <w:szCs w:val="18"/>
          <w:lang w:val="fr-FR"/>
        </w:rPr>
        <w:t>9 (</w:t>
      </w:r>
      <w:r>
        <w:rPr>
          <w:szCs w:val="18"/>
          <w:lang w:val="fr-FR"/>
        </w:rPr>
        <w:t>par. </w:t>
      </w:r>
      <w:r w:rsidRPr="00DD4F4E">
        <w:rPr>
          <w:szCs w:val="18"/>
          <w:lang w:val="fr-FR"/>
        </w:rPr>
        <w:t>1</w:t>
      </w:r>
      <w:r>
        <w:rPr>
          <w:szCs w:val="18"/>
          <w:lang w:val="fr-FR"/>
        </w:rPr>
        <w:t> </w:t>
      </w:r>
      <w:r w:rsidRPr="00DD4F4E">
        <w:rPr>
          <w:szCs w:val="18"/>
          <w:lang w:val="fr-FR"/>
        </w:rPr>
        <w:t>d)), Protocole relatif à la Cour de justice de la Communauté (CEDEAO), tel que modifié</w:t>
      </w:r>
      <w:r>
        <w:rPr>
          <w:szCs w:val="18"/>
          <w:lang w:val="fr-FR"/>
        </w:rPr>
        <w:t> </w:t>
      </w:r>
      <w:r w:rsidRPr="00DD4F4E">
        <w:rPr>
          <w:szCs w:val="18"/>
          <w:lang w:val="fr-FR"/>
        </w:rPr>
        <w:t xml:space="preserve">; </w:t>
      </w:r>
      <w:r>
        <w:rPr>
          <w:szCs w:val="18"/>
          <w:lang w:val="fr-FR"/>
        </w:rPr>
        <w:t>art. </w:t>
      </w:r>
      <w:r w:rsidRPr="00DD4F4E">
        <w:rPr>
          <w:szCs w:val="18"/>
          <w:lang w:val="fr-FR"/>
        </w:rPr>
        <w:t>15 (</w:t>
      </w:r>
      <w:r>
        <w:rPr>
          <w:szCs w:val="18"/>
          <w:lang w:val="fr-FR"/>
        </w:rPr>
        <w:t>par. </w:t>
      </w:r>
      <w:r w:rsidRPr="00DD4F4E">
        <w:rPr>
          <w:szCs w:val="18"/>
          <w:lang w:val="fr-FR"/>
        </w:rPr>
        <w:t>1), Règlement des procédures de la Cour de justice de l</w:t>
      </w:r>
      <w:r w:rsidR="004937A0">
        <w:rPr>
          <w:szCs w:val="18"/>
          <w:lang w:val="fr-FR"/>
        </w:rPr>
        <w:t>’</w:t>
      </w:r>
      <w:r w:rsidRPr="00DD4F4E">
        <w:rPr>
          <w:szCs w:val="18"/>
          <w:lang w:val="fr-FR"/>
        </w:rPr>
        <w:t xml:space="preserve">Union économique et monétaire ouest-africaine. Voir, en détail, </w:t>
      </w:r>
      <w:hyperlink r:id="rId21" w:history="1">
        <w:r w:rsidRPr="00DD4F4E">
          <w:rPr>
            <w:rStyle w:val="Lienhypertexte"/>
            <w:szCs w:val="18"/>
            <w:lang w:val="fr-FR"/>
          </w:rPr>
          <w:t>A/CN.4/766</w:t>
        </w:r>
      </w:hyperlink>
      <w:r w:rsidRPr="00DD4F4E">
        <w:rPr>
          <w:szCs w:val="18"/>
          <w:lang w:val="fr-FR"/>
        </w:rPr>
        <w:t xml:space="preserve">, </w:t>
      </w:r>
      <w:r>
        <w:rPr>
          <w:szCs w:val="18"/>
          <w:lang w:val="fr-FR"/>
        </w:rPr>
        <w:t>par. </w:t>
      </w:r>
      <w:r w:rsidRPr="00DD4F4E">
        <w:rPr>
          <w:szCs w:val="18"/>
          <w:lang w:val="fr-FR"/>
        </w:rPr>
        <w:t xml:space="preserve">159 et </w:t>
      </w:r>
      <w:proofErr w:type="spellStart"/>
      <w:r w:rsidRPr="00DD4F4E">
        <w:rPr>
          <w:szCs w:val="18"/>
          <w:lang w:val="fr-FR"/>
        </w:rPr>
        <w:t>suiv</w:t>
      </w:r>
      <w:proofErr w:type="spellEnd"/>
      <w:r w:rsidRPr="00DD4F4E">
        <w:rPr>
          <w:szCs w:val="18"/>
          <w:lang w:val="fr-FR"/>
        </w:rPr>
        <w:t>.</w:t>
      </w:r>
    </w:p>
  </w:footnote>
  <w:footnote w:id="34">
    <w:p w14:paraId="2C4C2F88" w14:textId="05540AE2" w:rsidR="00C324CF" w:rsidRPr="00C374F4" w:rsidRDefault="00C324CF" w:rsidP="00E9227E">
      <w:pPr>
        <w:pStyle w:val="Notedebasdepage"/>
        <w:rPr>
          <w:szCs w:val="18"/>
        </w:rPr>
      </w:pPr>
      <w:r w:rsidRPr="00DD4F4E">
        <w:rPr>
          <w:szCs w:val="18"/>
          <w:lang w:val="fr-FR"/>
        </w:rPr>
        <w:tab/>
      </w:r>
      <w:r w:rsidRPr="00C374F4">
        <w:rPr>
          <w:rStyle w:val="Appelnotedebasdep"/>
        </w:rPr>
        <w:footnoteRef/>
      </w:r>
      <w:r w:rsidRPr="00C374F4">
        <w:rPr>
          <w:szCs w:val="18"/>
          <w:lang w:val="fr-FR"/>
        </w:rPr>
        <w:tab/>
        <w:t>Art. XI, par. 1, Accord de Marrakech instituant l</w:t>
      </w:r>
      <w:r w:rsidR="004937A0">
        <w:rPr>
          <w:szCs w:val="18"/>
          <w:lang w:val="fr-FR"/>
        </w:rPr>
        <w:t>’</w:t>
      </w:r>
      <w:r w:rsidRPr="00C374F4">
        <w:rPr>
          <w:szCs w:val="18"/>
          <w:lang w:val="fr-FR"/>
        </w:rPr>
        <w:t>Organisation mondiale du commerce (Marrakech, 15 avril 1994), Nations Unies,</w:t>
      </w:r>
      <w:r w:rsidRPr="00C374F4">
        <w:rPr>
          <w:i/>
          <w:iCs/>
          <w:szCs w:val="18"/>
          <w:lang w:val="fr-FR"/>
        </w:rPr>
        <w:t xml:space="preserve"> Recueil des Traités</w:t>
      </w:r>
      <w:r w:rsidRPr="00C374F4">
        <w:rPr>
          <w:szCs w:val="18"/>
          <w:lang w:val="fr-FR"/>
        </w:rPr>
        <w:t>, vol. 1867 à 1869, n</w:t>
      </w:r>
      <w:r w:rsidRPr="00C374F4">
        <w:rPr>
          <w:szCs w:val="18"/>
          <w:vertAlign w:val="superscript"/>
          <w:lang w:val="fr-FR"/>
        </w:rPr>
        <w:t>o</w:t>
      </w:r>
      <w:r w:rsidRPr="00C374F4">
        <w:rPr>
          <w:szCs w:val="18"/>
          <w:lang w:val="fr-FR"/>
        </w:rPr>
        <w:t> 31874.</w:t>
      </w:r>
    </w:p>
  </w:footnote>
  <w:footnote w:id="35">
    <w:p w14:paraId="01C845C8" w14:textId="0A0A0D41" w:rsidR="00C324CF" w:rsidRPr="00DD4F4E" w:rsidRDefault="00C324CF" w:rsidP="00E9227E">
      <w:pPr>
        <w:pStyle w:val="Notedebasdepage"/>
        <w:rPr>
          <w:szCs w:val="18"/>
        </w:rPr>
      </w:pPr>
      <w:r w:rsidRPr="00C374F4">
        <w:rPr>
          <w:szCs w:val="18"/>
          <w:lang w:val="fr-FR"/>
        </w:rPr>
        <w:tab/>
      </w:r>
      <w:r w:rsidRPr="00C374F4">
        <w:rPr>
          <w:rStyle w:val="Appelnotedebasdep"/>
        </w:rPr>
        <w:footnoteRef/>
      </w:r>
      <w:r w:rsidRPr="00C374F4">
        <w:rPr>
          <w:szCs w:val="18"/>
          <w:lang w:val="fr-FR"/>
        </w:rPr>
        <w:tab/>
        <w:t>Organisation mondiale du commerce, « Différends concernant l</w:t>
      </w:r>
      <w:r w:rsidR="004937A0">
        <w:rPr>
          <w:szCs w:val="18"/>
          <w:lang w:val="fr-FR"/>
        </w:rPr>
        <w:t>’</w:t>
      </w:r>
      <w:r w:rsidRPr="00C374F4">
        <w:rPr>
          <w:szCs w:val="18"/>
          <w:lang w:val="fr-FR"/>
        </w:rPr>
        <w:t>Union européenne (anci</w:t>
      </w:r>
      <w:r w:rsidRPr="00DD4F4E">
        <w:rPr>
          <w:szCs w:val="18"/>
          <w:lang w:val="fr-FR"/>
        </w:rPr>
        <w:t>ennement CE)</w:t>
      </w:r>
      <w:r>
        <w:rPr>
          <w:szCs w:val="18"/>
          <w:lang w:val="fr-FR"/>
        </w:rPr>
        <w:t> </w:t>
      </w:r>
      <w:r w:rsidRPr="00DD4F4E">
        <w:rPr>
          <w:szCs w:val="18"/>
          <w:lang w:val="fr-FR"/>
        </w:rPr>
        <w:t>», disponible à l</w:t>
      </w:r>
      <w:r w:rsidR="004937A0">
        <w:rPr>
          <w:szCs w:val="18"/>
          <w:lang w:val="fr-FR"/>
        </w:rPr>
        <w:t>’</w:t>
      </w:r>
      <w:r w:rsidRPr="00DD4F4E">
        <w:rPr>
          <w:szCs w:val="18"/>
          <w:lang w:val="fr-FR"/>
        </w:rPr>
        <w:t>adresse suivante</w:t>
      </w:r>
      <w:r>
        <w:rPr>
          <w:szCs w:val="18"/>
          <w:lang w:val="fr-FR"/>
        </w:rPr>
        <w:t> </w:t>
      </w:r>
      <w:r w:rsidRPr="00DD4F4E">
        <w:rPr>
          <w:szCs w:val="18"/>
          <w:lang w:val="fr-FR"/>
        </w:rPr>
        <w:t xml:space="preserve">: </w:t>
      </w:r>
      <w:hyperlink r:id="rId22" w:history="1">
        <w:r w:rsidR="00C374F4" w:rsidRPr="00FD0B8C">
          <w:rPr>
            <w:rStyle w:val="Lienhypertexte"/>
            <w:szCs w:val="18"/>
            <w:lang w:val="fr-FR"/>
          </w:rPr>
          <w:t>https://www.wto.org/english/thewto_e/countries_e/european_</w:t>
        </w:r>
        <w:r w:rsidR="00C374F4" w:rsidRPr="00FD0B8C">
          <w:rPr>
            <w:rStyle w:val="Lienhypertexte"/>
            <w:szCs w:val="18"/>
            <w:lang w:val="fr-FR"/>
          </w:rPr>
          <w:br/>
          <w:t>communities_f.htm</w:t>
        </w:r>
      </w:hyperlink>
      <w:r w:rsidRPr="00DD4F4E">
        <w:rPr>
          <w:szCs w:val="18"/>
          <w:lang w:val="fr-FR"/>
        </w:rPr>
        <w:t xml:space="preserve">. </w:t>
      </w:r>
    </w:p>
  </w:footnote>
  <w:footnote w:id="36">
    <w:p w14:paraId="7B29C72B" w14:textId="48CAD6E5"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t>Art. </w:t>
      </w:r>
      <w:r w:rsidRPr="00DD4F4E">
        <w:rPr>
          <w:szCs w:val="18"/>
          <w:lang w:val="fr-FR"/>
        </w:rPr>
        <w:t xml:space="preserve">XII, </w:t>
      </w:r>
      <w:r>
        <w:rPr>
          <w:szCs w:val="18"/>
          <w:lang w:val="fr-FR"/>
        </w:rPr>
        <w:t>par. </w:t>
      </w:r>
      <w:r w:rsidRPr="00DD4F4E">
        <w:rPr>
          <w:szCs w:val="18"/>
          <w:lang w:val="fr-FR"/>
        </w:rPr>
        <w:t>1, Accord de Marrakech instituant l</w:t>
      </w:r>
      <w:r w:rsidR="004937A0">
        <w:rPr>
          <w:szCs w:val="18"/>
          <w:lang w:val="fr-FR"/>
        </w:rPr>
        <w:t>’</w:t>
      </w:r>
      <w:r w:rsidRPr="00DD4F4E">
        <w:rPr>
          <w:szCs w:val="18"/>
          <w:lang w:val="fr-FR"/>
        </w:rPr>
        <w:t>Organisation mondiale du commerce.</w:t>
      </w:r>
    </w:p>
  </w:footnote>
  <w:footnote w:id="37">
    <w:p w14:paraId="0CCAC1B3" w14:textId="1E19645B"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Pr>
          <w:szCs w:val="18"/>
          <w:lang w:val="fr-FR"/>
        </w:rPr>
        <w:t>Art. </w:t>
      </w:r>
      <w:r w:rsidRPr="00DD4F4E">
        <w:rPr>
          <w:szCs w:val="18"/>
          <w:lang w:val="fr-FR"/>
        </w:rPr>
        <w:t>305 (</w:t>
      </w:r>
      <w:r>
        <w:rPr>
          <w:szCs w:val="18"/>
          <w:lang w:val="fr-FR"/>
        </w:rPr>
        <w:t>par. </w:t>
      </w:r>
      <w:r w:rsidRPr="00DD4F4E">
        <w:rPr>
          <w:szCs w:val="18"/>
          <w:lang w:val="fr-FR"/>
        </w:rPr>
        <w:t>1</w:t>
      </w:r>
      <w:r>
        <w:rPr>
          <w:szCs w:val="18"/>
          <w:lang w:val="fr-FR"/>
        </w:rPr>
        <w:t> </w:t>
      </w:r>
      <w:r w:rsidRPr="00DD4F4E">
        <w:rPr>
          <w:szCs w:val="18"/>
          <w:lang w:val="fr-FR"/>
        </w:rPr>
        <w:t xml:space="preserve">f)) et </w:t>
      </w:r>
      <w:r w:rsidR="00C374F4" w:rsidRPr="00DD4F4E">
        <w:rPr>
          <w:szCs w:val="18"/>
          <w:lang w:val="fr-FR"/>
        </w:rPr>
        <w:t>a</w:t>
      </w:r>
      <w:r w:rsidRPr="00DD4F4E">
        <w:rPr>
          <w:szCs w:val="18"/>
          <w:lang w:val="fr-FR"/>
        </w:rPr>
        <w:t xml:space="preserve">nnexe IX, </w:t>
      </w:r>
      <w:r>
        <w:rPr>
          <w:szCs w:val="18"/>
          <w:lang w:val="fr-FR"/>
        </w:rPr>
        <w:t>art. </w:t>
      </w:r>
      <w:r w:rsidRPr="00DD4F4E">
        <w:rPr>
          <w:szCs w:val="18"/>
          <w:lang w:val="fr-FR"/>
        </w:rPr>
        <w:t>1, Convention des Nations Unies sur le droit de la mer (Montego</w:t>
      </w:r>
      <w:r w:rsidR="00C374F4">
        <w:rPr>
          <w:szCs w:val="18"/>
          <w:lang w:val="fr-FR"/>
        </w:rPr>
        <w:t> </w:t>
      </w:r>
      <w:r w:rsidRPr="00DD4F4E">
        <w:rPr>
          <w:szCs w:val="18"/>
          <w:lang w:val="fr-FR"/>
        </w:rPr>
        <w:t xml:space="preserve">Bay, 10 décembre 1982), </w:t>
      </w:r>
      <w:bookmarkStart w:id="44" w:name="_Hlk174546262"/>
      <w:r w:rsidRPr="00DD4F4E">
        <w:rPr>
          <w:szCs w:val="18"/>
          <w:lang w:val="fr-FR"/>
        </w:rPr>
        <w:t xml:space="preserve">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1833, n</w:t>
      </w:r>
      <w:r w:rsidRPr="00DD4F4E">
        <w:rPr>
          <w:szCs w:val="18"/>
          <w:vertAlign w:val="superscript"/>
          <w:lang w:val="fr-FR"/>
        </w:rPr>
        <w:t>o</w:t>
      </w:r>
      <w:r w:rsidRPr="00DD4F4E">
        <w:rPr>
          <w:szCs w:val="18"/>
          <w:lang w:val="fr-FR"/>
        </w:rPr>
        <w:t xml:space="preserve"> 31363, </w:t>
      </w:r>
      <w:r>
        <w:rPr>
          <w:szCs w:val="18"/>
          <w:lang w:val="fr-FR"/>
        </w:rPr>
        <w:t>p. </w:t>
      </w:r>
      <w:r w:rsidRPr="00DD4F4E">
        <w:rPr>
          <w:szCs w:val="18"/>
          <w:lang w:val="fr-FR"/>
        </w:rPr>
        <w:t>3</w:t>
      </w:r>
      <w:bookmarkEnd w:id="44"/>
      <w:r>
        <w:rPr>
          <w:szCs w:val="18"/>
          <w:lang w:val="fr-FR"/>
        </w:rPr>
        <w:t> ; Accord relatif à l</w:t>
      </w:r>
      <w:r w:rsidR="004937A0">
        <w:rPr>
          <w:szCs w:val="18"/>
          <w:lang w:val="fr-FR"/>
        </w:rPr>
        <w:t>’</w:t>
      </w:r>
      <w:r>
        <w:rPr>
          <w:szCs w:val="18"/>
          <w:lang w:val="fr-FR"/>
        </w:rPr>
        <w:t xml:space="preserve">application de la partie XI de la Convention des Nations Unies </w:t>
      </w:r>
      <w:r w:rsidRPr="00DD4F4E">
        <w:rPr>
          <w:szCs w:val="18"/>
          <w:lang w:val="fr-FR"/>
        </w:rPr>
        <w:t>sur le droit de la mer</w:t>
      </w:r>
      <w:r>
        <w:rPr>
          <w:szCs w:val="18"/>
          <w:lang w:val="fr-FR"/>
        </w:rPr>
        <w:t xml:space="preserve"> du 10</w:t>
      </w:r>
      <w:r w:rsidR="00C374F4">
        <w:rPr>
          <w:szCs w:val="18"/>
          <w:lang w:val="fr-FR"/>
        </w:rPr>
        <w:t> </w:t>
      </w:r>
      <w:r>
        <w:rPr>
          <w:szCs w:val="18"/>
          <w:lang w:val="fr-FR"/>
        </w:rPr>
        <w:t>décembre 1982 (avec annexe), adopté par l</w:t>
      </w:r>
      <w:r w:rsidR="004937A0">
        <w:rPr>
          <w:szCs w:val="18"/>
          <w:lang w:val="fr-FR"/>
        </w:rPr>
        <w:t>’</w:t>
      </w:r>
      <w:r>
        <w:rPr>
          <w:szCs w:val="18"/>
          <w:lang w:val="fr-FR"/>
        </w:rPr>
        <w:t xml:space="preserve">Assemblée générale des Nations Unies le 28 juillet 1994, </w:t>
      </w:r>
      <w:r w:rsidRPr="009C7273">
        <w:rPr>
          <w:szCs w:val="18"/>
          <w:lang w:val="fr-FR"/>
        </w:rPr>
        <w:t xml:space="preserve">Nations Unies, </w:t>
      </w:r>
      <w:r w:rsidRPr="009C7273">
        <w:rPr>
          <w:i/>
          <w:iCs/>
          <w:szCs w:val="18"/>
          <w:lang w:val="fr-FR"/>
        </w:rPr>
        <w:t>Recueil des Traités</w:t>
      </w:r>
      <w:r w:rsidRPr="009C7273">
        <w:rPr>
          <w:szCs w:val="18"/>
          <w:lang w:val="fr-FR"/>
        </w:rPr>
        <w:t>, vol. 183</w:t>
      </w:r>
      <w:r>
        <w:rPr>
          <w:szCs w:val="18"/>
          <w:lang w:val="fr-FR"/>
        </w:rPr>
        <w:t>6</w:t>
      </w:r>
      <w:r w:rsidRPr="009C7273">
        <w:rPr>
          <w:szCs w:val="18"/>
          <w:lang w:val="fr-FR"/>
        </w:rPr>
        <w:t>, n</w:t>
      </w:r>
      <w:r w:rsidRPr="009C7273">
        <w:rPr>
          <w:szCs w:val="18"/>
          <w:vertAlign w:val="superscript"/>
          <w:lang w:val="fr-FR"/>
        </w:rPr>
        <w:t>o</w:t>
      </w:r>
      <w:r w:rsidRPr="009C7273">
        <w:rPr>
          <w:szCs w:val="18"/>
          <w:lang w:val="fr-FR"/>
        </w:rPr>
        <w:t> 3136</w:t>
      </w:r>
      <w:r>
        <w:rPr>
          <w:szCs w:val="18"/>
          <w:lang w:val="fr-FR"/>
        </w:rPr>
        <w:t>4</w:t>
      </w:r>
      <w:r w:rsidRPr="009C7273">
        <w:rPr>
          <w:szCs w:val="18"/>
          <w:lang w:val="fr-FR"/>
        </w:rPr>
        <w:t>, p. 3</w:t>
      </w:r>
      <w:r w:rsidRPr="00DD4F4E">
        <w:rPr>
          <w:szCs w:val="18"/>
          <w:lang w:val="fr-FR"/>
        </w:rPr>
        <w:t>.</w:t>
      </w:r>
    </w:p>
  </w:footnote>
  <w:footnote w:id="38">
    <w:p w14:paraId="5975AAFF" w14:textId="58A1C24B"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t xml:space="preserve">Annexe IX, </w:t>
      </w:r>
      <w:r>
        <w:rPr>
          <w:szCs w:val="18"/>
          <w:lang w:val="fr-FR"/>
        </w:rPr>
        <w:t>art. </w:t>
      </w:r>
      <w:r w:rsidRPr="00DD4F4E">
        <w:rPr>
          <w:szCs w:val="18"/>
          <w:lang w:val="fr-FR"/>
        </w:rPr>
        <w:t>7 (Participation d</w:t>
      </w:r>
      <w:r w:rsidR="004937A0">
        <w:rPr>
          <w:szCs w:val="18"/>
          <w:lang w:val="fr-FR"/>
        </w:rPr>
        <w:t>’</w:t>
      </w:r>
      <w:r w:rsidRPr="00DD4F4E">
        <w:rPr>
          <w:szCs w:val="18"/>
          <w:lang w:val="fr-FR"/>
        </w:rPr>
        <w:t>organisations internationales), Convention des Nations Unies sur le droit de la mer.</w:t>
      </w:r>
    </w:p>
  </w:footnote>
  <w:footnote w:id="39">
    <w:p w14:paraId="122DD09B" w14:textId="4B60FD87" w:rsidR="00C324CF" w:rsidRPr="00DD4F4E" w:rsidRDefault="00C324CF" w:rsidP="00E9227E">
      <w:pPr>
        <w:pStyle w:val="Notedebasdepage"/>
        <w:rPr>
          <w:szCs w:val="18"/>
        </w:rPr>
      </w:pPr>
      <w:r>
        <w:rPr>
          <w:szCs w:val="18"/>
          <w:lang w:val="fr-FR"/>
        </w:rPr>
        <w:tab/>
      </w:r>
      <w:r w:rsidRPr="00E9227E">
        <w:rPr>
          <w:rStyle w:val="Appelnotedebasdep"/>
        </w:rPr>
        <w:footnoteRef/>
      </w:r>
      <w:r>
        <w:rPr>
          <w:szCs w:val="18"/>
          <w:lang w:val="fr-FR"/>
        </w:rPr>
        <w:tab/>
      </w:r>
      <w:r w:rsidRPr="00DD4F4E">
        <w:rPr>
          <w:szCs w:val="18"/>
          <w:lang w:val="fr-FR"/>
        </w:rPr>
        <w:t xml:space="preserve">Voir, par exemple, </w:t>
      </w:r>
      <w:r w:rsidRPr="00DD4F4E">
        <w:rPr>
          <w:i/>
          <w:iCs/>
          <w:szCs w:val="18"/>
          <w:lang w:val="fr-FR"/>
        </w:rPr>
        <w:t>Conservation et exploitation durable des stocks d</w:t>
      </w:r>
      <w:r w:rsidR="004937A0">
        <w:rPr>
          <w:i/>
          <w:iCs/>
          <w:szCs w:val="18"/>
          <w:lang w:val="fr-FR"/>
        </w:rPr>
        <w:t>’</w:t>
      </w:r>
      <w:r w:rsidRPr="00DD4F4E">
        <w:rPr>
          <w:i/>
          <w:iCs/>
          <w:szCs w:val="18"/>
          <w:lang w:val="fr-FR"/>
        </w:rPr>
        <w:t>espadon (Chili/Communauté européenne), ordonnance du 20 décembre 2000, TIDM Recueil 2000</w:t>
      </w:r>
      <w:r w:rsidRPr="00DD4F4E">
        <w:rPr>
          <w:szCs w:val="18"/>
          <w:lang w:val="fr-FR"/>
        </w:rPr>
        <w:t xml:space="preserve">, </w:t>
      </w:r>
      <w:r>
        <w:rPr>
          <w:szCs w:val="18"/>
          <w:lang w:val="fr-FR"/>
        </w:rPr>
        <w:t>p. </w:t>
      </w:r>
      <w:r w:rsidRPr="00DD4F4E">
        <w:rPr>
          <w:szCs w:val="18"/>
          <w:lang w:val="fr-FR"/>
        </w:rPr>
        <w:t>148.</w:t>
      </w:r>
    </w:p>
  </w:footnote>
  <w:footnote w:id="40">
    <w:p w14:paraId="02A8873B" w14:textId="305C79E2" w:rsidR="00C324CF" w:rsidRPr="00656774" w:rsidRDefault="00C324CF" w:rsidP="00E9227E">
      <w:pPr>
        <w:pStyle w:val="Notedebasdepage"/>
        <w:rPr>
          <w:lang w:val="fr-FR"/>
        </w:rPr>
      </w:pPr>
      <w:r>
        <w:tab/>
      </w:r>
      <w:r w:rsidRPr="00E9227E">
        <w:rPr>
          <w:rStyle w:val="Appelnotedebasdep"/>
        </w:rPr>
        <w:footnoteRef/>
      </w:r>
      <w:r>
        <w:tab/>
      </w:r>
      <w:r w:rsidRPr="00DD4F4E">
        <w:rPr>
          <w:szCs w:val="18"/>
          <w:lang w:val="fr-FR"/>
        </w:rPr>
        <w:t xml:space="preserve">Voir </w:t>
      </w:r>
      <w:r>
        <w:rPr>
          <w:szCs w:val="18"/>
          <w:lang w:val="fr-FR"/>
        </w:rPr>
        <w:t>par. </w:t>
      </w:r>
      <w:r w:rsidRPr="00DD4F4E">
        <w:rPr>
          <w:szCs w:val="18"/>
          <w:lang w:val="fr-FR"/>
        </w:rPr>
        <w:t xml:space="preserve">2 à 7 du commentaire du projet de directive 1 </w:t>
      </w:r>
      <w:r>
        <w:rPr>
          <w:szCs w:val="18"/>
          <w:lang w:val="fr-FR"/>
        </w:rPr>
        <w:t>des</w:t>
      </w:r>
      <w:r w:rsidRPr="00DD4F4E">
        <w:rPr>
          <w:szCs w:val="18"/>
          <w:lang w:val="fr-FR"/>
        </w:rPr>
        <w:t xml:space="preserve"> projet</w:t>
      </w:r>
      <w:r>
        <w:rPr>
          <w:szCs w:val="18"/>
          <w:lang w:val="fr-FR"/>
        </w:rPr>
        <w:t>s</w:t>
      </w:r>
      <w:r w:rsidRPr="00DD4F4E">
        <w:rPr>
          <w:szCs w:val="18"/>
          <w:lang w:val="fr-FR"/>
        </w:rPr>
        <w:t xml:space="preserve"> de directive sur le règlement des différends auxquels des organisations </w:t>
      </w:r>
      <w:r w:rsidRPr="00A4387D">
        <w:rPr>
          <w:szCs w:val="18"/>
          <w:lang w:val="fr-FR"/>
        </w:rPr>
        <w:t>internationales sont parties provisoirement adoptés</w:t>
      </w:r>
      <w:r w:rsidRPr="00DD4F4E">
        <w:rPr>
          <w:szCs w:val="18"/>
          <w:lang w:val="fr-FR"/>
        </w:rPr>
        <w:t xml:space="preserve"> par la Commission à sa soixante-quatorzième session, </w:t>
      </w:r>
      <w:hyperlink r:id="rId23" w:history="1">
        <w:r w:rsidRPr="00DD4F4E">
          <w:rPr>
            <w:rStyle w:val="Lienhypertexte"/>
            <w:szCs w:val="18"/>
            <w:lang w:val="fr-FR"/>
          </w:rPr>
          <w:t>A/78/10</w:t>
        </w:r>
      </w:hyperlink>
      <w:r w:rsidRPr="00DD4F4E">
        <w:rPr>
          <w:szCs w:val="18"/>
          <w:lang w:val="fr-FR"/>
        </w:rPr>
        <w:t xml:space="preserve">, </w:t>
      </w:r>
      <w:r>
        <w:rPr>
          <w:szCs w:val="18"/>
          <w:lang w:val="fr-FR"/>
        </w:rPr>
        <w:t>par. </w:t>
      </w:r>
      <w:r w:rsidRPr="00DD4F4E">
        <w:rPr>
          <w:szCs w:val="18"/>
          <w:lang w:val="fr-FR"/>
        </w:rPr>
        <w:t xml:space="preserve">49. Voir aussi </w:t>
      </w:r>
      <w:r w:rsidRPr="00DD4F4E">
        <w:rPr>
          <w:i/>
          <w:iCs/>
          <w:szCs w:val="18"/>
          <w:lang w:val="fr-FR"/>
        </w:rPr>
        <w:t>Annuaire</w:t>
      </w:r>
      <w:r w:rsidR="008D6C4B">
        <w:rPr>
          <w:i/>
          <w:iCs/>
          <w:szCs w:val="18"/>
          <w:lang w:val="fr-FR"/>
        </w:rPr>
        <w:t xml:space="preserve"> </w:t>
      </w:r>
      <w:r w:rsidRPr="00DD4F4E">
        <w:rPr>
          <w:i/>
          <w:iCs/>
          <w:szCs w:val="18"/>
          <w:lang w:val="fr-FR"/>
        </w:rPr>
        <w:t>… 2016</w:t>
      </w:r>
      <w:r w:rsidRPr="00DD4F4E">
        <w:rPr>
          <w:szCs w:val="18"/>
          <w:lang w:val="fr-FR"/>
        </w:rPr>
        <w:t xml:space="preserve">, </w:t>
      </w:r>
      <w:r>
        <w:rPr>
          <w:szCs w:val="18"/>
          <w:lang w:val="fr-FR"/>
        </w:rPr>
        <w:t>vol. </w:t>
      </w:r>
      <w:r w:rsidRPr="00DD4F4E">
        <w:rPr>
          <w:szCs w:val="18"/>
          <w:lang w:val="fr-FR"/>
        </w:rPr>
        <w:t>II (2</w:t>
      </w:r>
      <w:r w:rsidRPr="00DD4F4E">
        <w:rPr>
          <w:szCs w:val="18"/>
          <w:vertAlign w:val="superscript"/>
          <w:lang w:val="fr-FR"/>
        </w:rPr>
        <w:t>e</w:t>
      </w:r>
      <w:r>
        <w:rPr>
          <w:szCs w:val="18"/>
          <w:lang w:val="fr-FR"/>
        </w:rPr>
        <w:t> </w:t>
      </w:r>
      <w:r w:rsidRPr="00DD4F4E">
        <w:rPr>
          <w:szCs w:val="18"/>
          <w:lang w:val="fr-FR"/>
        </w:rPr>
        <w:t xml:space="preserve">partie), annexe I, </w:t>
      </w:r>
      <w:r>
        <w:rPr>
          <w:szCs w:val="18"/>
          <w:lang w:val="fr-FR"/>
        </w:rPr>
        <w:t>par. </w:t>
      </w:r>
      <w:r w:rsidRPr="00DD4F4E">
        <w:rPr>
          <w:szCs w:val="18"/>
          <w:lang w:val="fr-FR"/>
        </w:rPr>
        <w:t>3.</w:t>
      </w:r>
    </w:p>
  </w:footnote>
  <w:footnote w:id="41">
    <w:p w14:paraId="16588966" w14:textId="3749197F"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r>
      <w:r w:rsidRPr="00DD4F4E">
        <w:rPr>
          <w:i/>
          <w:iCs/>
          <w:szCs w:val="18"/>
          <w:lang w:val="fr-FR"/>
        </w:rPr>
        <w:t>Réparation des dommages subis au service des Nations Unies, avis consultatif du 11 avril 19</w:t>
      </w:r>
      <w:r>
        <w:rPr>
          <w:i/>
          <w:iCs/>
          <w:szCs w:val="18"/>
          <w:lang w:val="fr-FR"/>
        </w:rPr>
        <w:t>49</w:t>
      </w:r>
      <w:r w:rsidRPr="00DD4F4E">
        <w:rPr>
          <w:i/>
          <w:iCs/>
          <w:szCs w:val="18"/>
          <w:lang w:val="fr-FR"/>
        </w:rPr>
        <w:t>, C.I.J</w:t>
      </w:r>
      <w:r w:rsidR="00C374F4">
        <w:rPr>
          <w:i/>
          <w:iCs/>
          <w:szCs w:val="18"/>
          <w:lang w:val="fr-FR"/>
        </w:rPr>
        <w:t>.</w:t>
      </w:r>
      <w:r w:rsidRPr="00DD4F4E">
        <w:rPr>
          <w:i/>
          <w:iCs/>
          <w:szCs w:val="18"/>
          <w:lang w:val="fr-FR"/>
        </w:rPr>
        <w:t>, Recueil 1949</w:t>
      </w:r>
      <w:r w:rsidRPr="00DD4F4E">
        <w:rPr>
          <w:szCs w:val="18"/>
          <w:lang w:val="fr-FR"/>
        </w:rPr>
        <w:t xml:space="preserve">, </w:t>
      </w:r>
      <w:r>
        <w:rPr>
          <w:szCs w:val="18"/>
          <w:lang w:val="fr-FR"/>
        </w:rPr>
        <w:t>p. </w:t>
      </w:r>
      <w:r w:rsidRPr="00DD4F4E">
        <w:rPr>
          <w:szCs w:val="18"/>
          <w:lang w:val="fr-FR"/>
        </w:rPr>
        <w:t>174.</w:t>
      </w:r>
    </w:p>
  </w:footnote>
  <w:footnote w:id="42">
    <w:p w14:paraId="5D9BD2EA" w14:textId="7D66A4B7" w:rsidR="00C324CF" w:rsidRPr="00DD4F4E" w:rsidRDefault="00C324CF" w:rsidP="00E9227E">
      <w:pPr>
        <w:pStyle w:val="Notedebasdepage"/>
        <w:rPr>
          <w:szCs w:val="18"/>
        </w:rPr>
      </w:pPr>
      <w:r w:rsidRPr="00DD4F4E">
        <w:rPr>
          <w:szCs w:val="18"/>
          <w:lang w:val="fr-FR"/>
        </w:rPr>
        <w:tab/>
      </w:r>
      <w:r w:rsidRPr="00E9227E">
        <w:rPr>
          <w:rStyle w:val="Appelnotedebasdep"/>
        </w:rPr>
        <w:footnoteRef/>
      </w:r>
      <w:r>
        <w:rPr>
          <w:szCs w:val="18"/>
          <w:lang w:val="fr-FR"/>
        </w:rPr>
        <w:tab/>
      </w:r>
      <w:r w:rsidRPr="00DD4F4E">
        <w:rPr>
          <w:szCs w:val="18"/>
          <w:lang w:val="fr-FR"/>
        </w:rPr>
        <w:t>Échange de lettres constituant un accord entre l</w:t>
      </w:r>
      <w:r w:rsidR="004937A0">
        <w:rPr>
          <w:szCs w:val="18"/>
          <w:lang w:val="fr-FR"/>
        </w:rPr>
        <w:t>’</w:t>
      </w:r>
      <w:r w:rsidRPr="00DD4F4E">
        <w:rPr>
          <w:szCs w:val="18"/>
          <w:lang w:val="fr-FR"/>
        </w:rPr>
        <w:t>Organisation des Nations Unies et la Belgique relatif au règlement de réclamations présentées contre l</w:t>
      </w:r>
      <w:r w:rsidR="004937A0">
        <w:rPr>
          <w:szCs w:val="18"/>
          <w:lang w:val="fr-FR"/>
        </w:rPr>
        <w:t>’</w:t>
      </w:r>
      <w:r w:rsidRPr="00DD4F4E">
        <w:rPr>
          <w:szCs w:val="18"/>
          <w:lang w:val="fr-FR"/>
        </w:rPr>
        <w:t xml:space="preserve">Organisation des Nations Unies au Congo par des ressortissants belges (New York, 20 février 1965),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535, n</w:t>
      </w:r>
      <w:r w:rsidRPr="00DD4F4E">
        <w:rPr>
          <w:szCs w:val="18"/>
          <w:vertAlign w:val="superscript"/>
          <w:lang w:val="fr-FR"/>
        </w:rPr>
        <w:t>o</w:t>
      </w:r>
      <w:r w:rsidRPr="00DD4F4E">
        <w:rPr>
          <w:szCs w:val="18"/>
          <w:lang w:val="fr-FR"/>
        </w:rPr>
        <w:t xml:space="preserve"> 7780, </w:t>
      </w:r>
      <w:r>
        <w:rPr>
          <w:szCs w:val="18"/>
          <w:lang w:val="fr-FR"/>
        </w:rPr>
        <w:t>p. </w:t>
      </w:r>
      <w:r w:rsidRPr="00DD4F4E">
        <w:rPr>
          <w:szCs w:val="18"/>
          <w:lang w:val="fr-FR"/>
        </w:rPr>
        <w:t>197.</w:t>
      </w:r>
    </w:p>
  </w:footnote>
  <w:footnote w:id="43">
    <w:p w14:paraId="3DF74914" w14:textId="3FB9D21E" w:rsidR="00C324CF" w:rsidRPr="00DD4F4E" w:rsidRDefault="00C324CF" w:rsidP="00E9227E">
      <w:pPr>
        <w:pStyle w:val="Notedebasdepage"/>
        <w:rPr>
          <w:szCs w:val="18"/>
          <w:lang w:val="fr-FR"/>
        </w:rPr>
      </w:pPr>
      <w:r>
        <w:rPr>
          <w:szCs w:val="18"/>
          <w:lang w:val="fr-FR"/>
        </w:rPr>
        <w:tab/>
      </w:r>
      <w:r w:rsidRPr="00E9227E">
        <w:rPr>
          <w:rStyle w:val="Appelnotedebasdep"/>
        </w:rPr>
        <w:footnoteRef/>
      </w:r>
      <w:r w:rsidRPr="00DD4F4E">
        <w:rPr>
          <w:szCs w:val="18"/>
          <w:lang w:val="fr-FR"/>
        </w:rPr>
        <w:tab/>
        <w:t xml:space="preserve">Voir </w:t>
      </w:r>
      <w:r>
        <w:rPr>
          <w:szCs w:val="18"/>
          <w:lang w:val="fr-FR"/>
        </w:rPr>
        <w:t>par. </w:t>
      </w:r>
      <w:r w:rsidRPr="00DD4F4E">
        <w:rPr>
          <w:szCs w:val="18"/>
          <w:lang w:val="fr-FR"/>
        </w:rPr>
        <w:t>3 du commentaire du projet d</w:t>
      </w:r>
      <w:r w:rsidR="004937A0">
        <w:rPr>
          <w:szCs w:val="18"/>
          <w:lang w:val="fr-FR"/>
        </w:rPr>
        <w:t>’</w:t>
      </w:r>
      <w:r w:rsidRPr="00DD4F4E">
        <w:rPr>
          <w:szCs w:val="18"/>
          <w:lang w:val="fr-FR"/>
        </w:rPr>
        <w:t>article 2 du projet d</w:t>
      </w:r>
      <w:r w:rsidR="004937A0">
        <w:rPr>
          <w:szCs w:val="18"/>
          <w:lang w:val="fr-FR"/>
        </w:rPr>
        <w:t>’</w:t>
      </w:r>
      <w:r w:rsidRPr="00DD4F4E">
        <w:rPr>
          <w:szCs w:val="18"/>
          <w:lang w:val="fr-FR"/>
        </w:rPr>
        <w:t xml:space="preserve">articles sur le droit des traités entre États et organisations internationales ou entre organisations internationales, </w:t>
      </w:r>
      <w:r w:rsidRPr="00DD4F4E">
        <w:rPr>
          <w:i/>
          <w:iCs/>
          <w:szCs w:val="18"/>
          <w:lang w:val="fr-FR"/>
        </w:rPr>
        <w:t>Annuaire … 1982</w:t>
      </w:r>
      <w:r w:rsidRPr="00DD4F4E">
        <w:rPr>
          <w:szCs w:val="18"/>
          <w:lang w:val="fr-FR"/>
        </w:rPr>
        <w:t xml:space="preserve">, </w:t>
      </w:r>
      <w:r>
        <w:rPr>
          <w:szCs w:val="18"/>
          <w:lang w:val="fr-FR"/>
        </w:rPr>
        <w:t>vol. </w:t>
      </w:r>
      <w:r w:rsidRPr="00DD4F4E">
        <w:rPr>
          <w:szCs w:val="18"/>
          <w:lang w:val="fr-FR"/>
        </w:rPr>
        <w:t>II (2</w:t>
      </w:r>
      <w:r w:rsidRPr="00DD4F4E">
        <w:rPr>
          <w:szCs w:val="18"/>
          <w:vertAlign w:val="superscript"/>
          <w:lang w:val="fr-FR"/>
        </w:rPr>
        <w:t>e</w:t>
      </w:r>
      <w:r>
        <w:rPr>
          <w:szCs w:val="18"/>
          <w:lang w:val="fr-FR"/>
        </w:rPr>
        <w:t> </w:t>
      </w:r>
      <w:r w:rsidRPr="00DD4F4E">
        <w:rPr>
          <w:szCs w:val="18"/>
          <w:lang w:val="fr-FR"/>
        </w:rPr>
        <w:t xml:space="preserve">partie), </w:t>
      </w:r>
      <w:r>
        <w:rPr>
          <w:szCs w:val="18"/>
          <w:lang w:val="fr-FR"/>
        </w:rPr>
        <w:t>par. </w:t>
      </w:r>
      <w:r w:rsidRPr="00DD4F4E">
        <w:rPr>
          <w:szCs w:val="18"/>
          <w:lang w:val="fr-FR"/>
        </w:rPr>
        <w:t>63.</w:t>
      </w:r>
    </w:p>
  </w:footnote>
  <w:footnote w:id="44">
    <w:p w14:paraId="52BB5796" w14:textId="166C6B61"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t>Cour permanente d</w:t>
      </w:r>
      <w:r w:rsidR="004937A0">
        <w:rPr>
          <w:szCs w:val="18"/>
          <w:lang w:val="fr-FR"/>
        </w:rPr>
        <w:t>’</w:t>
      </w:r>
      <w:r w:rsidRPr="00DD4F4E">
        <w:rPr>
          <w:szCs w:val="18"/>
          <w:lang w:val="fr-FR"/>
        </w:rPr>
        <w:t xml:space="preserve">arbitrage, </w:t>
      </w:r>
      <w:r w:rsidRPr="00DD4F4E">
        <w:rPr>
          <w:i/>
          <w:iCs/>
          <w:szCs w:val="18"/>
          <w:lang w:val="fr-FR"/>
        </w:rPr>
        <w:t xml:space="preserve">District </w:t>
      </w:r>
      <w:proofErr w:type="spellStart"/>
      <w:r w:rsidRPr="00DD4F4E">
        <w:rPr>
          <w:i/>
          <w:iCs/>
          <w:szCs w:val="18"/>
          <w:lang w:val="fr-FR"/>
        </w:rPr>
        <w:t>Municipality</w:t>
      </w:r>
      <w:proofErr w:type="spellEnd"/>
      <w:r w:rsidRPr="00DD4F4E">
        <w:rPr>
          <w:i/>
          <w:iCs/>
          <w:szCs w:val="18"/>
          <w:lang w:val="fr-FR"/>
        </w:rPr>
        <w:t xml:space="preserve"> of La Punta (</w:t>
      </w:r>
      <w:proofErr w:type="spellStart"/>
      <w:r w:rsidRPr="00DD4F4E">
        <w:rPr>
          <w:i/>
          <w:iCs/>
          <w:szCs w:val="18"/>
          <w:lang w:val="fr-FR"/>
        </w:rPr>
        <w:t>Peru</w:t>
      </w:r>
      <w:proofErr w:type="spellEnd"/>
      <w:r w:rsidRPr="00DD4F4E">
        <w:rPr>
          <w:i/>
          <w:iCs/>
          <w:szCs w:val="18"/>
          <w:lang w:val="fr-FR"/>
        </w:rPr>
        <w:t>) v. United Nations Office for Project Services (UNOPS)</w:t>
      </w:r>
      <w:r w:rsidRPr="00DD4F4E">
        <w:rPr>
          <w:szCs w:val="18"/>
          <w:lang w:val="fr-FR"/>
        </w:rPr>
        <w:t>, affaire n</w:t>
      </w:r>
      <w:r w:rsidRPr="0022302E">
        <w:rPr>
          <w:szCs w:val="18"/>
          <w:vertAlign w:val="superscript"/>
          <w:lang w:val="fr-FR"/>
        </w:rPr>
        <w:t>o</w:t>
      </w:r>
      <w:r>
        <w:rPr>
          <w:szCs w:val="18"/>
          <w:lang w:val="fr-FR"/>
        </w:rPr>
        <w:t> </w:t>
      </w:r>
      <w:r w:rsidRPr="00DD4F4E">
        <w:rPr>
          <w:szCs w:val="18"/>
          <w:lang w:val="fr-FR"/>
        </w:rPr>
        <w:t>2014-38. Disponible à l</w:t>
      </w:r>
      <w:r w:rsidR="004937A0">
        <w:rPr>
          <w:szCs w:val="18"/>
          <w:lang w:val="fr-FR"/>
        </w:rPr>
        <w:t>’</w:t>
      </w:r>
      <w:r w:rsidRPr="00DD4F4E">
        <w:rPr>
          <w:szCs w:val="18"/>
          <w:lang w:val="fr-FR"/>
        </w:rPr>
        <w:t>adresse suivante</w:t>
      </w:r>
      <w:r>
        <w:rPr>
          <w:szCs w:val="18"/>
          <w:lang w:val="fr-FR"/>
        </w:rPr>
        <w:t> </w:t>
      </w:r>
      <w:r w:rsidRPr="00DD4F4E">
        <w:rPr>
          <w:szCs w:val="18"/>
          <w:lang w:val="fr-FR"/>
        </w:rPr>
        <w:t xml:space="preserve">: </w:t>
      </w:r>
      <w:hyperlink r:id="rId24" w:history="1">
        <w:r w:rsidRPr="0022302E">
          <w:rPr>
            <w:rStyle w:val="Lienhypertexte"/>
            <w:szCs w:val="18"/>
            <w:lang w:val="fr-FR"/>
          </w:rPr>
          <w:t>https://pcacases.com/web/view/109</w:t>
        </w:r>
      </w:hyperlink>
      <w:r w:rsidRPr="00DD4F4E">
        <w:rPr>
          <w:szCs w:val="18"/>
          <w:lang w:val="fr-FR"/>
        </w:rPr>
        <w:t>.</w:t>
      </w:r>
    </w:p>
  </w:footnote>
  <w:footnote w:id="45">
    <w:p w14:paraId="781BEEBB" w14:textId="5A8DA1E1" w:rsidR="00C324CF" w:rsidRPr="00DD4F4E" w:rsidRDefault="00C324CF" w:rsidP="00E9227E">
      <w:pPr>
        <w:pStyle w:val="Notedebasdepage"/>
        <w:rPr>
          <w:szCs w:val="18"/>
        </w:rPr>
      </w:pPr>
      <w:r>
        <w:rPr>
          <w:szCs w:val="18"/>
          <w:lang w:val="fr-FR"/>
        </w:rPr>
        <w:tab/>
      </w:r>
      <w:r w:rsidRPr="00E9227E">
        <w:rPr>
          <w:rStyle w:val="Appelnotedebasdep"/>
        </w:rPr>
        <w:footnoteRef/>
      </w:r>
      <w:r>
        <w:rPr>
          <w:szCs w:val="18"/>
          <w:lang w:val="fr-FR"/>
        </w:rPr>
        <w:tab/>
      </w:r>
      <w:r w:rsidRPr="00DD4F4E">
        <w:rPr>
          <w:szCs w:val="18"/>
          <w:lang w:val="fr-FR"/>
        </w:rPr>
        <w:t>Cour de justice de la Communauté économique des États de l</w:t>
      </w:r>
      <w:r w:rsidR="004937A0">
        <w:rPr>
          <w:szCs w:val="18"/>
          <w:lang w:val="fr-FR"/>
        </w:rPr>
        <w:t>’</w:t>
      </w:r>
      <w:r w:rsidRPr="00DD4F4E">
        <w:rPr>
          <w:szCs w:val="18"/>
          <w:lang w:val="fr-FR"/>
        </w:rPr>
        <w:t>Afrique de l</w:t>
      </w:r>
      <w:r w:rsidR="004937A0">
        <w:rPr>
          <w:szCs w:val="18"/>
          <w:lang w:val="fr-FR"/>
        </w:rPr>
        <w:t>’</w:t>
      </w:r>
      <w:r w:rsidRPr="00DD4F4E">
        <w:rPr>
          <w:szCs w:val="18"/>
          <w:lang w:val="fr-FR"/>
        </w:rPr>
        <w:t xml:space="preserve">Ouest, </w:t>
      </w:r>
      <w:r w:rsidRPr="00DD4F4E">
        <w:rPr>
          <w:i/>
          <w:iCs/>
          <w:szCs w:val="18"/>
          <w:lang w:val="fr-FR"/>
        </w:rPr>
        <w:t xml:space="preserve">ECOWAS Bank for Investment and </w:t>
      </w:r>
      <w:proofErr w:type="spellStart"/>
      <w:r w:rsidRPr="00DD4F4E">
        <w:rPr>
          <w:i/>
          <w:iCs/>
          <w:szCs w:val="18"/>
          <w:lang w:val="fr-FR"/>
        </w:rPr>
        <w:t>Development</w:t>
      </w:r>
      <w:proofErr w:type="spellEnd"/>
      <w:r w:rsidRPr="00DD4F4E">
        <w:rPr>
          <w:i/>
          <w:iCs/>
          <w:szCs w:val="18"/>
          <w:lang w:val="fr-FR"/>
        </w:rPr>
        <w:t xml:space="preserve"> v. Cross River State</w:t>
      </w:r>
      <w:r w:rsidRPr="00DD4F4E">
        <w:rPr>
          <w:szCs w:val="18"/>
          <w:lang w:val="fr-FR"/>
        </w:rPr>
        <w:t>, arrêt n</w:t>
      </w:r>
      <w:r w:rsidRPr="00DD4F4E">
        <w:rPr>
          <w:szCs w:val="18"/>
          <w:vertAlign w:val="superscript"/>
          <w:lang w:val="fr-FR"/>
        </w:rPr>
        <w:t>o</w:t>
      </w:r>
      <w:r w:rsidRPr="00DD4F4E">
        <w:rPr>
          <w:szCs w:val="18"/>
          <w:lang w:val="fr-FR"/>
        </w:rPr>
        <w:t> ECW/CCJ/JUD/01/21, 5</w:t>
      </w:r>
      <w:r>
        <w:rPr>
          <w:szCs w:val="18"/>
          <w:lang w:val="fr-FR"/>
        </w:rPr>
        <w:t> </w:t>
      </w:r>
      <w:r w:rsidRPr="00DD4F4E">
        <w:rPr>
          <w:szCs w:val="18"/>
          <w:lang w:val="fr-FR"/>
        </w:rPr>
        <w:t>février 2021.</w:t>
      </w:r>
    </w:p>
  </w:footnote>
  <w:footnote w:id="46">
    <w:p w14:paraId="62A26295" w14:textId="77777777" w:rsidR="00C324CF" w:rsidRPr="00656774" w:rsidRDefault="00C324CF" w:rsidP="00E9227E">
      <w:pPr>
        <w:pStyle w:val="Notedebasdepage"/>
        <w:rPr>
          <w:szCs w:val="18"/>
        </w:rPr>
      </w:pPr>
      <w:r w:rsidRPr="0022302E">
        <w:rPr>
          <w:szCs w:val="18"/>
        </w:rPr>
        <w:tab/>
      </w:r>
      <w:r w:rsidRPr="00E9227E">
        <w:rPr>
          <w:rStyle w:val="Appelnotedebasdep"/>
        </w:rPr>
        <w:footnoteRef/>
      </w:r>
      <w:r w:rsidRPr="00656774">
        <w:rPr>
          <w:szCs w:val="18"/>
        </w:rPr>
        <w:tab/>
        <w:t xml:space="preserve">Voir </w:t>
      </w:r>
      <w:hyperlink r:id="rId25" w:history="1">
        <w:r w:rsidRPr="00656774">
          <w:rPr>
            <w:rStyle w:val="Lienhypertexte"/>
            <w:szCs w:val="18"/>
          </w:rPr>
          <w:t>A/CN.4/766</w:t>
        </w:r>
      </w:hyperlink>
      <w:r w:rsidRPr="00656774">
        <w:rPr>
          <w:szCs w:val="18"/>
        </w:rPr>
        <w:t>, par. 21.</w:t>
      </w:r>
    </w:p>
  </w:footnote>
  <w:footnote w:id="47">
    <w:p w14:paraId="0AACE8A4" w14:textId="5BC0F23A" w:rsidR="00C324CF" w:rsidRPr="00656774" w:rsidRDefault="00C324CF" w:rsidP="00E9227E">
      <w:pPr>
        <w:pStyle w:val="Notedebasdepage"/>
        <w:rPr>
          <w:lang w:val="fr-FR"/>
        </w:rPr>
      </w:pPr>
      <w:r>
        <w:tab/>
      </w:r>
      <w:r w:rsidRPr="00E9227E">
        <w:rPr>
          <w:rStyle w:val="Appelnotedebasdep"/>
        </w:rPr>
        <w:footnoteRef/>
      </w:r>
      <w:r>
        <w:tab/>
        <w:t>Par exemple, l</w:t>
      </w:r>
      <w:r w:rsidR="004937A0">
        <w:t>’</w:t>
      </w:r>
      <w:r>
        <w:t xml:space="preserve">Ordre souverain de Malte qui a conservé </w:t>
      </w:r>
      <w:r w:rsidRPr="005771D8">
        <w:rPr>
          <w:lang w:val="fr-FR"/>
        </w:rPr>
        <w:t>le pouvoir de conclure des traités et le droit d</w:t>
      </w:r>
      <w:r w:rsidR="004937A0">
        <w:rPr>
          <w:lang w:val="fr-FR"/>
        </w:rPr>
        <w:t>’</w:t>
      </w:r>
      <w:r w:rsidRPr="005771D8">
        <w:rPr>
          <w:lang w:val="fr-FR"/>
        </w:rPr>
        <w:t>envoyer et de recevoir des représentants diplomatiques</w:t>
      </w:r>
      <w:r>
        <w:rPr>
          <w:lang w:val="fr-FR"/>
        </w:rPr>
        <w:t xml:space="preserve"> (voir </w:t>
      </w:r>
      <w:r w:rsidRPr="00DD4F4E">
        <w:rPr>
          <w:szCs w:val="18"/>
          <w:lang w:val="fr-FR"/>
        </w:rPr>
        <w:t xml:space="preserve">Seconde note thématique établie par </w:t>
      </w:r>
      <w:proofErr w:type="spellStart"/>
      <w:r w:rsidRPr="00DD4F4E">
        <w:rPr>
          <w:szCs w:val="18"/>
          <w:lang w:val="fr-FR"/>
        </w:rPr>
        <w:t>Patrícia</w:t>
      </w:r>
      <w:proofErr w:type="spellEnd"/>
      <w:r w:rsidR="00C374F4">
        <w:rPr>
          <w:szCs w:val="18"/>
          <w:lang w:val="fr-FR"/>
        </w:rPr>
        <w:t> </w:t>
      </w:r>
      <w:proofErr w:type="spellStart"/>
      <w:r w:rsidRPr="00DD4F4E">
        <w:rPr>
          <w:szCs w:val="18"/>
          <w:lang w:val="fr-FR"/>
        </w:rPr>
        <w:t>Galvão</w:t>
      </w:r>
      <w:proofErr w:type="spellEnd"/>
      <w:r w:rsidRPr="00DD4F4E">
        <w:rPr>
          <w:szCs w:val="18"/>
          <w:lang w:val="fr-FR"/>
        </w:rPr>
        <w:t xml:space="preserve"> </w:t>
      </w:r>
      <w:proofErr w:type="spellStart"/>
      <w:r w:rsidRPr="00DD4F4E">
        <w:rPr>
          <w:szCs w:val="18"/>
          <w:lang w:val="fr-FR"/>
        </w:rPr>
        <w:t>Teles</w:t>
      </w:r>
      <w:proofErr w:type="spellEnd"/>
      <w:r w:rsidRPr="00DD4F4E">
        <w:rPr>
          <w:szCs w:val="18"/>
          <w:lang w:val="fr-FR"/>
        </w:rPr>
        <w:t xml:space="preserve"> et Juan José </w:t>
      </w:r>
      <w:proofErr w:type="spellStart"/>
      <w:r w:rsidRPr="00DD4F4E">
        <w:rPr>
          <w:szCs w:val="18"/>
          <w:lang w:val="fr-FR"/>
        </w:rPr>
        <w:t>Ruda</w:t>
      </w:r>
      <w:proofErr w:type="spellEnd"/>
      <w:r w:rsidRPr="00DD4F4E">
        <w:rPr>
          <w:szCs w:val="18"/>
          <w:lang w:val="fr-FR"/>
        </w:rPr>
        <w:t xml:space="preserve"> </w:t>
      </w:r>
      <w:proofErr w:type="spellStart"/>
      <w:r w:rsidRPr="00DD4F4E">
        <w:rPr>
          <w:szCs w:val="18"/>
          <w:lang w:val="fr-FR"/>
        </w:rPr>
        <w:t>Santolaria</w:t>
      </w:r>
      <w:proofErr w:type="spellEnd"/>
      <w:r w:rsidRPr="00DD4F4E">
        <w:rPr>
          <w:szCs w:val="18"/>
          <w:lang w:val="fr-FR"/>
        </w:rPr>
        <w:t>, Coprésidents du Groupe d</w:t>
      </w:r>
      <w:r w:rsidR="004937A0">
        <w:rPr>
          <w:szCs w:val="18"/>
          <w:lang w:val="fr-FR"/>
        </w:rPr>
        <w:t>’</w:t>
      </w:r>
      <w:r w:rsidRPr="00DD4F4E">
        <w:rPr>
          <w:szCs w:val="18"/>
          <w:lang w:val="fr-FR"/>
        </w:rPr>
        <w:t>étude sur l</w:t>
      </w:r>
      <w:r w:rsidR="004937A0">
        <w:rPr>
          <w:szCs w:val="18"/>
          <w:lang w:val="fr-FR"/>
        </w:rPr>
        <w:t>’</w:t>
      </w:r>
      <w:r w:rsidRPr="00DD4F4E">
        <w:rPr>
          <w:szCs w:val="18"/>
          <w:lang w:val="fr-FR"/>
        </w:rPr>
        <w:t>élévation du niveau de la mer au regard du droit international (</w:t>
      </w:r>
      <w:hyperlink r:id="rId26" w:history="1">
        <w:r w:rsidRPr="00DD4F4E">
          <w:rPr>
            <w:rStyle w:val="Lienhypertexte"/>
            <w:szCs w:val="18"/>
            <w:lang w:val="fr-FR"/>
          </w:rPr>
          <w:t>A/CN.4/752</w:t>
        </w:r>
      </w:hyperlink>
      <w:r w:rsidRPr="00DD4F4E">
        <w:rPr>
          <w:szCs w:val="18"/>
          <w:lang w:val="fr-FR"/>
        </w:rPr>
        <w:t xml:space="preserve">), </w:t>
      </w:r>
      <w:r>
        <w:rPr>
          <w:szCs w:val="18"/>
          <w:lang w:val="fr-FR"/>
        </w:rPr>
        <w:t>par. </w:t>
      </w:r>
      <w:r w:rsidRPr="00DD4F4E">
        <w:rPr>
          <w:szCs w:val="18"/>
          <w:lang w:val="fr-FR"/>
        </w:rPr>
        <w:t>1</w:t>
      </w:r>
      <w:r>
        <w:rPr>
          <w:szCs w:val="18"/>
          <w:lang w:val="fr-FR"/>
        </w:rPr>
        <w:t>26</w:t>
      </w:r>
      <w:r w:rsidRPr="00DD4F4E">
        <w:rPr>
          <w:szCs w:val="18"/>
          <w:lang w:val="fr-FR"/>
        </w:rPr>
        <w:t xml:space="preserve"> à 137</w:t>
      </w:r>
      <w:r>
        <w:rPr>
          <w:szCs w:val="18"/>
          <w:lang w:val="fr-FR"/>
        </w:rPr>
        <w:t xml:space="preserve">), </w:t>
      </w:r>
      <w:r w:rsidRPr="009E41C1">
        <w:rPr>
          <w:szCs w:val="18"/>
          <w:lang w:val="fr-FR"/>
        </w:rPr>
        <w:t>ainsi que d</w:t>
      </w:r>
      <w:r w:rsidR="004937A0">
        <w:rPr>
          <w:szCs w:val="18"/>
          <w:lang w:val="fr-FR"/>
        </w:rPr>
        <w:t>’</w:t>
      </w:r>
      <w:r w:rsidRPr="009E41C1">
        <w:rPr>
          <w:szCs w:val="18"/>
          <w:lang w:val="fr-FR"/>
        </w:rPr>
        <w:t>autres entités ayant la capacité de conclure des traités</w:t>
      </w:r>
      <w:r>
        <w:rPr>
          <w:szCs w:val="18"/>
          <w:lang w:val="fr-FR"/>
        </w:rPr>
        <w:t xml:space="preserve"> dans certaines circonstances</w:t>
      </w:r>
      <w:r w:rsidRPr="009E41C1">
        <w:rPr>
          <w:szCs w:val="18"/>
          <w:lang w:val="fr-FR"/>
        </w:rPr>
        <w:t>, telles que des insurgés</w:t>
      </w:r>
      <w:r>
        <w:rPr>
          <w:szCs w:val="18"/>
          <w:lang w:val="fr-FR"/>
        </w:rPr>
        <w:t xml:space="preserve">, ont traditionnellement été considérés comme des sujets </w:t>
      </w:r>
      <w:r w:rsidRPr="00656774">
        <w:rPr>
          <w:i/>
          <w:iCs/>
          <w:szCs w:val="18"/>
          <w:lang w:val="fr-FR"/>
        </w:rPr>
        <w:t>sui generis</w:t>
      </w:r>
      <w:r>
        <w:rPr>
          <w:szCs w:val="18"/>
          <w:lang w:val="fr-FR"/>
        </w:rPr>
        <w:t xml:space="preserve"> du droit international. </w:t>
      </w:r>
      <w:proofErr w:type="spellStart"/>
      <w:r w:rsidRPr="00656774">
        <w:rPr>
          <w:szCs w:val="18"/>
          <w:lang w:val="en-US"/>
        </w:rPr>
        <w:t>Voir</w:t>
      </w:r>
      <w:proofErr w:type="spellEnd"/>
      <w:r w:rsidRPr="00656774">
        <w:rPr>
          <w:szCs w:val="18"/>
          <w:lang w:val="en-US"/>
        </w:rPr>
        <w:t xml:space="preserve"> </w:t>
      </w:r>
      <w:proofErr w:type="spellStart"/>
      <w:r w:rsidRPr="00656774">
        <w:rPr>
          <w:szCs w:val="18"/>
          <w:lang w:val="en-US"/>
        </w:rPr>
        <w:t>aussi</w:t>
      </w:r>
      <w:proofErr w:type="spellEnd"/>
      <w:r w:rsidRPr="00656774">
        <w:rPr>
          <w:szCs w:val="18"/>
          <w:lang w:val="en-US"/>
        </w:rPr>
        <w:t xml:space="preserve"> </w:t>
      </w:r>
      <w:r w:rsidRPr="00DD4F4E">
        <w:rPr>
          <w:szCs w:val="18"/>
          <w:lang w:val="en-US"/>
        </w:rPr>
        <w:t>Janne</w:t>
      </w:r>
      <w:r w:rsidR="00C374F4">
        <w:rPr>
          <w:szCs w:val="18"/>
          <w:lang w:val="en-US"/>
        </w:rPr>
        <w:t> </w:t>
      </w:r>
      <w:r w:rsidRPr="00DD4F4E">
        <w:rPr>
          <w:szCs w:val="18"/>
          <w:lang w:val="en-US"/>
        </w:rPr>
        <w:t xml:space="preserve">Elisabeth Nijman, </w:t>
      </w:r>
      <w:r w:rsidRPr="00DD4F4E">
        <w:rPr>
          <w:i/>
          <w:iCs/>
          <w:szCs w:val="18"/>
          <w:lang w:val="en-US"/>
        </w:rPr>
        <w:t>The Concept of International Legal Personality: An Inquiry into the History and Theory of International Law</w:t>
      </w:r>
      <w:r w:rsidRPr="00DD4F4E">
        <w:rPr>
          <w:szCs w:val="18"/>
          <w:lang w:val="en-US"/>
        </w:rPr>
        <w:t xml:space="preserve"> (La Haye, T.M.C. Asser Press, 2004)</w:t>
      </w:r>
      <w:r>
        <w:rPr>
          <w:szCs w:val="18"/>
          <w:lang w:val="en-US"/>
        </w:rPr>
        <w:t> </w:t>
      </w:r>
      <w:r w:rsidRPr="00DD4F4E">
        <w:rPr>
          <w:szCs w:val="18"/>
          <w:lang w:val="en-US"/>
        </w:rPr>
        <w:t xml:space="preserve">; Roland Portmann, </w:t>
      </w:r>
      <w:r w:rsidRPr="00DD4F4E">
        <w:rPr>
          <w:i/>
          <w:iCs/>
          <w:szCs w:val="18"/>
          <w:lang w:val="en-US"/>
        </w:rPr>
        <w:t>Legal Personality in International Law</w:t>
      </w:r>
      <w:r w:rsidRPr="00DD4F4E">
        <w:rPr>
          <w:szCs w:val="18"/>
          <w:lang w:val="en-US"/>
        </w:rPr>
        <w:t xml:space="preserve"> (Cambridge, Cambridge University Press, 2010) </w:t>
      </w:r>
      <w:r>
        <w:rPr>
          <w:szCs w:val="18"/>
          <w:lang w:val="en-US"/>
        </w:rPr>
        <w:t>p. </w:t>
      </w:r>
      <w:r w:rsidRPr="00DD4F4E">
        <w:rPr>
          <w:szCs w:val="18"/>
          <w:lang w:val="en-US"/>
        </w:rPr>
        <w:t>5 à 28 ; James</w:t>
      </w:r>
      <w:r>
        <w:rPr>
          <w:szCs w:val="18"/>
          <w:lang w:val="en-US"/>
        </w:rPr>
        <w:t> </w:t>
      </w:r>
      <w:r w:rsidRPr="00DD4F4E">
        <w:rPr>
          <w:szCs w:val="18"/>
          <w:lang w:val="en-US"/>
        </w:rPr>
        <w:t xml:space="preserve">Crawford </w:t>
      </w:r>
      <w:r w:rsidR="00600A00">
        <w:rPr>
          <w:szCs w:val="18"/>
          <w:lang w:val="en-US"/>
        </w:rPr>
        <w:t>et</w:t>
      </w:r>
      <w:r w:rsidRPr="00DD4F4E">
        <w:rPr>
          <w:szCs w:val="18"/>
          <w:lang w:val="en-US"/>
        </w:rPr>
        <w:t xml:space="preserve"> Ian Brownlie, </w:t>
      </w:r>
      <w:r w:rsidRPr="00DD4F4E">
        <w:rPr>
          <w:i/>
          <w:iCs/>
          <w:szCs w:val="18"/>
          <w:lang w:val="en-US"/>
        </w:rPr>
        <w:t>Brownlie</w:t>
      </w:r>
      <w:r w:rsidR="004937A0">
        <w:rPr>
          <w:i/>
          <w:iCs/>
          <w:szCs w:val="18"/>
          <w:lang w:val="en-US"/>
        </w:rPr>
        <w:t>’</w:t>
      </w:r>
      <w:r w:rsidRPr="00DD4F4E">
        <w:rPr>
          <w:i/>
          <w:iCs/>
          <w:szCs w:val="18"/>
          <w:lang w:val="en-US"/>
        </w:rPr>
        <w:t>s Principles of Public International Law</w:t>
      </w:r>
      <w:r w:rsidRPr="00DD4F4E">
        <w:rPr>
          <w:szCs w:val="18"/>
          <w:lang w:val="en-US"/>
        </w:rPr>
        <w:t>, 9</w:t>
      </w:r>
      <w:r w:rsidRPr="00DD4F4E">
        <w:rPr>
          <w:szCs w:val="18"/>
          <w:vertAlign w:val="superscript"/>
          <w:lang w:val="en-US"/>
        </w:rPr>
        <w:t>e</w:t>
      </w:r>
      <w:r w:rsidRPr="00DD4F4E">
        <w:rPr>
          <w:szCs w:val="18"/>
          <w:lang w:val="en-US"/>
        </w:rPr>
        <w:t xml:space="preserve"> </w:t>
      </w:r>
      <w:proofErr w:type="spellStart"/>
      <w:r w:rsidRPr="00DD4F4E">
        <w:rPr>
          <w:szCs w:val="18"/>
          <w:lang w:val="en-US"/>
        </w:rPr>
        <w:t>éd</w:t>
      </w:r>
      <w:proofErr w:type="spellEnd"/>
      <w:r w:rsidRPr="00DD4F4E">
        <w:rPr>
          <w:szCs w:val="18"/>
          <w:lang w:val="en-US"/>
        </w:rPr>
        <w:t xml:space="preserve">. </w:t>
      </w:r>
      <w:r w:rsidRPr="00DD4F4E">
        <w:rPr>
          <w:szCs w:val="18"/>
          <w:lang w:val="fr-FR"/>
        </w:rPr>
        <w:t xml:space="preserve">(Oxford, Oxford </w:t>
      </w:r>
      <w:proofErr w:type="spellStart"/>
      <w:r w:rsidRPr="00DD4F4E">
        <w:rPr>
          <w:szCs w:val="18"/>
          <w:lang w:val="fr-FR"/>
        </w:rPr>
        <w:t>University</w:t>
      </w:r>
      <w:proofErr w:type="spellEnd"/>
      <w:r w:rsidRPr="00DD4F4E">
        <w:rPr>
          <w:szCs w:val="18"/>
          <w:lang w:val="fr-FR"/>
        </w:rPr>
        <w:t xml:space="preserve"> </w:t>
      </w:r>
      <w:proofErr w:type="spellStart"/>
      <w:r w:rsidRPr="00DD4F4E">
        <w:rPr>
          <w:szCs w:val="18"/>
          <w:lang w:val="fr-FR"/>
        </w:rPr>
        <w:t>Press</w:t>
      </w:r>
      <w:proofErr w:type="spellEnd"/>
      <w:r w:rsidRPr="00DD4F4E">
        <w:rPr>
          <w:szCs w:val="18"/>
          <w:lang w:val="fr-FR"/>
        </w:rPr>
        <w:t xml:space="preserve">, 2019), </w:t>
      </w:r>
      <w:r>
        <w:rPr>
          <w:szCs w:val="18"/>
          <w:lang w:val="fr-FR"/>
        </w:rPr>
        <w:t>p. </w:t>
      </w:r>
      <w:r w:rsidRPr="00DD4F4E">
        <w:rPr>
          <w:szCs w:val="18"/>
          <w:lang w:val="fr-FR"/>
        </w:rPr>
        <w:t>105 à 116</w:t>
      </w:r>
      <w:r>
        <w:rPr>
          <w:szCs w:val="18"/>
          <w:lang w:val="fr-FR"/>
        </w:rPr>
        <w:t> </w:t>
      </w:r>
      <w:r w:rsidRPr="00DD4F4E">
        <w:rPr>
          <w:szCs w:val="18"/>
          <w:lang w:val="fr-FR"/>
        </w:rPr>
        <w:t xml:space="preserve">; Pierre-Marie Dupuy et Yann Kerbrat, </w:t>
      </w:r>
      <w:r w:rsidRPr="00DD4F4E">
        <w:rPr>
          <w:i/>
          <w:iCs/>
          <w:szCs w:val="18"/>
          <w:lang w:val="fr-FR"/>
        </w:rPr>
        <w:t>Droit international public</w:t>
      </w:r>
      <w:r w:rsidRPr="00DD4F4E">
        <w:rPr>
          <w:szCs w:val="18"/>
          <w:lang w:val="fr-FR"/>
        </w:rPr>
        <w:t>, 14</w:t>
      </w:r>
      <w:r w:rsidRPr="00DD4F4E">
        <w:rPr>
          <w:szCs w:val="18"/>
          <w:vertAlign w:val="superscript"/>
          <w:lang w:val="fr-FR"/>
        </w:rPr>
        <w:t>e</w:t>
      </w:r>
      <w:r>
        <w:rPr>
          <w:szCs w:val="18"/>
          <w:lang w:val="fr-FR"/>
        </w:rPr>
        <w:t> </w:t>
      </w:r>
      <w:r w:rsidRPr="00DD4F4E">
        <w:rPr>
          <w:szCs w:val="18"/>
          <w:lang w:val="fr-FR"/>
        </w:rPr>
        <w:t xml:space="preserve">éd. (Paris, Dalloz, 2018), </w:t>
      </w:r>
      <w:r>
        <w:rPr>
          <w:szCs w:val="18"/>
          <w:lang w:val="fr-FR"/>
        </w:rPr>
        <w:t>p. </w:t>
      </w:r>
      <w:r w:rsidRPr="00DD4F4E">
        <w:rPr>
          <w:szCs w:val="18"/>
          <w:lang w:val="fr-FR"/>
        </w:rPr>
        <w:t>27 à 30.</w:t>
      </w:r>
    </w:p>
  </w:footnote>
  <w:footnote w:id="48">
    <w:p w14:paraId="26658E62" w14:textId="5F22D88D" w:rsidR="00C324CF" w:rsidRPr="00DD4F4E" w:rsidRDefault="00C324CF" w:rsidP="00E9227E">
      <w:pPr>
        <w:pStyle w:val="Notedebasdepage"/>
        <w:rPr>
          <w:szCs w:val="18"/>
          <w:lang w:val="es-ES"/>
        </w:rPr>
      </w:pPr>
      <w:r>
        <w:rPr>
          <w:szCs w:val="18"/>
          <w:lang w:val="fr-FR"/>
        </w:rPr>
        <w:tab/>
      </w:r>
      <w:r w:rsidRPr="00E9227E">
        <w:rPr>
          <w:rStyle w:val="Appelnotedebasdep"/>
        </w:rPr>
        <w:footnoteRef/>
      </w:r>
      <w:r>
        <w:rPr>
          <w:szCs w:val="18"/>
          <w:lang w:val="fr-FR"/>
        </w:rPr>
        <w:tab/>
      </w:r>
      <w:r w:rsidRPr="00DD4F4E">
        <w:rPr>
          <w:szCs w:val="18"/>
          <w:lang w:val="fr-FR"/>
        </w:rPr>
        <w:t xml:space="preserve">Voir, par exemple, </w:t>
      </w:r>
      <w:proofErr w:type="spellStart"/>
      <w:r w:rsidRPr="00DD4F4E">
        <w:rPr>
          <w:szCs w:val="18"/>
          <w:lang w:val="fr-FR"/>
        </w:rPr>
        <w:t>Antônio</w:t>
      </w:r>
      <w:proofErr w:type="spellEnd"/>
      <w:r w:rsidRPr="00DD4F4E">
        <w:rPr>
          <w:szCs w:val="18"/>
          <w:lang w:val="fr-FR"/>
        </w:rPr>
        <w:t xml:space="preserve"> Augusto </w:t>
      </w:r>
      <w:proofErr w:type="spellStart"/>
      <w:r w:rsidRPr="00DD4F4E">
        <w:rPr>
          <w:szCs w:val="18"/>
          <w:lang w:val="fr-FR"/>
        </w:rPr>
        <w:t>Cançado</w:t>
      </w:r>
      <w:proofErr w:type="spellEnd"/>
      <w:r w:rsidRPr="00DD4F4E">
        <w:rPr>
          <w:szCs w:val="18"/>
          <w:lang w:val="fr-FR"/>
        </w:rPr>
        <w:t xml:space="preserve"> </w:t>
      </w:r>
      <w:proofErr w:type="spellStart"/>
      <w:r w:rsidRPr="00DD4F4E">
        <w:rPr>
          <w:szCs w:val="18"/>
          <w:lang w:val="fr-FR"/>
        </w:rPr>
        <w:t>Trindade</w:t>
      </w:r>
      <w:proofErr w:type="spellEnd"/>
      <w:r w:rsidRPr="00DD4F4E">
        <w:rPr>
          <w:szCs w:val="18"/>
          <w:lang w:val="fr-FR"/>
        </w:rPr>
        <w:t xml:space="preserve">, </w:t>
      </w:r>
      <w:r w:rsidRPr="00DD4F4E">
        <w:rPr>
          <w:i/>
          <w:iCs/>
          <w:szCs w:val="18"/>
          <w:lang w:val="fr-FR"/>
        </w:rPr>
        <w:t xml:space="preserve">International Law for </w:t>
      </w:r>
      <w:proofErr w:type="spellStart"/>
      <w:r w:rsidRPr="00DD4F4E">
        <w:rPr>
          <w:i/>
          <w:iCs/>
          <w:szCs w:val="18"/>
          <w:lang w:val="fr-FR"/>
        </w:rPr>
        <w:t>Humankind</w:t>
      </w:r>
      <w:proofErr w:type="spellEnd"/>
      <w:r w:rsidRPr="00DD4F4E">
        <w:rPr>
          <w:i/>
          <w:iCs/>
          <w:szCs w:val="18"/>
          <w:lang w:val="fr-FR"/>
        </w:rPr>
        <w:t xml:space="preserve">: </w:t>
      </w:r>
      <w:proofErr w:type="spellStart"/>
      <w:r w:rsidRPr="00DD4F4E">
        <w:rPr>
          <w:i/>
          <w:iCs/>
          <w:szCs w:val="18"/>
          <w:lang w:val="fr-FR"/>
        </w:rPr>
        <w:t>Towards</w:t>
      </w:r>
      <w:proofErr w:type="spellEnd"/>
      <w:r w:rsidRPr="00DD4F4E">
        <w:rPr>
          <w:i/>
          <w:iCs/>
          <w:szCs w:val="18"/>
          <w:lang w:val="fr-FR"/>
        </w:rPr>
        <w:t xml:space="preserve"> a New Jus </w:t>
      </w:r>
      <w:proofErr w:type="spellStart"/>
      <w:r w:rsidRPr="00DD4F4E">
        <w:rPr>
          <w:i/>
          <w:iCs/>
          <w:szCs w:val="18"/>
          <w:lang w:val="fr-FR"/>
        </w:rPr>
        <w:t>Gentium</w:t>
      </w:r>
      <w:proofErr w:type="spellEnd"/>
      <w:r w:rsidRPr="00DD4F4E">
        <w:rPr>
          <w:szCs w:val="18"/>
          <w:lang w:val="fr-FR"/>
        </w:rPr>
        <w:t>, 3</w:t>
      </w:r>
      <w:r w:rsidRPr="00DD4F4E">
        <w:rPr>
          <w:szCs w:val="18"/>
          <w:vertAlign w:val="superscript"/>
          <w:lang w:val="fr-FR"/>
        </w:rPr>
        <w:t>e</w:t>
      </w:r>
      <w:r w:rsidRPr="00DD4F4E">
        <w:rPr>
          <w:szCs w:val="18"/>
          <w:lang w:val="fr-FR"/>
        </w:rPr>
        <w:t xml:space="preserve"> éd</w:t>
      </w:r>
      <w:r w:rsidR="00600A00">
        <w:rPr>
          <w:szCs w:val="18"/>
          <w:lang w:val="fr-FR"/>
        </w:rPr>
        <w:t>.</w:t>
      </w:r>
      <w:r w:rsidRPr="00DD4F4E">
        <w:rPr>
          <w:szCs w:val="18"/>
          <w:lang w:val="fr-FR"/>
        </w:rPr>
        <w:t xml:space="preserve"> révisée (Leiden/Boston, Brill </w:t>
      </w:r>
      <w:proofErr w:type="spellStart"/>
      <w:r w:rsidRPr="00DD4F4E">
        <w:rPr>
          <w:szCs w:val="18"/>
          <w:lang w:val="fr-FR"/>
        </w:rPr>
        <w:t>Nijhoff</w:t>
      </w:r>
      <w:proofErr w:type="spellEnd"/>
      <w:r w:rsidRPr="00DD4F4E">
        <w:rPr>
          <w:szCs w:val="18"/>
          <w:lang w:val="fr-FR"/>
        </w:rPr>
        <w:t xml:space="preserve">, 2020), </w:t>
      </w:r>
      <w:r>
        <w:rPr>
          <w:szCs w:val="18"/>
          <w:lang w:val="fr-FR"/>
        </w:rPr>
        <w:t>p. </w:t>
      </w:r>
      <w:r w:rsidRPr="00DD4F4E">
        <w:rPr>
          <w:szCs w:val="18"/>
          <w:lang w:val="fr-FR"/>
        </w:rPr>
        <w:t>213 à 273 ; Louis</w:t>
      </w:r>
      <w:r>
        <w:rPr>
          <w:szCs w:val="18"/>
          <w:lang w:val="fr-FR"/>
        </w:rPr>
        <w:t> </w:t>
      </w:r>
      <w:proofErr w:type="spellStart"/>
      <w:r w:rsidRPr="00DD4F4E">
        <w:rPr>
          <w:szCs w:val="18"/>
          <w:lang w:val="fr-FR"/>
        </w:rPr>
        <w:t>Henkin</w:t>
      </w:r>
      <w:proofErr w:type="spellEnd"/>
      <w:r w:rsidRPr="00DD4F4E">
        <w:rPr>
          <w:szCs w:val="18"/>
          <w:lang w:val="fr-FR"/>
        </w:rPr>
        <w:t xml:space="preserve">, </w:t>
      </w:r>
      <w:r w:rsidR="00600A00">
        <w:rPr>
          <w:szCs w:val="18"/>
          <w:lang w:val="fr-FR"/>
        </w:rPr>
        <w:t>« </w:t>
      </w:r>
      <w:r w:rsidRPr="00DD4F4E">
        <w:rPr>
          <w:szCs w:val="18"/>
          <w:lang w:val="fr-FR"/>
        </w:rPr>
        <w:t xml:space="preserve">International Law: </w:t>
      </w:r>
      <w:proofErr w:type="spellStart"/>
      <w:r w:rsidRPr="00DD4F4E">
        <w:rPr>
          <w:szCs w:val="18"/>
          <w:lang w:val="fr-FR"/>
        </w:rPr>
        <w:t>Politics</w:t>
      </w:r>
      <w:proofErr w:type="spellEnd"/>
      <w:r w:rsidRPr="00DD4F4E">
        <w:rPr>
          <w:szCs w:val="18"/>
          <w:lang w:val="fr-FR"/>
        </w:rPr>
        <w:t xml:space="preserve">, Values and </w:t>
      </w:r>
      <w:proofErr w:type="spellStart"/>
      <w:r w:rsidRPr="00DD4F4E">
        <w:rPr>
          <w:szCs w:val="18"/>
          <w:lang w:val="fr-FR"/>
        </w:rPr>
        <w:t>Functions</w:t>
      </w:r>
      <w:proofErr w:type="spellEnd"/>
      <w:r w:rsidR="00600A00">
        <w:rPr>
          <w:szCs w:val="18"/>
          <w:lang w:val="fr-FR"/>
        </w:rPr>
        <w:t> »</w:t>
      </w:r>
      <w:r w:rsidRPr="00DD4F4E">
        <w:rPr>
          <w:szCs w:val="18"/>
          <w:lang w:val="fr-FR"/>
        </w:rPr>
        <w:t xml:space="preserve">, </w:t>
      </w:r>
      <w:r w:rsidRPr="00DD4F4E">
        <w:rPr>
          <w:i/>
          <w:iCs/>
          <w:szCs w:val="18"/>
          <w:lang w:val="fr-FR"/>
        </w:rPr>
        <w:t>Recueil des Cours</w:t>
      </w:r>
      <w:r w:rsidRPr="00DD4F4E">
        <w:rPr>
          <w:szCs w:val="18"/>
          <w:lang w:val="fr-FR"/>
        </w:rPr>
        <w:t xml:space="preserve">, </w:t>
      </w:r>
      <w:r>
        <w:rPr>
          <w:szCs w:val="18"/>
          <w:lang w:val="fr-FR"/>
        </w:rPr>
        <w:t>vol. </w:t>
      </w:r>
      <w:r w:rsidRPr="00DD4F4E">
        <w:rPr>
          <w:szCs w:val="18"/>
          <w:lang w:val="fr-FR"/>
        </w:rPr>
        <w:t>216 (1989), p</w:t>
      </w:r>
      <w:r>
        <w:rPr>
          <w:szCs w:val="18"/>
          <w:lang w:val="fr-FR"/>
        </w:rPr>
        <w:t>. </w:t>
      </w:r>
      <w:r w:rsidRPr="00DD4F4E">
        <w:rPr>
          <w:szCs w:val="18"/>
          <w:lang w:val="fr-FR"/>
        </w:rPr>
        <w:t xml:space="preserve">33 à 35 ; </w:t>
      </w:r>
      <w:proofErr w:type="spellStart"/>
      <w:r w:rsidRPr="00DD4F4E">
        <w:rPr>
          <w:szCs w:val="18"/>
          <w:lang w:val="fr-FR"/>
        </w:rPr>
        <w:t>Hersch</w:t>
      </w:r>
      <w:proofErr w:type="spellEnd"/>
      <w:r w:rsidR="00600A00">
        <w:rPr>
          <w:szCs w:val="18"/>
          <w:lang w:val="fr-FR"/>
        </w:rPr>
        <w:t> </w:t>
      </w:r>
      <w:proofErr w:type="spellStart"/>
      <w:r w:rsidRPr="00DD4F4E">
        <w:rPr>
          <w:szCs w:val="18"/>
          <w:lang w:val="fr-FR"/>
        </w:rPr>
        <w:t>Lauterpacht</w:t>
      </w:r>
      <w:proofErr w:type="spellEnd"/>
      <w:r w:rsidRPr="00DD4F4E">
        <w:rPr>
          <w:szCs w:val="18"/>
          <w:lang w:val="fr-FR"/>
        </w:rPr>
        <w:t xml:space="preserve">, </w:t>
      </w:r>
      <w:r w:rsidRPr="00DD4F4E">
        <w:rPr>
          <w:i/>
          <w:iCs/>
          <w:szCs w:val="18"/>
          <w:lang w:val="fr-FR"/>
        </w:rPr>
        <w:t>International Law and Human Rights</w:t>
      </w:r>
      <w:r w:rsidRPr="00DD4F4E">
        <w:rPr>
          <w:szCs w:val="18"/>
          <w:lang w:val="fr-FR"/>
        </w:rPr>
        <w:t xml:space="preserve"> (Londres, Stevens, 1950), </w:t>
      </w:r>
      <w:r>
        <w:rPr>
          <w:szCs w:val="18"/>
          <w:lang w:val="fr-FR"/>
        </w:rPr>
        <w:t>p. </w:t>
      </w:r>
      <w:r w:rsidRPr="00DD4F4E">
        <w:rPr>
          <w:szCs w:val="18"/>
          <w:lang w:val="fr-FR"/>
        </w:rPr>
        <w:t>27 à 72</w:t>
      </w:r>
      <w:r w:rsidR="00600A00">
        <w:rPr>
          <w:szCs w:val="18"/>
          <w:lang w:val="fr-FR"/>
        </w:rPr>
        <w:t> ;</w:t>
      </w:r>
      <w:r w:rsidRPr="00DD4F4E">
        <w:rPr>
          <w:szCs w:val="18"/>
          <w:lang w:val="fr-FR"/>
        </w:rPr>
        <w:t xml:space="preserve"> </w:t>
      </w:r>
      <w:r w:rsidRPr="00600A00">
        <w:rPr>
          <w:szCs w:val="18"/>
          <w:lang w:val="fr-FR"/>
        </w:rPr>
        <w:t>Manuel</w:t>
      </w:r>
      <w:r w:rsidR="00600A00">
        <w:rPr>
          <w:szCs w:val="18"/>
          <w:lang w:val="fr-FR"/>
        </w:rPr>
        <w:t> </w:t>
      </w:r>
      <w:r w:rsidRPr="00600A00">
        <w:rPr>
          <w:szCs w:val="18"/>
          <w:lang w:val="fr-FR"/>
        </w:rPr>
        <w:t xml:space="preserve">Diez de Velasco Vallejo, </w:t>
      </w:r>
      <w:proofErr w:type="spellStart"/>
      <w:r w:rsidRPr="00600A00">
        <w:rPr>
          <w:i/>
          <w:iCs/>
          <w:szCs w:val="18"/>
          <w:lang w:val="fr-FR"/>
        </w:rPr>
        <w:t>Instituciones</w:t>
      </w:r>
      <w:proofErr w:type="spellEnd"/>
      <w:r w:rsidRPr="00600A00">
        <w:rPr>
          <w:i/>
          <w:iCs/>
          <w:szCs w:val="18"/>
          <w:lang w:val="fr-FR"/>
        </w:rPr>
        <w:t xml:space="preserve"> de Derecho Internacional </w:t>
      </w:r>
      <w:proofErr w:type="spellStart"/>
      <w:r w:rsidRPr="00600A00">
        <w:rPr>
          <w:i/>
          <w:iCs/>
          <w:szCs w:val="18"/>
          <w:lang w:val="fr-FR"/>
        </w:rPr>
        <w:t>Público</w:t>
      </w:r>
      <w:proofErr w:type="spellEnd"/>
      <w:r w:rsidRPr="00600A00">
        <w:rPr>
          <w:szCs w:val="18"/>
          <w:lang w:val="fr-FR"/>
        </w:rPr>
        <w:t>, 18</w:t>
      </w:r>
      <w:r w:rsidRPr="00600A00">
        <w:rPr>
          <w:szCs w:val="18"/>
          <w:vertAlign w:val="superscript"/>
          <w:lang w:val="fr-FR"/>
        </w:rPr>
        <w:t>e</w:t>
      </w:r>
      <w:r w:rsidR="00600A00">
        <w:rPr>
          <w:szCs w:val="18"/>
          <w:lang w:val="fr-FR"/>
        </w:rPr>
        <w:t xml:space="preserve"> </w:t>
      </w:r>
      <w:r w:rsidRPr="00600A00">
        <w:rPr>
          <w:szCs w:val="18"/>
          <w:lang w:val="fr-FR"/>
        </w:rPr>
        <w:t xml:space="preserve">éd. </w:t>
      </w:r>
      <w:r w:rsidRPr="00600A00">
        <w:rPr>
          <w:szCs w:val="18"/>
          <w:lang w:val="en-US"/>
        </w:rPr>
        <w:t xml:space="preserve">(Madrid, </w:t>
      </w:r>
      <w:proofErr w:type="spellStart"/>
      <w:r w:rsidRPr="00600A00">
        <w:rPr>
          <w:szCs w:val="18"/>
          <w:lang w:val="en-US"/>
        </w:rPr>
        <w:t>Tecnos</w:t>
      </w:r>
      <w:proofErr w:type="spellEnd"/>
      <w:r w:rsidRPr="00600A00">
        <w:rPr>
          <w:szCs w:val="18"/>
          <w:lang w:val="en-US"/>
        </w:rPr>
        <w:t xml:space="preserve">, 2013), p. 301 et 302 ; José E. Alvarez, </w:t>
      </w:r>
      <w:r w:rsidR="00600A00" w:rsidRPr="00600A00">
        <w:rPr>
          <w:szCs w:val="18"/>
          <w:lang w:val="en-US"/>
        </w:rPr>
        <w:t>« </w:t>
      </w:r>
      <w:r w:rsidRPr="00600A00">
        <w:rPr>
          <w:szCs w:val="18"/>
          <w:lang w:val="en-US"/>
        </w:rPr>
        <w:t xml:space="preserve">Are Corporations </w:t>
      </w:r>
      <w:r w:rsidR="00600A00" w:rsidRPr="00600A00">
        <w:rPr>
          <w:szCs w:val="18"/>
          <w:lang w:val="en-US"/>
        </w:rPr>
        <w:t>“</w:t>
      </w:r>
      <w:r w:rsidRPr="00600A00">
        <w:rPr>
          <w:szCs w:val="18"/>
          <w:lang w:val="en-US"/>
        </w:rPr>
        <w:t>Subjects</w:t>
      </w:r>
      <w:r w:rsidR="00600A00" w:rsidRPr="00600A00">
        <w:rPr>
          <w:szCs w:val="18"/>
          <w:lang w:val="en-US"/>
        </w:rPr>
        <w:t>”</w:t>
      </w:r>
      <w:r w:rsidRPr="00600A00">
        <w:rPr>
          <w:szCs w:val="18"/>
          <w:lang w:val="en-US"/>
        </w:rPr>
        <w:t xml:space="preserve"> of International Law?</w:t>
      </w:r>
      <w:r w:rsidR="00600A00" w:rsidRPr="00600A00">
        <w:rPr>
          <w:szCs w:val="18"/>
          <w:lang w:val="en-US"/>
        </w:rPr>
        <w:t xml:space="preserve"> » </w:t>
      </w:r>
      <w:r w:rsidRPr="00600A00">
        <w:rPr>
          <w:i/>
          <w:iCs/>
          <w:szCs w:val="18"/>
          <w:lang w:val="es-ES"/>
        </w:rPr>
        <w:t xml:space="preserve">Santa Clara </w:t>
      </w:r>
      <w:proofErr w:type="spellStart"/>
      <w:r w:rsidRPr="00600A00">
        <w:rPr>
          <w:i/>
          <w:iCs/>
          <w:szCs w:val="18"/>
          <w:lang w:val="es-ES"/>
        </w:rPr>
        <w:t>Journal</w:t>
      </w:r>
      <w:proofErr w:type="spellEnd"/>
      <w:r w:rsidRPr="00600A00">
        <w:rPr>
          <w:i/>
          <w:iCs/>
          <w:szCs w:val="18"/>
          <w:lang w:val="es-ES"/>
        </w:rPr>
        <w:t xml:space="preserve"> of International Law</w:t>
      </w:r>
      <w:r w:rsidRPr="00600A00">
        <w:rPr>
          <w:szCs w:val="18"/>
          <w:lang w:val="es-ES"/>
        </w:rPr>
        <w:t xml:space="preserve">, vol. 9 (2011), p. 1 à 36 ; Hernán Valencia Restrepo, </w:t>
      </w:r>
      <w:r w:rsidRPr="00600A00">
        <w:rPr>
          <w:i/>
          <w:iCs/>
          <w:szCs w:val="18"/>
          <w:lang w:val="es-ES"/>
        </w:rPr>
        <w:t>Derecho Internacional Público</w:t>
      </w:r>
      <w:r w:rsidRPr="00600A00">
        <w:rPr>
          <w:szCs w:val="18"/>
          <w:lang w:val="es-ES"/>
        </w:rPr>
        <w:t>, 4</w:t>
      </w:r>
      <w:r w:rsidRPr="00600A00">
        <w:rPr>
          <w:szCs w:val="18"/>
          <w:vertAlign w:val="superscript"/>
          <w:lang w:val="es-ES"/>
        </w:rPr>
        <w:t>e</w:t>
      </w:r>
      <w:r w:rsidRPr="00600A00">
        <w:rPr>
          <w:szCs w:val="18"/>
          <w:lang w:val="es-ES"/>
        </w:rPr>
        <w:t xml:space="preserve"> </w:t>
      </w:r>
      <w:proofErr w:type="spellStart"/>
      <w:r w:rsidRPr="00600A00">
        <w:rPr>
          <w:szCs w:val="18"/>
          <w:lang w:val="es-ES"/>
        </w:rPr>
        <w:t>éd</w:t>
      </w:r>
      <w:proofErr w:type="spellEnd"/>
      <w:r w:rsidRPr="00600A00">
        <w:rPr>
          <w:szCs w:val="18"/>
          <w:lang w:val="es-ES"/>
        </w:rPr>
        <w:t xml:space="preserve">. </w:t>
      </w:r>
      <w:r w:rsidRPr="00DD4F4E">
        <w:rPr>
          <w:szCs w:val="18"/>
          <w:lang w:val="es-ES"/>
        </w:rPr>
        <w:t xml:space="preserve">(Medellín, </w:t>
      </w:r>
      <w:proofErr w:type="spellStart"/>
      <w:r w:rsidRPr="00DD4F4E">
        <w:rPr>
          <w:szCs w:val="18"/>
          <w:lang w:val="es-ES"/>
        </w:rPr>
        <w:t>Libréría</w:t>
      </w:r>
      <w:proofErr w:type="spellEnd"/>
      <w:r w:rsidRPr="00DD4F4E">
        <w:rPr>
          <w:szCs w:val="18"/>
          <w:lang w:val="es-ES"/>
        </w:rPr>
        <w:t xml:space="preserve"> Jurídica Sánchez R Ltda., 2016), </w:t>
      </w:r>
      <w:r>
        <w:rPr>
          <w:szCs w:val="18"/>
          <w:lang w:val="es-ES"/>
        </w:rPr>
        <w:t>par. </w:t>
      </w:r>
      <w:r w:rsidRPr="00DD4F4E">
        <w:rPr>
          <w:szCs w:val="18"/>
          <w:lang w:val="es-ES"/>
        </w:rPr>
        <w:t xml:space="preserve">371 à 377 ; cf. </w:t>
      </w:r>
      <w:proofErr w:type="spellStart"/>
      <w:r w:rsidRPr="00DD4F4E">
        <w:rPr>
          <w:szCs w:val="18"/>
          <w:lang w:val="es-ES"/>
        </w:rPr>
        <w:t>Raymon</w:t>
      </w:r>
      <w:proofErr w:type="spellEnd"/>
      <w:r w:rsidRPr="00DD4F4E">
        <w:rPr>
          <w:szCs w:val="18"/>
          <w:lang w:val="es-ES"/>
        </w:rPr>
        <w:t xml:space="preserve"> </w:t>
      </w:r>
      <w:proofErr w:type="spellStart"/>
      <w:r w:rsidRPr="00DD4F4E">
        <w:rPr>
          <w:szCs w:val="18"/>
          <w:lang w:val="es-ES"/>
        </w:rPr>
        <w:t>Ranjeva</w:t>
      </w:r>
      <w:proofErr w:type="spellEnd"/>
      <w:r w:rsidRPr="00DD4F4E">
        <w:rPr>
          <w:szCs w:val="18"/>
          <w:lang w:val="es-ES"/>
        </w:rPr>
        <w:t xml:space="preserve"> et Charles </w:t>
      </w:r>
      <w:proofErr w:type="spellStart"/>
      <w:r w:rsidRPr="00DD4F4E">
        <w:rPr>
          <w:szCs w:val="18"/>
          <w:lang w:val="es-ES"/>
        </w:rPr>
        <w:t>Cadoux</w:t>
      </w:r>
      <w:proofErr w:type="spellEnd"/>
      <w:r w:rsidRPr="00DD4F4E">
        <w:rPr>
          <w:szCs w:val="18"/>
          <w:lang w:val="es-ES"/>
        </w:rPr>
        <w:t xml:space="preserve">, </w:t>
      </w:r>
      <w:proofErr w:type="spellStart"/>
      <w:r w:rsidRPr="00DD4F4E">
        <w:rPr>
          <w:i/>
          <w:iCs/>
          <w:szCs w:val="18"/>
          <w:lang w:val="es-ES"/>
        </w:rPr>
        <w:t>Droit</w:t>
      </w:r>
      <w:proofErr w:type="spellEnd"/>
      <w:r w:rsidRPr="00DD4F4E">
        <w:rPr>
          <w:i/>
          <w:iCs/>
          <w:szCs w:val="18"/>
          <w:lang w:val="es-ES"/>
        </w:rPr>
        <w:t xml:space="preserve"> </w:t>
      </w:r>
      <w:proofErr w:type="spellStart"/>
      <w:r w:rsidR="00600A00" w:rsidRPr="00DD4F4E">
        <w:rPr>
          <w:i/>
          <w:iCs/>
          <w:szCs w:val="18"/>
          <w:lang w:val="es-ES"/>
        </w:rPr>
        <w:t>i</w:t>
      </w:r>
      <w:r w:rsidRPr="00DD4F4E">
        <w:rPr>
          <w:i/>
          <w:iCs/>
          <w:szCs w:val="18"/>
          <w:lang w:val="es-ES"/>
        </w:rPr>
        <w:t>nternational</w:t>
      </w:r>
      <w:proofErr w:type="spellEnd"/>
      <w:r w:rsidRPr="00DD4F4E">
        <w:rPr>
          <w:i/>
          <w:iCs/>
          <w:szCs w:val="18"/>
          <w:lang w:val="es-ES"/>
        </w:rPr>
        <w:t xml:space="preserve"> </w:t>
      </w:r>
      <w:proofErr w:type="spellStart"/>
      <w:r w:rsidR="00600A00" w:rsidRPr="00DD4F4E">
        <w:rPr>
          <w:i/>
          <w:iCs/>
          <w:szCs w:val="18"/>
          <w:lang w:val="es-ES"/>
        </w:rPr>
        <w:t>p</w:t>
      </w:r>
      <w:r w:rsidRPr="00DD4F4E">
        <w:rPr>
          <w:i/>
          <w:iCs/>
          <w:szCs w:val="18"/>
          <w:lang w:val="es-ES"/>
        </w:rPr>
        <w:t>ublic</w:t>
      </w:r>
      <w:proofErr w:type="spellEnd"/>
      <w:r w:rsidRPr="00DD4F4E">
        <w:rPr>
          <w:szCs w:val="18"/>
          <w:lang w:val="es-ES"/>
        </w:rPr>
        <w:t xml:space="preserve"> (</w:t>
      </w:r>
      <w:proofErr w:type="spellStart"/>
      <w:r w:rsidRPr="00DD4F4E">
        <w:rPr>
          <w:szCs w:val="18"/>
          <w:lang w:val="es-ES"/>
        </w:rPr>
        <w:t>Vanves</w:t>
      </w:r>
      <w:proofErr w:type="spellEnd"/>
      <w:r w:rsidRPr="00DD4F4E">
        <w:rPr>
          <w:szCs w:val="18"/>
          <w:lang w:val="es-ES"/>
        </w:rPr>
        <w:t xml:space="preserve">, </w:t>
      </w:r>
      <w:proofErr w:type="spellStart"/>
      <w:r w:rsidRPr="00DD4F4E">
        <w:rPr>
          <w:szCs w:val="18"/>
          <w:lang w:val="es-ES"/>
        </w:rPr>
        <w:t>Edicef</w:t>
      </w:r>
      <w:proofErr w:type="spellEnd"/>
      <w:r w:rsidRPr="00DD4F4E">
        <w:rPr>
          <w:szCs w:val="18"/>
          <w:lang w:val="es-ES"/>
        </w:rPr>
        <w:t xml:space="preserve">, 1992), </w:t>
      </w:r>
      <w:r>
        <w:rPr>
          <w:szCs w:val="18"/>
          <w:lang w:val="es-ES"/>
        </w:rPr>
        <w:t>p. </w:t>
      </w:r>
      <w:r w:rsidRPr="00DD4F4E">
        <w:rPr>
          <w:szCs w:val="18"/>
          <w:lang w:val="es-ES"/>
        </w:rPr>
        <w:t>127.</w:t>
      </w:r>
      <w:r>
        <w:rPr>
          <w:szCs w:val="18"/>
          <w:lang w:val="es-ES"/>
        </w:rPr>
        <w:t xml:space="preserve"> </w:t>
      </w:r>
    </w:p>
  </w:footnote>
  <w:footnote w:id="49">
    <w:p w14:paraId="2113FEED" w14:textId="7BEC2BF5" w:rsidR="00C324CF" w:rsidRPr="00DD4F4E" w:rsidRDefault="00C324CF" w:rsidP="00E9227E">
      <w:pPr>
        <w:pStyle w:val="Notedebasdepage"/>
        <w:rPr>
          <w:szCs w:val="18"/>
          <w:lang w:val="en-US"/>
        </w:rPr>
      </w:pPr>
      <w:r w:rsidRPr="00DD4F4E">
        <w:rPr>
          <w:szCs w:val="18"/>
          <w:lang w:val="es-ES"/>
        </w:rPr>
        <w:tab/>
      </w:r>
      <w:r w:rsidRPr="00E9227E">
        <w:rPr>
          <w:rStyle w:val="Appelnotedebasdep"/>
        </w:rPr>
        <w:footnoteRef/>
      </w:r>
      <w:r>
        <w:rPr>
          <w:szCs w:val="18"/>
          <w:lang w:val="fr-FR"/>
        </w:rPr>
        <w:tab/>
        <w:t>Art. </w:t>
      </w:r>
      <w:r w:rsidRPr="00DD4F4E">
        <w:rPr>
          <w:szCs w:val="18"/>
          <w:lang w:val="fr-FR"/>
        </w:rPr>
        <w:t>10, Déclaration universelle des droits de l</w:t>
      </w:r>
      <w:r w:rsidR="004937A0">
        <w:rPr>
          <w:szCs w:val="18"/>
          <w:lang w:val="fr-FR"/>
        </w:rPr>
        <w:t>’</w:t>
      </w:r>
      <w:r w:rsidRPr="00DD4F4E">
        <w:rPr>
          <w:szCs w:val="18"/>
          <w:lang w:val="fr-FR"/>
        </w:rPr>
        <w:t xml:space="preserve">homme, </w:t>
      </w:r>
      <w:hyperlink r:id="rId27" w:history="1">
        <w:r w:rsidR="00B85429" w:rsidRPr="00B85429">
          <w:rPr>
            <w:rStyle w:val="Lienhypertexte"/>
            <w:szCs w:val="18"/>
            <w:lang w:val="fr-FR"/>
          </w:rPr>
          <w:t>r</w:t>
        </w:r>
        <w:r w:rsidRPr="00B85429">
          <w:rPr>
            <w:rStyle w:val="Lienhypertexte"/>
            <w:szCs w:val="18"/>
            <w:lang w:val="fr-FR"/>
          </w:rPr>
          <w:t>ésolution 217 A (III)</w:t>
        </w:r>
      </w:hyperlink>
      <w:r w:rsidRPr="00DD4F4E">
        <w:rPr>
          <w:szCs w:val="18"/>
          <w:lang w:val="fr-FR"/>
        </w:rPr>
        <w:t xml:space="preserve"> de l</w:t>
      </w:r>
      <w:r w:rsidR="004937A0">
        <w:rPr>
          <w:szCs w:val="18"/>
          <w:lang w:val="fr-FR"/>
        </w:rPr>
        <w:t>’</w:t>
      </w:r>
      <w:r w:rsidRPr="00DD4F4E">
        <w:rPr>
          <w:szCs w:val="18"/>
          <w:lang w:val="fr-FR"/>
        </w:rPr>
        <w:t xml:space="preserve">Assemblée générale ; </w:t>
      </w:r>
      <w:r>
        <w:rPr>
          <w:szCs w:val="18"/>
          <w:lang w:val="fr-FR"/>
        </w:rPr>
        <w:t>art. </w:t>
      </w:r>
      <w:r w:rsidRPr="00DD4F4E">
        <w:rPr>
          <w:szCs w:val="18"/>
          <w:lang w:val="fr-FR"/>
        </w:rPr>
        <w:t>6 (</w:t>
      </w:r>
      <w:r>
        <w:rPr>
          <w:szCs w:val="18"/>
          <w:lang w:val="fr-FR"/>
        </w:rPr>
        <w:t>par. </w:t>
      </w:r>
      <w:r w:rsidRPr="00DD4F4E">
        <w:rPr>
          <w:szCs w:val="18"/>
          <w:lang w:val="fr-FR"/>
        </w:rPr>
        <w:t>1), Convention européenne de sauvegarde des droits de l</w:t>
      </w:r>
      <w:r w:rsidR="004937A0">
        <w:rPr>
          <w:szCs w:val="18"/>
          <w:lang w:val="fr-FR"/>
        </w:rPr>
        <w:t>’</w:t>
      </w:r>
      <w:r w:rsidRPr="00DD4F4E">
        <w:rPr>
          <w:szCs w:val="18"/>
          <w:lang w:val="fr-FR"/>
        </w:rPr>
        <w:t>homme et des libertés fondamentales (Convention européenne des droits de l</w:t>
      </w:r>
      <w:r w:rsidR="004937A0">
        <w:rPr>
          <w:szCs w:val="18"/>
          <w:lang w:val="fr-FR"/>
        </w:rPr>
        <w:t>’</w:t>
      </w:r>
      <w:r w:rsidRPr="00DD4F4E">
        <w:rPr>
          <w:szCs w:val="18"/>
          <w:lang w:val="fr-FR"/>
        </w:rPr>
        <w:t>homme) (Rome, 4 novembre 1950), Nations</w:t>
      </w:r>
      <w:r>
        <w:rPr>
          <w:szCs w:val="18"/>
          <w:lang w:val="fr-FR"/>
        </w:rPr>
        <w:t> </w:t>
      </w:r>
      <w:r w:rsidRPr="00DD4F4E">
        <w:rPr>
          <w:szCs w:val="18"/>
          <w:lang w:val="fr-FR"/>
        </w:rPr>
        <w:t xml:space="preserve">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213, n</w:t>
      </w:r>
      <w:r w:rsidRPr="00DD4F4E">
        <w:rPr>
          <w:szCs w:val="18"/>
          <w:vertAlign w:val="superscript"/>
          <w:lang w:val="fr-FR"/>
        </w:rPr>
        <w:t>o</w:t>
      </w:r>
      <w:r>
        <w:rPr>
          <w:szCs w:val="18"/>
          <w:lang w:val="fr-FR"/>
        </w:rPr>
        <w:t> </w:t>
      </w:r>
      <w:r w:rsidRPr="00DD4F4E">
        <w:rPr>
          <w:szCs w:val="18"/>
          <w:lang w:val="fr-FR"/>
        </w:rPr>
        <w:t xml:space="preserve">2889, </w:t>
      </w:r>
      <w:r>
        <w:rPr>
          <w:szCs w:val="18"/>
          <w:lang w:val="fr-FR"/>
        </w:rPr>
        <w:t>p. </w:t>
      </w:r>
      <w:r w:rsidRPr="00DD4F4E">
        <w:rPr>
          <w:szCs w:val="18"/>
          <w:lang w:val="fr-FR"/>
        </w:rPr>
        <w:t xml:space="preserve">221 ; </w:t>
      </w:r>
      <w:r>
        <w:rPr>
          <w:szCs w:val="18"/>
          <w:lang w:val="fr-FR"/>
        </w:rPr>
        <w:t>art. </w:t>
      </w:r>
      <w:r w:rsidRPr="00DD4F4E">
        <w:rPr>
          <w:szCs w:val="18"/>
          <w:lang w:val="fr-FR"/>
        </w:rPr>
        <w:t>14 (</w:t>
      </w:r>
      <w:r>
        <w:rPr>
          <w:szCs w:val="18"/>
          <w:lang w:val="fr-FR"/>
        </w:rPr>
        <w:t>par. </w:t>
      </w:r>
      <w:r w:rsidRPr="00DD4F4E">
        <w:rPr>
          <w:szCs w:val="18"/>
          <w:lang w:val="fr-FR"/>
        </w:rPr>
        <w:t xml:space="preserve">1) du Pacte international relatif aux droits civils et politiques (New York, 16 décembre 1966), ibid., </w:t>
      </w:r>
      <w:r>
        <w:rPr>
          <w:szCs w:val="18"/>
          <w:lang w:val="fr-FR"/>
        </w:rPr>
        <w:t>vol. </w:t>
      </w:r>
      <w:r w:rsidRPr="00DD4F4E">
        <w:rPr>
          <w:szCs w:val="18"/>
          <w:lang w:val="fr-FR"/>
        </w:rPr>
        <w:t>999, n</w:t>
      </w:r>
      <w:r w:rsidRPr="00DD4F4E">
        <w:rPr>
          <w:szCs w:val="18"/>
          <w:vertAlign w:val="superscript"/>
          <w:lang w:val="fr-FR"/>
        </w:rPr>
        <w:t>o</w:t>
      </w:r>
      <w:r>
        <w:rPr>
          <w:szCs w:val="18"/>
          <w:lang w:val="fr-FR"/>
        </w:rPr>
        <w:t> </w:t>
      </w:r>
      <w:r w:rsidRPr="00DD4F4E">
        <w:rPr>
          <w:szCs w:val="18"/>
          <w:lang w:val="fr-FR"/>
        </w:rPr>
        <w:t xml:space="preserve">14668, </w:t>
      </w:r>
      <w:r>
        <w:rPr>
          <w:szCs w:val="18"/>
          <w:lang w:val="fr-FR"/>
        </w:rPr>
        <w:t>p. </w:t>
      </w:r>
      <w:r w:rsidRPr="00DD4F4E">
        <w:rPr>
          <w:szCs w:val="18"/>
          <w:lang w:val="fr-FR"/>
        </w:rPr>
        <w:t>171</w:t>
      </w:r>
      <w:r>
        <w:rPr>
          <w:szCs w:val="18"/>
          <w:lang w:val="fr-FR"/>
        </w:rPr>
        <w:t> </w:t>
      </w:r>
      <w:r w:rsidRPr="00DD4F4E">
        <w:rPr>
          <w:szCs w:val="18"/>
          <w:lang w:val="fr-FR"/>
        </w:rPr>
        <w:t xml:space="preserve">; </w:t>
      </w:r>
      <w:r>
        <w:rPr>
          <w:szCs w:val="18"/>
          <w:lang w:val="fr-FR"/>
        </w:rPr>
        <w:t>art. </w:t>
      </w:r>
      <w:r w:rsidRPr="00DD4F4E">
        <w:rPr>
          <w:szCs w:val="18"/>
          <w:lang w:val="fr-FR"/>
        </w:rPr>
        <w:t>8 (</w:t>
      </w:r>
      <w:r>
        <w:rPr>
          <w:szCs w:val="18"/>
          <w:lang w:val="fr-FR"/>
        </w:rPr>
        <w:t>par. </w:t>
      </w:r>
      <w:r w:rsidRPr="00DD4F4E">
        <w:rPr>
          <w:szCs w:val="18"/>
          <w:lang w:val="fr-FR"/>
        </w:rPr>
        <w:t>1), Convention américaine relative aux droits de l</w:t>
      </w:r>
      <w:r w:rsidR="004937A0">
        <w:rPr>
          <w:szCs w:val="18"/>
          <w:lang w:val="fr-FR"/>
        </w:rPr>
        <w:t>’</w:t>
      </w:r>
      <w:r w:rsidRPr="00DD4F4E">
        <w:rPr>
          <w:szCs w:val="18"/>
          <w:lang w:val="fr-FR"/>
        </w:rPr>
        <w:t>homme</w:t>
      </w:r>
      <w:r>
        <w:rPr>
          <w:szCs w:val="18"/>
          <w:lang w:val="fr-FR"/>
        </w:rPr>
        <w:t> </w:t>
      </w:r>
      <w:r w:rsidRPr="00DD4F4E">
        <w:rPr>
          <w:szCs w:val="18"/>
          <w:lang w:val="fr-FR"/>
        </w:rPr>
        <w:t>: «</w:t>
      </w:r>
      <w:r>
        <w:rPr>
          <w:szCs w:val="18"/>
          <w:lang w:val="fr-FR"/>
        </w:rPr>
        <w:t> </w:t>
      </w:r>
      <w:r w:rsidRPr="00DD4F4E">
        <w:rPr>
          <w:szCs w:val="18"/>
          <w:lang w:val="fr-FR"/>
        </w:rPr>
        <w:t>Pacte de San José de Costa</w:t>
      </w:r>
      <w:r>
        <w:rPr>
          <w:szCs w:val="18"/>
          <w:lang w:val="fr-FR"/>
        </w:rPr>
        <w:t> </w:t>
      </w:r>
      <w:r w:rsidRPr="00DD4F4E">
        <w:rPr>
          <w:szCs w:val="18"/>
          <w:lang w:val="fr-FR"/>
        </w:rPr>
        <w:t>Rica</w:t>
      </w:r>
      <w:r>
        <w:rPr>
          <w:szCs w:val="18"/>
          <w:lang w:val="fr-FR"/>
        </w:rPr>
        <w:t> </w:t>
      </w:r>
      <w:r w:rsidRPr="00DD4F4E">
        <w:rPr>
          <w:szCs w:val="18"/>
          <w:lang w:val="fr-FR"/>
        </w:rPr>
        <w:t xml:space="preserve">» (San José, 22 novembre 1969), ibid., </w:t>
      </w:r>
      <w:r>
        <w:rPr>
          <w:szCs w:val="18"/>
          <w:lang w:val="fr-FR"/>
        </w:rPr>
        <w:t>vol. </w:t>
      </w:r>
      <w:r w:rsidRPr="00DD4F4E">
        <w:rPr>
          <w:szCs w:val="18"/>
          <w:lang w:val="fr-FR"/>
        </w:rPr>
        <w:t>1144, n</w:t>
      </w:r>
      <w:r w:rsidRPr="00DD4F4E">
        <w:rPr>
          <w:szCs w:val="18"/>
          <w:vertAlign w:val="superscript"/>
          <w:lang w:val="fr-FR"/>
        </w:rPr>
        <w:t>o</w:t>
      </w:r>
      <w:r w:rsidRPr="00DD4F4E">
        <w:rPr>
          <w:szCs w:val="18"/>
          <w:lang w:val="fr-FR"/>
        </w:rPr>
        <w:t xml:space="preserve"> 17955, </w:t>
      </w:r>
      <w:r>
        <w:rPr>
          <w:szCs w:val="18"/>
          <w:lang w:val="fr-FR"/>
        </w:rPr>
        <w:t>p. </w:t>
      </w:r>
      <w:r w:rsidRPr="00DD4F4E">
        <w:rPr>
          <w:szCs w:val="18"/>
          <w:lang w:val="fr-FR"/>
        </w:rPr>
        <w:t xml:space="preserve">123 ; </w:t>
      </w:r>
      <w:r>
        <w:rPr>
          <w:szCs w:val="18"/>
          <w:lang w:val="fr-FR"/>
        </w:rPr>
        <w:t>art. </w:t>
      </w:r>
      <w:r w:rsidRPr="00DD4F4E">
        <w:rPr>
          <w:szCs w:val="18"/>
          <w:lang w:val="fr-FR"/>
        </w:rPr>
        <w:t>7 (</w:t>
      </w:r>
      <w:r>
        <w:rPr>
          <w:szCs w:val="18"/>
          <w:lang w:val="fr-FR"/>
        </w:rPr>
        <w:t>par. </w:t>
      </w:r>
      <w:r w:rsidRPr="00DD4F4E">
        <w:rPr>
          <w:szCs w:val="18"/>
          <w:lang w:val="fr-FR"/>
        </w:rPr>
        <w:t>1), Charte africaine des droits de l</w:t>
      </w:r>
      <w:r w:rsidR="004937A0">
        <w:rPr>
          <w:szCs w:val="18"/>
          <w:lang w:val="fr-FR"/>
        </w:rPr>
        <w:t>’</w:t>
      </w:r>
      <w:r w:rsidRPr="00DD4F4E">
        <w:rPr>
          <w:szCs w:val="18"/>
          <w:lang w:val="fr-FR"/>
        </w:rPr>
        <w:t xml:space="preserve">homme et des peuples (Nairobi, 27 juin 1981), ibid., </w:t>
      </w:r>
      <w:r>
        <w:rPr>
          <w:szCs w:val="18"/>
          <w:lang w:val="fr-FR"/>
        </w:rPr>
        <w:t>vol. </w:t>
      </w:r>
      <w:r w:rsidRPr="00DD4F4E">
        <w:rPr>
          <w:szCs w:val="18"/>
          <w:lang w:val="fr-FR"/>
        </w:rPr>
        <w:t>1520, n</w:t>
      </w:r>
      <w:r w:rsidRPr="00DD4F4E">
        <w:rPr>
          <w:szCs w:val="18"/>
          <w:vertAlign w:val="superscript"/>
          <w:lang w:val="fr-FR"/>
        </w:rPr>
        <w:t>o</w:t>
      </w:r>
      <w:r w:rsidRPr="00DD4F4E">
        <w:rPr>
          <w:szCs w:val="18"/>
          <w:lang w:val="fr-FR"/>
        </w:rPr>
        <w:t xml:space="preserve"> 26363, </w:t>
      </w:r>
      <w:r>
        <w:rPr>
          <w:szCs w:val="18"/>
          <w:lang w:val="fr-FR"/>
        </w:rPr>
        <w:t>p. </w:t>
      </w:r>
      <w:r w:rsidRPr="00DD4F4E">
        <w:rPr>
          <w:szCs w:val="18"/>
          <w:lang w:val="fr-FR"/>
        </w:rPr>
        <w:t xml:space="preserve">217. </w:t>
      </w:r>
      <w:proofErr w:type="spellStart"/>
      <w:r w:rsidRPr="00DD4F4E">
        <w:rPr>
          <w:szCs w:val="18"/>
          <w:lang w:val="en-US"/>
        </w:rPr>
        <w:t>Voir</w:t>
      </w:r>
      <w:proofErr w:type="spellEnd"/>
      <w:r w:rsidRPr="00DD4F4E">
        <w:rPr>
          <w:szCs w:val="18"/>
          <w:lang w:val="en-US"/>
        </w:rPr>
        <w:t xml:space="preserve"> </w:t>
      </w:r>
      <w:proofErr w:type="spellStart"/>
      <w:r w:rsidRPr="00DD4F4E">
        <w:rPr>
          <w:szCs w:val="18"/>
          <w:lang w:val="en-US"/>
        </w:rPr>
        <w:t>aussi</w:t>
      </w:r>
      <w:proofErr w:type="spellEnd"/>
      <w:r w:rsidRPr="00DD4F4E">
        <w:rPr>
          <w:szCs w:val="18"/>
          <w:lang w:val="en-US"/>
        </w:rPr>
        <w:t xml:space="preserve"> Francesco Francioni, </w:t>
      </w:r>
      <w:r w:rsidR="00B85429" w:rsidRPr="00B85429">
        <w:rPr>
          <w:szCs w:val="18"/>
          <w:lang w:val="en-US"/>
        </w:rPr>
        <w:t>« </w:t>
      </w:r>
      <w:r w:rsidRPr="00DD4F4E">
        <w:rPr>
          <w:szCs w:val="18"/>
          <w:lang w:val="en-US"/>
        </w:rPr>
        <w:t>The rights of access to justice under customary international law</w:t>
      </w:r>
      <w:r w:rsidR="00B85429" w:rsidRPr="00B85429">
        <w:rPr>
          <w:szCs w:val="18"/>
          <w:lang w:val="en-US"/>
        </w:rPr>
        <w:t> »</w:t>
      </w:r>
      <w:r w:rsidRPr="00DD4F4E">
        <w:rPr>
          <w:szCs w:val="18"/>
          <w:lang w:val="en-US"/>
        </w:rPr>
        <w:t>, dans Francesco Francioni (</w:t>
      </w:r>
      <w:proofErr w:type="spellStart"/>
      <w:r w:rsidR="00B85429">
        <w:rPr>
          <w:szCs w:val="18"/>
          <w:lang w:val="en-US"/>
        </w:rPr>
        <w:t>é</w:t>
      </w:r>
      <w:r w:rsidRPr="00DD4F4E">
        <w:rPr>
          <w:szCs w:val="18"/>
          <w:lang w:val="en-US"/>
        </w:rPr>
        <w:t>d</w:t>
      </w:r>
      <w:proofErr w:type="spellEnd"/>
      <w:r w:rsidRPr="00DD4F4E">
        <w:rPr>
          <w:szCs w:val="18"/>
          <w:lang w:val="en-US"/>
        </w:rPr>
        <w:t xml:space="preserve">.), </w:t>
      </w:r>
      <w:r w:rsidRPr="00DD4F4E">
        <w:rPr>
          <w:i/>
          <w:iCs/>
          <w:szCs w:val="18"/>
          <w:lang w:val="en-US"/>
        </w:rPr>
        <w:t>Access to Justice as a Human Right</w:t>
      </w:r>
      <w:r w:rsidRPr="00DD4F4E">
        <w:rPr>
          <w:szCs w:val="18"/>
          <w:lang w:val="en-US"/>
        </w:rPr>
        <w:t xml:space="preserve"> (Oxford, Oxford University Press, 2007), </w:t>
      </w:r>
      <w:r>
        <w:rPr>
          <w:szCs w:val="18"/>
          <w:lang w:val="en-US"/>
        </w:rPr>
        <w:t>p. </w:t>
      </w:r>
      <w:r w:rsidRPr="00DD4F4E">
        <w:rPr>
          <w:szCs w:val="18"/>
          <w:lang w:val="en-US"/>
        </w:rPr>
        <w:t xml:space="preserve">1 à 55 ; Amal Clooney et Philippa Webb, </w:t>
      </w:r>
      <w:r w:rsidRPr="00DD4F4E">
        <w:rPr>
          <w:i/>
          <w:iCs/>
          <w:szCs w:val="18"/>
          <w:lang w:val="en-US"/>
        </w:rPr>
        <w:t>The Right to a Fair Trial in International Law</w:t>
      </w:r>
      <w:r w:rsidRPr="00DD4F4E">
        <w:rPr>
          <w:szCs w:val="18"/>
          <w:lang w:val="en-US"/>
        </w:rPr>
        <w:t xml:space="preserve"> (Oxford, Oxford University Press, 2021).</w:t>
      </w:r>
    </w:p>
  </w:footnote>
  <w:footnote w:id="50">
    <w:p w14:paraId="17277BDA" w14:textId="77777777" w:rsidR="00C324CF" w:rsidRPr="00DD4F4E" w:rsidRDefault="00C324CF" w:rsidP="00E9227E">
      <w:pPr>
        <w:pStyle w:val="Notedebasdepage"/>
        <w:rPr>
          <w:szCs w:val="18"/>
        </w:rPr>
      </w:pPr>
      <w:r w:rsidRPr="00DD4F4E">
        <w:rPr>
          <w:szCs w:val="18"/>
          <w:lang w:val="en-US"/>
        </w:rPr>
        <w:tab/>
      </w:r>
      <w:r w:rsidRPr="00E9227E">
        <w:rPr>
          <w:rStyle w:val="Appelnotedebasdep"/>
        </w:rPr>
        <w:footnoteRef/>
      </w:r>
      <w:r>
        <w:rPr>
          <w:szCs w:val="18"/>
          <w:lang w:val="fr-FR"/>
        </w:rPr>
        <w:tab/>
      </w:r>
      <w:r w:rsidRPr="00DD4F4E">
        <w:rPr>
          <w:szCs w:val="18"/>
          <w:lang w:val="fr-FR"/>
        </w:rPr>
        <w:t xml:space="preserve">Voir la synthèse dans </w:t>
      </w:r>
      <w:hyperlink r:id="rId28" w:history="1">
        <w:r w:rsidRPr="00DD4F4E">
          <w:rPr>
            <w:rStyle w:val="Lienhypertexte"/>
            <w:szCs w:val="18"/>
            <w:lang w:val="fr-FR"/>
          </w:rPr>
          <w:t>A/CN.4/766</w:t>
        </w:r>
      </w:hyperlink>
      <w:r w:rsidRPr="00DD4F4E">
        <w:rPr>
          <w:szCs w:val="18"/>
          <w:lang w:val="fr-FR"/>
        </w:rPr>
        <w:t xml:space="preserve">, </w:t>
      </w:r>
      <w:r>
        <w:rPr>
          <w:szCs w:val="18"/>
          <w:lang w:val="fr-FR"/>
        </w:rPr>
        <w:t>par. </w:t>
      </w:r>
      <w:r w:rsidRPr="00DD4F4E">
        <w:rPr>
          <w:szCs w:val="18"/>
          <w:lang w:val="fr-FR"/>
        </w:rPr>
        <w:t xml:space="preserve">27 à 198 ; voir aussi </w:t>
      </w:r>
      <w:hyperlink r:id="rId29" w:history="1">
        <w:r w:rsidRPr="00DD4F4E">
          <w:rPr>
            <w:rStyle w:val="Lienhypertexte"/>
            <w:szCs w:val="18"/>
            <w:lang w:val="fr-FR"/>
          </w:rPr>
          <w:t>A/CN.4/764</w:t>
        </w:r>
      </w:hyperlink>
      <w:r w:rsidRPr="00DD4F4E">
        <w:rPr>
          <w:szCs w:val="18"/>
          <w:lang w:val="fr-FR"/>
        </w:rPr>
        <w:t>.</w:t>
      </w:r>
    </w:p>
  </w:footnote>
  <w:footnote w:id="51">
    <w:p w14:paraId="60C7250C" w14:textId="77777777" w:rsidR="00C324CF" w:rsidRPr="00DD4F4E" w:rsidRDefault="00C324CF" w:rsidP="00E9227E">
      <w:pPr>
        <w:pStyle w:val="Notedebasdepage"/>
        <w:rPr>
          <w:szCs w:val="18"/>
          <w:lang w:val="en-US"/>
        </w:rPr>
      </w:pPr>
      <w:r w:rsidRPr="004F0CDF">
        <w:rPr>
          <w:szCs w:val="18"/>
        </w:rPr>
        <w:tab/>
      </w:r>
      <w:r w:rsidRPr="00E9227E">
        <w:rPr>
          <w:rStyle w:val="Appelnotedebasdep"/>
        </w:rPr>
        <w:footnoteRef/>
      </w:r>
      <w:r w:rsidRPr="00DD4F4E">
        <w:rPr>
          <w:szCs w:val="18"/>
          <w:lang w:val="en-US"/>
        </w:rPr>
        <w:tab/>
        <w:t xml:space="preserve">Miguel de Serpa Soares, « Responsibility of international organizations », </w:t>
      </w:r>
      <w:r w:rsidRPr="00DD4F4E">
        <w:rPr>
          <w:i/>
          <w:iCs/>
          <w:szCs w:val="18"/>
          <w:lang w:val="en-US"/>
        </w:rPr>
        <w:t>Courses of the Summer School on Public International Law</w:t>
      </w:r>
      <w:r w:rsidRPr="00DD4F4E">
        <w:rPr>
          <w:szCs w:val="18"/>
          <w:lang w:val="en-US"/>
        </w:rPr>
        <w:t xml:space="preserve">, </w:t>
      </w:r>
      <w:r>
        <w:rPr>
          <w:szCs w:val="18"/>
          <w:lang w:val="en-US"/>
        </w:rPr>
        <w:t>vol. </w:t>
      </w:r>
      <w:r w:rsidRPr="00DD4F4E">
        <w:rPr>
          <w:szCs w:val="18"/>
          <w:lang w:val="en-US"/>
        </w:rPr>
        <w:t>7 (</w:t>
      </w:r>
      <w:proofErr w:type="spellStart"/>
      <w:r w:rsidRPr="00DD4F4E">
        <w:rPr>
          <w:szCs w:val="18"/>
          <w:lang w:val="en-US"/>
        </w:rPr>
        <w:t>Moscou</w:t>
      </w:r>
      <w:proofErr w:type="spellEnd"/>
      <w:r w:rsidRPr="00DD4F4E">
        <w:rPr>
          <w:szCs w:val="18"/>
          <w:lang w:val="en-US"/>
        </w:rPr>
        <w:t xml:space="preserve">, 2022), </w:t>
      </w:r>
      <w:r>
        <w:rPr>
          <w:szCs w:val="18"/>
          <w:lang w:val="en-US"/>
        </w:rPr>
        <w:t>p. </w:t>
      </w:r>
      <w:r w:rsidRPr="00DD4F4E">
        <w:rPr>
          <w:szCs w:val="18"/>
          <w:lang w:val="en-US"/>
        </w:rPr>
        <w:t xml:space="preserve">125. </w:t>
      </w:r>
      <w:proofErr w:type="spellStart"/>
      <w:r w:rsidRPr="00DD4F4E">
        <w:rPr>
          <w:szCs w:val="18"/>
          <w:lang w:val="en-US"/>
        </w:rPr>
        <w:t>Voir</w:t>
      </w:r>
      <w:proofErr w:type="spellEnd"/>
      <w:r w:rsidRPr="00DD4F4E">
        <w:rPr>
          <w:szCs w:val="18"/>
          <w:lang w:val="en-US"/>
        </w:rPr>
        <w:t xml:space="preserve"> </w:t>
      </w:r>
      <w:proofErr w:type="spellStart"/>
      <w:r w:rsidRPr="00DD4F4E">
        <w:rPr>
          <w:szCs w:val="18"/>
          <w:lang w:val="en-US"/>
        </w:rPr>
        <w:t>aussi</w:t>
      </w:r>
      <w:proofErr w:type="spellEnd"/>
      <w:r w:rsidRPr="00DD4F4E">
        <w:rPr>
          <w:szCs w:val="18"/>
          <w:lang w:val="en-US"/>
        </w:rPr>
        <w:t xml:space="preserve"> </w:t>
      </w:r>
      <w:hyperlink r:id="rId30" w:history="1">
        <w:r w:rsidRPr="00DD4F4E">
          <w:rPr>
            <w:rStyle w:val="Lienhypertexte"/>
            <w:szCs w:val="18"/>
            <w:lang w:val="en-US"/>
          </w:rPr>
          <w:t>A/CN.4/764</w:t>
        </w:r>
      </w:hyperlink>
      <w:r w:rsidRPr="00DD4F4E">
        <w:rPr>
          <w:szCs w:val="18"/>
          <w:lang w:val="en-US"/>
        </w:rPr>
        <w:t xml:space="preserve">, </w:t>
      </w:r>
      <w:r>
        <w:rPr>
          <w:szCs w:val="18"/>
          <w:lang w:val="en-US"/>
        </w:rPr>
        <w:t>chap. </w:t>
      </w:r>
      <w:r w:rsidRPr="00DD4F4E">
        <w:rPr>
          <w:szCs w:val="18"/>
          <w:lang w:val="en-US"/>
        </w:rPr>
        <w:t xml:space="preserve">II, </w:t>
      </w:r>
      <w:r>
        <w:rPr>
          <w:szCs w:val="18"/>
          <w:lang w:val="en-US"/>
        </w:rPr>
        <w:t>sect. </w:t>
      </w:r>
      <w:r w:rsidRPr="00DD4F4E">
        <w:rPr>
          <w:szCs w:val="18"/>
          <w:lang w:val="en-US"/>
        </w:rPr>
        <w:t>B.</w:t>
      </w:r>
    </w:p>
  </w:footnote>
  <w:footnote w:id="52">
    <w:p w14:paraId="52E528CE" w14:textId="341271B1" w:rsidR="00C324CF" w:rsidRPr="00DD4F4E" w:rsidRDefault="00C324CF" w:rsidP="00E9227E">
      <w:pPr>
        <w:pStyle w:val="Notedebasdepage"/>
        <w:rPr>
          <w:szCs w:val="18"/>
        </w:rPr>
      </w:pPr>
      <w:r>
        <w:rPr>
          <w:szCs w:val="18"/>
          <w:lang w:val="en-US"/>
        </w:rPr>
        <w:tab/>
      </w:r>
      <w:r w:rsidRPr="00E9227E">
        <w:rPr>
          <w:rStyle w:val="Appelnotedebasdep"/>
        </w:rPr>
        <w:footnoteRef/>
      </w:r>
      <w:r w:rsidRPr="00DD4F4E">
        <w:rPr>
          <w:szCs w:val="18"/>
          <w:lang w:val="en-US"/>
        </w:rPr>
        <w:tab/>
      </w:r>
      <w:r w:rsidRPr="00DD4F4E">
        <w:rPr>
          <w:szCs w:val="18"/>
          <w:lang w:val="en-US"/>
        </w:rPr>
        <w:tab/>
        <w:t xml:space="preserve">Gerald Fitzmaurice, </w:t>
      </w:r>
      <w:r w:rsidR="00B85429" w:rsidRPr="00DD4F4E">
        <w:rPr>
          <w:szCs w:val="18"/>
          <w:lang w:val="en-US"/>
        </w:rPr>
        <w:t>« </w:t>
      </w:r>
      <w:r w:rsidRPr="00DD4F4E">
        <w:rPr>
          <w:szCs w:val="18"/>
          <w:lang w:val="en-US"/>
        </w:rPr>
        <w:t>The future of public international law and of the international legal system in the circumstances of today</w:t>
      </w:r>
      <w:r w:rsidR="00B85429" w:rsidRPr="00DD4F4E">
        <w:rPr>
          <w:szCs w:val="18"/>
          <w:lang w:val="en-US"/>
        </w:rPr>
        <w:t> »</w:t>
      </w:r>
      <w:r w:rsidRPr="00DD4F4E">
        <w:rPr>
          <w:szCs w:val="18"/>
          <w:lang w:val="en-US"/>
        </w:rPr>
        <w:t xml:space="preserve">, </w:t>
      </w:r>
      <w:r w:rsidR="00A42850">
        <w:rPr>
          <w:szCs w:val="18"/>
          <w:lang w:val="en-US"/>
        </w:rPr>
        <w:t>dans</w:t>
      </w:r>
      <w:r w:rsidRPr="00DD4F4E">
        <w:rPr>
          <w:szCs w:val="18"/>
          <w:lang w:val="en-US"/>
        </w:rPr>
        <w:t xml:space="preserve"> Institute of International Law (eds), </w:t>
      </w:r>
      <w:r w:rsidRPr="00DD4F4E">
        <w:rPr>
          <w:i/>
          <w:iCs/>
          <w:szCs w:val="18"/>
          <w:lang w:val="en-US"/>
        </w:rPr>
        <w:t xml:space="preserve">Livre du </w:t>
      </w:r>
      <w:proofErr w:type="spellStart"/>
      <w:r w:rsidRPr="00DD4F4E">
        <w:rPr>
          <w:i/>
          <w:iCs/>
          <w:szCs w:val="18"/>
          <w:lang w:val="en-US"/>
        </w:rPr>
        <w:t>Centenaire</w:t>
      </w:r>
      <w:proofErr w:type="spellEnd"/>
      <w:r w:rsidRPr="00DD4F4E">
        <w:rPr>
          <w:i/>
          <w:iCs/>
          <w:szCs w:val="18"/>
          <w:lang w:val="en-US"/>
        </w:rPr>
        <w:t xml:space="preserve"> 1873-1973</w:t>
      </w:r>
      <w:r w:rsidRPr="00DD4F4E">
        <w:rPr>
          <w:szCs w:val="18"/>
          <w:lang w:val="en-US"/>
        </w:rPr>
        <w:t xml:space="preserve">. </w:t>
      </w:r>
      <w:r w:rsidRPr="00DD4F4E">
        <w:rPr>
          <w:i/>
          <w:iCs/>
          <w:szCs w:val="18"/>
          <w:lang w:val="fr-FR"/>
        </w:rPr>
        <w:t>Évolution et perspectives du droit international</w:t>
      </w:r>
      <w:r w:rsidRPr="00DD4F4E">
        <w:rPr>
          <w:szCs w:val="18"/>
          <w:lang w:val="fr-FR"/>
        </w:rPr>
        <w:t xml:space="preserve"> (</w:t>
      </w:r>
      <w:r w:rsidRPr="00C92339">
        <w:rPr>
          <w:szCs w:val="18"/>
          <w:lang w:val="fr-FR"/>
        </w:rPr>
        <w:t xml:space="preserve">Bâle, </w:t>
      </w:r>
      <w:proofErr w:type="spellStart"/>
      <w:r w:rsidRPr="00C92339">
        <w:rPr>
          <w:szCs w:val="18"/>
          <w:lang w:val="fr-FR"/>
        </w:rPr>
        <w:t>Editions</w:t>
      </w:r>
      <w:proofErr w:type="spellEnd"/>
      <w:r w:rsidRPr="00C92339">
        <w:rPr>
          <w:szCs w:val="18"/>
          <w:lang w:val="fr-FR"/>
        </w:rPr>
        <w:t xml:space="preserve"> S. </w:t>
      </w:r>
      <w:proofErr w:type="spellStart"/>
      <w:r w:rsidRPr="00C92339">
        <w:rPr>
          <w:szCs w:val="18"/>
          <w:lang w:val="fr-FR"/>
        </w:rPr>
        <w:t>Karger</w:t>
      </w:r>
      <w:proofErr w:type="spellEnd"/>
      <w:r w:rsidRPr="00DD4F4E">
        <w:rPr>
          <w:szCs w:val="18"/>
          <w:lang w:val="fr-FR"/>
        </w:rPr>
        <w:t xml:space="preserve"> S.A., 1973), </w:t>
      </w:r>
      <w:r>
        <w:rPr>
          <w:szCs w:val="18"/>
          <w:lang w:val="fr-FR"/>
        </w:rPr>
        <w:t>p. </w:t>
      </w:r>
      <w:r w:rsidRPr="00DD4F4E">
        <w:rPr>
          <w:szCs w:val="18"/>
          <w:lang w:val="fr-FR"/>
        </w:rPr>
        <w:t xml:space="preserve">196 à 363, à la page 276 ; C. Wilfred </w:t>
      </w:r>
      <w:proofErr w:type="spellStart"/>
      <w:r w:rsidRPr="00DD4F4E">
        <w:rPr>
          <w:szCs w:val="18"/>
          <w:lang w:val="fr-FR"/>
        </w:rPr>
        <w:t>Jenks</w:t>
      </w:r>
      <w:proofErr w:type="spellEnd"/>
      <w:r w:rsidRPr="00DD4F4E">
        <w:rPr>
          <w:szCs w:val="18"/>
          <w:lang w:val="fr-FR"/>
        </w:rPr>
        <w:t xml:space="preserve">, </w:t>
      </w:r>
      <w:r w:rsidRPr="00DD4F4E">
        <w:rPr>
          <w:i/>
          <w:iCs/>
          <w:szCs w:val="18"/>
          <w:lang w:val="fr-FR"/>
        </w:rPr>
        <w:t>The Prospects of International Adjudication</w:t>
      </w:r>
      <w:r w:rsidRPr="00DD4F4E">
        <w:rPr>
          <w:szCs w:val="18"/>
          <w:lang w:val="fr-FR"/>
        </w:rPr>
        <w:t xml:space="preserve"> (Londres, Stevens, 1964), </w:t>
      </w:r>
      <w:r>
        <w:rPr>
          <w:szCs w:val="18"/>
          <w:lang w:val="fr-FR"/>
        </w:rPr>
        <w:t>p. </w:t>
      </w:r>
      <w:r w:rsidRPr="00DD4F4E">
        <w:rPr>
          <w:szCs w:val="18"/>
          <w:lang w:val="fr-FR"/>
        </w:rPr>
        <w:t>107.</w:t>
      </w:r>
    </w:p>
  </w:footnote>
  <w:footnote w:id="53">
    <w:p w14:paraId="3C5B52CF" w14:textId="1B107A47"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t xml:space="preserve">Résolution </w:t>
      </w:r>
      <w:hyperlink r:id="rId31" w:history="1">
        <w:r w:rsidRPr="00DD4F4E">
          <w:rPr>
            <w:rStyle w:val="Lienhypertexte"/>
            <w:szCs w:val="18"/>
            <w:lang w:val="fr-FR"/>
          </w:rPr>
          <w:t>37/10</w:t>
        </w:r>
      </w:hyperlink>
      <w:r w:rsidRPr="00DD4F4E">
        <w:rPr>
          <w:szCs w:val="18"/>
          <w:lang w:val="fr-FR"/>
        </w:rPr>
        <w:t xml:space="preserve"> de l</w:t>
      </w:r>
      <w:r w:rsidR="004937A0">
        <w:rPr>
          <w:szCs w:val="18"/>
          <w:lang w:val="fr-FR"/>
        </w:rPr>
        <w:t>’</w:t>
      </w:r>
      <w:r w:rsidRPr="00DD4F4E">
        <w:rPr>
          <w:szCs w:val="18"/>
          <w:lang w:val="fr-FR"/>
        </w:rPr>
        <w:t xml:space="preserve">Assemblée générale en date du 15 </w:t>
      </w:r>
      <w:r w:rsidRPr="00C250F4">
        <w:rPr>
          <w:szCs w:val="18"/>
          <w:lang w:val="fr-FR"/>
        </w:rPr>
        <w:t>novembre 1988,</w:t>
      </w:r>
      <w:r w:rsidRPr="00DD4F4E">
        <w:rPr>
          <w:szCs w:val="18"/>
          <w:lang w:val="fr-FR"/>
        </w:rPr>
        <w:t xml:space="preserve"> annexe.</w:t>
      </w:r>
    </w:p>
  </w:footnote>
  <w:footnote w:id="54">
    <w:p w14:paraId="16849F3A" w14:textId="175A1E94"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Pr>
          <w:szCs w:val="18"/>
          <w:lang w:val="fr-FR"/>
        </w:rPr>
        <w:t xml:space="preserve">Voir, </w:t>
      </w:r>
      <w:r w:rsidRPr="002B688F">
        <w:rPr>
          <w:szCs w:val="18"/>
          <w:lang w:val="fr-FR"/>
        </w:rPr>
        <w:t>par exemple, art. XIV (par</w:t>
      </w:r>
      <w:r>
        <w:rPr>
          <w:szCs w:val="18"/>
          <w:lang w:val="fr-FR"/>
        </w:rPr>
        <w:t>. </w:t>
      </w:r>
      <w:r w:rsidRPr="00DD4F4E">
        <w:rPr>
          <w:szCs w:val="18"/>
          <w:lang w:val="fr-FR"/>
        </w:rPr>
        <w:t>2), Convention créant une Organisation des Nations Unies pour l</w:t>
      </w:r>
      <w:r w:rsidR="004937A0">
        <w:rPr>
          <w:szCs w:val="18"/>
          <w:lang w:val="fr-FR"/>
        </w:rPr>
        <w:t>’</w:t>
      </w:r>
      <w:r w:rsidRPr="00DD4F4E">
        <w:rPr>
          <w:szCs w:val="18"/>
          <w:lang w:val="fr-FR"/>
        </w:rPr>
        <w:t xml:space="preserve">éducation, la science et la culture (Londres, 16 novembre 1945),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 xml:space="preserve">4, </w:t>
      </w:r>
      <w:r w:rsidR="00724308" w:rsidRPr="00724308">
        <w:rPr>
          <w:rFonts w:eastAsia="MS Mincho"/>
          <w:szCs w:val="18"/>
          <w:lang w:val="fr-FR"/>
        </w:rPr>
        <w:t>n</w:t>
      </w:r>
      <w:r w:rsidR="00724308" w:rsidRPr="00724308">
        <w:rPr>
          <w:rFonts w:eastAsia="MS Mincho"/>
          <w:szCs w:val="18"/>
          <w:vertAlign w:val="superscript"/>
          <w:lang w:val="fr-FR"/>
        </w:rPr>
        <w:t>o</w:t>
      </w:r>
      <w:r w:rsidR="00724308">
        <w:rPr>
          <w:szCs w:val="18"/>
          <w:lang w:val="fr-FR"/>
        </w:rPr>
        <w:t> </w:t>
      </w:r>
      <w:r w:rsidRPr="00DD4F4E">
        <w:rPr>
          <w:szCs w:val="18"/>
          <w:lang w:val="fr-FR"/>
        </w:rPr>
        <w:t xml:space="preserve">52, </w:t>
      </w:r>
      <w:r>
        <w:rPr>
          <w:szCs w:val="18"/>
          <w:lang w:val="fr-FR"/>
        </w:rPr>
        <w:t>p. </w:t>
      </w:r>
      <w:r w:rsidRPr="00DD4F4E">
        <w:rPr>
          <w:szCs w:val="18"/>
          <w:lang w:val="fr-FR"/>
        </w:rPr>
        <w:t xml:space="preserve">275 ; </w:t>
      </w:r>
      <w:r>
        <w:rPr>
          <w:szCs w:val="18"/>
          <w:lang w:val="fr-FR"/>
        </w:rPr>
        <w:t>art. </w:t>
      </w:r>
      <w:r w:rsidRPr="00DD4F4E">
        <w:rPr>
          <w:szCs w:val="18"/>
          <w:lang w:val="fr-FR"/>
        </w:rPr>
        <w:t>XVIII (al. a)</w:t>
      </w:r>
      <w:r w:rsidR="00724308">
        <w:rPr>
          <w:szCs w:val="18"/>
          <w:lang w:val="fr-FR"/>
        </w:rPr>
        <w:t>)</w:t>
      </w:r>
      <w:r w:rsidRPr="00DD4F4E">
        <w:rPr>
          <w:szCs w:val="18"/>
          <w:lang w:val="fr-FR"/>
        </w:rPr>
        <w:t>, Accord relatif à l</w:t>
      </w:r>
      <w:r w:rsidR="004937A0">
        <w:rPr>
          <w:szCs w:val="18"/>
          <w:lang w:val="fr-FR"/>
        </w:rPr>
        <w:t>’</w:t>
      </w:r>
      <w:r w:rsidRPr="00DD4F4E">
        <w:rPr>
          <w:szCs w:val="18"/>
          <w:lang w:val="fr-FR"/>
        </w:rPr>
        <w:t>Organisation internationale de télécommunications par satellites «</w:t>
      </w:r>
      <w:r>
        <w:rPr>
          <w:szCs w:val="18"/>
          <w:lang w:val="fr-FR"/>
        </w:rPr>
        <w:t> </w:t>
      </w:r>
      <w:r w:rsidRPr="00DD4F4E">
        <w:rPr>
          <w:szCs w:val="18"/>
          <w:lang w:val="fr-FR"/>
        </w:rPr>
        <w:t>INTELSAT</w:t>
      </w:r>
      <w:r>
        <w:rPr>
          <w:szCs w:val="18"/>
          <w:lang w:val="fr-FR"/>
        </w:rPr>
        <w:t> </w:t>
      </w:r>
      <w:r w:rsidRPr="00DD4F4E">
        <w:rPr>
          <w:szCs w:val="18"/>
          <w:lang w:val="fr-FR"/>
        </w:rPr>
        <w:t xml:space="preserve">» (Washington, 20 août 1971),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1220, n</w:t>
      </w:r>
      <w:r w:rsidRPr="00DD4F4E">
        <w:rPr>
          <w:szCs w:val="18"/>
          <w:vertAlign w:val="superscript"/>
          <w:lang w:val="fr-FR"/>
        </w:rPr>
        <w:t>o</w:t>
      </w:r>
      <w:r w:rsidRPr="00DD4F4E">
        <w:rPr>
          <w:szCs w:val="18"/>
          <w:lang w:val="fr-FR"/>
        </w:rPr>
        <w:t xml:space="preserve"> 19677, </w:t>
      </w:r>
      <w:r>
        <w:rPr>
          <w:szCs w:val="18"/>
          <w:lang w:val="fr-FR"/>
        </w:rPr>
        <w:t>p. </w:t>
      </w:r>
      <w:r w:rsidRPr="00DD4F4E">
        <w:rPr>
          <w:szCs w:val="18"/>
          <w:lang w:val="fr-FR"/>
        </w:rPr>
        <w:t>21.</w:t>
      </w:r>
    </w:p>
  </w:footnote>
  <w:footnote w:id="55">
    <w:p w14:paraId="78DD273E" w14:textId="77E732F1"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Pr>
          <w:szCs w:val="18"/>
          <w:lang w:val="fr-FR"/>
        </w:rPr>
        <w:t xml:space="preserve">Voir, </w:t>
      </w:r>
      <w:r w:rsidRPr="001222C6">
        <w:rPr>
          <w:szCs w:val="18"/>
          <w:lang w:val="fr-FR"/>
        </w:rPr>
        <w:t xml:space="preserve">par </w:t>
      </w:r>
      <w:r w:rsidRPr="00656774">
        <w:rPr>
          <w:szCs w:val="18"/>
          <w:lang w:val="fr-FR"/>
        </w:rPr>
        <w:t>exemple, art</w:t>
      </w:r>
      <w:r w:rsidRPr="001222C6">
        <w:rPr>
          <w:szCs w:val="18"/>
          <w:lang w:val="fr-FR"/>
        </w:rPr>
        <w:t>. VIII,</w:t>
      </w:r>
      <w:r w:rsidRPr="00DD4F4E">
        <w:rPr>
          <w:szCs w:val="18"/>
          <w:lang w:val="fr-FR"/>
        </w:rPr>
        <w:t xml:space="preserve"> sect</w:t>
      </w:r>
      <w:r>
        <w:rPr>
          <w:szCs w:val="18"/>
          <w:lang w:val="fr-FR"/>
        </w:rPr>
        <w:t>. </w:t>
      </w:r>
      <w:r w:rsidRPr="00DD4F4E">
        <w:rPr>
          <w:szCs w:val="18"/>
          <w:lang w:val="fr-FR"/>
        </w:rPr>
        <w:t xml:space="preserve">30, Convention sur les privilèges et immunités des Nations Unies (Convention générale) ; </w:t>
      </w:r>
      <w:r>
        <w:rPr>
          <w:szCs w:val="18"/>
          <w:lang w:val="fr-FR"/>
        </w:rPr>
        <w:t>art. </w:t>
      </w:r>
      <w:r w:rsidRPr="00DD4F4E">
        <w:rPr>
          <w:szCs w:val="18"/>
          <w:lang w:val="fr-FR"/>
        </w:rPr>
        <w:t xml:space="preserve">IX, </w:t>
      </w:r>
      <w:r>
        <w:rPr>
          <w:szCs w:val="18"/>
          <w:lang w:val="fr-FR"/>
        </w:rPr>
        <w:t>sect. </w:t>
      </w:r>
      <w:r w:rsidRPr="00DD4F4E">
        <w:rPr>
          <w:szCs w:val="18"/>
          <w:lang w:val="fr-FR"/>
        </w:rPr>
        <w:t>32, Convention sur les privilèges et immunités des institutions spécialisées</w:t>
      </w:r>
      <w:r w:rsidR="00724308">
        <w:rPr>
          <w:szCs w:val="18"/>
          <w:lang w:val="fr-FR"/>
        </w:rPr>
        <w:t> ;</w:t>
      </w:r>
      <w:r w:rsidRPr="00DD4F4E">
        <w:rPr>
          <w:szCs w:val="18"/>
          <w:lang w:val="fr-FR"/>
        </w:rPr>
        <w:t xml:space="preserve"> </w:t>
      </w:r>
      <w:r>
        <w:rPr>
          <w:szCs w:val="18"/>
          <w:lang w:val="fr-FR"/>
        </w:rPr>
        <w:t>art. </w:t>
      </w:r>
      <w:r w:rsidRPr="00DD4F4E">
        <w:rPr>
          <w:szCs w:val="18"/>
          <w:lang w:val="fr-FR"/>
        </w:rPr>
        <w:t xml:space="preserve">X, </w:t>
      </w:r>
      <w:r>
        <w:rPr>
          <w:szCs w:val="18"/>
          <w:lang w:val="fr-FR"/>
        </w:rPr>
        <w:t>sect. </w:t>
      </w:r>
      <w:r w:rsidRPr="00DD4F4E">
        <w:rPr>
          <w:szCs w:val="18"/>
          <w:lang w:val="fr-FR"/>
        </w:rPr>
        <w:t>34, Accord sur les privilèges et immunités de l</w:t>
      </w:r>
      <w:r w:rsidR="004937A0">
        <w:rPr>
          <w:szCs w:val="18"/>
          <w:lang w:val="fr-FR"/>
        </w:rPr>
        <w:t>’</w:t>
      </w:r>
      <w:r w:rsidRPr="00DD4F4E">
        <w:rPr>
          <w:szCs w:val="18"/>
          <w:lang w:val="fr-FR"/>
        </w:rPr>
        <w:t>Agence internationale de l</w:t>
      </w:r>
      <w:r w:rsidR="004937A0">
        <w:rPr>
          <w:szCs w:val="18"/>
          <w:lang w:val="fr-FR"/>
        </w:rPr>
        <w:t>’</w:t>
      </w:r>
      <w:r w:rsidRPr="00DD4F4E">
        <w:rPr>
          <w:szCs w:val="18"/>
          <w:lang w:val="fr-FR"/>
        </w:rPr>
        <w:t>énergie atomique (Vienne, 1</w:t>
      </w:r>
      <w:r w:rsidRPr="00DD4F4E">
        <w:rPr>
          <w:szCs w:val="18"/>
          <w:vertAlign w:val="superscript"/>
          <w:lang w:val="fr-FR"/>
        </w:rPr>
        <w:t>er</w:t>
      </w:r>
      <w:r w:rsidRPr="00DD4F4E">
        <w:rPr>
          <w:szCs w:val="18"/>
          <w:lang w:val="fr-FR"/>
        </w:rPr>
        <w:t xml:space="preserve"> juillet 1959), Nations Unies, </w:t>
      </w:r>
      <w:r w:rsidRPr="00DD4F4E">
        <w:rPr>
          <w:i/>
          <w:iCs/>
          <w:szCs w:val="18"/>
          <w:lang w:val="fr-FR"/>
        </w:rPr>
        <w:t xml:space="preserve">Recueil des </w:t>
      </w:r>
      <w:r w:rsidRPr="00C250F4">
        <w:rPr>
          <w:i/>
          <w:iCs/>
          <w:szCs w:val="18"/>
          <w:lang w:val="fr-FR"/>
        </w:rPr>
        <w:t>Traités</w:t>
      </w:r>
      <w:r w:rsidRPr="00C250F4">
        <w:rPr>
          <w:szCs w:val="18"/>
          <w:lang w:val="fr-FR"/>
        </w:rPr>
        <w:t>, vol. 374, n</w:t>
      </w:r>
      <w:r w:rsidRPr="00C250F4">
        <w:rPr>
          <w:szCs w:val="18"/>
          <w:vertAlign w:val="superscript"/>
          <w:lang w:val="fr-FR"/>
        </w:rPr>
        <w:t>o</w:t>
      </w:r>
      <w:r w:rsidRPr="00C250F4">
        <w:rPr>
          <w:szCs w:val="18"/>
          <w:lang w:val="fr-FR"/>
        </w:rPr>
        <w:t> </w:t>
      </w:r>
      <w:r>
        <w:rPr>
          <w:szCs w:val="18"/>
          <w:lang w:val="fr-FR"/>
        </w:rPr>
        <w:t>5334</w:t>
      </w:r>
      <w:r w:rsidRPr="00C250F4">
        <w:rPr>
          <w:szCs w:val="18"/>
          <w:lang w:val="fr-FR"/>
        </w:rPr>
        <w:t>, p. 147</w:t>
      </w:r>
      <w:r>
        <w:rPr>
          <w:szCs w:val="18"/>
          <w:lang w:val="fr-FR"/>
        </w:rPr>
        <w:t> </w:t>
      </w:r>
      <w:r w:rsidRPr="00C250F4">
        <w:rPr>
          <w:szCs w:val="18"/>
          <w:lang w:val="fr-FR"/>
        </w:rPr>
        <w:t>; art. 32,</w:t>
      </w:r>
      <w:r w:rsidRPr="00DD4F4E">
        <w:rPr>
          <w:szCs w:val="18"/>
          <w:lang w:val="fr-FR"/>
        </w:rPr>
        <w:t xml:space="preserve"> Accord sur les privilèges et immunités de la Cour pénale internationale (New York, 9 septembre 2002),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2271, n</w:t>
      </w:r>
      <w:r w:rsidRPr="00DD4F4E">
        <w:rPr>
          <w:szCs w:val="18"/>
          <w:vertAlign w:val="superscript"/>
          <w:lang w:val="fr-FR"/>
        </w:rPr>
        <w:t>o</w:t>
      </w:r>
      <w:r w:rsidRPr="00DD4F4E">
        <w:rPr>
          <w:szCs w:val="18"/>
          <w:lang w:val="fr-FR"/>
        </w:rPr>
        <w:t xml:space="preserve"> 40446, </w:t>
      </w:r>
      <w:r>
        <w:rPr>
          <w:szCs w:val="18"/>
          <w:lang w:val="fr-FR"/>
        </w:rPr>
        <w:t>p. </w:t>
      </w:r>
      <w:r w:rsidRPr="00DD4F4E">
        <w:rPr>
          <w:szCs w:val="18"/>
          <w:lang w:val="fr-FR"/>
        </w:rPr>
        <w:t>3.</w:t>
      </w:r>
    </w:p>
  </w:footnote>
  <w:footnote w:id="56">
    <w:p w14:paraId="5737780C" w14:textId="63A9A918" w:rsidR="00C324CF" w:rsidRPr="00DD4F4E" w:rsidRDefault="00C324CF" w:rsidP="00E9227E">
      <w:pPr>
        <w:pStyle w:val="Notedebasdepage"/>
        <w:rPr>
          <w:szCs w:val="18"/>
        </w:rPr>
      </w:pPr>
      <w:r>
        <w:rPr>
          <w:szCs w:val="18"/>
          <w:lang w:val="fr-FR"/>
        </w:rPr>
        <w:tab/>
      </w:r>
      <w:r w:rsidRPr="00E9227E">
        <w:rPr>
          <w:rStyle w:val="Appelnotedebasdep"/>
        </w:rPr>
        <w:footnoteRef/>
      </w:r>
      <w:r w:rsidRPr="00DD4F4E">
        <w:rPr>
          <w:szCs w:val="18"/>
          <w:lang w:val="fr-FR"/>
        </w:rPr>
        <w:tab/>
      </w:r>
      <w:r>
        <w:rPr>
          <w:szCs w:val="18"/>
          <w:lang w:val="fr-FR"/>
        </w:rPr>
        <w:t xml:space="preserve">Voir, </w:t>
      </w:r>
      <w:r w:rsidRPr="001222C6">
        <w:rPr>
          <w:szCs w:val="18"/>
          <w:lang w:val="fr-FR"/>
        </w:rPr>
        <w:t xml:space="preserve">par </w:t>
      </w:r>
      <w:r w:rsidRPr="00656774">
        <w:rPr>
          <w:szCs w:val="18"/>
          <w:lang w:val="fr-FR"/>
        </w:rPr>
        <w:t>exemple, art</w:t>
      </w:r>
      <w:r w:rsidRPr="001222C6">
        <w:rPr>
          <w:szCs w:val="18"/>
          <w:lang w:val="fr-FR"/>
        </w:rPr>
        <w:t> VIII</w:t>
      </w:r>
      <w:r w:rsidRPr="00DD4F4E">
        <w:rPr>
          <w:szCs w:val="18"/>
          <w:lang w:val="fr-FR"/>
        </w:rPr>
        <w:t xml:space="preserve">, </w:t>
      </w:r>
      <w:r>
        <w:rPr>
          <w:szCs w:val="18"/>
          <w:lang w:val="fr-FR"/>
        </w:rPr>
        <w:t>sect. </w:t>
      </w:r>
      <w:r w:rsidRPr="00DD4F4E">
        <w:rPr>
          <w:szCs w:val="18"/>
          <w:lang w:val="fr-FR"/>
        </w:rPr>
        <w:t>21, Accord relatif au Siège de l</w:t>
      </w:r>
      <w:r w:rsidR="004937A0">
        <w:rPr>
          <w:szCs w:val="18"/>
          <w:lang w:val="fr-FR"/>
        </w:rPr>
        <w:t>’</w:t>
      </w:r>
      <w:r w:rsidRPr="00DD4F4E">
        <w:rPr>
          <w:szCs w:val="18"/>
          <w:lang w:val="fr-FR"/>
        </w:rPr>
        <w:t xml:space="preserve">Organisation des Nations Unies (Lake </w:t>
      </w:r>
      <w:proofErr w:type="spellStart"/>
      <w:r w:rsidRPr="00DD4F4E">
        <w:rPr>
          <w:szCs w:val="18"/>
          <w:lang w:val="fr-FR"/>
        </w:rPr>
        <w:t>Success</w:t>
      </w:r>
      <w:proofErr w:type="spellEnd"/>
      <w:r w:rsidRPr="00DD4F4E">
        <w:rPr>
          <w:szCs w:val="18"/>
          <w:lang w:val="fr-FR"/>
        </w:rPr>
        <w:t xml:space="preserve">, 26 juin 1947), Nations Unies, </w:t>
      </w:r>
      <w:r w:rsidRPr="00DD4F4E">
        <w:rPr>
          <w:i/>
          <w:iCs/>
          <w:szCs w:val="18"/>
          <w:lang w:val="fr-FR"/>
        </w:rPr>
        <w:t xml:space="preserve">Recueil des </w:t>
      </w:r>
      <w:r w:rsidRPr="00A4387D">
        <w:rPr>
          <w:i/>
          <w:iCs/>
          <w:szCs w:val="18"/>
          <w:lang w:val="fr-FR"/>
        </w:rPr>
        <w:t>Traités</w:t>
      </w:r>
      <w:r w:rsidRPr="00A4387D">
        <w:rPr>
          <w:szCs w:val="18"/>
          <w:lang w:val="fr-FR"/>
        </w:rPr>
        <w:t xml:space="preserve">, vol. 11, p. 11 ; art. XVII, sect. 35, Accord relatif au </w:t>
      </w:r>
      <w:r w:rsidR="00724308" w:rsidRPr="00A4387D">
        <w:rPr>
          <w:szCs w:val="18"/>
          <w:lang w:val="fr-FR"/>
        </w:rPr>
        <w:t>S</w:t>
      </w:r>
      <w:r w:rsidRPr="00A4387D">
        <w:rPr>
          <w:szCs w:val="18"/>
          <w:lang w:val="fr-FR"/>
        </w:rPr>
        <w:t>iège de l</w:t>
      </w:r>
      <w:r w:rsidR="004937A0">
        <w:rPr>
          <w:szCs w:val="18"/>
          <w:lang w:val="fr-FR"/>
        </w:rPr>
        <w:t>’</w:t>
      </w:r>
      <w:r w:rsidRPr="00A4387D">
        <w:rPr>
          <w:szCs w:val="18"/>
          <w:lang w:val="fr-FR"/>
        </w:rPr>
        <w:t>Organisation des Nations Unies pour l</w:t>
      </w:r>
      <w:r w:rsidR="004937A0">
        <w:rPr>
          <w:szCs w:val="18"/>
          <w:lang w:val="fr-FR"/>
        </w:rPr>
        <w:t>’</w:t>
      </w:r>
      <w:r w:rsidRPr="00A4387D">
        <w:rPr>
          <w:szCs w:val="18"/>
          <w:lang w:val="fr-FR"/>
        </w:rPr>
        <w:t>alimentation et l</w:t>
      </w:r>
      <w:r w:rsidR="004937A0">
        <w:rPr>
          <w:szCs w:val="18"/>
          <w:lang w:val="fr-FR"/>
        </w:rPr>
        <w:t>’</w:t>
      </w:r>
      <w:r w:rsidRPr="00A4387D">
        <w:rPr>
          <w:szCs w:val="18"/>
          <w:lang w:val="fr-FR"/>
        </w:rPr>
        <w:t xml:space="preserve">agriculture (Washington, 31 octobre 1950), Nations Unies, </w:t>
      </w:r>
      <w:r w:rsidRPr="00A4387D">
        <w:rPr>
          <w:i/>
          <w:iCs/>
          <w:szCs w:val="18"/>
          <w:lang w:val="fr-FR"/>
        </w:rPr>
        <w:t>Recueil des Traités</w:t>
      </w:r>
      <w:r w:rsidRPr="00A4387D">
        <w:rPr>
          <w:szCs w:val="18"/>
          <w:lang w:val="fr-FR"/>
        </w:rPr>
        <w:t>,</w:t>
      </w:r>
      <w:r w:rsidRPr="00DD4F4E">
        <w:rPr>
          <w:szCs w:val="18"/>
          <w:lang w:val="fr-FR"/>
        </w:rPr>
        <w:t xml:space="preserve"> </w:t>
      </w:r>
      <w:r>
        <w:rPr>
          <w:szCs w:val="18"/>
          <w:lang w:val="fr-FR"/>
        </w:rPr>
        <w:t>vol. </w:t>
      </w:r>
      <w:r w:rsidRPr="00DD4F4E">
        <w:rPr>
          <w:szCs w:val="18"/>
          <w:lang w:val="fr-FR"/>
        </w:rPr>
        <w:t>1409, n</w:t>
      </w:r>
      <w:r w:rsidRPr="00DD4F4E">
        <w:rPr>
          <w:szCs w:val="18"/>
          <w:vertAlign w:val="superscript"/>
          <w:lang w:val="fr-FR"/>
        </w:rPr>
        <w:t>o</w:t>
      </w:r>
      <w:r w:rsidRPr="00DD4F4E">
        <w:rPr>
          <w:szCs w:val="18"/>
          <w:lang w:val="fr-FR"/>
        </w:rPr>
        <w:t xml:space="preserve"> 23602, </w:t>
      </w:r>
      <w:r>
        <w:rPr>
          <w:szCs w:val="18"/>
          <w:lang w:val="fr-FR"/>
        </w:rPr>
        <w:t>p. </w:t>
      </w:r>
      <w:r w:rsidRPr="00DD4F4E">
        <w:rPr>
          <w:szCs w:val="18"/>
          <w:lang w:val="fr-FR"/>
        </w:rPr>
        <w:t xml:space="preserve">521 ; </w:t>
      </w:r>
      <w:r>
        <w:rPr>
          <w:szCs w:val="18"/>
          <w:lang w:val="fr-FR"/>
        </w:rPr>
        <w:t>art. </w:t>
      </w:r>
      <w:r w:rsidRPr="00DD4F4E">
        <w:rPr>
          <w:szCs w:val="18"/>
          <w:lang w:val="fr-FR"/>
        </w:rPr>
        <w:t>29 (</w:t>
      </w:r>
      <w:r>
        <w:rPr>
          <w:szCs w:val="18"/>
          <w:lang w:val="fr-FR"/>
        </w:rPr>
        <w:t>par. </w:t>
      </w:r>
      <w:r w:rsidRPr="00DD4F4E">
        <w:rPr>
          <w:szCs w:val="18"/>
          <w:lang w:val="fr-FR"/>
        </w:rPr>
        <w:t>1), Accord (avec annexes) relatif au siège de l</w:t>
      </w:r>
      <w:r w:rsidR="004937A0">
        <w:rPr>
          <w:szCs w:val="18"/>
          <w:lang w:val="fr-FR"/>
        </w:rPr>
        <w:t>’</w:t>
      </w:r>
      <w:r w:rsidRPr="00DD4F4E">
        <w:rPr>
          <w:szCs w:val="18"/>
          <w:lang w:val="fr-FR"/>
        </w:rPr>
        <w:t xml:space="preserve">UNESCO et à ses privilèges et immunités sur le territoire français (Paris, 2 juillet 1954),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357, n</w:t>
      </w:r>
      <w:r w:rsidRPr="00DD4F4E">
        <w:rPr>
          <w:szCs w:val="18"/>
          <w:vertAlign w:val="superscript"/>
          <w:lang w:val="fr-FR"/>
        </w:rPr>
        <w:t>o</w:t>
      </w:r>
      <w:r w:rsidRPr="00DD4F4E">
        <w:rPr>
          <w:szCs w:val="18"/>
          <w:lang w:val="fr-FR"/>
        </w:rPr>
        <w:t xml:space="preserve"> 5103, </w:t>
      </w:r>
      <w:r>
        <w:rPr>
          <w:szCs w:val="18"/>
          <w:lang w:val="fr-FR"/>
        </w:rPr>
        <w:t>p. </w:t>
      </w:r>
      <w:r w:rsidRPr="00DD4F4E">
        <w:rPr>
          <w:szCs w:val="18"/>
          <w:lang w:val="fr-FR"/>
        </w:rPr>
        <w:t>3.</w:t>
      </w:r>
    </w:p>
  </w:footnote>
  <w:footnote w:id="57">
    <w:p w14:paraId="06054E63" w14:textId="189ED8E6" w:rsidR="00C324CF" w:rsidRPr="00DD4F4E" w:rsidRDefault="00C324CF" w:rsidP="00E9227E">
      <w:pPr>
        <w:pStyle w:val="Notedebasdepage"/>
        <w:rPr>
          <w:szCs w:val="18"/>
          <w:lang w:val="fr-FR"/>
        </w:rPr>
      </w:pPr>
      <w:r>
        <w:rPr>
          <w:szCs w:val="18"/>
          <w:lang w:val="fr-FR"/>
        </w:rPr>
        <w:tab/>
      </w:r>
      <w:r w:rsidRPr="00E9227E">
        <w:rPr>
          <w:rStyle w:val="Appelnotedebasdep"/>
        </w:rPr>
        <w:footnoteRef/>
      </w:r>
      <w:r>
        <w:rPr>
          <w:szCs w:val="18"/>
          <w:lang w:val="fr-FR"/>
        </w:rPr>
        <w:tab/>
      </w:r>
      <w:r w:rsidRPr="00DD4F4E">
        <w:rPr>
          <w:szCs w:val="18"/>
          <w:lang w:val="fr-FR"/>
        </w:rPr>
        <w:t xml:space="preserve">Voir </w:t>
      </w:r>
      <w:r w:rsidRPr="00DD4F4E">
        <w:rPr>
          <w:i/>
          <w:iCs/>
          <w:szCs w:val="18"/>
          <w:lang w:val="fr-FR"/>
        </w:rPr>
        <w:t>supra</w:t>
      </w:r>
      <w:r w:rsidRPr="00DD4F4E">
        <w:rPr>
          <w:szCs w:val="18"/>
          <w:lang w:val="fr-FR"/>
        </w:rPr>
        <w:t xml:space="preserve"> le paragraphe </w:t>
      </w:r>
      <w:r>
        <w:rPr>
          <w:szCs w:val="18"/>
          <w:lang w:val="fr-FR"/>
        </w:rPr>
        <w:t>6</w:t>
      </w:r>
      <w:r w:rsidRPr="00DD4F4E">
        <w:rPr>
          <w:szCs w:val="18"/>
          <w:lang w:val="fr-FR"/>
        </w:rPr>
        <w:t xml:space="preserve"> du commentaire du projet de directive 4. Voir aussi </w:t>
      </w:r>
      <w:hyperlink r:id="rId32" w:history="1">
        <w:r w:rsidRPr="00724308">
          <w:rPr>
            <w:rStyle w:val="Lienhypertexte"/>
            <w:szCs w:val="18"/>
            <w:lang w:val="fr-FR"/>
          </w:rPr>
          <w:t>A/CN.4/</w:t>
        </w:r>
        <w:r w:rsidR="00724308" w:rsidRPr="00724308">
          <w:rPr>
            <w:rStyle w:val="Lienhypertexte"/>
            <w:szCs w:val="18"/>
            <w:lang w:val="fr-FR"/>
          </w:rPr>
          <w:t>766</w:t>
        </w:r>
      </w:hyperlink>
      <w:r w:rsidRPr="00DD4F4E">
        <w:rPr>
          <w:szCs w:val="18"/>
          <w:lang w:val="fr-FR"/>
        </w:rPr>
        <w:t xml:space="preserve">, </w:t>
      </w:r>
      <w:r>
        <w:rPr>
          <w:szCs w:val="18"/>
          <w:lang w:val="fr-FR"/>
        </w:rPr>
        <w:t>par. </w:t>
      </w:r>
      <w:r w:rsidRPr="00DD4F4E">
        <w:rPr>
          <w:szCs w:val="18"/>
          <w:lang w:val="fr-FR"/>
        </w:rPr>
        <w:t xml:space="preserve">52 et </w:t>
      </w:r>
      <w:proofErr w:type="spellStart"/>
      <w:r w:rsidRPr="00DD4F4E">
        <w:rPr>
          <w:szCs w:val="18"/>
          <w:lang w:val="fr-FR"/>
        </w:rPr>
        <w:t>suiv</w:t>
      </w:r>
      <w:proofErr w:type="spellEnd"/>
      <w:r w:rsidRPr="00DD4F4E">
        <w:rPr>
          <w:szCs w:val="18"/>
          <w:lang w:val="fr-FR"/>
        </w:rPr>
        <w:t xml:space="preserve">. </w:t>
      </w:r>
    </w:p>
  </w:footnote>
  <w:footnote w:id="58">
    <w:p w14:paraId="149CE045" w14:textId="139D4E19"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Voir le rare exemple d</w:t>
      </w:r>
      <w:r w:rsidR="004937A0">
        <w:rPr>
          <w:szCs w:val="18"/>
          <w:lang w:val="fr-FR"/>
        </w:rPr>
        <w:t>’</w:t>
      </w:r>
      <w:r w:rsidRPr="00DD4F4E">
        <w:rPr>
          <w:szCs w:val="18"/>
          <w:lang w:val="fr-FR"/>
        </w:rPr>
        <w:t>un tel compromis dans l</w:t>
      </w:r>
      <w:r w:rsidR="004937A0">
        <w:rPr>
          <w:szCs w:val="18"/>
          <w:lang w:val="fr-FR"/>
        </w:rPr>
        <w:t>’</w:t>
      </w:r>
      <w:r w:rsidRPr="00DD4F4E">
        <w:rPr>
          <w:szCs w:val="18"/>
          <w:lang w:val="fr-FR"/>
        </w:rPr>
        <w:t>Échange de notes constituant un accord sur le règlement d</w:t>
      </w:r>
      <w:r w:rsidR="004937A0">
        <w:rPr>
          <w:szCs w:val="18"/>
          <w:lang w:val="fr-FR"/>
        </w:rPr>
        <w:t>’</w:t>
      </w:r>
      <w:r w:rsidRPr="00DD4F4E">
        <w:rPr>
          <w:szCs w:val="18"/>
          <w:lang w:val="fr-FR"/>
        </w:rPr>
        <w:t>un différend concernant l</w:t>
      </w:r>
      <w:r w:rsidR="004937A0">
        <w:rPr>
          <w:szCs w:val="18"/>
          <w:lang w:val="fr-FR"/>
        </w:rPr>
        <w:t>’</w:t>
      </w:r>
      <w:r w:rsidRPr="00DD4F4E">
        <w:rPr>
          <w:szCs w:val="18"/>
          <w:lang w:val="fr-FR"/>
        </w:rPr>
        <w:t>imposition des employés de la Communauté européenne de l</w:t>
      </w:r>
      <w:r w:rsidR="004937A0">
        <w:rPr>
          <w:szCs w:val="18"/>
          <w:lang w:val="fr-FR"/>
        </w:rPr>
        <w:t>’</w:t>
      </w:r>
      <w:r w:rsidRPr="00DD4F4E">
        <w:rPr>
          <w:szCs w:val="18"/>
          <w:lang w:val="fr-FR"/>
        </w:rPr>
        <w:t>énergie atomique (EURATOM) travaillant au Royaume-Uni à l</w:t>
      </w:r>
      <w:r w:rsidR="004937A0">
        <w:rPr>
          <w:szCs w:val="18"/>
          <w:lang w:val="fr-FR"/>
        </w:rPr>
        <w:t>’</w:t>
      </w:r>
      <w:r w:rsidRPr="00DD4F4E">
        <w:rPr>
          <w:szCs w:val="18"/>
          <w:lang w:val="fr-FR"/>
        </w:rPr>
        <w:t xml:space="preserve">exécution du Projet Dragon (Bruxelles, 11 juillet 1966),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639, n</w:t>
      </w:r>
      <w:r w:rsidRPr="00DD4F4E">
        <w:rPr>
          <w:szCs w:val="18"/>
          <w:vertAlign w:val="superscript"/>
          <w:lang w:val="fr-FR"/>
        </w:rPr>
        <w:t>o</w:t>
      </w:r>
      <w:r w:rsidRPr="00DD4F4E">
        <w:rPr>
          <w:szCs w:val="18"/>
          <w:lang w:val="fr-FR"/>
        </w:rPr>
        <w:t xml:space="preserve"> 9147, </w:t>
      </w:r>
      <w:r>
        <w:rPr>
          <w:szCs w:val="18"/>
          <w:lang w:val="fr-FR"/>
        </w:rPr>
        <w:t>p. </w:t>
      </w:r>
      <w:r w:rsidRPr="00DD4F4E">
        <w:rPr>
          <w:szCs w:val="18"/>
          <w:lang w:val="fr-FR"/>
        </w:rPr>
        <w:t>99, à la suite duquel a été rendue la sentence arbitrale en l</w:t>
      </w:r>
      <w:r w:rsidR="004937A0">
        <w:rPr>
          <w:szCs w:val="18"/>
          <w:lang w:val="fr-FR"/>
        </w:rPr>
        <w:t>’</w:t>
      </w:r>
      <w:r w:rsidRPr="00DD4F4E">
        <w:rPr>
          <w:szCs w:val="18"/>
          <w:lang w:val="fr-FR"/>
        </w:rPr>
        <w:t xml:space="preserve">affaire </w:t>
      </w:r>
      <w:r w:rsidRPr="00DD4F4E">
        <w:rPr>
          <w:i/>
          <w:iCs/>
          <w:szCs w:val="18"/>
          <w:lang w:val="fr-FR"/>
        </w:rPr>
        <w:t xml:space="preserve">Taxation </w:t>
      </w:r>
      <w:proofErr w:type="spellStart"/>
      <w:r w:rsidRPr="00DD4F4E">
        <w:rPr>
          <w:i/>
          <w:iCs/>
          <w:szCs w:val="18"/>
          <w:lang w:val="fr-FR"/>
        </w:rPr>
        <w:t>liability</w:t>
      </w:r>
      <w:proofErr w:type="spellEnd"/>
      <w:r w:rsidRPr="00DD4F4E">
        <w:rPr>
          <w:i/>
          <w:iCs/>
          <w:szCs w:val="18"/>
          <w:lang w:val="fr-FR"/>
        </w:rPr>
        <w:t xml:space="preserve"> of Euratom </w:t>
      </w:r>
      <w:proofErr w:type="spellStart"/>
      <w:r w:rsidRPr="00DD4F4E">
        <w:rPr>
          <w:i/>
          <w:iCs/>
          <w:szCs w:val="18"/>
          <w:lang w:val="fr-FR"/>
        </w:rPr>
        <w:t>employees</w:t>
      </w:r>
      <w:proofErr w:type="spellEnd"/>
      <w:r w:rsidRPr="00DD4F4E">
        <w:rPr>
          <w:i/>
          <w:iCs/>
          <w:szCs w:val="18"/>
          <w:lang w:val="fr-FR"/>
        </w:rPr>
        <w:t xml:space="preserve"> </w:t>
      </w:r>
      <w:proofErr w:type="spellStart"/>
      <w:r w:rsidRPr="00DD4F4E">
        <w:rPr>
          <w:i/>
          <w:iCs/>
          <w:szCs w:val="18"/>
          <w:lang w:val="fr-FR"/>
        </w:rPr>
        <w:t>between</w:t>
      </w:r>
      <w:proofErr w:type="spellEnd"/>
      <w:r w:rsidRPr="00DD4F4E">
        <w:rPr>
          <w:i/>
          <w:iCs/>
          <w:szCs w:val="18"/>
          <w:lang w:val="fr-FR"/>
        </w:rPr>
        <w:t xml:space="preserve"> the Commission of the </w:t>
      </w:r>
      <w:proofErr w:type="spellStart"/>
      <w:r w:rsidRPr="00DD4F4E">
        <w:rPr>
          <w:i/>
          <w:iCs/>
          <w:szCs w:val="18"/>
          <w:lang w:val="fr-FR"/>
        </w:rPr>
        <w:t>European</w:t>
      </w:r>
      <w:proofErr w:type="spellEnd"/>
      <w:r w:rsidRPr="00DD4F4E">
        <w:rPr>
          <w:i/>
          <w:iCs/>
          <w:szCs w:val="18"/>
          <w:lang w:val="fr-FR"/>
        </w:rPr>
        <w:t xml:space="preserve"> Atomic Energy Community (Euratom) and the United </w:t>
      </w:r>
      <w:proofErr w:type="spellStart"/>
      <w:r w:rsidRPr="00DD4F4E">
        <w:rPr>
          <w:i/>
          <w:iCs/>
          <w:szCs w:val="18"/>
          <w:lang w:val="fr-FR"/>
        </w:rPr>
        <w:t>Kingdom</w:t>
      </w:r>
      <w:proofErr w:type="spellEnd"/>
      <w:r w:rsidRPr="00DD4F4E">
        <w:rPr>
          <w:i/>
          <w:iCs/>
          <w:szCs w:val="18"/>
          <w:lang w:val="fr-FR"/>
        </w:rPr>
        <w:t xml:space="preserve"> Atomic Energy </w:t>
      </w:r>
      <w:proofErr w:type="spellStart"/>
      <w:r w:rsidRPr="00DD4F4E">
        <w:rPr>
          <w:i/>
          <w:iCs/>
          <w:szCs w:val="18"/>
          <w:lang w:val="fr-FR"/>
        </w:rPr>
        <w:t>Authority</w:t>
      </w:r>
      <w:proofErr w:type="spellEnd"/>
      <w:r w:rsidRPr="00DD4F4E">
        <w:rPr>
          <w:szCs w:val="18"/>
          <w:lang w:val="fr-FR"/>
        </w:rPr>
        <w:t xml:space="preserve">, 25 février 1967, Nations Unies, </w:t>
      </w:r>
      <w:r w:rsidRPr="00DD4F4E">
        <w:rPr>
          <w:i/>
          <w:iCs/>
          <w:szCs w:val="18"/>
          <w:lang w:val="fr-FR"/>
        </w:rPr>
        <w:t>Recueil des sentences arbitrales</w:t>
      </w:r>
      <w:r w:rsidRPr="00DD4F4E">
        <w:rPr>
          <w:szCs w:val="18"/>
          <w:lang w:val="fr-FR"/>
        </w:rPr>
        <w:t xml:space="preserve">, </w:t>
      </w:r>
      <w:r>
        <w:rPr>
          <w:szCs w:val="18"/>
          <w:lang w:val="fr-FR"/>
        </w:rPr>
        <w:t>vol. </w:t>
      </w:r>
      <w:r w:rsidRPr="00DD4F4E">
        <w:rPr>
          <w:szCs w:val="18"/>
          <w:lang w:val="fr-FR"/>
        </w:rPr>
        <w:t xml:space="preserve">XVIII, </w:t>
      </w:r>
      <w:r>
        <w:rPr>
          <w:szCs w:val="18"/>
          <w:lang w:val="fr-FR"/>
        </w:rPr>
        <w:t>p. </w:t>
      </w:r>
      <w:r w:rsidRPr="00DD4F4E">
        <w:rPr>
          <w:szCs w:val="18"/>
          <w:lang w:val="fr-FR"/>
        </w:rPr>
        <w:t xml:space="preserve">503. </w:t>
      </w:r>
    </w:p>
  </w:footnote>
  <w:footnote w:id="59">
    <w:p w14:paraId="6154624C" w14:textId="6ADB582D"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 xml:space="preserve">Voir, par exemple, </w:t>
      </w:r>
      <w:r w:rsidRPr="00DD4F4E">
        <w:rPr>
          <w:i/>
          <w:iCs/>
          <w:szCs w:val="18"/>
          <w:lang w:val="fr-FR"/>
        </w:rPr>
        <w:t>Annuaire …</w:t>
      </w:r>
      <w:r w:rsidRPr="00DD4F4E">
        <w:rPr>
          <w:szCs w:val="18"/>
          <w:lang w:val="fr-FR"/>
        </w:rPr>
        <w:t xml:space="preserve"> </w:t>
      </w:r>
      <w:r w:rsidRPr="00DD4F4E">
        <w:rPr>
          <w:i/>
          <w:iCs/>
          <w:szCs w:val="18"/>
          <w:lang w:val="fr-FR"/>
        </w:rPr>
        <w:t>2002</w:t>
      </w:r>
      <w:r w:rsidRPr="00DD4F4E">
        <w:rPr>
          <w:szCs w:val="18"/>
          <w:lang w:val="fr-FR"/>
        </w:rPr>
        <w:t xml:space="preserve">, </w:t>
      </w:r>
      <w:r>
        <w:rPr>
          <w:szCs w:val="18"/>
          <w:lang w:val="fr-FR"/>
        </w:rPr>
        <w:t>vol. </w:t>
      </w:r>
      <w:r w:rsidRPr="00DD4F4E">
        <w:rPr>
          <w:szCs w:val="18"/>
          <w:lang w:val="fr-FR"/>
        </w:rPr>
        <w:t>II (2</w:t>
      </w:r>
      <w:r w:rsidRPr="00DD4F4E">
        <w:rPr>
          <w:szCs w:val="18"/>
          <w:vertAlign w:val="superscript"/>
          <w:lang w:val="fr-FR"/>
        </w:rPr>
        <w:t>e</w:t>
      </w:r>
      <w:r w:rsidRPr="00DD4F4E">
        <w:rPr>
          <w:szCs w:val="18"/>
          <w:lang w:val="fr-FR"/>
        </w:rPr>
        <w:t xml:space="preserve"> partie), </w:t>
      </w:r>
      <w:r>
        <w:rPr>
          <w:szCs w:val="18"/>
          <w:lang w:val="fr-FR"/>
        </w:rPr>
        <w:t>par. </w:t>
      </w:r>
      <w:r w:rsidRPr="00DD4F4E">
        <w:rPr>
          <w:szCs w:val="18"/>
          <w:lang w:val="fr-FR"/>
        </w:rPr>
        <w:t xml:space="preserve">486, où il est indiqué que les moyens de règlement des différends dont disposent les organisations internationales, en particulier en ce qui concerne les questions de responsabilité, sont insuffisants. En outre, </w:t>
      </w:r>
      <w:r>
        <w:rPr>
          <w:szCs w:val="18"/>
          <w:lang w:val="fr-FR"/>
        </w:rPr>
        <w:t xml:space="preserve">une inscription au programme de </w:t>
      </w:r>
      <w:r w:rsidRPr="00DD4F4E">
        <w:rPr>
          <w:szCs w:val="18"/>
          <w:lang w:val="fr-FR"/>
        </w:rPr>
        <w:t xml:space="preserve">travail à long terme de la Commission </w:t>
      </w:r>
      <w:r>
        <w:rPr>
          <w:szCs w:val="18"/>
          <w:lang w:val="fr-FR"/>
        </w:rPr>
        <w:t xml:space="preserve">a été proposée pour </w:t>
      </w:r>
      <w:r w:rsidRPr="00DD4F4E">
        <w:rPr>
          <w:szCs w:val="18"/>
          <w:lang w:val="fr-FR"/>
        </w:rPr>
        <w:t>les sujets « Arrangements permettant à des organisations internationales de se constituer parties dans des affaires soumises à la Cour internationale de Justice </w:t>
      </w:r>
      <w:r w:rsidRPr="00A4387D">
        <w:rPr>
          <w:szCs w:val="18"/>
          <w:lang w:val="fr-FR"/>
        </w:rPr>
        <w:t>» (</w:t>
      </w:r>
      <w:r w:rsidRPr="00A4387D">
        <w:rPr>
          <w:i/>
          <w:iCs/>
          <w:szCs w:val="18"/>
          <w:lang w:val="fr-FR"/>
        </w:rPr>
        <w:t>Annuaire … 1968</w:t>
      </w:r>
      <w:r w:rsidRPr="00A4387D">
        <w:rPr>
          <w:szCs w:val="18"/>
          <w:lang w:val="fr-FR"/>
        </w:rPr>
        <w:t xml:space="preserve">, vol. II, document </w:t>
      </w:r>
      <w:hyperlink r:id="rId33" w:history="1">
        <w:r w:rsidRPr="00A4387D">
          <w:rPr>
            <w:rStyle w:val="Lienhypertexte"/>
            <w:szCs w:val="18"/>
            <w:lang w:val="fr-FR"/>
          </w:rPr>
          <w:t>A/7209/Rev.1</w:t>
        </w:r>
      </w:hyperlink>
      <w:r w:rsidRPr="00A4387D">
        <w:rPr>
          <w:szCs w:val="18"/>
          <w:lang w:val="fr-FR"/>
        </w:rPr>
        <w:t>, p. 242) et « Situation des organisations internationales devant la Cour internationale de Justice » (</w:t>
      </w:r>
      <w:r w:rsidRPr="00A4387D">
        <w:rPr>
          <w:i/>
          <w:iCs/>
          <w:szCs w:val="18"/>
          <w:lang w:val="fr-FR"/>
        </w:rPr>
        <w:t>Annuaire … 1970</w:t>
      </w:r>
      <w:r w:rsidRPr="00A4387D">
        <w:rPr>
          <w:szCs w:val="18"/>
          <w:lang w:val="fr-FR"/>
        </w:rPr>
        <w:t xml:space="preserve">, vol. II, document </w:t>
      </w:r>
      <w:hyperlink r:id="rId34" w:history="1">
        <w:r w:rsidRPr="00A4387D">
          <w:rPr>
            <w:rStyle w:val="Lienhypertexte"/>
            <w:szCs w:val="18"/>
            <w:lang w:val="fr-FR"/>
          </w:rPr>
          <w:t>A/CN.4/230</w:t>
        </w:r>
      </w:hyperlink>
      <w:r w:rsidRPr="00A4387D">
        <w:rPr>
          <w:szCs w:val="18"/>
          <w:lang w:val="fr-FR"/>
        </w:rPr>
        <w:t>, p. 287, par. 138</w:t>
      </w:r>
      <w:r w:rsidR="00434F55">
        <w:rPr>
          <w:szCs w:val="18"/>
          <w:lang w:val="fr-FR"/>
        </w:rPr>
        <w:t> </w:t>
      </w:r>
      <w:r w:rsidRPr="00A4387D">
        <w:rPr>
          <w:szCs w:val="18"/>
          <w:lang w:val="fr-FR"/>
        </w:rPr>
        <w:t xml:space="preserve">; </w:t>
      </w:r>
      <w:r w:rsidRPr="00A4387D">
        <w:rPr>
          <w:i/>
          <w:iCs/>
          <w:szCs w:val="18"/>
          <w:lang w:val="fr-FR"/>
        </w:rPr>
        <w:t>Annuaire …</w:t>
      </w:r>
      <w:r w:rsidRPr="00A4387D">
        <w:rPr>
          <w:szCs w:val="18"/>
          <w:lang w:val="fr-FR"/>
        </w:rPr>
        <w:t xml:space="preserve"> </w:t>
      </w:r>
      <w:r w:rsidRPr="00A4387D">
        <w:rPr>
          <w:i/>
          <w:iCs/>
          <w:szCs w:val="18"/>
          <w:lang w:val="fr-FR"/>
        </w:rPr>
        <w:t>2016</w:t>
      </w:r>
      <w:r w:rsidRPr="00A4387D">
        <w:rPr>
          <w:szCs w:val="18"/>
          <w:lang w:val="fr-FR"/>
        </w:rPr>
        <w:t>, vol. II (1</w:t>
      </w:r>
      <w:r w:rsidRPr="00A4387D">
        <w:rPr>
          <w:szCs w:val="18"/>
          <w:vertAlign w:val="superscript"/>
          <w:lang w:val="fr-FR"/>
        </w:rPr>
        <w:t>re</w:t>
      </w:r>
      <w:r w:rsidRPr="00A4387D">
        <w:rPr>
          <w:szCs w:val="18"/>
          <w:lang w:val="fr-FR"/>
        </w:rPr>
        <w:t xml:space="preserve"> partie), document </w:t>
      </w:r>
      <w:hyperlink r:id="rId35" w:history="1">
        <w:r w:rsidRPr="00A4387D">
          <w:rPr>
            <w:rStyle w:val="Lienhypertexte"/>
            <w:szCs w:val="18"/>
            <w:lang w:val="fr-FR"/>
          </w:rPr>
          <w:t>A/CN.4/679</w:t>
        </w:r>
      </w:hyperlink>
      <w:r w:rsidRPr="00A4387D">
        <w:rPr>
          <w:szCs w:val="18"/>
          <w:lang w:val="fr-FR"/>
        </w:rPr>
        <w:t>, par. 58)</w:t>
      </w:r>
      <w:r w:rsidRPr="00DD4F4E">
        <w:rPr>
          <w:szCs w:val="18"/>
          <w:lang w:val="fr-FR"/>
        </w:rPr>
        <w:t>.</w:t>
      </w:r>
    </w:p>
  </w:footnote>
  <w:footnote w:id="60">
    <w:p w14:paraId="7D4BF664" w14:textId="06E6703E" w:rsidR="00C324CF" w:rsidRPr="00434F55"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Rapport du Secrétaire général sur l</w:t>
      </w:r>
      <w:r w:rsidR="004937A0">
        <w:rPr>
          <w:szCs w:val="18"/>
          <w:lang w:val="fr-FR"/>
        </w:rPr>
        <w:t>’</w:t>
      </w:r>
      <w:r w:rsidRPr="00DD4F4E">
        <w:rPr>
          <w:szCs w:val="18"/>
          <w:lang w:val="fr-FR"/>
        </w:rPr>
        <w:t>examen du rôle de la Cour internationale de Justice (</w:t>
      </w:r>
      <w:r w:rsidRPr="00693DB6">
        <w:rPr>
          <w:szCs w:val="18"/>
          <w:lang w:val="fr-FR"/>
        </w:rPr>
        <w:t>A/8382</w:t>
      </w:r>
      <w:r w:rsidRPr="00DD4F4E">
        <w:rPr>
          <w:szCs w:val="18"/>
          <w:lang w:val="fr-FR"/>
        </w:rPr>
        <w:t>). Voir aussi Philippe Couvreur, «</w:t>
      </w:r>
      <w:r>
        <w:rPr>
          <w:szCs w:val="18"/>
          <w:lang w:val="fr-FR"/>
        </w:rPr>
        <w:t> </w:t>
      </w:r>
      <w:r w:rsidRPr="00DD4F4E">
        <w:rPr>
          <w:szCs w:val="18"/>
          <w:lang w:val="fr-FR"/>
        </w:rPr>
        <w:t>Développements récents concernant l</w:t>
      </w:r>
      <w:r w:rsidR="004937A0">
        <w:rPr>
          <w:szCs w:val="18"/>
          <w:lang w:val="fr-FR"/>
        </w:rPr>
        <w:t>’</w:t>
      </w:r>
      <w:r w:rsidRPr="00DD4F4E">
        <w:rPr>
          <w:szCs w:val="18"/>
          <w:lang w:val="fr-FR"/>
        </w:rPr>
        <w:t>accès des organisations intergouvernementales à la procédure contentieuse devant la Cour internationale de Justice</w:t>
      </w:r>
      <w:r>
        <w:rPr>
          <w:szCs w:val="18"/>
          <w:lang w:val="fr-FR"/>
        </w:rPr>
        <w:t> </w:t>
      </w:r>
      <w:r w:rsidRPr="00DD4F4E">
        <w:rPr>
          <w:szCs w:val="18"/>
          <w:lang w:val="fr-FR"/>
        </w:rPr>
        <w:t xml:space="preserve">», dans </w:t>
      </w:r>
      <w:proofErr w:type="spellStart"/>
      <w:r w:rsidRPr="00DD4F4E">
        <w:rPr>
          <w:szCs w:val="18"/>
          <w:lang w:val="fr-FR"/>
        </w:rPr>
        <w:t>Emile</w:t>
      </w:r>
      <w:proofErr w:type="spellEnd"/>
      <w:r w:rsidR="00434F55">
        <w:rPr>
          <w:szCs w:val="18"/>
          <w:lang w:val="fr-FR"/>
        </w:rPr>
        <w:t> </w:t>
      </w:r>
      <w:proofErr w:type="spellStart"/>
      <w:r w:rsidRPr="00DD4F4E">
        <w:rPr>
          <w:szCs w:val="18"/>
          <w:lang w:val="fr-FR"/>
        </w:rPr>
        <w:t>Yakpo</w:t>
      </w:r>
      <w:proofErr w:type="spellEnd"/>
      <w:r w:rsidRPr="00DD4F4E">
        <w:rPr>
          <w:szCs w:val="18"/>
          <w:lang w:val="fr-FR"/>
        </w:rPr>
        <w:t xml:space="preserve"> et Tahar </w:t>
      </w:r>
      <w:proofErr w:type="spellStart"/>
      <w:r w:rsidRPr="00DD4F4E">
        <w:rPr>
          <w:szCs w:val="18"/>
          <w:lang w:val="fr-FR"/>
        </w:rPr>
        <w:t>Boumedra</w:t>
      </w:r>
      <w:proofErr w:type="spellEnd"/>
      <w:r w:rsidRPr="00DD4F4E">
        <w:rPr>
          <w:szCs w:val="18"/>
          <w:lang w:val="fr-FR"/>
        </w:rPr>
        <w:t xml:space="preserve"> (</w:t>
      </w:r>
      <w:proofErr w:type="spellStart"/>
      <w:r w:rsidRPr="00DD4F4E">
        <w:rPr>
          <w:szCs w:val="18"/>
          <w:lang w:val="fr-FR"/>
        </w:rPr>
        <w:t>dir</w:t>
      </w:r>
      <w:proofErr w:type="spellEnd"/>
      <w:r w:rsidRPr="00DD4F4E">
        <w:rPr>
          <w:szCs w:val="18"/>
          <w:lang w:val="fr-FR"/>
        </w:rPr>
        <w:t xml:space="preserve">. </w:t>
      </w:r>
      <w:proofErr w:type="spellStart"/>
      <w:r w:rsidRPr="00DD4F4E">
        <w:rPr>
          <w:szCs w:val="18"/>
          <w:lang w:val="fr-FR"/>
        </w:rPr>
        <w:t>publ</w:t>
      </w:r>
      <w:proofErr w:type="spellEnd"/>
      <w:r w:rsidRPr="00DD4F4E">
        <w:rPr>
          <w:szCs w:val="18"/>
          <w:lang w:val="fr-FR"/>
        </w:rPr>
        <w:t xml:space="preserve">.), </w:t>
      </w:r>
      <w:r w:rsidRPr="00DD4F4E">
        <w:rPr>
          <w:i/>
          <w:iCs/>
          <w:szCs w:val="18"/>
          <w:lang w:val="fr-FR"/>
        </w:rPr>
        <w:t xml:space="preserve">Liber </w:t>
      </w:r>
      <w:proofErr w:type="spellStart"/>
      <w:r w:rsidRPr="00DD4F4E">
        <w:rPr>
          <w:i/>
          <w:iCs/>
          <w:szCs w:val="18"/>
          <w:lang w:val="fr-FR"/>
        </w:rPr>
        <w:t>Amicorum</w:t>
      </w:r>
      <w:proofErr w:type="spellEnd"/>
      <w:r w:rsidRPr="00DD4F4E">
        <w:rPr>
          <w:i/>
          <w:iCs/>
          <w:szCs w:val="18"/>
          <w:lang w:val="fr-FR"/>
        </w:rPr>
        <w:t xml:space="preserve"> Judge Mohammed </w:t>
      </w:r>
      <w:proofErr w:type="spellStart"/>
      <w:r w:rsidRPr="00DD4F4E">
        <w:rPr>
          <w:i/>
          <w:iCs/>
          <w:szCs w:val="18"/>
          <w:lang w:val="fr-FR"/>
        </w:rPr>
        <w:t>Bedjaoui</w:t>
      </w:r>
      <w:proofErr w:type="spellEnd"/>
      <w:r w:rsidRPr="00DD4F4E">
        <w:rPr>
          <w:szCs w:val="18"/>
          <w:lang w:val="fr-FR"/>
        </w:rPr>
        <w:t xml:space="preserve"> (La Haye, Kluwer Law International, 1999), </w:t>
      </w:r>
      <w:r>
        <w:rPr>
          <w:szCs w:val="18"/>
          <w:lang w:val="fr-FR"/>
        </w:rPr>
        <w:t>p. </w:t>
      </w:r>
      <w:r w:rsidRPr="00DD4F4E">
        <w:rPr>
          <w:szCs w:val="18"/>
          <w:lang w:val="fr-FR"/>
        </w:rPr>
        <w:t>293 à 323</w:t>
      </w:r>
      <w:r w:rsidR="00434F55">
        <w:rPr>
          <w:szCs w:val="18"/>
          <w:lang w:val="fr-FR"/>
        </w:rPr>
        <w:t> </w:t>
      </w:r>
      <w:r w:rsidRPr="00DD4F4E">
        <w:rPr>
          <w:szCs w:val="18"/>
          <w:lang w:val="fr-FR"/>
        </w:rPr>
        <w:t>; Ignaz Seidl-</w:t>
      </w:r>
      <w:proofErr w:type="spellStart"/>
      <w:r w:rsidRPr="00DD4F4E">
        <w:rPr>
          <w:szCs w:val="18"/>
          <w:lang w:val="fr-FR"/>
        </w:rPr>
        <w:t>Hohenveldern</w:t>
      </w:r>
      <w:proofErr w:type="spellEnd"/>
      <w:r w:rsidRPr="00DD4F4E">
        <w:rPr>
          <w:szCs w:val="18"/>
          <w:lang w:val="fr-FR"/>
        </w:rPr>
        <w:t xml:space="preserve">, « Access of international </w:t>
      </w:r>
      <w:proofErr w:type="spellStart"/>
      <w:r w:rsidRPr="00DD4F4E">
        <w:rPr>
          <w:szCs w:val="18"/>
          <w:lang w:val="fr-FR"/>
        </w:rPr>
        <w:t>organizations</w:t>
      </w:r>
      <w:proofErr w:type="spellEnd"/>
      <w:r w:rsidRPr="00DD4F4E">
        <w:rPr>
          <w:szCs w:val="18"/>
          <w:lang w:val="fr-FR"/>
        </w:rPr>
        <w:t xml:space="preserve"> to the International Court of Justice », dans A.</w:t>
      </w:r>
      <w:r w:rsidR="00434F55">
        <w:rPr>
          <w:szCs w:val="18"/>
          <w:lang w:val="fr-FR"/>
        </w:rPr>
        <w:t> </w:t>
      </w:r>
      <w:r w:rsidRPr="00DD4F4E">
        <w:rPr>
          <w:szCs w:val="18"/>
          <w:lang w:val="fr-FR"/>
        </w:rPr>
        <w:t xml:space="preserve">S. Muller, D. </w:t>
      </w:r>
      <w:proofErr w:type="spellStart"/>
      <w:r w:rsidRPr="00DD4F4E">
        <w:rPr>
          <w:szCs w:val="18"/>
          <w:lang w:val="fr-FR"/>
        </w:rPr>
        <w:t>Raič</w:t>
      </w:r>
      <w:proofErr w:type="spellEnd"/>
      <w:r w:rsidRPr="00DD4F4E">
        <w:rPr>
          <w:szCs w:val="18"/>
          <w:lang w:val="fr-FR"/>
        </w:rPr>
        <w:t xml:space="preserve"> et </w:t>
      </w:r>
      <w:r w:rsidRPr="00434F55">
        <w:rPr>
          <w:szCs w:val="18"/>
          <w:lang w:val="fr-FR"/>
        </w:rPr>
        <w:t>J.</w:t>
      </w:r>
      <w:r w:rsidR="00434F55" w:rsidRPr="00434F55">
        <w:rPr>
          <w:szCs w:val="18"/>
          <w:lang w:val="fr-FR"/>
        </w:rPr>
        <w:t> </w:t>
      </w:r>
      <w:r w:rsidRPr="00434F55">
        <w:rPr>
          <w:szCs w:val="18"/>
          <w:lang w:val="fr-FR"/>
        </w:rPr>
        <w:t xml:space="preserve">M. </w:t>
      </w:r>
      <w:proofErr w:type="spellStart"/>
      <w:r w:rsidRPr="00434F55">
        <w:rPr>
          <w:szCs w:val="18"/>
          <w:lang w:val="fr-FR"/>
        </w:rPr>
        <w:t>Thuránszky</w:t>
      </w:r>
      <w:proofErr w:type="spellEnd"/>
      <w:r w:rsidRPr="00434F55">
        <w:rPr>
          <w:szCs w:val="18"/>
          <w:lang w:val="fr-FR"/>
        </w:rPr>
        <w:t xml:space="preserve"> (</w:t>
      </w:r>
      <w:proofErr w:type="spellStart"/>
      <w:r w:rsidRPr="00434F55">
        <w:rPr>
          <w:szCs w:val="18"/>
          <w:lang w:val="fr-FR"/>
        </w:rPr>
        <w:t>dir</w:t>
      </w:r>
      <w:proofErr w:type="spellEnd"/>
      <w:r w:rsidRPr="00434F55">
        <w:rPr>
          <w:szCs w:val="18"/>
          <w:lang w:val="fr-FR"/>
        </w:rPr>
        <w:t xml:space="preserve">. </w:t>
      </w:r>
      <w:proofErr w:type="spellStart"/>
      <w:r w:rsidRPr="00434F55">
        <w:rPr>
          <w:szCs w:val="18"/>
          <w:lang w:val="fr-FR"/>
        </w:rPr>
        <w:t>publ</w:t>
      </w:r>
      <w:proofErr w:type="spellEnd"/>
      <w:r w:rsidRPr="00434F55">
        <w:rPr>
          <w:szCs w:val="18"/>
          <w:lang w:val="fr-FR"/>
        </w:rPr>
        <w:t xml:space="preserve">.), </w:t>
      </w:r>
      <w:r w:rsidRPr="00434F55">
        <w:rPr>
          <w:i/>
          <w:iCs/>
          <w:szCs w:val="18"/>
          <w:lang w:val="fr-FR"/>
        </w:rPr>
        <w:t>The International Court of Justice</w:t>
      </w:r>
      <w:r w:rsidRPr="00434F55">
        <w:rPr>
          <w:szCs w:val="18"/>
          <w:lang w:val="fr-FR"/>
        </w:rPr>
        <w:t xml:space="preserve"> (La Haye, Kluwer Law International, 1997), p. 189 à 203</w:t>
      </w:r>
      <w:r w:rsidR="00434F55" w:rsidRPr="00434F55">
        <w:rPr>
          <w:szCs w:val="18"/>
          <w:lang w:val="fr-FR"/>
        </w:rPr>
        <w:t> </w:t>
      </w:r>
      <w:r w:rsidRPr="00434F55">
        <w:rPr>
          <w:szCs w:val="18"/>
          <w:lang w:val="fr-FR"/>
        </w:rPr>
        <w:t xml:space="preserve">; Jerzy </w:t>
      </w:r>
      <w:proofErr w:type="spellStart"/>
      <w:r w:rsidRPr="00434F55">
        <w:rPr>
          <w:szCs w:val="18"/>
          <w:lang w:val="fr-FR"/>
        </w:rPr>
        <w:t>Sztucki</w:t>
      </w:r>
      <w:proofErr w:type="spellEnd"/>
      <w:r w:rsidRPr="00434F55">
        <w:rPr>
          <w:szCs w:val="18"/>
          <w:lang w:val="fr-FR"/>
        </w:rPr>
        <w:t xml:space="preserve">, « International </w:t>
      </w:r>
      <w:proofErr w:type="spellStart"/>
      <w:r w:rsidRPr="00434F55">
        <w:rPr>
          <w:szCs w:val="18"/>
          <w:lang w:val="fr-FR"/>
        </w:rPr>
        <w:t>organizations</w:t>
      </w:r>
      <w:proofErr w:type="spellEnd"/>
      <w:r w:rsidRPr="00434F55">
        <w:rPr>
          <w:szCs w:val="18"/>
          <w:lang w:val="fr-FR"/>
        </w:rPr>
        <w:t xml:space="preserve"> as parties to </w:t>
      </w:r>
      <w:proofErr w:type="spellStart"/>
      <w:r w:rsidRPr="00434F55">
        <w:rPr>
          <w:szCs w:val="18"/>
          <w:lang w:val="fr-FR"/>
        </w:rPr>
        <w:t>contentious</w:t>
      </w:r>
      <w:proofErr w:type="spellEnd"/>
      <w:r w:rsidRPr="00434F55">
        <w:rPr>
          <w:szCs w:val="18"/>
          <w:lang w:val="fr-FR"/>
        </w:rPr>
        <w:t xml:space="preserve"> </w:t>
      </w:r>
      <w:proofErr w:type="spellStart"/>
      <w:r w:rsidRPr="00434F55">
        <w:rPr>
          <w:szCs w:val="18"/>
          <w:lang w:val="fr-FR"/>
        </w:rPr>
        <w:t>proceedings</w:t>
      </w:r>
      <w:proofErr w:type="spellEnd"/>
      <w:r w:rsidRPr="00434F55">
        <w:rPr>
          <w:szCs w:val="18"/>
          <w:lang w:val="fr-FR"/>
        </w:rPr>
        <w:t xml:space="preserve"> </w:t>
      </w:r>
      <w:proofErr w:type="spellStart"/>
      <w:r w:rsidRPr="00434F55">
        <w:rPr>
          <w:szCs w:val="18"/>
          <w:lang w:val="fr-FR"/>
        </w:rPr>
        <w:t>before</w:t>
      </w:r>
      <w:proofErr w:type="spellEnd"/>
      <w:r w:rsidRPr="00434F55">
        <w:rPr>
          <w:szCs w:val="18"/>
          <w:lang w:val="fr-FR"/>
        </w:rPr>
        <w:t xml:space="preserve"> the International Court of Justice? », dans Muller, </w:t>
      </w:r>
      <w:proofErr w:type="spellStart"/>
      <w:r w:rsidRPr="00434F55">
        <w:rPr>
          <w:szCs w:val="18"/>
          <w:lang w:val="fr-FR"/>
        </w:rPr>
        <w:t>Raič</w:t>
      </w:r>
      <w:proofErr w:type="spellEnd"/>
      <w:r w:rsidRPr="00434F55">
        <w:rPr>
          <w:szCs w:val="18"/>
          <w:lang w:val="fr-FR"/>
        </w:rPr>
        <w:t xml:space="preserve"> et </w:t>
      </w:r>
      <w:proofErr w:type="spellStart"/>
      <w:r w:rsidRPr="00434F55">
        <w:rPr>
          <w:szCs w:val="18"/>
          <w:lang w:val="fr-FR"/>
        </w:rPr>
        <w:t>Thuránszky</w:t>
      </w:r>
      <w:proofErr w:type="spellEnd"/>
      <w:r w:rsidRPr="00434F55">
        <w:rPr>
          <w:szCs w:val="18"/>
          <w:lang w:val="fr-FR"/>
        </w:rPr>
        <w:t xml:space="preserve"> (</w:t>
      </w:r>
      <w:proofErr w:type="spellStart"/>
      <w:r w:rsidRPr="00434F55">
        <w:rPr>
          <w:szCs w:val="18"/>
          <w:lang w:val="fr-FR"/>
        </w:rPr>
        <w:t>dir</w:t>
      </w:r>
      <w:proofErr w:type="spellEnd"/>
      <w:r w:rsidRPr="00434F55">
        <w:rPr>
          <w:szCs w:val="18"/>
          <w:lang w:val="fr-FR"/>
        </w:rPr>
        <w:t xml:space="preserve">. </w:t>
      </w:r>
      <w:proofErr w:type="spellStart"/>
      <w:r w:rsidRPr="00434F55">
        <w:rPr>
          <w:szCs w:val="18"/>
          <w:lang w:val="fr-FR"/>
        </w:rPr>
        <w:t>publ</w:t>
      </w:r>
      <w:proofErr w:type="spellEnd"/>
      <w:r w:rsidRPr="00434F55">
        <w:rPr>
          <w:szCs w:val="18"/>
          <w:lang w:val="fr-FR"/>
        </w:rPr>
        <w:t xml:space="preserve">.), </w:t>
      </w:r>
      <w:r w:rsidRPr="00434F55">
        <w:rPr>
          <w:i/>
          <w:iCs/>
          <w:szCs w:val="18"/>
          <w:lang w:val="fr-FR"/>
        </w:rPr>
        <w:t>The International Court of Justice</w:t>
      </w:r>
      <w:r w:rsidRPr="00434F55">
        <w:rPr>
          <w:szCs w:val="18"/>
          <w:lang w:val="fr-FR"/>
        </w:rPr>
        <w:t>, p. 141 à 167</w:t>
      </w:r>
      <w:r w:rsidR="00434F55" w:rsidRPr="00434F55">
        <w:rPr>
          <w:szCs w:val="18"/>
          <w:lang w:val="fr-FR"/>
        </w:rPr>
        <w:t> </w:t>
      </w:r>
      <w:r w:rsidRPr="00434F55">
        <w:rPr>
          <w:szCs w:val="18"/>
          <w:lang w:val="fr-FR"/>
        </w:rPr>
        <w:t xml:space="preserve">; Tullio </w:t>
      </w:r>
      <w:proofErr w:type="spellStart"/>
      <w:r w:rsidRPr="00434F55">
        <w:rPr>
          <w:szCs w:val="18"/>
          <w:lang w:val="fr-FR"/>
        </w:rPr>
        <w:t>Treves</w:t>
      </w:r>
      <w:proofErr w:type="spellEnd"/>
      <w:r w:rsidRPr="00434F55">
        <w:rPr>
          <w:szCs w:val="18"/>
          <w:lang w:val="fr-FR"/>
        </w:rPr>
        <w:t xml:space="preserve">, « International </w:t>
      </w:r>
      <w:proofErr w:type="spellStart"/>
      <w:r w:rsidRPr="00434F55">
        <w:rPr>
          <w:szCs w:val="18"/>
          <w:lang w:val="fr-FR"/>
        </w:rPr>
        <w:t>organizations</w:t>
      </w:r>
      <w:proofErr w:type="spellEnd"/>
      <w:r w:rsidRPr="00434F55">
        <w:rPr>
          <w:szCs w:val="18"/>
          <w:lang w:val="fr-FR"/>
        </w:rPr>
        <w:t xml:space="preserve"> as parties to </w:t>
      </w:r>
      <w:proofErr w:type="spellStart"/>
      <w:r w:rsidRPr="00434F55">
        <w:rPr>
          <w:szCs w:val="18"/>
          <w:lang w:val="fr-FR"/>
        </w:rPr>
        <w:t>contentious</w:t>
      </w:r>
      <w:proofErr w:type="spellEnd"/>
      <w:r w:rsidRPr="00434F55">
        <w:rPr>
          <w:szCs w:val="18"/>
          <w:lang w:val="fr-FR"/>
        </w:rPr>
        <w:t xml:space="preserve"> cases: </w:t>
      </w:r>
      <w:proofErr w:type="spellStart"/>
      <w:r w:rsidRPr="00434F55">
        <w:rPr>
          <w:szCs w:val="18"/>
          <w:lang w:val="fr-FR"/>
        </w:rPr>
        <w:t>selected</w:t>
      </w:r>
      <w:proofErr w:type="spellEnd"/>
      <w:r w:rsidRPr="00434F55">
        <w:rPr>
          <w:szCs w:val="18"/>
          <w:lang w:val="fr-FR"/>
        </w:rPr>
        <w:t xml:space="preserve"> aspects », dans Laurence Boisson de </w:t>
      </w:r>
      <w:proofErr w:type="spellStart"/>
      <w:r w:rsidRPr="00434F55">
        <w:rPr>
          <w:szCs w:val="18"/>
          <w:lang w:val="fr-FR"/>
        </w:rPr>
        <w:t>Chazournes</w:t>
      </w:r>
      <w:proofErr w:type="spellEnd"/>
      <w:r w:rsidRPr="00434F55">
        <w:rPr>
          <w:szCs w:val="18"/>
          <w:lang w:val="fr-FR"/>
        </w:rPr>
        <w:t>, Cesare P.</w:t>
      </w:r>
      <w:r w:rsidR="00434F55" w:rsidRPr="00434F55">
        <w:rPr>
          <w:szCs w:val="18"/>
          <w:lang w:val="fr-FR"/>
        </w:rPr>
        <w:t> </w:t>
      </w:r>
      <w:r w:rsidRPr="00434F55">
        <w:rPr>
          <w:szCs w:val="18"/>
          <w:lang w:val="fr-FR"/>
        </w:rPr>
        <w:t>R. Romano et Ruth</w:t>
      </w:r>
      <w:r w:rsidR="00434F55" w:rsidRPr="00434F55">
        <w:rPr>
          <w:szCs w:val="18"/>
          <w:lang w:val="fr-FR"/>
        </w:rPr>
        <w:t> </w:t>
      </w:r>
      <w:r w:rsidRPr="00434F55">
        <w:rPr>
          <w:szCs w:val="18"/>
          <w:lang w:val="fr-FR"/>
        </w:rPr>
        <w:t>Mackenzie (</w:t>
      </w:r>
      <w:proofErr w:type="spellStart"/>
      <w:r w:rsidRPr="00434F55">
        <w:rPr>
          <w:szCs w:val="18"/>
          <w:lang w:val="fr-FR"/>
        </w:rPr>
        <w:t>dir</w:t>
      </w:r>
      <w:proofErr w:type="spellEnd"/>
      <w:r w:rsidRPr="00434F55">
        <w:rPr>
          <w:szCs w:val="18"/>
          <w:lang w:val="fr-FR"/>
        </w:rPr>
        <w:t xml:space="preserve">. </w:t>
      </w:r>
      <w:proofErr w:type="spellStart"/>
      <w:r w:rsidRPr="00434F55">
        <w:rPr>
          <w:szCs w:val="18"/>
          <w:lang w:val="fr-FR"/>
        </w:rPr>
        <w:t>publ</w:t>
      </w:r>
      <w:proofErr w:type="spellEnd"/>
      <w:r w:rsidRPr="00434F55">
        <w:rPr>
          <w:szCs w:val="18"/>
          <w:lang w:val="fr-FR"/>
        </w:rPr>
        <w:t xml:space="preserve">.), </w:t>
      </w:r>
      <w:r w:rsidRPr="00434F55">
        <w:rPr>
          <w:i/>
          <w:iCs/>
          <w:szCs w:val="18"/>
          <w:lang w:val="fr-FR"/>
        </w:rPr>
        <w:t xml:space="preserve">International Organizations and International Dispute </w:t>
      </w:r>
      <w:proofErr w:type="spellStart"/>
      <w:r w:rsidRPr="00434F55">
        <w:rPr>
          <w:i/>
          <w:iCs/>
          <w:szCs w:val="18"/>
          <w:lang w:val="fr-FR"/>
        </w:rPr>
        <w:t>Settlement</w:t>
      </w:r>
      <w:proofErr w:type="spellEnd"/>
      <w:r w:rsidRPr="00434F55">
        <w:rPr>
          <w:i/>
          <w:iCs/>
          <w:szCs w:val="18"/>
          <w:lang w:val="fr-FR"/>
        </w:rPr>
        <w:t>: Trends and Prospects</w:t>
      </w:r>
      <w:r w:rsidRPr="00434F55">
        <w:rPr>
          <w:szCs w:val="18"/>
          <w:lang w:val="fr-FR"/>
        </w:rPr>
        <w:t xml:space="preserve"> (</w:t>
      </w:r>
      <w:proofErr w:type="spellStart"/>
      <w:r w:rsidRPr="00434F55">
        <w:rPr>
          <w:szCs w:val="18"/>
          <w:lang w:val="fr-FR"/>
        </w:rPr>
        <w:t>Ardsley</w:t>
      </w:r>
      <w:proofErr w:type="spellEnd"/>
      <w:r w:rsidRPr="00434F55">
        <w:rPr>
          <w:szCs w:val="18"/>
          <w:lang w:val="fr-FR"/>
        </w:rPr>
        <w:t>, New York, Transnational Publishers, 2002), p. 37 à 46</w:t>
      </w:r>
      <w:r w:rsidR="00434F55" w:rsidRPr="00434F55">
        <w:rPr>
          <w:szCs w:val="18"/>
          <w:lang w:val="fr-FR"/>
        </w:rPr>
        <w:t> </w:t>
      </w:r>
      <w:r w:rsidRPr="00434F55">
        <w:rPr>
          <w:szCs w:val="18"/>
          <w:lang w:val="fr-FR"/>
        </w:rPr>
        <w:t xml:space="preserve">; Association de droit international, rapport final sur la responsabilité des organisations internationales, </w:t>
      </w:r>
      <w:r w:rsidRPr="00434F55">
        <w:rPr>
          <w:i/>
          <w:iCs/>
          <w:szCs w:val="18"/>
          <w:lang w:val="fr-FR"/>
        </w:rPr>
        <w:t xml:space="preserve">Report of the </w:t>
      </w:r>
      <w:proofErr w:type="spellStart"/>
      <w:r w:rsidRPr="00434F55">
        <w:rPr>
          <w:i/>
          <w:iCs/>
          <w:szCs w:val="18"/>
          <w:lang w:val="fr-FR"/>
        </w:rPr>
        <w:t>Seventy</w:t>
      </w:r>
      <w:proofErr w:type="spellEnd"/>
      <w:r w:rsidRPr="00434F55">
        <w:rPr>
          <w:i/>
          <w:iCs/>
          <w:szCs w:val="18"/>
          <w:lang w:val="fr-FR"/>
        </w:rPr>
        <w:t xml:space="preserve">-first </w:t>
      </w:r>
      <w:proofErr w:type="spellStart"/>
      <w:r w:rsidRPr="00434F55">
        <w:rPr>
          <w:i/>
          <w:iCs/>
          <w:szCs w:val="18"/>
          <w:lang w:val="fr-FR"/>
        </w:rPr>
        <w:t>Conference</w:t>
      </w:r>
      <w:proofErr w:type="spellEnd"/>
      <w:r w:rsidRPr="00434F55">
        <w:rPr>
          <w:i/>
          <w:iCs/>
          <w:szCs w:val="18"/>
          <w:lang w:val="fr-FR"/>
        </w:rPr>
        <w:t xml:space="preserve"> </w:t>
      </w:r>
      <w:proofErr w:type="spellStart"/>
      <w:r w:rsidRPr="00434F55">
        <w:rPr>
          <w:i/>
          <w:iCs/>
          <w:szCs w:val="18"/>
          <w:lang w:val="fr-FR"/>
        </w:rPr>
        <w:t>held</w:t>
      </w:r>
      <w:proofErr w:type="spellEnd"/>
      <w:r w:rsidRPr="00434F55">
        <w:rPr>
          <w:i/>
          <w:iCs/>
          <w:szCs w:val="18"/>
          <w:lang w:val="fr-FR"/>
        </w:rPr>
        <w:t xml:space="preserve"> in Berlin, 16-21 August 2004</w:t>
      </w:r>
      <w:r w:rsidRPr="00434F55">
        <w:rPr>
          <w:szCs w:val="18"/>
          <w:lang w:val="fr-FR"/>
        </w:rPr>
        <w:t>, p. 231 à 233.</w:t>
      </w:r>
    </w:p>
  </w:footnote>
  <w:footnote w:id="61">
    <w:p w14:paraId="66385309" w14:textId="77777777" w:rsidR="00C324CF" w:rsidRPr="00DD4F4E" w:rsidRDefault="00C324CF" w:rsidP="00E9227E">
      <w:pPr>
        <w:pStyle w:val="Notedebasdepage"/>
        <w:rPr>
          <w:szCs w:val="18"/>
          <w:lang w:val="fr-FR"/>
        </w:rPr>
      </w:pPr>
      <w:r w:rsidRPr="00434F55">
        <w:rPr>
          <w:szCs w:val="18"/>
          <w:lang w:val="fr-FR"/>
        </w:rPr>
        <w:tab/>
      </w:r>
      <w:r w:rsidRPr="00E9227E">
        <w:rPr>
          <w:rStyle w:val="Appelnotedebasdep"/>
        </w:rPr>
        <w:footnoteRef/>
      </w:r>
      <w:r>
        <w:rPr>
          <w:szCs w:val="18"/>
          <w:lang w:val="fr-FR"/>
        </w:rPr>
        <w:tab/>
      </w:r>
      <w:r w:rsidRPr="00DD4F4E">
        <w:rPr>
          <w:szCs w:val="18"/>
          <w:lang w:val="fr-FR"/>
        </w:rPr>
        <w:t xml:space="preserve">Voir </w:t>
      </w:r>
      <w:r w:rsidRPr="00DD4F4E">
        <w:rPr>
          <w:i/>
          <w:iCs/>
          <w:szCs w:val="18"/>
          <w:lang w:val="fr-FR"/>
        </w:rPr>
        <w:t>supra</w:t>
      </w:r>
      <w:r w:rsidRPr="00DD4F4E">
        <w:rPr>
          <w:szCs w:val="18"/>
          <w:lang w:val="fr-FR"/>
        </w:rPr>
        <w:t xml:space="preserve"> le paragraphe 2 du commentaire du projet de directive 4. </w:t>
      </w:r>
    </w:p>
  </w:footnote>
  <w:footnote w:id="62">
    <w:p w14:paraId="19D67217" w14:textId="4ECCA528" w:rsidR="00C324CF" w:rsidRPr="00DD4F4E" w:rsidRDefault="00C324CF" w:rsidP="00E9227E">
      <w:pPr>
        <w:pStyle w:val="Notedebasdepage"/>
        <w:rPr>
          <w:szCs w:val="18"/>
          <w:lang w:val="fr-FR"/>
        </w:rPr>
      </w:pPr>
      <w:r w:rsidRPr="00656774">
        <w:rPr>
          <w:szCs w:val="18"/>
        </w:rPr>
        <w:tab/>
      </w:r>
      <w:r w:rsidRPr="00E9227E">
        <w:rPr>
          <w:rStyle w:val="Appelnotedebasdep"/>
        </w:rPr>
        <w:footnoteRef/>
      </w:r>
      <w:r w:rsidRPr="00DD4F4E">
        <w:rPr>
          <w:szCs w:val="18"/>
          <w:lang w:val="fr-FR"/>
        </w:rPr>
        <w:tab/>
        <w:t>Résolution </w:t>
      </w:r>
      <w:hyperlink r:id="rId36" w:history="1">
        <w:r w:rsidRPr="00DD4F4E">
          <w:rPr>
            <w:rStyle w:val="Lienhypertexte"/>
            <w:szCs w:val="18"/>
            <w:lang w:val="fr-FR"/>
          </w:rPr>
          <w:t>67/1</w:t>
        </w:r>
      </w:hyperlink>
      <w:r w:rsidRPr="00DD4F4E">
        <w:rPr>
          <w:szCs w:val="18"/>
          <w:lang w:val="fr-FR"/>
        </w:rPr>
        <w:t xml:space="preserve"> de l</w:t>
      </w:r>
      <w:r w:rsidR="004937A0">
        <w:rPr>
          <w:szCs w:val="18"/>
          <w:lang w:val="fr-FR"/>
        </w:rPr>
        <w:t>’</w:t>
      </w:r>
      <w:r w:rsidRPr="00DD4F4E">
        <w:rPr>
          <w:szCs w:val="18"/>
          <w:lang w:val="fr-FR"/>
        </w:rPr>
        <w:t xml:space="preserve">Assemblée générale en date du 24 septembre 2012. </w:t>
      </w:r>
    </w:p>
  </w:footnote>
  <w:footnote w:id="63">
    <w:p w14:paraId="52E38C75" w14:textId="60E6276D" w:rsidR="00C324CF" w:rsidRPr="00DD4F4E" w:rsidRDefault="00C324CF" w:rsidP="00E9227E">
      <w:pPr>
        <w:pStyle w:val="Notedebasdepage"/>
        <w:rPr>
          <w:szCs w:val="18"/>
          <w:lang w:val="fr-FR"/>
        </w:rPr>
      </w:pPr>
      <w:r>
        <w:rPr>
          <w:szCs w:val="18"/>
          <w:lang w:val="fr-FR"/>
        </w:rPr>
        <w:tab/>
      </w:r>
      <w:r w:rsidRPr="00E9227E">
        <w:rPr>
          <w:rStyle w:val="Appelnotedebasdep"/>
        </w:rPr>
        <w:footnoteRef/>
      </w:r>
      <w:r w:rsidRPr="00DD4F4E">
        <w:rPr>
          <w:szCs w:val="18"/>
          <w:lang w:val="fr-FR"/>
        </w:rPr>
        <w:tab/>
        <w:t xml:space="preserve">Voir, plus récemment, la résolution </w:t>
      </w:r>
      <w:hyperlink r:id="rId37" w:history="1">
        <w:r w:rsidRPr="00DD4F4E">
          <w:rPr>
            <w:rStyle w:val="Lienhypertexte"/>
            <w:szCs w:val="18"/>
            <w:lang w:val="fr-FR"/>
          </w:rPr>
          <w:t>78/112</w:t>
        </w:r>
      </w:hyperlink>
      <w:r w:rsidRPr="00DD4F4E">
        <w:rPr>
          <w:szCs w:val="18"/>
          <w:lang w:val="fr-FR"/>
        </w:rPr>
        <w:t xml:space="preserve"> de l</w:t>
      </w:r>
      <w:r w:rsidR="004937A0">
        <w:rPr>
          <w:szCs w:val="18"/>
          <w:lang w:val="fr-FR"/>
        </w:rPr>
        <w:t>’</w:t>
      </w:r>
      <w:r w:rsidRPr="00DD4F4E">
        <w:rPr>
          <w:szCs w:val="18"/>
          <w:lang w:val="fr-FR"/>
        </w:rPr>
        <w:t>Assemblée générale en date du 7 décembre 2023 sur l</w:t>
      </w:r>
      <w:r w:rsidR="004937A0">
        <w:rPr>
          <w:szCs w:val="18"/>
          <w:lang w:val="fr-FR"/>
        </w:rPr>
        <w:t>’</w:t>
      </w:r>
      <w:r w:rsidRPr="00DD4F4E">
        <w:rPr>
          <w:szCs w:val="18"/>
          <w:lang w:val="fr-FR"/>
        </w:rPr>
        <w:t>état de droit aux niveaux national et international</w:t>
      </w:r>
      <w:r w:rsidR="00434F55">
        <w:rPr>
          <w:szCs w:val="18"/>
          <w:lang w:val="fr-FR"/>
        </w:rPr>
        <w:t> </w:t>
      </w:r>
      <w:r w:rsidRPr="00DD4F4E">
        <w:rPr>
          <w:szCs w:val="18"/>
          <w:lang w:val="fr-FR"/>
        </w:rPr>
        <w:t xml:space="preserve">; la résolution </w:t>
      </w:r>
      <w:hyperlink r:id="rId38" w:history="1">
        <w:r w:rsidRPr="00DD4F4E">
          <w:rPr>
            <w:rStyle w:val="Lienhypertexte"/>
            <w:szCs w:val="18"/>
            <w:lang w:val="fr-FR"/>
          </w:rPr>
          <w:t>77/110</w:t>
        </w:r>
      </w:hyperlink>
      <w:r w:rsidRPr="00DD4F4E">
        <w:rPr>
          <w:szCs w:val="18"/>
          <w:lang w:val="fr-FR"/>
        </w:rPr>
        <w:t xml:space="preserve"> de l</w:t>
      </w:r>
      <w:r w:rsidR="004937A0">
        <w:rPr>
          <w:szCs w:val="18"/>
          <w:lang w:val="fr-FR"/>
        </w:rPr>
        <w:t>’</w:t>
      </w:r>
      <w:r w:rsidRPr="00DD4F4E">
        <w:rPr>
          <w:szCs w:val="18"/>
          <w:lang w:val="fr-FR"/>
        </w:rPr>
        <w:t>Assemblée générale en date du 7 décembre 2022 sur l</w:t>
      </w:r>
      <w:r w:rsidR="004937A0">
        <w:rPr>
          <w:szCs w:val="18"/>
          <w:lang w:val="fr-FR"/>
        </w:rPr>
        <w:t>’</w:t>
      </w:r>
      <w:r w:rsidRPr="00DD4F4E">
        <w:rPr>
          <w:szCs w:val="18"/>
          <w:lang w:val="fr-FR"/>
        </w:rPr>
        <w:t>état de droit aux niveaux national et international</w:t>
      </w:r>
      <w:r w:rsidR="00434F55">
        <w:rPr>
          <w:szCs w:val="18"/>
          <w:lang w:val="fr-FR"/>
        </w:rPr>
        <w:t> </w:t>
      </w:r>
      <w:r w:rsidRPr="00DD4F4E">
        <w:rPr>
          <w:szCs w:val="18"/>
          <w:lang w:val="fr-FR"/>
        </w:rPr>
        <w:t xml:space="preserve">; la résolution </w:t>
      </w:r>
      <w:hyperlink r:id="rId39" w:history="1">
        <w:r w:rsidRPr="00DD4F4E">
          <w:rPr>
            <w:rStyle w:val="Lienhypertexte"/>
            <w:szCs w:val="18"/>
            <w:lang w:val="fr-FR"/>
          </w:rPr>
          <w:t>76/117</w:t>
        </w:r>
      </w:hyperlink>
      <w:r w:rsidRPr="00DD4F4E">
        <w:rPr>
          <w:szCs w:val="18"/>
          <w:lang w:val="fr-FR"/>
        </w:rPr>
        <w:t xml:space="preserve"> de l</w:t>
      </w:r>
      <w:r w:rsidR="004937A0">
        <w:rPr>
          <w:szCs w:val="18"/>
          <w:lang w:val="fr-FR"/>
        </w:rPr>
        <w:t>’</w:t>
      </w:r>
      <w:r w:rsidRPr="00DD4F4E">
        <w:rPr>
          <w:szCs w:val="18"/>
          <w:lang w:val="fr-FR"/>
        </w:rPr>
        <w:t>Assemblée générale en date du 9 décembre 2021 sur l</w:t>
      </w:r>
      <w:r w:rsidR="004937A0">
        <w:rPr>
          <w:szCs w:val="18"/>
          <w:lang w:val="fr-FR"/>
        </w:rPr>
        <w:t>’</w:t>
      </w:r>
      <w:r w:rsidRPr="00DD4F4E">
        <w:rPr>
          <w:szCs w:val="18"/>
          <w:lang w:val="fr-FR"/>
        </w:rPr>
        <w:t xml:space="preserve">état de droit aux niveaux national et international. </w:t>
      </w:r>
    </w:p>
  </w:footnote>
  <w:footnote w:id="64">
    <w:p w14:paraId="7E9055DE" w14:textId="62B58669" w:rsidR="00C324CF" w:rsidRPr="00DD4F4E" w:rsidRDefault="00C324CF" w:rsidP="00E9227E">
      <w:pPr>
        <w:pStyle w:val="Notedebasdepage"/>
        <w:rPr>
          <w:szCs w:val="18"/>
          <w:lang w:val="fr-FR"/>
        </w:rPr>
      </w:pPr>
      <w:r>
        <w:rPr>
          <w:szCs w:val="18"/>
          <w:lang w:val="fr-FR"/>
        </w:rPr>
        <w:tab/>
      </w:r>
      <w:r w:rsidRPr="00E9227E">
        <w:rPr>
          <w:rStyle w:val="Appelnotedebasdep"/>
        </w:rPr>
        <w:footnoteRef/>
      </w:r>
      <w:r w:rsidRPr="00DD4F4E">
        <w:rPr>
          <w:szCs w:val="18"/>
          <w:lang w:val="fr-FR"/>
        </w:rPr>
        <w:tab/>
        <w:t>Résolution </w:t>
      </w:r>
      <w:hyperlink r:id="rId40" w:history="1">
        <w:r w:rsidRPr="00DD4F4E">
          <w:rPr>
            <w:rStyle w:val="Lienhypertexte"/>
            <w:szCs w:val="18"/>
            <w:lang w:val="fr-FR"/>
          </w:rPr>
          <w:t>67/1</w:t>
        </w:r>
      </w:hyperlink>
      <w:r w:rsidRPr="00DD4F4E">
        <w:rPr>
          <w:szCs w:val="18"/>
          <w:lang w:val="fr-FR"/>
        </w:rPr>
        <w:t xml:space="preserve"> de l</w:t>
      </w:r>
      <w:r w:rsidR="004937A0">
        <w:rPr>
          <w:szCs w:val="18"/>
          <w:lang w:val="fr-FR"/>
        </w:rPr>
        <w:t>’</w:t>
      </w:r>
      <w:r w:rsidRPr="00DD4F4E">
        <w:rPr>
          <w:szCs w:val="18"/>
          <w:lang w:val="fr-FR"/>
        </w:rPr>
        <w:t xml:space="preserve">Assemblée générale, </w:t>
      </w:r>
      <w:r>
        <w:rPr>
          <w:szCs w:val="18"/>
          <w:lang w:val="fr-FR"/>
        </w:rPr>
        <w:t>par. </w:t>
      </w:r>
      <w:r w:rsidRPr="00DD4F4E">
        <w:rPr>
          <w:szCs w:val="18"/>
          <w:lang w:val="fr-FR"/>
        </w:rPr>
        <w:t xml:space="preserve">2. </w:t>
      </w:r>
    </w:p>
  </w:footnote>
  <w:footnote w:id="65">
    <w:p w14:paraId="023B1F09" w14:textId="1C42BB3C"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sidRPr="00DD4F4E">
        <w:rPr>
          <w:szCs w:val="18"/>
          <w:lang w:val="fr-FR"/>
        </w:rPr>
        <w:tab/>
        <w:t xml:space="preserve">Voir, par exemple, </w:t>
      </w:r>
      <w:r>
        <w:rPr>
          <w:szCs w:val="18"/>
          <w:lang w:val="fr-FR"/>
        </w:rPr>
        <w:t>art. </w:t>
      </w:r>
      <w:r w:rsidRPr="00DD4F4E">
        <w:rPr>
          <w:szCs w:val="18"/>
          <w:lang w:val="fr-FR"/>
        </w:rPr>
        <w:t>4 et 7 (</w:t>
      </w:r>
      <w:r>
        <w:rPr>
          <w:szCs w:val="18"/>
          <w:lang w:val="fr-FR"/>
        </w:rPr>
        <w:t>par. </w:t>
      </w:r>
      <w:r w:rsidRPr="00DD4F4E">
        <w:rPr>
          <w:szCs w:val="18"/>
          <w:lang w:val="fr-FR"/>
        </w:rPr>
        <w:t>1) du Règlement facultatif de conciliation de la Cour permanente d</w:t>
      </w:r>
      <w:r w:rsidR="004937A0">
        <w:rPr>
          <w:szCs w:val="18"/>
          <w:lang w:val="fr-FR"/>
        </w:rPr>
        <w:t>’</w:t>
      </w:r>
      <w:r w:rsidRPr="00DD4F4E">
        <w:rPr>
          <w:szCs w:val="18"/>
          <w:lang w:val="fr-FR"/>
        </w:rPr>
        <w:t>arbitrage (1996)</w:t>
      </w:r>
      <w:r w:rsidR="00434F55">
        <w:rPr>
          <w:szCs w:val="18"/>
          <w:lang w:val="fr-FR"/>
        </w:rPr>
        <w:t> </w:t>
      </w:r>
      <w:r w:rsidRPr="00DD4F4E">
        <w:rPr>
          <w:szCs w:val="18"/>
          <w:lang w:val="fr-FR"/>
        </w:rPr>
        <w:t xml:space="preserve">; </w:t>
      </w:r>
      <w:r>
        <w:rPr>
          <w:szCs w:val="18"/>
          <w:lang w:val="fr-FR"/>
        </w:rPr>
        <w:t>art. </w:t>
      </w:r>
      <w:r w:rsidRPr="00DD4F4E">
        <w:rPr>
          <w:szCs w:val="18"/>
          <w:lang w:val="fr-FR"/>
        </w:rPr>
        <w:t>12 à 14 de la Convention pour le règlement des différends relatifs aux investissements entre États et ressortissants d</w:t>
      </w:r>
      <w:r w:rsidR="004937A0">
        <w:rPr>
          <w:szCs w:val="18"/>
          <w:lang w:val="fr-FR"/>
        </w:rPr>
        <w:t>’</w:t>
      </w:r>
      <w:r w:rsidRPr="00DD4F4E">
        <w:rPr>
          <w:szCs w:val="18"/>
          <w:lang w:val="fr-FR"/>
        </w:rPr>
        <w:t>autres États (Washington, 18 mars 1965), Nations</w:t>
      </w:r>
      <w:r>
        <w:rPr>
          <w:szCs w:val="18"/>
          <w:lang w:val="fr-FR"/>
        </w:rPr>
        <w:t> </w:t>
      </w:r>
      <w:r w:rsidRPr="00DD4F4E">
        <w:rPr>
          <w:szCs w:val="18"/>
          <w:lang w:val="fr-FR"/>
        </w:rPr>
        <w:t xml:space="preserve">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575, n</w:t>
      </w:r>
      <w:r w:rsidRPr="00DD4F4E">
        <w:rPr>
          <w:szCs w:val="18"/>
          <w:vertAlign w:val="superscript"/>
          <w:lang w:val="fr-FR"/>
        </w:rPr>
        <w:t>o</w:t>
      </w:r>
      <w:r w:rsidRPr="00DD4F4E">
        <w:rPr>
          <w:szCs w:val="18"/>
          <w:lang w:val="fr-FR"/>
        </w:rPr>
        <w:t xml:space="preserve"> 8359, </w:t>
      </w:r>
      <w:r>
        <w:rPr>
          <w:szCs w:val="18"/>
          <w:lang w:val="fr-FR"/>
        </w:rPr>
        <w:t>p. </w:t>
      </w:r>
      <w:r w:rsidRPr="00DD4F4E">
        <w:rPr>
          <w:szCs w:val="18"/>
          <w:lang w:val="fr-FR"/>
        </w:rPr>
        <w:t>159</w:t>
      </w:r>
      <w:r w:rsidR="00434F55">
        <w:rPr>
          <w:szCs w:val="18"/>
          <w:lang w:val="fr-FR"/>
        </w:rPr>
        <w:t> </w:t>
      </w:r>
      <w:r w:rsidRPr="00DD4F4E">
        <w:rPr>
          <w:szCs w:val="18"/>
          <w:lang w:val="fr-FR"/>
        </w:rPr>
        <w:t xml:space="preserve">; </w:t>
      </w:r>
      <w:r>
        <w:rPr>
          <w:szCs w:val="18"/>
          <w:lang w:val="fr-FR"/>
        </w:rPr>
        <w:t>art. </w:t>
      </w:r>
      <w:r w:rsidRPr="00DD4F4E">
        <w:rPr>
          <w:szCs w:val="18"/>
          <w:lang w:val="fr-FR"/>
        </w:rPr>
        <w:t>5 de la Convention relative à la conciliation et à l</w:t>
      </w:r>
      <w:r w:rsidR="004937A0">
        <w:rPr>
          <w:szCs w:val="18"/>
          <w:lang w:val="fr-FR"/>
        </w:rPr>
        <w:t>’</w:t>
      </w:r>
      <w:r w:rsidRPr="00DD4F4E">
        <w:rPr>
          <w:szCs w:val="18"/>
          <w:lang w:val="fr-FR"/>
        </w:rPr>
        <w:t xml:space="preserve">arbitrage au sein de la Conférence sur la sécurité et la coopération en Europe (Stockholm, 15 décembre 1992), Nations Unies, </w:t>
      </w:r>
      <w:r w:rsidRPr="00DD4F4E">
        <w:rPr>
          <w:i/>
          <w:iCs/>
          <w:szCs w:val="18"/>
          <w:lang w:val="fr-FR"/>
        </w:rPr>
        <w:t>Recueil des Traités</w:t>
      </w:r>
      <w:r w:rsidRPr="00DD4F4E">
        <w:rPr>
          <w:szCs w:val="18"/>
          <w:lang w:val="fr-FR"/>
        </w:rPr>
        <w:t xml:space="preserve">, </w:t>
      </w:r>
      <w:r>
        <w:rPr>
          <w:szCs w:val="18"/>
          <w:lang w:val="fr-FR"/>
        </w:rPr>
        <w:t>vol. </w:t>
      </w:r>
      <w:r w:rsidRPr="00DD4F4E">
        <w:rPr>
          <w:szCs w:val="18"/>
          <w:lang w:val="fr-FR"/>
        </w:rPr>
        <w:t>1842, n</w:t>
      </w:r>
      <w:r w:rsidRPr="00DD4F4E">
        <w:rPr>
          <w:szCs w:val="18"/>
          <w:vertAlign w:val="superscript"/>
          <w:lang w:val="fr-FR"/>
        </w:rPr>
        <w:t>o</w:t>
      </w:r>
      <w:r w:rsidRPr="00DD4F4E">
        <w:rPr>
          <w:szCs w:val="18"/>
          <w:lang w:val="fr-FR"/>
        </w:rPr>
        <w:t xml:space="preserve"> 31413, </w:t>
      </w:r>
      <w:r>
        <w:rPr>
          <w:szCs w:val="18"/>
          <w:lang w:val="fr-FR"/>
        </w:rPr>
        <w:t>p. </w:t>
      </w:r>
      <w:r w:rsidRPr="00DD4F4E">
        <w:rPr>
          <w:szCs w:val="18"/>
          <w:lang w:val="fr-FR"/>
        </w:rPr>
        <w:t>121</w:t>
      </w:r>
      <w:r w:rsidR="00434F55">
        <w:rPr>
          <w:szCs w:val="18"/>
          <w:lang w:val="fr-FR"/>
        </w:rPr>
        <w:t> </w:t>
      </w:r>
      <w:r w:rsidRPr="00DD4F4E">
        <w:rPr>
          <w:szCs w:val="18"/>
          <w:lang w:val="fr-FR"/>
        </w:rPr>
        <w:t xml:space="preserve">; </w:t>
      </w:r>
      <w:r>
        <w:rPr>
          <w:szCs w:val="18"/>
          <w:lang w:val="fr-FR"/>
        </w:rPr>
        <w:t>art. </w:t>
      </w:r>
      <w:r w:rsidRPr="00DD4F4E">
        <w:rPr>
          <w:szCs w:val="18"/>
          <w:lang w:val="fr-FR"/>
        </w:rPr>
        <w:t>7 du Règlement type de conciliation des Nations Unies applicable aux différends entre États, résolution </w:t>
      </w:r>
      <w:hyperlink r:id="rId41" w:history="1">
        <w:r w:rsidRPr="00DD4F4E">
          <w:rPr>
            <w:rStyle w:val="Lienhypertexte"/>
            <w:szCs w:val="18"/>
            <w:lang w:val="fr-FR"/>
          </w:rPr>
          <w:t>50/50</w:t>
        </w:r>
      </w:hyperlink>
      <w:r w:rsidRPr="00DD4F4E">
        <w:rPr>
          <w:szCs w:val="18"/>
          <w:lang w:val="fr-FR"/>
        </w:rPr>
        <w:t xml:space="preserve"> de l</w:t>
      </w:r>
      <w:r w:rsidR="004937A0">
        <w:rPr>
          <w:szCs w:val="18"/>
          <w:lang w:val="fr-FR"/>
        </w:rPr>
        <w:t>’</w:t>
      </w:r>
      <w:r w:rsidRPr="00DD4F4E">
        <w:rPr>
          <w:szCs w:val="18"/>
          <w:lang w:val="fr-FR"/>
        </w:rPr>
        <w:t>Assemblée générale en date du 11 décembre 1995, annexe</w:t>
      </w:r>
      <w:r w:rsidR="00434F55">
        <w:rPr>
          <w:szCs w:val="18"/>
          <w:lang w:val="fr-FR"/>
        </w:rPr>
        <w:t> </w:t>
      </w:r>
      <w:r w:rsidRPr="00DD4F4E">
        <w:rPr>
          <w:szCs w:val="18"/>
          <w:lang w:val="fr-FR"/>
        </w:rPr>
        <w:t xml:space="preserve">; </w:t>
      </w:r>
      <w:r>
        <w:rPr>
          <w:szCs w:val="18"/>
          <w:lang w:val="fr-FR"/>
        </w:rPr>
        <w:t>art. </w:t>
      </w:r>
      <w:r w:rsidRPr="00DD4F4E">
        <w:rPr>
          <w:szCs w:val="18"/>
          <w:lang w:val="fr-FR"/>
        </w:rPr>
        <w:t>3 du Règlement de médiation de la Commission des Nations Unies pour le droit commercial international (CNUDCI), Rapport de la CNUDCI, cinquante-quatrième session (28 juin-16 juillet 2021) (</w:t>
      </w:r>
      <w:hyperlink r:id="rId42" w:history="1">
        <w:r w:rsidRPr="00DD4F4E">
          <w:rPr>
            <w:rStyle w:val="Lienhypertexte"/>
            <w:szCs w:val="18"/>
            <w:lang w:val="fr-FR"/>
          </w:rPr>
          <w:t>A/76/17</w:t>
        </w:r>
      </w:hyperlink>
      <w:r w:rsidRPr="00DD4F4E">
        <w:rPr>
          <w:szCs w:val="18"/>
          <w:lang w:val="fr-FR"/>
        </w:rPr>
        <w:t xml:space="preserve">), annexe III. Voir aussi Christian </w:t>
      </w:r>
      <w:proofErr w:type="spellStart"/>
      <w:r w:rsidRPr="00DD4F4E">
        <w:rPr>
          <w:szCs w:val="18"/>
          <w:lang w:val="fr-FR"/>
        </w:rPr>
        <w:t>Tomuschat</w:t>
      </w:r>
      <w:proofErr w:type="spellEnd"/>
      <w:r w:rsidRPr="00DD4F4E">
        <w:rPr>
          <w:szCs w:val="18"/>
          <w:lang w:val="fr-FR"/>
        </w:rPr>
        <w:t xml:space="preserve"> et Marcelo </w:t>
      </w:r>
      <w:proofErr w:type="spellStart"/>
      <w:r w:rsidRPr="00DD4F4E">
        <w:rPr>
          <w:szCs w:val="18"/>
          <w:lang w:val="fr-FR"/>
        </w:rPr>
        <w:t>Kohen</w:t>
      </w:r>
      <w:proofErr w:type="spellEnd"/>
      <w:r w:rsidRPr="00DD4F4E">
        <w:rPr>
          <w:szCs w:val="18"/>
          <w:lang w:val="fr-FR"/>
        </w:rPr>
        <w:t xml:space="preserve"> (</w:t>
      </w:r>
      <w:proofErr w:type="spellStart"/>
      <w:r w:rsidRPr="00DD4F4E">
        <w:rPr>
          <w:szCs w:val="18"/>
          <w:lang w:val="fr-FR"/>
        </w:rPr>
        <w:t>dir</w:t>
      </w:r>
      <w:proofErr w:type="spellEnd"/>
      <w:r w:rsidRPr="00DD4F4E">
        <w:rPr>
          <w:szCs w:val="18"/>
          <w:lang w:val="fr-FR"/>
        </w:rPr>
        <w:t xml:space="preserve">. </w:t>
      </w:r>
      <w:proofErr w:type="spellStart"/>
      <w:r w:rsidRPr="00DD4F4E">
        <w:rPr>
          <w:szCs w:val="18"/>
          <w:lang w:val="fr-FR"/>
        </w:rPr>
        <w:t>publ</w:t>
      </w:r>
      <w:proofErr w:type="spellEnd"/>
      <w:r w:rsidRPr="00DD4F4E">
        <w:rPr>
          <w:szCs w:val="18"/>
          <w:lang w:val="fr-FR"/>
        </w:rPr>
        <w:t xml:space="preserve">.), </w:t>
      </w:r>
      <w:proofErr w:type="spellStart"/>
      <w:r w:rsidRPr="00DD4F4E">
        <w:rPr>
          <w:i/>
          <w:iCs/>
          <w:szCs w:val="18"/>
          <w:lang w:val="fr-FR"/>
        </w:rPr>
        <w:t>Flexibility</w:t>
      </w:r>
      <w:proofErr w:type="spellEnd"/>
      <w:r w:rsidRPr="00DD4F4E">
        <w:rPr>
          <w:i/>
          <w:iCs/>
          <w:szCs w:val="18"/>
          <w:lang w:val="fr-FR"/>
        </w:rPr>
        <w:t xml:space="preserve"> in International Dispute </w:t>
      </w:r>
      <w:proofErr w:type="spellStart"/>
      <w:r w:rsidRPr="00DD4F4E">
        <w:rPr>
          <w:i/>
          <w:iCs/>
          <w:szCs w:val="18"/>
          <w:lang w:val="fr-FR"/>
        </w:rPr>
        <w:t>Settlement</w:t>
      </w:r>
      <w:proofErr w:type="spellEnd"/>
      <w:r w:rsidRPr="00DD4F4E">
        <w:rPr>
          <w:i/>
          <w:iCs/>
          <w:szCs w:val="18"/>
          <w:lang w:val="fr-FR"/>
        </w:rPr>
        <w:t xml:space="preserve">: Conciliation </w:t>
      </w:r>
      <w:proofErr w:type="spellStart"/>
      <w:r w:rsidRPr="00DD4F4E">
        <w:rPr>
          <w:i/>
          <w:iCs/>
          <w:szCs w:val="18"/>
          <w:lang w:val="fr-FR"/>
        </w:rPr>
        <w:t>Revisited</w:t>
      </w:r>
      <w:proofErr w:type="spellEnd"/>
      <w:r w:rsidRPr="00DD4F4E">
        <w:rPr>
          <w:szCs w:val="18"/>
          <w:lang w:val="fr-FR"/>
        </w:rPr>
        <w:t xml:space="preserve"> (Leiden, Brill </w:t>
      </w:r>
      <w:proofErr w:type="spellStart"/>
      <w:r w:rsidRPr="00DD4F4E">
        <w:rPr>
          <w:szCs w:val="18"/>
          <w:lang w:val="fr-FR"/>
        </w:rPr>
        <w:t>Nijhoff</w:t>
      </w:r>
      <w:proofErr w:type="spellEnd"/>
      <w:r w:rsidRPr="00DD4F4E">
        <w:rPr>
          <w:szCs w:val="18"/>
          <w:lang w:val="fr-FR"/>
        </w:rPr>
        <w:t xml:space="preserve">, 2020), </w:t>
      </w:r>
      <w:r>
        <w:rPr>
          <w:szCs w:val="18"/>
          <w:lang w:val="fr-FR"/>
        </w:rPr>
        <w:t>p. </w:t>
      </w:r>
      <w:r w:rsidRPr="00DD4F4E">
        <w:rPr>
          <w:szCs w:val="18"/>
          <w:lang w:val="fr-FR"/>
        </w:rPr>
        <w:t xml:space="preserve">25 et </w:t>
      </w:r>
      <w:proofErr w:type="spellStart"/>
      <w:r w:rsidRPr="00DD4F4E">
        <w:rPr>
          <w:szCs w:val="18"/>
          <w:lang w:val="fr-FR"/>
        </w:rPr>
        <w:t>suiv</w:t>
      </w:r>
      <w:proofErr w:type="spellEnd"/>
      <w:r w:rsidRPr="00DD4F4E">
        <w:rPr>
          <w:szCs w:val="18"/>
          <w:lang w:val="fr-FR"/>
        </w:rPr>
        <w:t>.</w:t>
      </w:r>
    </w:p>
  </w:footnote>
  <w:footnote w:id="66">
    <w:p w14:paraId="312259A3" w14:textId="3C85E833"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Résolution </w:t>
      </w:r>
      <w:hyperlink r:id="rId43" w:history="1">
        <w:r w:rsidRPr="00DD4F4E">
          <w:rPr>
            <w:rStyle w:val="Lienhypertexte"/>
            <w:szCs w:val="18"/>
            <w:lang w:val="fr-FR"/>
          </w:rPr>
          <w:t>67/1</w:t>
        </w:r>
      </w:hyperlink>
      <w:r w:rsidRPr="00DD4F4E">
        <w:rPr>
          <w:szCs w:val="18"/>
          <w:lang w:val="fr-FR"/>
        </w:rPr>
        <w:t xml:space="preserve"> de l</w:t>
      </w:r>
      <w:r w:rsidR="004937A0">
        <w:rPr>
          <w:szCs w:val="18"/>
          <w:lang w:val="fr-FR"/>
        </w:rPr>
        <w:t>’</w:t>
      </w:r>
      <w:r w:rsidRPr="00DD4F4E">
        <w:rPr>
          <w:szCs w:val="18"/>
          <w:lang w:val="fr-FR"/>
        </w:rPr>
        <w:t xml:space="preserve">Assemblée générale, </w:t>
      </w:r>
      <w:r>
        <w:rPr>
          <w:szCs w:val="18"/>
          <w:lang w:val="fr-FR"/>
        </w:rPr>
        <w:t>par. </w:t>
      </w:r>
      <w:r w:rsidRPr="00DD4F4E">
        <w:rPr>
          <w:szCs w:val="18"/>
          <w:lang w:val="fr-FR"/>
        </w:rPr>
        <w:t>13 (« Nous sommes convaincus que l</w:t>
      </w:r>
      <w:r w:rsidR="004937A0">
        <w:rPr>
          <w:szCs w:val="18"/>
          <w:lang w:val="fr-FR"/>
        </w:rPr>
        <w:t>’</w:t>
      </w:r>
      <w:r w:rsidRPr="00DD4F4E">
        <w:rPr>
          <w:szCs w:val="18"/>
          <w:lang w:val="fr-FR"/>
        </w:rPr>
        <w:t>indépendance, l</w:t>
      </w:r>
      <w:r w:rsidR="004937A0">
        <w:rPr>
          <w:szCs w:val="18"/>
          <w:lang w:val="fr-FR"/>
        </w:rPr>
        <w:t>’</w:t>
      </w:r>
      <w:r w:rsidRPr="00DD4F4E">
        <w:rPr>
          <w:szCs w:val="18"/>
          <w:lang w:val="fr-FR"/>
        </w:rPr>
        <w:t>impartialité et l</w:t>
      </w:r>
      <w:r w:rsidR="004937A0">
        <w:rPr>
          <w:szCs w:val="18"/>
          <w:lang w:val="fr-FR"/>
        </w:rPr>
        <w:t>’</w:t>
      </w:r>
      <w:r w:rsidRPr="00DD4F4E">
        <w:rPr>
          <w:szCs w:val="18"/>
          <w:lang w:val="fr-FR"/>
        </w:rPr>
        <w:t>intégrité de la justice constituent le soubassement de l</w:t>
      </w:r>
      <w:r w:rsidR="004937A0">
        <w:rPr>
          <w:szCs w:val="18"/>
          <w:lang w:val="fr-FR"/>
        </w:rPr>
        <w:t>’</w:t>
      </w:r>
      <w:r w:rsidRPr="00DD4F4E">
        <w:rPr>
          <w:szCs w:val="18"/>
          <w:lang w:val="fr-FR"/>
        </w:rPr>
        <w:t>état de droit et d</w:t>
      </w:r>
      <w:r w:rsidR="004937A0">
        <w:rPr>
          <w:szCs w:val="18"/>
          <w:lang w:val="fr-FR"/>
        </w:rPr>
        <w:t>’</w:t>
      </w:r>
      <w:r w:rsidRPr="00DD4F4E">
        <w:rPr>
          <w:szCs w:val="18"/>
          <w:lang w:val="fr-FR"/>
        </w:rPr>
        <w:t>une administration de la justice exempte de toute discrimination. »)</w:t>
      </w:r>
      <w:r w:rsidR="00434F55">
        <w:rPr>
          <w:szCs w:val="18"/>
          <w:lang w:val="fr-FR"/>
        </w:rPr>
        <w:t> </w:t>
      </w:r>
      <w:r w:rsidRPr="00DD4F4E">
        <w:rPr>
          <w:szCs w:val="18"/>
          <w:lang w:val="fr-FR"/>
        </w:rPr>
        <w:t xml:space="preserve">; </w:t>
      </w:r>
      <w:r w:rsidRPr="00DD4F4E">
        <w:rPr>
          <w:i/>
          <w:iCs/>
          <w:szCs w:val="18"/>
          <w:lang w:val="fr-FR"/>
        </w:rPr>
        <w:t>Demande de réformation du jugement n</w:t>
      </w:r>
      <w:r w:rsidRPr="00DD4F4E">
        <w:rPr>
          <w:i/>
          <w:iCs/>
          <w:szCs w:val="18"/>
          <w:vertAlign w:val="superscript"/>
          <w:lang w:val="fr-FR"/>
        </w:rPr>
        <w:t>o</w:t>
      </w:r>
      <w:r w:rsidRPr="00DD4F4E">
        <w:rPr>
          <w:i/>
          <w:iCs/>
          <w:szCs w:val="18"/>
          <w:lang w:val="fr-FR"/>
        </w:rPr>
        <w:t> 158 du Tribunal administratif des Nations Unies, avis consultatif,</w:t>
      </w:r>
      <w:r w:rsidRPr="00DD4F4E">
        <w:rPr>
          <w:szCs w:val="18"/>
          <w:lang w:val="fr-FR"/>
        </w:rPr>
        <w:t xml:space="preserve"> </w:t>
      </w:r>
      <w:r w:rsidRPr="00DD4F4E">
        <w:rPr>
          <w:i/>
          <w:iCs/>
          <w:szCs w:val="18"/>
          <w:lang w:val="fr-FR"/>
        </w:rPr>
        <w:t>C.I.J. Recueil 1973</w:t>
      </w:r>
      <w:r w:rsidRPr="00DD4F4E">
        <w:rPr>
          <w:szCs w:val="18"/>
          <w:lang w:val="fr-FR"/>
        </w:rPr>
        <w:t xml:space="preserve">, </w:t>
      </w:r>
      <w:r>
        <w:rPr>
          <w:szCs w:val="18"/>
          <w:lang w:val="fr-FR"/>
        </w:rPr>
        <w:t>p. </w:t>
      </w:r>
      <w:r w:rsidRPr="00DD4F4E">
        <w:rPr>
          <w:szCs w:val="18"/>
          <w:lang w:val="fr-FR"/>
        </w:rPr>
        <w:t xml:space="preserve">166, </w:t>
      </w:r>
      <w:r>
        <w:rPr>
          <w:szCs w:val="18"/>
          <w:lang w:val="fr-FR"/>
        </w:rPr>
        <w:t>par. </w:t>
      </w:r>
      <w:r w:rsidRPr="00DD4F4E">
        <w:rPr>
          <w:szCs w:val="18"/>
          <w:lang w:val="fr-FR"/>
        </w:rPr>
        <w:t>92 (où « le droit d</w:t>
      </w:r>
      <w:r w:rsidR="004937A0">
        <w:rPr>
          <w:szCs w:val="18"/>
          <w:lang w:val="fr-FR"/>
        </w:rPr>
        <w:t>’</w:t>
      </w:r>
      <w:r w:rsidRPr="00DD4F4E">
        <w:rPr>
          <w:szCs w:val="18"/>
          <w:lang w:val="fr-FR"/>
        </w:rPr>
        <w:t>avoir accès à un tribunal indépendant et impartial établi par la loi » est considéré comme un élément du droit « d</w:t>
      </w:r>
      <w:r w:rsidR="004937A0">
        <w:rPr>
          <w:szCs w:val="18"/>
          <w:lang w:val="fr-FR"/>
        </w:rPr>
        <w:t>’</w:t>
      </w:r>
      <w:r w:rsidRPr="00DD4F4E">
        <w:rPr>
          <w:szCs w:val="18"/>
          <w:lang w:val="fr-FR"/>
        </w:rPr>
        <w:t>être impartialement entendu »)</w:t>
      </w:r>
      <w:r w:rsidR="00662C99">
        <w:rPr>
          <w:szCs w:val="18"/>
          <w:lang w:val="fr-FR"/>
        </w:rPr>
        <w:t> </w:t>
      </w:r>
      <w:r w:rsidRPr="00DD4F4E">
        <w:rPr>
          <w:szCs w:val="18"/>
          <w:lang w:val="fr-FR"/>
        </w:rPr>
        <w:t xml:space="preserve">; Principes de Bangalore sur la déontologie judiciaire (document </w:t>
      </w:r>
      <w:hyperlink r:id="rId44" w:history="1">
        <w:r w:rsidRPr="00DD4F4E">
          <w:rPr>
            <w:rStyle w:val="Lienhypertexte"/>
            <w:szCs w:val="18"/>
            <w:lang w:val="fr-FR"/>
          </w:rPr>
          <w:t>E/CN.4/2003/65</w:t>
        </w:r>
      </w:hyperlink>
      <w:r w:rsidRPr="00DD4F4E">
        <w:rPr>
          <w:szCs w:val="18"/>
          <w:lang w:val="fr-FR"/>
        </w:rPr>
        <w:t>, annexe), adoptés par le Groupe judiciaire sur le renforcement de l</w:t>
      </w:r>
      <w:r w:rsidR="004937A0">
        <w:rPr>
          <w:szCs w:val="18"/>
          <w:lang w:val="fr-FR"/>
        </w:rPr>
        <w:t>’</w:t>
      </w:r>
      <w:r w:rsidRPr="00DD4F4E">
        <w:rPr>
          <w:szCs w:val="18"/>
          <w:lang w:val="fr-FR"/>
        </w:rPr>
        <w:t>intégrité de la justice, réuni à La Haye les 25 et 26 </w:t>
      </w:r>
      <w:r w:rsidRPr="00A4387D">
        <w:rPr>
          <w:szCs w:val="18"/>
          <w:lang w:val="fr-FR"/>
        </w:rPr>
        <w:t>novembre 2001, et considérés par le Conseil économique et social comme étant une nouvelle évolution des Principes</w:t>
      </w:r>
      <w:r w:rsidRPr="00DD4F4E">
        <w:rPr>
          <w:szCs w:val="18"/>
          <w:lang w:val="fr-FR"/>
        </w:rPr>
        <w:t xml:space="preserve"> fondamentaux relatifs à l</w:t>
      </w:r>
      <w:r w:rsidR="004937A0">
        <w:rPr>
          <w:szCs w:val="18"/>
          <w:lang w:val="fr-FR"/>
        </w:rPr>
        <w:t>’</w:t>
      </w:r>
      <w:r w:rsidRPr="00DD4F4E">
        <w:rPr>
          <w:szCs w:val="18"/>
          <w:lang w:val="fr-FR"/>
        </w:rPr>
        <w:t xml:space="preserve">indépendance de la magistrature et comme leur étant complémentaires dans sa résolution 2006/23 sur le renforcement des principes fondamentaux relatifs à la conduite </w:t>
      </w:r>
      <w:r w:rsidRPr="004F0CDF">
        <w:rPr>
          <w:szCs w:val="18"/>
          <w:lang w:val="fr-FR"/>
        </w:rPr>
        <w:t>des magistrats (</w:t>
      </w:r>
      <w:hyperlink r:id="rId45" w:history="1">
        <w:r w:rsidRPr="00662C99">
          <w:rPr>
            <w:rStyle w:val="Lienhypertexte"/>
            <w:szCs w:val="18"/>
            <w:lang w:val="fr-FR"/>
          </w:rPr>
          <w:t>E/2006/99(SUPP)</w:t>
        </w:r>
      </w:hyperlink>
      <w:r w:rsidRPr="004F0CDF">
        <w:rPr>
          <w:szCs w:val="18"/>
          <w:lang w:val="fr-FR"/>
        </w:rPr>
        <w:t>), par. 2</w:t>
      </w:r>
      <w:r w:rsidRPr="00DD4F4E">
        <w:rPr>
          <w:szCs w:val="18"/>
          <w:lang w:val="fr-FR"/>
        </w:rPr>
        <w:t xml:space="preserve"> (« ATTENDU qu</w:t>
      </w:r>
      <w:r w:rsidR="004937A0">
        <w:rPr>
          <w:szCs w:val="18"/>
          <w:lang w:val="fr-FR"/>
        </w:rPr>
        <w:t>’</w:t>
      </w:r>
      <w:r w:rsidRPr="00DD4F4E">
        <w:rPr>
          <w:szCs w:val="18"/>
          <w:lang w:val="fr-FR"/>
        </w:rPr>
        <w:t>un appareil judiciaire compétent, indépendant et impartial est également essentiel pour que les tribunaux s</w:t>
      </w:r>
      <w:r w:rsidR="004937A0">
        <w:rPr>
          <w:szCs w:val="18"/>
          <w:lang w:val="fr-FR"/>
        </w:rPr>
        <w:t>’</w:t>
      </w:r>
      <w:r w:rsidRPr="00DD4F4E">
        <w:rPr>
          <w:szCs w:val="18"/>
          <w:lang w:val="fr-FR"/>
        </w:rPr>
        <w:t>acquittent de leur devoir de maintien du droit constitutionnel et du principe de l</w:t>
      </w:r>
      <w:r w:rsidR="004937A0">
        <w:rPr>
          <w:szCs w:val="18"/>
          <w:lang w:val="fr-FR"/>
        </w:rPr>
        <w:t>’</w:t>
      </w:r>
      <w:r w:rsidRPr="00DD4F4E">
        <w:rPr>
          <w:szCs w:val="18"/>
          <w:lang w:val="fr-FR"/>
        </w:rPr>
        <w:t>égalité », Principes de Bangalore sur la déontologie judiciaire, cinquième alinéa du préambule)</w:t>
      </w:r>
      <w:r w:rsidR="00662C99">
        <w:rPr>
          <w:szCs w:val="18"/>
          <w:lang w:val="fr-FR"/>
        </w:rPr>
        <w:t> </w:t>
      </w:r>
      <w:r w:rsidRPr="00DD4F4E">
        <w:rPr>
          <w:szCs w:val="18"/>
          <w:lang w:val="fr-FR"/>
        </w:rPr>
        <w:t>; Principes de Bangalore sur la déontologie judiciaire, 1</w:t>
      </w:r>
      <w:r w:rsidRPr="00DD4F4E">
        <w:rPr>
          <w:szCs w:val="18"/>
          <w:vertAlign w:val="superscript"/>
          <w:lang w:val="fr-FR"/>
        </w:rPr>
        <w:t>re</w:t>
      </w:r>
      <w:r w:rsidRPr="00DD4F4E">
        <w:rPr>
          <w:szCs w:val="18"/>
          <w:lang w:val="fr-FR"/>
        </w:rPr>
        <w:t xml:space="preserve"> valeur (« L</w:t>
      </w:r>
      <w:r w:rsidR="004937A0">
        <w:rPr>
          <w:szCs w:val="18"/>
          <w:lang w:val="fr-FR"/>
        </w:rPr>
        <w:t>’</w:t>
      </w:r>
      <w:r w:rsidRPr="00DD4F4E">
        <w:rPr>
          <w:szCs w:val="18"/>
          <w:lang w:val="fr-FR"/>
        </w:rPr>
        <w:t>indépendance de la magistrature est une exigence préalable du principe de légalité »). Voir aussi Hélène Ruiz-Fabri et Jean-Marc Sorel (</w:t>
      </w:r>
      <w:proofErr w:type="spellStart"/>
      <w:r w:rsidRPr="00DD4F4E">
        <w:rPr>
          <w:szCs w:val="18"/>
          <w:lang w:val="fr-FR"/>
        </w:rPr>
        <w:t>dir</w:t>
      </w:r>
      <w:proofErr w:type="spellEnd"/>
      <w:r w:rsidRPr="00DD4F4E">
        <w:rPr>
          <w:szCs w:val="18"/>
          <w:lang w:val="fr-FR"/>
        </w:rPr>
        <w:t xml:space="preserve">. </w:t>
      </w:r>
      <w:proofErr w:type="spellStart"/>
      <w:r w:rsidRPr="00DD4F4E">
        <w:rPr>
          <w:szCs w:val="18"/>
          <w:lang w:val="fr-FR"/>
        </w:rPr>
        <w:t>publ</w:t>
      </w:r>
      <w:proofErr w:type="spellEnd"/>
      <w:r w:rsidRPr="00DD4F4E">
        <w:rPr>
          <w:szCs w:val="18"/>
          <w:lang w:val="fr-FR"/>
        </w:rPr>
        <w:t xml:space="preserve">.), </w:t>
      </w:r>
      <w:r w:rsidRPr="00DD4F4E">
        <w:rPr>
          <w:i/>
          <w:iCs/>
          <w:szCs w:val="18"/>
          <w:lang w:val="fr-FR"/>
        </w:rPr>
        <w:t>Indépendance et impartialité des juges internationaux</w:t>
      </w:r>
      <w:r w:rsidRPr="00DD4F4E">
        <w:rPr>
          <w:szCs w:val="18"/>
          <w:lang w:val="fr-FR"/>
        </w:rPr>
        <w:t xml:space="preserve"> (Paris, </w:t>
      </w:r>
      <w:proofErr w:type="spellStart"/>
      <w:r w:rsidRPr="00DD4F4E">
        <w:rPr>
          <w:szCs w:val="18"/>
          <w:lang w:val="fr-FR"/>
        </w:rPr>
        <w:t>Pedone</w:t>
      </w:r>
      <w:proofErr w:type="spellEnd"/>
      <w:r w:rsidRPr="00DD4F4E">
        <w:rPr>
          <w:szCs w:val="18"/>
          <w:lang w:val="fr-FR"/>
        </w:rPr>
        <w:t>, 2010)</w:t>
      </w:r>
      <w:r w:rsidR="00662C99">
        <w:rPr>
          <w:szCs w:val="18"/>
          <w:lang w:val="fr-FR"/>
        </w:rPr>
        <w:t> </w:t>
      </w:r>
      <w:r w:rsidRPr="00DD4F4E">
        <w:rPr>
          <w:szCs w:val="18"/>
          <w:lang w:val="fr-FR"/>
        </w:rPr>
        <w:t xml:space="preserve">; </w:t>
      </w:r>
      <w:proofErr w:type="spellStart"/>
      <w:r w:rsidRPr="00DD4F4E">
        <w:rPr>
          <w:szCs w:val="18"/>
          <w:lang w:val="fr-FR"/>
        </w:rPr>
        <w:t>Giuditta</w:t>
      </w:r>
      <w:proofErr w:type="spellEnd"/>
      <w:r>
        <w:rPr>
          <w:szCs w:val="18"/>
          <w:lang w:val="fr-FR"/>
        </w:rPr>
        <w:t> </w:t>
      </w:r>
      <w:proofErr w:type="spellStart"/>
      <w:r w:rsidRPr="00DD4F4E">
        <w:rPr>
          <w:szCs w:val="18"/>
          <w:lang w:val="fr-FR"/>
        </w:rPr>
        <w:t>Cordero</w:t>
      </w:r>
      <w:proofErr w:type="spellEnd"/>
      <w:r w:rsidRPr="00DD4F4E">
        <w:rPr>
          <w:szCs w:val="18"/>
          <w:lang w:val="fr-FR"/>
        </w:rPr>
        <w:t>-Moss (</w:t>
      </w:r>
      <w:proofErr w:type="spellStart"/>
      <w:r w:rsidRPr="00DD4F4E">
        <w:rPr>
          <w:szCs w:val="18"/>
          <w:lang w:val="fr-FR"/>
        </w:rPr>
        <w:t>dir</w:t>
      </w:r>
      <w:proofErr w:type="spellEnd"/>
      <w:r w:rsidRPr="00DD4F4E">
        <w:rPr>
          <w:szCs w:val="18"/>
          <w:lang w:val="fr-FR"/>
        </w:rPr>
        <w:t xml:space="preserve">. </w:t>
      </w:r>
      <w:proofErr w:type="spellStart"/>
      <w:r w:rsidRPr="00DD4F4E">
        <w:rPr>
          <w:szCs w:val="18"/>
          <w:lang w:val="fr-FR"/>
        </w:rPr>
        <w:t>publ</w:t>
      </w:r>
      <w:proofErr w:type="spellEnd"/>
      <w:r w:rsidRPr="00DD4F4E">
        <w:rPr>
          <w:szCs w:val="18"/>
          <w:lang w:val="fr-FR"/>
        </w:rPr>
        <w:t xml:space="preserve">.), </w:t>
      </w:r>
      <w:r w:rsidRPr="00DD4F4E">
        <w:rPr>
          <w:i/>
          <w:iCs/>
          <w:szCs w:val="18"/>
          <w:lang w:val="fr-FR"/>
        </w:rPr>
        <w:t xml:space="preserve">Independence and </w:t>
      </w:r>
      <w:proofErr w:type="spellStart"/>
      <w:r w:rsidRPr="00DD4F4E">
        <w:rPr>
          <w:i/>
          <w:iCs/>
          <w:szCs w:val="18"/>
          <w:lang w:val="fr-FR"/>
        </w:rPr>
        <w:t>Impartiality</w:t>
      </w:r>
      <w:proofErr w:type="spellEnd"/>
      <w:r w:rsidRPr="00DD4F4E">
        <w:rPr>
          <w:i/>
          <w:iCs/>
          <w:szCs w:val="18"/>
          <w:lang w:val="fr-FR"/>
        </w:rPr>
        <w:t xml:space="preserve"> of International </w:t>
      </w:r>
      <w:proofErr w:type="spellStart"/>
      <w:r w:rsidRPr="00DD4F4E">
        <w:rPr>
          <w:i/>
          <w:iCs/>
          <w:szCs w:val="18"/>
          <w:lang w:val="fr-FR"/>
        </w:rPr>
        <w:t>Adjudicators</w:t>
      </w:r>
      <w:proofErr w:type="spellEnd"/>
      <w:r w:rsidRPr="00DD4F4E">
        <w:rPr>
          <w:szCs w:val="18"/>
          <w:lang w:val="fr-FR"/>
        </w:rPr>
        <w:t xml:space="preserve"> (Cambridge, </w:t>
      </w:r>
      <w:proofErr w:type="spellStart"/>
      <w:r w:rsidRPr="00DD4F4E">
        <w:rPr>
          <w:szCs w:val="18"/>
          <w:lang w:val="fr-FR"/>
        </w:rPr>
        <w:t>Intersentia</w:t>
      </w:r>
      <w:proofErr w:type="spellEnd"/>
      <w:r w:rsidRPr="00DD4F4E">
        <w:rPr>
          <w:szCs w:val="18"/>
          <w:lang w:val="fr-FR"/>
        </w:rPr>
        <w:t xml:space="preserve">, 2023). </w:t>
      </w:r>
    </w:p>
  </w:footnote>
  <w:footnote w:id="67">
    <w:p w14:paraId="0DD592FE" w14:textId="5A73F0E0"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Voir, par exemple, Code de déontologie judiciaire à l</w:t>
      </w:r>
      <w:r w:rsidR="004937A0">
        <w:rPr>
          <w:szCs w:val="18"/>
          <w:lang w:val="fr-FR"/>
        </w:rPr>
        <w:t>’</w:t>
      </w:r>
      <w:r w:rsidRPr="00DD4F4E">
        <w:rPr>
          <w:szCs w:val="18"/>
          <w:lang w:val="fr-FR"/>
        </w:rPr>
        <w:t>usage des membres du Tribunal du contentieux administratif des Nations Unies et du Tribunal d</w:t>
      </w:r>
      <w:r w:rsidR="004937A0">
        <w:rPr>
          <w:szCs w:val="18"/>
          <w:lang w:val="fr-FR"/>
        </w:rPr>
        <w:t>’</w:t>
      </w:r>
      <w:r w:rsidRPr="00DD4F4E">
        <w:rPr>
          <w:szCs w:val="18"/>
          <w:lang w:val="fr-FR"/>
        </w:rPr>
        <w:t>appel des Nations Unies, 2011, résolution </w:t>
      </w:r>
      <w:hyperlink r:id="rId46" w:history="1">
        <w:r w:rsidRPr="00DD4F4E">
          <w:rPr>
            <w:rStyle w:val="Lienhypertexte"/>
            <w:szCs w:val="18"/>
            <w:lang w:val="fr-FR"/>
          </w:rPr>
          <w:t>66/106</w:t>
        </w:r>
      </w:hyperlink>
      <w:r w:rsidRPr="00DD4F4E">
        <w:rPr>
          <w:szCs w:val="18"/>
          <w:lang w:val="fr-FR"/>
        </w:rPr>
        <w:t xml:space="preserve"> de l</w:t>
      </w:r>
      <w:r w:rsidR="004937A0">
        <w:rPr>
          <w:szCs w:val="18"/>
          <w:lang w:val="fr-FR"/>
        </w:rPr>
        <w:t>’</w:t>
      </w:r>
      <w:r w:rsidRPr="00DD4F4E">
        <w:rPr>
          <w:szCs w:val="18"/>
          <w:lang w:val="fr-FR"/>
        </w:rPr>
        <w:t xml:space="preserve">Assemblée générale en date du 9 décembre 2011, </w:t>
      </w:r>
      <w:r>
        <w:rPr>
          <w:szCs w:val="18"/>
          <w:lang w:val="fr-FR"/>
        </w:rPr>
        <w:t>par. </w:t>
      </w:r>
      <w:r w:rsidRPr="00DD4F4E">
        <w:rPr>
          <w:szCs w:val="18"/>
          <w:lang w:val="fr-FR"/>
        </w:rPr>
        <w:t>1 et 2</w:t>
      </w:r>
      <w:r w:rsidR="00662C99">
        <w:rPr>
          <w:szCs w:val="18"/>
          <w:lang w:val="fr-FR"/>
        </w:rPr>
        <w:t> </w:t>
      </w:r>
      <w:r w:rsidRPr="00DD4F4E">
        <w:rPr>
          <w:szCs w:val="18"/>
          <w:lang w:val="fr-FR"/>
        </w:rPr>
        <w:t>; CNUDCI, Projet de code de conduite destiné aux arbitres dans des procédures de règlement de différends relatifs à des investissements internationaux et commentaire (</w:t>
      </w:r>
      <w:hyperlink r:id="rId47" w:history="1">
        <w:r w:rsidRPr="00DD4F4E">
          <w:rPr>
            <w:rStyle w:val="Lienhypertexte"/>
            <w:szCs w:val="18"/>
            <w:lang w:val="fr-FR"/>
          </w:rPr>
          <w:t>A/CN.9/1148</w:t>
        </w:r>
      </w:hyperlink>
      <w:r w:rsidRPr="00DD4F4E">
        <w:rPr>
          <w:szCs w:val="18"/>
          <w:lang w:val="fr-FR"/>
        </w:rPr>
        <w:t xml:space="preserve">), </w:t>
      </w:r>
      <w:r>
        <w:rPr>
          <w:szCs w:val="18"/>
          <w:lang w:val="fr-FR"/>
        </w:rPr>
        <w:t>sect. </w:t>
      </w:r>
      <w:r w:rsidRPr="00DD4F4E">
        <w:rPr>
          <w:szCs w:val="18"/>
          <w:lang w:val="fr-FR"/>
        </w:rPr>
        <w:t xml:space="preserve">II. C., texte du projet de commentaire, </w:t>
      </w:r>
      <w:r>
        <w:rPr>
          <w:szCs w:val="18"/>
          <w:lang w:val="fr-FR"/>
        </w:rPr>
        <w:t>par. </w:t>
      </w:r>
      <w:r w:rsidRPr="00DD4F4E">
        <w:rPr>
          <w:szCs w:val="18"/>
          <w:lang w:val="fr-FR"/>
        </w:rPr>
        <w:t xml:space="preserve">19. </w:t>
      </w:r>
    </w:p>
  </w:footnote>
  <w:footnote w:id="68">
    <w:p w14:paraId="5574DD69" w14:textId="15B674B6"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 xml:space="preserve">Voir, par exemple, </w:t>
      </w:r>
      <w:r>
        <w:rPr>
          <w:szCs w:val="18"/>
          <w:lang w:val="fr-FR"/>
        </w:rPr>
        <w:t>art. </w:t>
      </w:r>
      <w:r w:rsidRPr="00DD4F4E">
        <w:rPr>
          <w:szCs w:val="18"/>
          <w:lang w:val="fr-FR"/>
        </w:rPr>
        <w:t>2 et 20 du Statut de la Cour internationale de Justice (libellé</w:t>
      </w:r>
      <w:r>
        <w:rPr>
          <w:szCs w:val="18"/>
          <w:lang w:val="fr-FR"/>
        </w:rPr>
        <w:t>s</w:t>
      </w:r>
      <w:r w:rsidRPr="00DD4F4E">
        <w:rPr>
          <w:szCs w:val="18"/>
          <w:lang w:val="fr-FR"/>
        </w:rPr>
        <w:t xml:space="preserve"> respectivement comme suit : « La Cour est un corps de magistrats indépendants » et « Tout membre de la Cour doit, avant d</w:t>
      </w:r>
      <w:r w:rsidR="004937A0">
        <w:rPr>
          <w:szCs w:val="18"/>
          <w:lang w:val="fr-FR"/>
        </w:rPr>
        <w:t>’</w:t>
      </w:r>
      <w:r w:rsidRPr="00DD4F4E">
        <w:rPr>
          <w:szCs w:val="18"/>
          <w:lang w:val="fr-FR"/>
        </w:rPr>
        <w:t>entrer en fonction</w:t>
      </w:r>
      <w:r w:rsidR="00662C99">
        <w:rPr>
          <w:szCs w:val="18"/>
          <w:lang w:val="fr-FR"/>
        </w:rPr>
        <w:t>s</w:t>
      </w:r>
      <w:r w:rsidRPr="00DD4F4E">
        <w:rPr>
          <w:szCs w:val="18"/>
          <w:lang w:val="fr-FR"/>
        </w:rPr>
        <w:t>, en séance publique, prendre l</w:t>
      </w:r>
      <w:r w:rsidR="004937A0">
        <w:rPr>
          <w:szCs w:val="18"/>
          <w:lang w:val="fr-FR"/>
        </w:rPr>
        <w:t>’</w:t>
      </w:r>
      <w:r w:rsidRPr="00DD4F4E">
        <w:rPr>
          <w:szCs w:val="18"/>
          <w:lang w:val="fr-FR"/>
        </w:rPr>
        <w:t>engagement solennel d</w:t>
      </w:r>
      <w:r w:rsidR="004937A0">
        <w:rPr>
          <w:szCs w:val="18"/>
          <w:lang w:val="fr-FR"/>
        </w:rPr>
        <w:t>’</w:t>
      </w:r>
      <w:r w:rsidRPr="00DD4F4E">
        <w:rPr>
          <w:szCs w:val="18"/>
          <w:lang w:val="fr-FR"/>
        </w:rPr>
        <w:t>exercer ses attributions en pleine impartialité et en toute conscience.</w:t>
      </w:r>
      <w:r>
        <w:rPr>
          <w:szCs w:val="18"/>
          <w:lang w:val="fr-FR"/>
        </w:rPr>
        <w:t> </w:t>
      </w:r>
      <w:r w:rsidRPr="00DD4F4E">
        <w:rPr>
          <w:szCs w:val="18"/>
          <w:lang w:val="fr-FR"/>
        </w:rPr>
        <w:t>»)</w:t>
      </w:r>
      <w:r w:rsidR="00662C99">
        <w:rPr>
          <w:szCs w:val="18"/>
          <w:lang w:val="fr-FR"/>
        </w:rPr>
        <w:t> </w:t>
      </w:r>
      <w:r w:rsidRPr="00DD4F4E">
        <w:rPr>
          <w:szCs w:val="18"/>
          <w:lang w:val="fr-FR"/>
        </w:rPr>
        <w:t xml:space="preserve">; </w:t>
      </w:r>
      <w:r>
        <w:rPr>
          <w:szCs w:val="18"/>
          <w:lang w:val="fr-FR"/>
        </w:rPr>
        <w:t>art. </w:t>
      </w:r>
      <w:r w:rsidRPr="00DD4F4E">
        <w:rPr>
          <w:szCs w:val="18"/>
          <w:lang w:val="fr-FR"/>
        </w:rPr>
        <w:t>2 (</w:t>
      </w:r>
      <w:r>
        <w:rPr>
          <w:szCs w:val="18"/>
          <w:lang w:val="fr-FR"/>
        </w:rPr>
        <w:t>par. </w:t>
      </w:r>
      <w:r w:rsidRPr="00DD4F4E">
        <w:rPr>
          <w:szCs w:val="18"/>
          <w:lang w:val="fr-FR"/>
        </w:rPr>
        <w:t>1) du Statut du Tribunal international du droit de la mer (« Le Tribunal est un corps de 21 membres indépendants »)</w:t>
      </w:r>
      <w:r w:rsidR="00662C99">
        <w:rPr>
          <w:szCs w:val="18"/>
          <w:lang w:val="fr-FR"/>
        </w:rPr>
        <w:t> </w:t>
      </w:r>
      <w:r w:rsidRPr="00DD4F4E">
        <w:rPr>
          <w:szCs w:val="18"/>
          <w:lang w:val="fr-FR"/>
        </w:rPr>
        <w:t xml:space="preserve">; </w:t>
      </w:r>
      <w:r w:rsidRPr="004F0CDF">
        <w:rPr>
          <w:szCs w:val="18"/>
          <w:lang w:val="fr-FR"/>
        </w:rPr>
        <w:t>art. 21 (par. 4) de</w:t>
      </w:r>
      <w:r w:rsidRPr="00DD4F4E">
        <w:rPr>
          <w:szCs w:val="18"/>
          <w:lang w:val="fr-FR"/>
        </w:rPr>
        <w:t xml:space="preserve"> la Convention européenne des droits de l</w:t>
      </w:r>
      <w:r w:rsidR="004937A0">
        <w:rPr>
          <w:szCs w:val="18"/>
          <w:lang w:val="fr-FR"/>
        </w:rPr>
        <w:t>’</w:t>
      </w:r>
      <w:r w:rsidRPr="00DD4F4E">
        <w:rPr>
          <w:szCs w:val="18"/>
          <w:lang w:val="fr-FR"/>
        </w:rPr>
        <w:t>homme (« Pendant la durée de leur mandat, les juges ne peuvent exercer aucune activité incompatible avec les exigences d</w:t>
      </w:r>
      <w:r w:rsidR="004937A0">
        <w:rPr>
          <w:szCs w:val="18"/>
          <w:lang w:val="fr-FR"/>
        </w:rPr>
        <w:t>’</w:t>
      </w:r>
      <w:r w:rsidRPr="00DD4F4E">
        <w:rPr>
          <w:szCs w:val="18"/>
          <w:lang w:val="fr-FR"/>
        </w:rPr>
        <w:t>indépendance, d</w:t>
      </w:r>
      <w:r w:rsidR="004937A0">
        <w:rPr>
          <w:szCs w:val="18"/>
          <w:lang w:val="fr-FR"/>
        </w:rPr>
        <w:t>’</w:t>
      </w:r>
      <w:r w:rsidRPr="00DD4F4E">
        <w:rPr>
          <w:szCs w:val="18"/>
          <w:lang w:val="fr-FR"/>
        </w:rPr>
        <w:t>impartialité ou de disponibilité requise par une activité exercée à plein temps »)</w:t>
      </w:r>
      <w:r w:rsidR="00662C99">
        <w:rPr>
          <w:szCs w:val="18"/>
          <w:lang w:val="fr-FR"/>
        </w:rPr>
        <w:t> </w:t>
      </w:r>
      <w:r w:rsidRPr="00DD4F4E">
        <w:rPr>
          <w:szCs w:val="18"/>
          <w:lang w:val="fr-FR"/>
        </w:rPr>
        <w:t xml:space="preserve">; </w:t>
      </w:r>
      <w:r>
        <w:rPr>
          <w:szCs w:val="18"/>
          <w:lang w:val="fr-FR"/>
        </w:rPr>
        <w:t>art. </w:t>
      </w:r>
      <w:r w:rsidRPr="00DD4F4E">
        <w:rPr>
          <w:szCs w:val="18"/>
          <w:lang w:val="fr-FR"/>
        </w:rPr>
        <w:t>17 du Protocole relatif à la Charte africaine des droits de l</w:t>
      </w:r>
      <w:r w:rsidR="004937A0">
        <w:rPr>
          <w:szCs w:val="18"/>
          <w:lang w:val="fr-FR"/>
        </w:rPr>
        <w:t>’</w:t>
      </w:r>
      <w:r w:rsidRPr="00DD4F4E">
        <w:rPr>
          <w:szCs w:val="18"/>
          <w:lang w:val="fr-FR"/>
        </w:rPr>
        <w:t>homme et des peuples portant création d</w:t>
      </w:r>
      <w:r w:rsidR="004937A0">
        <w:rPr>
          <w:szCs w:val="18"/>
          <w:lang w:val="fr-FR"/>
        </w:rPr>
        <w:t>’</w:t>
      </w:r>
      <w:r w:rsidRPr="00DD4F4E">
        <w:rPr>
          <w:szCs w:val="18"/>
          <w:lang w:val="fr-FR"/>
        </w:rPr>
        <w:t>une Cour africaine des droits de l</w:t>
      </w:r>
      <w:r w:rsidR="004937A0">
        <w:rPr>
          <w:szCs w:val="18"/>
          <w:lang w:val="fr-FR"/>
        </w:rPr>
        <w:t>’</w:t>
      </w:r>
      <w:r w:rsidRPr="00DD4F4E">
        <w:rPr>
          <w:szCs w:val="18"/>
          <w:lang w:val="fr-FR"/>
        </w:rPr>
        <w:t>homme et des peuples (Ouagadougou, 10 juin 1998), disponible sur le site Web de l</w:t>
      </w:r>
      <w:r w:rsidR="004937A0">
        <w:rPr>
          <w:szCs w:val="18"/>
          <w:lang w:val="fr-FR"/>
        </w:rPr>
        <w:t>’</w:t>
      </w:r>
      <w:r w:rsidRPr="00DD4F4E">
        <w:rPr>
          <w:szCs w:val="18"/>
          <w:lang w:val="fr-FR"/>
        </w:rPr>
        <w:t>Union africaine</w:t>
      </w:r>
      <w:r>
        <w:rPr>
          <w:szCs w:val="18"/>
          <w:lang w:val="fr-FR"/>
        </w:rPr>
        <w:t> </w:t>
      </w:r>
      <w:r w:rsidRPr="00DD4F4E">
        <w:rPr>
          <w:szCs w:val="18"/>
          <w:lang w:val="fr-FR"/>
        </w:rPr>
        <w:t xml:space="preserve">: </w:t>
      </w:r>
      <w:hyperlink r:id="rId48" w:history="1">
        <w:r w:rsidRPr="00DE4CE3">
          <w:rPr>
            <w:rStyle w:val="Lienhypertexte"/>
            <w:szCs w:val="18"/>
            <w:lang w:val="fr-FR"/>
          </w:rPr>
          <w:t>https://au.int/</w:t>
        </w:r>
      </w:hyperlink>
      <w:r w:rsidRPr="00DD4F4E">
        <w:rPr>
          <w:szCs w:val="18"/>
          <w:lang w:val="fr-FR"/>
        </w:rPr>
        <w:t xml:space="preserve"> (sous l</w:t>
      </w:r>
      <w:r w:rsidR="004937A0">
        <w:rPr>
          <w:szCs w:val="18"/>
          <w:lang w:val="fr-FR"/>
        </w:rPr>
        <w:t>’</w:t>
      </w:r>
      <w:r w:rsidRPr="00DD4F4E">
        <w:rPr>
          <w:szCs w:val="18"/>
          <w:lang w:val="fr-FR"/>
        </w:rPr>
        <w:t>onglet « Traités ») (« L</w:t>
      </w:r>
      <w:r w:rsidR="004937A0">
        <w:rPr>
          <w:szCs w:val="18"/>
          <w:lang w:val="fr-FR"/>
        </w:rPr>
        <w:t>’</w:t>
      </w:r>
      <w:r w:rsidRPr="00DD4F4E">
        <w:rPr>
          <w:szCs w:val="18"/>
          <w:lang w:val="fr-FR"/>
        </w:rPr>
        <w:t>indépendance des juges est pleinement assurée conformément au droit international ».)</w:t>
      </w:r>
      <w:r>
        <w:rPr>
          <w:szCs w:val="18"/>
          <w:lang w:val="fr-FR"/>
        </w:rPr>
        <w:t> ; art. 71, C</w:t>
      </w:r>
      <w:r w:rsidRPr="00AE4FB9">
        <w:rPr>
          <w:szCs w:val="18"/>
        </w:rPr>
        <w:t>onvention américaine relative aux droits de l</w:t>
      </w:r>
      <w:r w:rsidR="004937A0">
        <w:rPr>
          <w:szCs w:val="18"/>
        </w:rPr>
        <w:t>’</w:t>
      </w:r>
      <w:r w:rsidRPr="00AE4FB9">
        <w:rPr>
          <w:szCs w:val="18"/>
        </w:rPr>
        <w:t xml:space="preserve">homme (San José, 22 novembre 1969), Nations Unies, </w:t>
      </w:r>
      <w:r w:rsidRPr="00656774">
        <w:rPr>
          <w:i/>
          <w:iCs/>
          <w:szCs w:val="18"/>
        </w:rPr>
        <w:t>Recueil des Traités</w:t>
      </w:r>
      <w:r w:rsidRPr="00AE4FB9">
        <w:rPr>
          <w:szCs w:val="18"/>
        </w:rPr>
        <w:t>, vol.</w:t>
      </w:r>
      <w:r w:rsidR="00662C99">
        <w:rPr>
          <w:szCs w:val="18"/>
        </w:rPr>
        <w:t> </w:t>
      </w:r>
      <w:r w:rsidRPr="00AE4FB9">
        <w:rPr>
          <w:szCs w:val="18"/>
        </w:rPr>
        <w:t xml:space="preserve">1144, </w:t>
      </w:r>
      <w:r w:rsidR="00662C99" w:rsidRPr="00662C99">
        <w:rPr>
          <w:rFonts w:eastAsia="MS Mincho"/>
          <w:szCs w:val="18"/>
        </w:rPr>
        <w:t>n</w:t>
      </w:r>
      <w:r w:rsidR="00662C99" w:rsidRPr="00662C99">
        <w:rPr>
          <w:rFonts w:eastAsia="MS Mincho"/>
          <w:szCs w:val="18"/>
          <w:vertAlign w:val="superscript"/>
        </w:rPr>
        <w:t>o</w:t>
      </w:r>
      <w:r w:rsidR="00662C99">
        <w:rPr>
          <w:szCs w:val="18"/>
        </w:rPr>
        <w:t> </w:t>
      </w:r>
      <w:r w:rsidRPr="00AE4FB9">
        <w:rPr>
          <w:szCs w:val="18"/>
        </w:rPr>
        <w:t>17955, p. </w:t>
      </w:r>
      <w:r>
        <w:rPr>
          <w:szCs w:val="18"/>
        </w:rPr>
        <w:t>144 (« </w:t>
      </w:r>
      <w:r w:rsidRPr="00303DF7">
        <w:rPr>
          <w:szCs w:val="18"/>
        </w:rPr>
        <w:t>Les fonctions d</w:t>
      </w:r>
      <w:r>
        <w:rPr>
          <w:szCs w:val="18"/>
        </w:rPr>
        <w:t xml:space="preserve">e </w:t>
      </w:r>
      <w:r w:rsidRPr="00303DF7">
        <w:rPr>
          <w:szCs w:val="18"/>
        </w:rPr>
        <w:t>juge à la Cour ou de membre de la Commission</w:t>
      </w:r>
      <w:r>
        <w:rPr>
          <w:szCs w:val="18"/>
        </w:rPr>
        <w:t xml:space="preserve"> </w:t>
      </w:r>
      <w:r w:rsidRPr="00303DF7">
        <w:rPr>
          <w:szCs w:val="18"/>
        </w:rPr>
        <w:t>sont incompatibles avec toutes autres activités de nature à porter atteinte à l</w:t>
      </w:r>
      <w:r w:rsidR="004937A0">
        <w:rPr>
          <w:szCs w:val="18"/>
        </w:rPr>
        <w:t>’</w:t>
      </w:r>
      <w:r w:rsidRPr="00303DF7">
        <w:rPr>
          <w:szCs w:val="18"/>
        </w:rPr>
        <w:t xml:space="preserve">indépendance ou à </w:t>
      </w:r>
      <w:r>
        <w:rPr>
          <w:szCs w:val="18"/>
        </w:rPr>
        <w:t>l</w:t>
      </w:r>
      <w:r w:rsidR="004937A0">
        <w:rPr>
          <w:szCs w:val="18"/>
        </w:rPr>
        <w:t>’</w:t>
      </w:r>
      <w:r w:rsidRPr="00303DF7">
        <w:rPr>
          <w:szCs w:val="18"/>
        </w:rPr>
        <w:t>impartialité des titulaires desdites fonctions dans l</w:t>
      </w:r>
      <w:r w:rsidR="004937A0">
        <w:rPr>
          <w:szCs w:val="18"/>
        </w:rPr>
        <w:t>’</w:t>
      </w:r>
      <w:r w:rsidRPr="00303DF7">
        <w:rPr>
          <w:szCs w:val="18"/>
        </w:rPr>
        <w:t>exercice de</w:t>
      </w:r>
      <w:r>
        <w:rPr>
          <w:szCs w:val="18"/>
        </w:rPr>
        <w:t xml:space="preserve"> </w:t>
      </w:r>
      <w:r w:rsidRPr="00303DF7">
        <w:rPr>
          <w:szCs w:val="18"/>
        </w:rPr>
        <w:t>leurs attributions, conformément aux statuts régissant lesdits organes</w:t>
      </w:r>
      <w:r>
        <w:rPr>
          <w:szCs w:val="18"/>
        </w:rPr>
        <w:t xml:space="preserve">. ») ; </w:t>
      </w:r>
      <w:r>
        <w:rPr>
          <w:szCs w:val="18"/>
          <w:lang w:val="fr-FR"/>
        </w:rPr>
        <w:t>art. </w:t>
      </w:r>
      <w:r w:rsidRPr="00DD4F4E">
        <w:rPr>
          <w:szCs w:val="18"/>
          <w:lang w:val="fr-FR"/>
        </w:rPr>
        <w:t>6 (</w:t>
      </w:r>
      <w:r>
        <w:rPr>
          <w:szCs w:val="18"/>
          <w:lang w:val="fr-FR"/>
        </w:rPr>
        <w:t>par. </w:t>
      </w:r>
      <w:r w:rsidRPr="00DD4F4E">
        <w:rPr>
          <w:szCs w:val="18"/>
          <w:lang w:val="fr-FR"/>
        </w:rPr>
        <w:t>7) du Règlement d</w:t>
      </w:r>
      <w:r w:rsidR="004937A0">
        <w:rPr>
          <w:szCs w:val="18"/>
          <w:lang w:val="fr-FR"/>
        </w:rPr>
        <w:t>’</w:t>
      </w:r>
      <w:r w:rsidRPr="00DD4F4E">
        <w:rPr>
          <w:szCs w:val="18"/>
          <w:lang w:val="fr-FR"/>
        </w:rPr>
        <w:t xml:space="preserve">arbitrage de la CNUDCI (2010) et </w:t>
      </w:r>
      <w:r>
        <w:rPr>
          <w:szCs w:val="18"/>
          <w:lang w:val="fr-FR"/>
        </w:rPr>
        <w:t>art. </w:t>
      </w:r>
      <w:r w:rsidRPr="00DD4F4E">
        <w:rPr>
          <w:szCs w:val="18"/>
          <w:lang w:val="fr-FR"/>
        </w:rPr>
        <w:t>6 (</w:t>
      </w:r>
      <w:r>
        <w:rPr>
          <w:szCs w:val="18"/>
          <w:lang w:val="fr-FR"/>
        </w:rPr>
        <w:t>par. </w:t>
      </w:r>
      <w:r w:rsidRPr="00DD4F4E">
        <w:rPr>
          <w:szCs w:val="18"/>
          <w:lang w:val="fr-FR"/>
        </w:rPr>
        <w:t>3) du Règlement d</w:t>
      </w:r>
      <w:r w:rsidR="004937A0">
        <w:rPr>
          <w:szCs w:val="18"/>
          <w:lang w:val="fr-FR"/>
        </w:rPr>
        <w:t>’</w:t>
      </w:r>
      <w:r w:rsidRPr="00DD4F4E">
        <w:rPr>
          <w:szCs w:val="18"/>
          <w:lang w:val="fr-FR"/>
        </w:rPr>
        <w:t>arbitrage de la Cour permanente d</w:t>
      </w:r>
      <w:r w:rsidR="004937A0">
        <w:rPr>
          <w:szCs w:val="18"/>
          <w:lang w:val="fr-FR"/>
        </w:rPr>
        <w:t>’</w:t>
      </w:r>
      <w:r w:rsidRPr="00DD4F4E">
        <w:rPr>
          <w:szCs w:val="18"/>
          <w:lang w:val="fr-FR"/>
        </w:rPr>
        <w:t>arbitrage (17 décembre 2012) (où il est question d</w:t>
      </w:r>
      <w:r w:rsidR="004937A0">
        <w:rPr>
          <w:szCs w:val="18"/>
          <w:lang w:val="fr-FR"/>
        </w:rPr>
        <w:t>’</w:t>
      </w:r>
      <w:r w:rsidRPr="00DD4F4E">
        <w:rPr>
          <w:szCs w:val="18"/>
          <w:lang w:val="fr-FR"/>
        </w:rPr>
        <w:t>un « arbitre indépendant et impartial »)</w:t>
      </w:r>
      <w:r w:rsidR="00A42850">
        <w:rPr>
          <w:szCs w:val="18"/>
          <w:lang w:val="fr-FR"/>
        </w:rPr>
        <w:t> </w:t>
      </w:r>
      <w:r w:rsidRPr="00DD4F4E">
        <w:rPr>
          <w:szCs w:val="18"/>
          <w:lang w:val="fr-FR"/>
        </w:rPr>
        <w:t xml:space="preserve">; </w:t>
      </w:r>
      <w:r>
        <w:rPr>
          <w:szCs w:val="18"/>
          <w:lang w:val="fr-FR"/>
        </w:rPr>
        <w:t>art. </w:t>
      </w:r>
      <w:r w:rsidRPr="00DD4F4E">
        <w:rPr>
          <w:szCs w:val="18"/>
          <w:lang w:val="fr-FR"/>
        </w:rPr>
        <w:t>18 (</w:t>
      </w:r>
      <w:r>
        <w:rPr>
          <w:szCs w:val="18"/>
          <w:lang w:val="fr-FR"/>
        </w:rPr>
        <w:t>par. </w:t>
      </w:r>
      <w:r w:rsidRPr="00DD4F4E">
        <w:rPr>
          <w:szCs w:val="18"/>
          <w:lang w:val="fr-FR"/>
        </w:rPr>
        <w:t>1) du Règlement d</w:t>
      </w:r>
      <w:r w:rsidR="004937A0">
        <w:rPr>
          <w:szCs w:val="18"/>
          <w:lang w:val="fr-FR"/>
        </w:rPr>
        <w:t>’</w:t>
      </w:r>
      <w:r w:rsidRPr="00DD4F4E">
        <w:rPr>
          <w:szCs w:val="18"/>
          <w:lang w:val="fr-FR"/>
        </w:rPr>
        <w:t>arbitrage de l</w:t>
      </w:r>
      <w:r w:rsidR="004937A0">
        <w:rPr>
          <w:szCs w:val="18"/>
          <w:lang w:val="fr-FR"/>
        </w:rPr>
        <w:t>’</w:t>
      </w:r>
      <w:r w:rsidRPr="00DD4F4E">
        <w:rPr>
          <w:szCs w:val="18"/>
          <w:lang w:val="fr-FR"/>
        </w:rPr>
        <w:t>Institut d</w:t>
      </w:r>
      <w:r w:rsidR="004937A0">
        <w:rPr>
          <w:szCs w:val="18"/>
          <w:lang w:val="fr-FR"/>
        </w:rPr>
        <w:t>’</w:t>
      </w:r>
      <w:r w:rsidRPr="00DD4F4E">
        <w:rPr>
          <w:szCs w:val="18"/>
          <w:lang w:val="fr-FR"/>
        </w:rPr>
        <w:t>arbitrage de la Chambre de commerce de Stockholm (1</w:t>
      </w:r>
      <w:r w:rsidRPr="00DD4F4E">
        <w:rPr>
          <w:szCs w:val="18"/>
          <w:vertAlign w:val="superscript"/>
          <w:lang w:val="fr-FR"/>
        </w:rPr>
        <w:t>er</w:t>
      </w:r>
      <w:r w:rsidRPr="00DD4F4E">
        <w:rPr>
          <w:szCs w:val="18"/>
          <w:lang w:val="fr-FR"/>
        </w:rPr>
        <w:t> janvier 2017) (où il est dit que tout arbitre doit être impartial et indépendant)</w:t>
      </w:r>
      <w:r>
        <w:rPr>
          <w:szCs w:val="18"/>
          <w:lang w:val="fr-FR"/>
        </w:rPr>
        <w:t>.</w:t>
      </w:r>
    </w:p>
  </w:footnote>
  <w:footnote w:id="69">
    <w:p w14:paraId="7F5ED564" w14:textId="6491A13C"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Voir, par exemple, les Principes de Burgh House relatifs à l</w:t>
      </w:r>
      <w:r w:rsidR="004937A0">
        <w:rPr>
          <w:szCs w:val="18"/>
          <w:lang w:val="fr-FR"/>
        </w:rPr>
        <w:t>’</w:t>
      </w:r>
      <w:r w:rsidRPr="00DD4F4E">
        <w:rPr>
          <w:szCs w:val="18"/>
          <w:lang w:val="fr-FR"/>
        </w:rPr>
        <w:t>indépendance de la magistrature internationale, adoptés en 2004 par le groupe de l</w:t>
      </w:r>
      <w:r w:rsidR="004937A0">
        <w:rPr>
          <w:szCs w:val="18"/>
          <w:lang w:val="fr-FR"/>
        </w:rPr>
        <w:t>’</w:t>
      </w:r>
      <w:r w:rsidRPr="00DD4F4E">
        <w:rPr>
          <w:szCs w:val="18"/>
          <w:lang w:val="fr-FR"/>
        </w:rPr>
        <w:t>Association de droit international chargé d</w:t>
      </w:r>
      <w:r w:rsidR="004937A0">
        <w:rPr>
          <w:szCs w:val="18"/>
          <w:lang w:val="fr-FR"/>
        </w:rPr>
        <w:t>’</w:t>
      </w:r>
      <w:r w:rsidRPr="00DD4F4E">
        <w:rPr>
          <w:szCs w:val="18"/>
          <w:lang w:val="fr-FR"/>
        </w:rPr>
        <w:t>étudier la pratique et la procédure des juridictions internationales, en association avec le Project on International Courts and Tribunals</w:t>
      </w:r>
      <w:r w:rsidR="00A42850">
        <w:rPr>
          <w:szCs w:val="18"/>
          <w:lang w:val="fr-FR"/>
        </w:rPr>
        <w:t> </w:t>
      </w:r>
      <w:r w:rsidRPr="00DD4F4E">
        <w:rPr>
          <w:szCs w:val="18"/>
          <w:lang w:val="fr-FR"/>
        </w:rPr>
        <w:t>; les Principes de Bangalore sur la déontologie judiciaire</w:t>
      </w:r>
      <w:r w:rsidR="00A42850">
        <w:rPr>
          <w:szCs w:val="18"/>
          <w:lang w:val="fr-FR"/>
        </w:rPr>
        <w:t> </w:t>
      </w:r>
      <w:r w:rsidRPr="00DD4F4E">
        <w:rPr>
          <w:szCs w:val="18"/>
          <w:lang w:val="fr-FR"/>
        </w:rPr>
        <w:t>; International Bar Association (IBA), Lignes directrices de l</w:t>
      </w:r>
      <w:r w:rsidR="004937A0">
        <w:rPr>
          <w:szCs w:val="18"/>
          <w:lang w:val="fr-FR"/>
        </w:rPr>
        <w:t>’</w:t>
      </w:r>
      <w:r w:rsidRPr="00DD4F4E">
        <w:rPr>
          <w:szCs w:val="18"/>
          <w:lang w:val="fr-FR"/>
        </w:rPr>
        <w:t>IBA sur les conflits d</w:t>
      </w:r>
      <w:r w:rsidR="004937A0">
        <w:rPr>
          <w:szCs w:val="18"/>
          <w:lang w:val="fr-FR"/>
        </w:rPr>
        <w:t>’</w:t>
      </w:r>
      <w:r w:rsidRPr="00DD4F4E">
        <w:rPr>
          <w:szCs w:val="18"/>
          <w:lang w:val="fr-FR"/>
        </w:rPr>
        <w:t>intérêts dans l</w:t>
      </w:r>
      <w:r w:rsidR="004937A0">
        <w:rPr>
          <w:szCs w:val="18"/>
          <w:lang w:val="fr-FR"/>
        </w:rPr>
        <w:t>’</w:t>
      </w:r>
      <w:r w:rsidRPr="00DD4F4E">
        <w:rPr>
          <w:szCs w:val="18"/>
          <w:lang w:val="fr-FR"/>
        </w:rPr>
        <w:t>arbitrage international (adoptées par résolution du Conseil de l</w:t>
      </w:r>
      <w:r w:rsidR="004937A0">
        <w:rPr>
          <w:szCs w:val="18"/>
          <w:lang w:val="fr-FR"/>
        </w:rPr>
        <w:t>’</w:t>
      </w:r>
      <w:r w:rsidRPr="00DD4F4E">
        <w:rPr>
          <w:szCs w:val="18"/>
          <w:lang w:val="fr-FR"/>
        </w:rPr>
        <w:t>IBA le 23 octobre 2014)</w:t>
      </w:r>
      <w:r w:rsidR="00A42850">
        <w:rPr>
          <w:szCs w:val="18"/>
          <w:lang w:val="fr-FR"/>
        </w:rPr>
        <w:t> </w:t>
      </w:r>
      <w:r w:rsidRPr="00DD4F4E">
        <w:rPr>
          <w:szCs w:val="18"/>
          <w:lang w:val="fr-FR"/>
        </w:rPr>
        <w:t xml:space="preserve">; CNUDCI, Projet de code de conduite destiné aux arbitres dans des procédures de règlement de différends relatifs à des investissements internationaux et commentaire. </w:t>
      </w:r>
    </w:p>
  </w:footnote>
  <w:footnote w:id="70">
    <w:p w14:paraId="742D4BC5" w14:textId="77777777"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 xml:space="preserve">Voir, par exemple, </w:t>
      </w:r>
      <w:r>
        <w:rPr>
          <w:szCs w:val="18"/>
          <w:lang w:val="fr-FR"/>
        </w:rPr>
        <w:t>Art. </w:t>
      </w:r>
      <w:r w:rsidRPr="00DD4F4E">
        <w:rPr>
          <w:szCs w:val="18"/>
          <w:lang w:val="fr-FR"/>
        </w:rPr>
        <w:t xml:space="preserve">16 et 17 du Statut de la Cour internationale de Justice. </w:t>
      </w:r>
    </w:p>
  </w:footnote>
  <w:footnote w:id="71">
    <w:p w14:paraId="08C0BAE2" w14:textId="4081F411"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szCs w:val="18"/>
          <w:lang w:val="fr-FR"/>
        </w:rPr>
        <w:t xml:space="preserve">Voir, par exemple, </w:t>
      </w:r>
      <w:r>
        <w:rPr>
          <w:szCs w:val="18"/>
          <w:lang w:val="fr-FR"/>
        </w:rPr>
        <w:t>art. </w:t>
      </w:r>
      <w:r w:rsidRPr="00DD4F4E">
        <w:rPr>
          <w:szCs w:val="18"/>
          <w:lang w:val="fr-FR"/>
        </w:rPr>
        <w:t>4 (</w:t>
      </w:r>
      <w:r>
        <w:rPr>
          <w:szCs w:val="18"/>
          <w:lang w:val="fr-FR"/>
        </w:rPr>
        <w:t>par. </w:t>
      </w:r>
      <w:r w:rsidRPr="00DD4F4E">
        <w:rPr>
          <w:szCs w:val="18"/>
          <w:lang w:val="fr-FR"/>
        </w:rPr>
        <w:t>1), Cour européenne des droits de l</w:t>
      </w:r>
      <w:r w:rsidR="004937A0">
        <w:rPr>
          <w:szCs w:val="18"/>
          <w:lang w:val="fr-FR"/>
        </w:rPr>
        <w:t>’</w:t>
      </w:r>
      <w:r w:rsidRPr="00DD4F4E">
        <w:rPr>
          <w:szCs w:val="18"/>
          <w:lang w:val="fr-FR"/>
        </w:rPr>
        <w:t>homme, Règlement de la Cour. Disponible à l</w:t>
      </w:r>
      <w:r w:rsidR="004937A0">
        <w:rPr>
          <w:szCs w:val="18"/>
          <w:lang w:val="fr-FR"/>
        </w:rPr>
        <w:t>’</w:t>
      </w:r>
      <w:r w:rsidRPr="00DD4F4E">
        <w:rPr>
          <w:szCs w:val="18"/>
          <w:lang w:val="fr-FR"/>
        </w:rPr>
        <w:t>adresse suivante</w:t>
      </w:r>
      <w:r>
        <w:rPr>
          <w:szCs w:val="18"/>
          <w:lang w:val="fr-FR"/>
        </w:rPr>
        <w:t> </w:t>
      </w:r>
      <w:r w:rsidRPr="00DD4F4E">
        <w:rPr>
          <w:szCs w:val="18"/>
          <w:lang w:val="fr-FR"/>
        </w:rPr>
        <w:t xml:space="preserve">: </w:t>
      </w:r>
      <w:hyperlink r:id="rId49" w:history="1">
        <w:r w:rsidRPr="00EA12FE">
          <w:rPr>
            <w:rStyle w:val="Lienhypertexte"/>
            <w:szCs w:val="18"/>
            <w:lang w:val="fr-FR"/>
          </w:rPr>
          <w:t>https://prd-echr.coe.int/documents/d/echr/Rules_Court_FRA</w:t>
        </w:r>
      </w:hyperlink>
      <w:r w:rsidRPr="00DD4F4E">
        <w:rPr>
          <w:szCs w:val="18"/>
          <w:lang w:val="fr-FR"/>
        </w:rPr>
        <w:t>.</w:t>
      </w:r>
    </w:p>
  </w:footnote>
  <w:footnote w:id="72">
    <w:p w14:paraId="64CE1C62" w14:textId="77777777" w:rsidR="00C324CF" w:rsidRPr="00DD4F4E" w:rsidRDefault="00C324CF" w:rsidP="00E9227E">
      <w:pPr>
        <w:pStyle w:val="Notedebasdepage"/>
        <w:rPr>
          <w:szCs w:val="18"/>
          <w:lang w:val="fr-FR"/>
        </w:rPr>
      </w:pPr>
      <w:r>
        <w:rPr>
          <w:szCs w:val="18"/>
          <w:lang w:val="fr-FR"/>
        </w:rPr>
        <w:tab/>
      </w:r>
      <w:r w:rsidRPr="00E9227E">
        <w:rPr>
          <w:rStyle w:val="Appelnotedebasdep"/>
        </w:rPr>
        <w:footnoteRef/>
      </w:r>
      <w:r w:rsidRPr="00DD4F4E">
        <w:rPr>
          <w:szCs w:val="18"/>
          <w:lang w:val="fr-FR"/>
        </w:rPr>
        <w:tab/>
        <w:t xml:space="preserve">Voir, par exemple, valeurs 3, 4 et 6 des Principes de Bangalore sur la déontologie judiciaire. </w:t>
      </w:r>
    </w:p>
  </w:footnote>
  <w:footnote w:id="73">
    <w:p w14:paraId="5223C2DA" w14:textId="7F1ED1FE" w:rsidR="00C324CF" w:rsidRPr="00DD4F4E" w:rsidRDefault="00C324CF" w:rsidP="00E9227E">
      <w:pPr>
        <w:pStyle w:val="Notedebasdepage"/>
        <w:rPr>
          <w:szCs w:val="18"/>
          <w:lang w:val="en-US"/>
        </w:rPr>
      </w:pPr>
      <w:r>
        <w:rPr>
          <w:szCs w:val="18"/>
          <w:lang w:val="fr-FR"/>
        </w:rPr>
        <w:tab/>
      </w:r>
      <w:r w:rsidRPr="00E9227E">
        <w:rPr>
          <w:rStyle w:val="Appelnotedebasdep"/>
        </w:rPr>
        <w:footnoteRef/>
      </w:r>
      <w:r w:rsidRPr="00DD4F4E">
        <w:rPr>
          <w:szCs w:val="18"/>
          <w:lang w:val="fr-FR"/>
        </w:rPr>
        <w:tab/>
        <w:t xml:space="preserve">Voir Arman Sarvarian </w:t>
      </w:r>
      <w:r w:rsidRPr="00DD4F4E">
        <w:rPr>
          <w:i/>
          <w:iCs/>
          <w:szCs w:val="18"/>
          <w:lang w:val="fr-FR"/>
        </w:rPr>
        <w:t>et al</w:t>
      </w:r>
      <w:r w:rsidRPr="00DD4F4E">
        <w:rPr>
          <w:szCs w:val="18"/>
          <w:lang w:val="fr-FR"/>
        </w:rPr>
        <w:t xml:space="preserve">. </w:t>
      </w:r>
      <w:r w:rsidRPr="00DD4F4E">
        <w:rPr>
          <w:szCs w:val="18"/>
          <w:lang w:val="en-US"/>
        </w:rPr>
        <w:t xml:space="preserve">(dir. publ.), </w:t>
      </w:r>
      <w:r w:rsidRPr="00DD4F4E">
        <w:rPr>
          <w:i/>
          <w:iCs/>
          <w:szCs w:val="18"/>
          <w:lang w:val="en-US"/>
        </w:rPr>
        <w:t>Procedural Fairness in International Courts and Tribunals</w:t>
      </w:r>
      <w:r w:rsidRPr="00DD4F4E">
        <w:rPr>
          <w:szCs w:val="18"/>
          <w:lang w:val="en-US"/>
        </w:rPr>
        <w:t xml:space="preserve"> (Londres, British Institute of International and Comparative Law, 2015), </w:t>
      </w:r>
      <w:r>
        <w:rPr>
          <w:szCs w:val="18"/>
          <w:lang w:val="en-US"/>
        </w:rPr>
        <w:t>p. </w:t>
      </w:r>
      <w:r w:rsidRPr="00DD4F4E">
        <w:rPr>
          <w:szCs w:val="18"/>
          <w:lang w:val="en-US"/>
        </w:rPr>
        <w:t>108 et 109</w:t>
      </w:r>
      <w:r w:rsidR="00A42850">
        <w:rPr>
          <w:szCs w:val="18"/>
          <w:lang w:val="en-US"/>
        </w:rPr>
        <w:t> </w:t>
      </w:r>
      <w:r w:rsidRPr="00DD4F4E">
        <w:rPr>
          <w:szCs w:val="18"/>
          <w:lang w:val="en-US"/>
        </w:rPr>
        <w:t xml:space="preserve">; Clooney et Webb, </w:t>
      </w:r>
      <w:r w:rsidRPr="00DD4F4E">
        <w:rPr>
          <w:i/>
          <w:iCs/>
          <w:szCs w:val="18"/>
          <w:lang w:val="en-US"/>
        </w:rPr>
        <w:t>The Right to a Fair Trial in International Law</w:t>
      </w:r>
      <w:r w:rsidRPr="00DD4F4E">
        <w:rPr>
          <w:szCs w:val="18"/>
          <w:lang w:val="en-US"/>
        </w:rPr>
        <w:t xml:space="preserve">. </w:t>
      </w:r>
    </w:p>
  </w:footnote>
  <w:footnote w:id="74">
    <w:p w14:paraId="40F70A93" w14:textId="2461EBAB" w:rsidR="00C324CF" w:rsidRPr="00DD4F4E" w:rsidRDefault="00C324CF" w:rsidP="00E9227E">
      <w:pPr>
        <w:pStyle w:val="Notedebasdepage"/>
        <w:rPr>
          <w:szCs w:val="18"/>
          <w:lang w:val="fr-FR"/>
        </w:rPr>
      </w:pPr>
      <w:r w:rsidRPr="00DD4F4E">
        <w:rPr>
          <w:szCs w:val="18"/>
          <w:lang w:val="en-US"/>
        </w:rPr>
        <w:tab/>
      </w:r>
      <w:r w:rsidRPr="00E9227E">
        <w:rPr>
          <w:rStyle w:val="Appelnotedebasdep"/>
        </w:rPr>
        <w:footnoteRef/>
      </w:r>
      <w:r>
        <w:rPr>
          <w:szCs w:val="18"/>
          <w:lang w:val="fr-FR"/>
        </w:rPr>
        <w:tab/>
      </w:r>
      <w:r w:rsidRPr="00DD4F4E">
        <w:rPr>
          <w:szCs w:val="18"/>
          <w:lang w:val="fr-FR"/>
        </w:rPr>
        <w:t>Institut de droit international, résolution sur l</w:t>
      </w:r>
      <w:r w:rsidR="004937A0">
        <w:rPr>
          <w:szCs w:val="18"/>
          <w:lang w:val="fr-FR"/>
        </w:rPr>
        <w:t>’</w:t>
      </w:r>
      <w:r w:rsidRPr="00DD4F4E">
        <w:rPr>
          <w:szCs w:val="18"/>
          <w:lang w:val="fr-FR"/>
        </w:rPr>
        <w:t>égalité des parties devant les tribunaux internationaux d</w:t>
      </w:r>
      <w:r w:rsidR="004937A0">
        <w:rPr>
          <w:szCs w:val="18"/>
          <w:lang w:val="fr-FR"/>
        </w:rPr>
        <w:t>’</w:t>
      </w:r>
      <w:r w:rsidRPr="00DD4F4E">
        <w:rPr>
          <w:szCs w:val="18"/>
          <w:lang w:val="fr-FR"/>
        </w:rPr>
        <w:t xml:space="preserve">investissement, </w:t>
      </w:r>
      <w:r w:rsidRPr="00DD4F4E">
        <w:rPr>
          <w:i/>
          <w:iCs/>
          <w:szCs w:val="18"/>
          <w:lang w:val="fr-FR"/>
        </w:rPr>
        <w:t>Annuaire</w:t>
      </w:r>
      <w:r w:rsidRPr="00DD4F4E">
        <w:rPr>
          <w:szCs w:val="18"/>
          <w:lang w:val="fr-FR"/>
        </w:rPr>
        <w:t xml:space="preserve">, </w:t>
      </w:r>
      <w:r>
        <w:rPr>
          <w:szCs w:val="18"/>
          <w:lang w:val="fr-FR"/>
        </w:rPr>
        <w:t>vol. </w:t>
      </w:r>
      <w:r w:rsidRPr="00DD4F4E">
        <w:rPr>
          <w:szCs w:val="18"/>
          <w:lang w:val="fr-FR"/>
        </w:rPr>
        <w:t xml:space="preserve">80 (2018-2019), Session de La Haye (2019), </w:t>
      </w:r>
      <w:r>
        <w:rPr>
          <w:szCs w:val="18"/>
          <w:lang w:val="fr-FR"/>
        </w:rPr>
        <w:t>p. </w:t>
      </w:r>
      <w:r w:rsidRPr="00DD4F4E">
        <w:rPr>
          <w:szCs w:val="18"/>
          <w:lang w:val="fr-FR"/>
        </w:rPr>
        <w:t>1 à 11 (où il est dit, dans le préambule, « que le principe d</w:t>
      </w:r>
      <w:r w:rsidR="004937A0">
        <w:rPr>
          <w:szCs w:val="18"/>
          <w:lang w:val="fr-FR"/>
        </w:rPr>
        <w:t>’</w:t>
      </w:r>
      <w:r w:rsidRPr="00DD4F4E">
        <w:rPr>
          <w:szCs w:val="18"/>
          <w:lang w:val="fr-FR"/>
        </w:rPr>
        <w:t>égalité des parties est un élément fondamental de l</w:t>
      </w:r>
      <w:r w:rsidR="004937A0">
        <w:rPr>
          <w:szCs w:val="18"/>
          <w:lang w:val="fr-FR"/>
        </w:rPr>
        <w:t>’</w:t>
      </w:r>
      <w:r w:rsidRPr="00DD4F4E">
        <w:rPr>
          <w:szCs w:val="18"/>
          <w:lang w:val="fr-FR"/>
        </w:rPr>
        <w:t>état de droit qui garantit un règlement juridictionnel juste »</w:t>
      </w:r>
      <w:r w:rsidR="00A42850">
        <w:rPr>
          <w:szCs w:val="18"/>
          <w:lang w:val="fr-FR"/>
        </w:rPr>
        <w:t> </w:t>
      </w:r>
      <w:r w:rsidRPr="00DD4F4E">
        <w:rPr>
          <w:szCs w:val="18"/>
          <w:lang w:val="fr-FR"/>
        </w:rPr>
        <w:t>; Commission européenne pour la démocratie par le droit (Commission de Venise), Rapport sur la prééminence du droit, document</w:t>
      </w:r>
      <w:r w:rsidR="00A42850">
        <w:rPr>
          <w:szCs w:val="18"/>
          <w:lang w:val="fr-FR"/>
        </w:rPr>
        <w:t xml:space="preserve"> </w:t>
      </w:r>
      <w:r w:rsidRPr="00DD4F4E">
        <w:rPr>
          <w:szCs w:val="18"/>
          <w:lang w:val="fr-FR"/>
        </w:rPr>
        <w:t>CDL</w:t>
      </w:r>
      <w:r>
        <w:rPr>
          <w:szCs w:val="18"/>
          <w:lang w:val="fr-FR"/>
        </w:rPr>
        <w:noBreakHyphen/>
      </w:r>
      <w:r w:rsidRPr="00DD4F4E">
        <w:rPr>
          <w:szCs w:val="18"/>
          <w:lang w:val="fr-FR"/>
        </w:rPr>
        <w:t xml:space="preserve">AD(2011)003rev, 4 avril 2011, </w:t>
      </w:r>
      <w:r>
        <w:rPr>
          <w:szCs w:val="18"/>
          <w:lang w:val="fr-FR"/>
        </w:rPr>
        <w:t>par. </w:t>
      </w:r>
      <w:r w:rsidRPr="00DD4F4E">
        <w:rPr>
          <w:szCs w:val="18"/>
          <w:lang w:val="fr-FR"/>
        </w:rPr>
        <w:t>60 (« Parmi les droits les plus évidemment associés à la prééminence du droit figurent […] (3) le droit d</w:t>
      </w:r>
      <w:r w:rsidR="004937A0">
        <w:rPr>
          <w:szCs w:val="18"/>
          <w:lang w:val="fr-FR"/>
        </w:rPr>
        <w:t>’</w:t>
      </w:r>
      <w:r w:rsidRPr="00DD4F4E">
        <w:rPr>
          <w:szCs w:val="18"/>
          <w:lang w:val="fr-FR"/>
        </w:rPr>
        <w:t xml:space="preserve">être entendu »). </w:t>
      </w:r>
    </w:p>
  </w:footnote>
  <w:footnote w:id="75">
    <w:p w14:paraId="605D7A06" w14:textId="0199B2B5" w:rsidR="00C324CF" w:rsidRPr="00BF209D"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i/>
          <w:iCs/>
          <w:szCs w:val="18"/>
          <w:lang w:val="fr-FR"/>
        </w:rPr>
        <w:t>Jugements du Tribunal administratif de l</w:t>
      </w:r>
      <w:r w:rsidR="004937A0">
        <w:rPr>
          <w:i/>
          <w:iCs/>
          <w:szCs w:val="18"/>
          <w:lang w:val="fr-FR"/>
        </w:rPr>
        <w:t>’</w:t>
      </w:r>
      <w:r w:rsidRPr="00DD4F4E">
        <w:rPr>
          <w:i/>
          <w:iCs/>
          <w:szCs w:val="18"/>
          <w:lang w:val="fr-FR"/>
        </w:rPr>
        <w:t xml:space="preserve">O.I.T. sur </w:t>
      </w:r>
      <w:r w:rsidRPr="00BF209D">
        <w:rPr>
          <w:i/>
          <w:iCs/>
          <w:szCs w:val="18"/>
          <w:lang w:val="fr-FR"/>
        </w:rPr>
        <w:t>requêtes contre l</w:t>
      </w:r>
      <w:r w:rsidR="004937A0">
        <w:rPr>
          <w:i/>
          <w:iCs/>
          <w:szCs w:val="18"/>
          <w:lang w:val="fr-FR"/>
        </w:rPr>
        <w:t>’</w:t>
      </w:r>
      <w:r w:rsidRPr="00BF209D">
        <w:rPr>
          <w:i/>
          <w:iCs/>
          <w:szCs w:val="18"/>
          <w:lang w:val="fr-FR"/>
        </w:rPr>
        <w:t>U.N.E.S.C.O.</w:t>
      </w:r>
      <w:r w:rsidRPr="00BF209D">
        <w:rPr>
          <w:szCs w:val="18"/>
          <w:lang w:val="fr-FR"/>
        </w:rPr>
        <w:t xml:space="preserve">, </w:t>
      </w:r>
      <w:r w:rsidRPr="00A42850">
        <w:rPr>
          <w:szCs w:val="18"/>
          <w:lang w:val="fr-FR"/>
        </w:rPr>
        <w:t>avis consultatif du 23 octobre 1956,</w:t>
      </w:r>
      <w:r w:rsidRPr="00BF209D">
        <w:rPr>
          <w:i/>
          <w:iCs/>
          <w:szCs w:val="18"/>
          <w:lang w:val="fr-FR"/>
        </w:rPr>
        <w:t xml:space="preserve"> C.I.J. Recueil 1956</w:t>
      </w:r>
      <w:r w:rsidRPr="00BF209D">
        <w:rPr>
          <w:szCs w:val="18"/>
          <w:lang w:val="fr-FR"/>
        </w:rPr>
        <w:t>, p. 77, à la page 85</w:t>
      </w:r>
      <w:r w:rsidR="00A42850">
        <w:rPr>
          <w:szCs w:val="18"/>
          <w:lang w:val="fr-FR"/>
        </w:rPr>
        <w:t> </w:t>
      </w:r>
      <w:r w:rsidRPr="00BF209D">
        <w:rPr>
          <w:szCs w:val="18"/>
          <w:lang w:val="fr-FR"/>
        </w:rPr>
        <w:t xml:space="preserve">; </w:t>
      </w:r>
      <w:r w:rsidRPr="00BF209D">
        <w:rPr>
          <w:i/>
          <w:iCs/>
          <w:szCs w:val="18"/>
          <w:lang w:val="fr-FR"/>
        </w:rPr>
        <w:t>Demande de réformation du jugement n</w:t>
      </w:r>
      <w:r w:rsidRPr="00BF209D">
        <w:rPr>
          <w:i/>
          <w:iCs/>
          <w:szCs w:val="18"/>
          <w:vertAlign w:val="superscript"/>
          <w:lang w:val="fr-FR"/>
        </w:rPr>
        <w:t>o</w:t>
      </w:r>
      <w:r w:rsidRPr="00BF209D">
        <w:rPr>
          <w:i/>
          <w:iCs/>
          <w:szCs w:val="18"/>
          <w:lang w:val="fr-FR"/>
        </w:rPr>
        <w:t> 158 du Tribunal administratif des Nations Unies</w:t>
      </w:r>
      <w:r w:rsidRPr="00BF209D">
        <w:rPr>
          <w:szCs w:val="18"/>
          <w:lang w:val="fr-FR"/>
        </w:rPr>
        <w:t xml:space="preserve"> (voir </w:t>
      </w:r>
      <w:r w:rsidRPr="00BF209D">
        <w:rPr>
          <w:i/>
          <w:iCs/>
          <w:szCs w:val="18"/>
          <w:lang w:val="fr-FR"/>
        </w:rPr>
        <w:t>supra</w:t>
      </w:r>
      <w:r w:rsidRPr="00BF209D">
        <w:rPr>
          <w:szCs w:val="18"/>
          <w:lang w:val="fr-FR"/>
        </w:rPr>
        <w:t xml:space="preserve"> la note </w:t>
      </w:r>
      <w:r w:rsidR="00A42850">
        <w:rPr>
          <w:szCs w:val="18"/>
          <w:lang w:val="fr-FR"/>
        </w:rPr>
        <w:fldChar w:fldCharType="begin"/>
      </w:r>
      <w:r w:rsidR="00A42850">
        <w:rPr>
          <w:szCs w:val="18"/>
          <w:lang w:val="fr-FR"/>
        </w:rPr>
        <w:instrText xml:space="preserve"> NOTEREF _Ref175124112 \h </w:instrText>
      </w:r>
      <w:r w:rsidR="00A42850">
        <w:rPr>
          <w:szCs w:val="18"/>
          <w:lang w:val="fr-FR"/>
        </w:rPr>
      </w:r>
      <w:r w:rsidR="00A42850">
        <w:rPr>
          <w:szCs w:val="18"/>
          <w:lang w:val="fr-FR"/>
        </w:rPr>
        <w:fldChar w:fldCharType="separate"/>
      </w:r>
      <w:r w:rsidR="00EC4FDE">
        <w:rPr>
          <w:szCs w:val="18"/>
          <w:lang w:val="fr-FR"/>
        </w:rPr>
        <w:t>65</w:t>
      </w:r>
      <w:r w:rsidR="00A42850">
        <w:rPr>
          <w:szCs w:val="18"/>
          <w:lang w:val="fr-FR"/>
        </w:rPr>
        <w:fldChar w:fldCharType="end"/>
      </w:r>
      <w:r w:rsidRPr="00BF209D">
        <w:rPr>
          <w:szCs w:val="18"/>
          <w:lang w:val="fr-FR"/>
        </w:rPr>
        <w:t>)</w:t>
      </w:r>
      <w:r w:rsidR="00A42850">
        <w:rPr>
          <w:szCs w:val="18"/>
          <w:lang w:val="fr-FR"/>
        </w:rPr>
        <w:t> </w:t>
      </w:r>
      <w:r w:rsidRPr="00BF209D">
        <w:rPr>
          <w:szCs w:val="18"/>
          <w:lang w:val="fr-FR"/>
        </w:rPr>
        <w:t xml:space="preserve">; </w:t>
      </w:r>
      <w:r w:rsidRPr="00BF209D">
        <w:rPr>
          <w:i/>
          <w:iCs/>
          <w:szCs w:val="18"/>
          <w:lang w:val="fr-FR"/>
        </w:rPr>
        <w:t>Jugement n</w:t>
      </w:r>
      <w:r w:rsidRPr="00BF209D">
        <w:rPr>
          <w:i/>
          <w:iCs/>
          <w:szCs w:val="18"/>
          <w:vertAlign w:val="superscript"/>
          <w:lang w:val="fr-FR"/>
        </w:rPr>
        <w:t>o</w:t>
      </w:r>
      <w:r w:rsidRPr="00BF209D">
        <w:rPr>
          <w:i/>
          <w:iCs/>
          <w:szCs w:val="18"/>
          <w:lang w:val="fr-FR"/>
        </w:rPr>
        <w:t> 2867 du Tribunal administratif de l</w:t>
      </w:r>
      <w:r w:rsidR="004937A0">
        <w:rPr>
          <w:i/>
          <w:iCs/>
          <w:szCs w:val="18"/>
          <w:lang w:val="fr-FR"/>
        </w:rPr>
        <w:t>’</w:t>
      </w:r>
      <w:r w:rsidRPr="00BF209D">
        <w:rPr>
          <w:i/>
          <w:iCs/>
          <w:szCs w:val="18"/>
          <w:lang w:val="fr-FR"/>
        </w:rPr>
        <w:t>Organisation internationale du Travail sur requête contre le Fonds international de développement agricole, avis consultatif, C.I.J. Recueil 2012</w:t>
      </w:r>
      <w:r w:rsidRPr="00BF209D">
        <w:rPr>
          <w:szCs w:val="18"/>
          <w:lang w:val="fr-FR"/>
        </w:rPr>
        <w:t xml:space="preserve">, p. 10, </w:t>
      </w:r>
      <w:r w:rsidR="00BE7736">
        <w:rPr>
          <w:szCs w:val="18"/>
          <w:lang w:val="fr-FR"/>
        </w:rPr>
        <w:t>par.</w:t>
      </w:r>
      <w:r w:rsidRPr="00BF209D">
        <w:rPr>
          <w:szCs w:val="18"/>
          <w:lang w:val="fr-FR"/>
        </w:rPr>
        <w:t> 47.</w:t>
      </w:r>
    </w:p>
  </w:footnote>
  <w:footnote w:id="76">
    <w:p w14:paraId="7D1F2319" w14:textId="673B9188" w:rsidR="00C324CF" w:rsidRPr="00DD4F4E" w:rsidRDefault="00C324CF" w:rsidP="00E9227E">
      <w:pPr>
        <w:pStyle w:val="Notedebasdepage"/>
        <w:rPr>
          <w:szCs w:val="18"/>
          <w:lang w:val="fr-FR"/>
        </w:rPr>
      </w:pPr>
      <w:r w:rsidRPr="00BF209D">
        <w:rPr>
          <w:szCs w:val="18"/>
          <w:lang w:val="fr-FR"/>
        </w:rPr>
        <w:tab/>
      </w:r>
      <w:r w:rsidRPr="00E9227E">
        <w:rPr>
          <w:rStyle w:val="Appelnotedebasdep"/>
        </w:rPr>
        <w:footnoteRef/>
      </w:r>
      <w:r w:rsidRPr="00BF209D">
        <w:rPr>
          <w:szCs w:val="18"/>
          <w:lang w:val="fr-FR"/>
        </w:rPr>
        <w:tab/>
      </w:r>
      <w:r w:rsidRPr="00BF209D">
        <w:rPr>
          <w:i/>
          <w:iCs/>
          <w:szCs w:val="18"/>
          <w:lang w:val="fr-FR"/>
        </w:rPr>
        <w:t>Jugements du Tribunal administratif de l</w:t>
      </w:r>
      <w:r w:rsidR="004937A0">
        <w:rPr>
          <w:i/>
          <w:iCs/>
          <w:szCs w:val="18"/>
          <w:lang w:val="fr-FR"/>
        </w:rPr>
        <w:t>’</w:t>
      </w:r>
      <w:r w:rsidRPr="00BF209D">
        <w:rPr>
          <w:i/>
          <w:iCs/>
          <w:szCs w:val="18"/>
          <w:lang w:val="fr-FR"/>
        </w:rPr>
        <w:t>O.I.T. sur requêtes contre l</w:t>
      </w:r>
      <w:r w:rsidR="004937A0">
        <w:rPr>
          <w:i/>
          <w:iCs/>
          <w:szCs w:val="18"/>
          <w:lang w:val="fr-FR"/>
        </w:rPr>
        <w:t>’</w:t>
      </w:r>
      <w:r w:rsidRPr="00BF209D">
        <w:rPr>
          <w:i/>
          <w:iCs/>
          <w:szCs w:val="18"/>
          <w:lang w:val="fr-FR"/>
        </w:rPr>
        <w:t>U.N.E.S.C.O.</w:t>
      </w:r>
      <w:r w:rsidRPr="00BF209D">
        <w:rPr>
          <w:szCs w:val="18"/>
          <w:lang w:val="fr-FR"/>
        </w:rPr>
        <w:t xml:space="preserve"> (voir</w:t>
      </w:r>
      <w:r w:rsidRPr="0034470A">
        <w:rPr>
          <w:szCs w:val="18"/>
          <w:lang w:val="fr-FR"/>
        </w:rPr>
        <w:t xml:space="preserve"> </w:t>
      </w:r>
      <w:r w:rsidRPr="0034470A">
        <w:rPr>
          <w:i/>
          <w:iCs/>
          <w:szCs w:val="18"/>
          <w:lang w:val="fr-FR"/>
        </w:rPr>
        <w:t>supra</w:t>
      </w:r>
      <w:r w:rsidRPr="0034470A">
        <w:rPr>
          <w:szCs w:val="18"/>
          <w:lang w:val="fr-FR"/>
        </w:rPr>
        <w:t xml:space="preserve"> la note </w:t>
      </w:r>
      <w:r w:rsidR="00A42850">
        <w:rPr>
          <w:szCs w:val="18"/>
          <w:lang w:val="fr-FR"/>
        </w:rPr>
        <w:fldChar w:fldCharType="begin"/>
      </w:r>
      <w:r w:rsidR="00A42850">
        <w:rPr>
          <w:szCs w:val="18"/>
          <w:lang w:val="fr-FR"/>
        </w:rPr>
        <w:instrText xml:space="preserve"> NOTEREF _Ref171668870 \h </w:instrText>
      </w:r>
      <w:r w:rsidR="00A42850">
        <w:rPr>
          <w:szCs w:val="18"/>
          <w:lang w:val="fr-FR"/>
        </w:rPr>
      </w:r>
      <w:r w:rsidR="00A42850">
        <w:rPr>
          <w:szCs w:val="18"/>
          <w:lang w:val="fr-FR"/>
        </w:rPr>
        <w:fldChar w:fldCharType="separate"/>
      </w:r>
      <w:r w:rsidR="00EC4FDE">
        <w:rPr>
          <w:szCs w:val="18"/>
          <w:lang w:val="fr-FR"/>
        </w:rPr>
        <w:t>74</w:t>
      </w:r>
      <w:r w:rsidR="00A42850">
        <w:rPr>
          <w:szCs w:val="18"/>
          <w:lang w:val="fr-FR"/>
        </w:rPr>
        <w:fldChar w:fldCharType="end"/>
      </w:r>
      <w:r w:rsidRPr="0034470A">
        <w:rPr>
          <w:szCs w:val="18"/>
          <w:lang w:val="fr-FR"/>
        </w:rPr>
        <w:t>), p. 86.</w:t>
      </w:r>
    </w:p>
  </w:footnote>
  <w:footnote w:id="77">
    <w:p w14:paraId="2E927E01" w14:textId="1DFCCC83" w:rsidR="00C324CF" w:rsidRPr="00DD4F4E"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i/>
          <w:iCs/>
          <w:szCs w:val="18"/>
          <w:lang w:val="fr-FR"/>
        </w:rPr>
        <w:t>Demande de réformation du jugement n</w:t>
      </w:r>
      <w:r w:rsidRPr="00DD4F4E">
        <w:rPr>
          <w:i/>
          <w:iCs/>
          <w:szCs w:val="18"/>
          <w:vertAlign w:val="superscript"/>
          <w:lang w:val="fr-FR"/>
        </w:rPr>
        <w:t>o</w:t>
      </w:r>
      <w:r w:rsidRPr="00DD4F4E">
        <w:rPr>
          <w:i/>
          <w:iCs/>
          <w:szCs w:val="18"/>
          <w:lang w:val="fr-FR"/>
        </w:rPr>
        <w:t xml:space="preserve"> 158 du Tribunal administratif des Nations </w:t>
      </w:r>
      <w:r w:rsidRPr="0034470A">
        <w:rPr>
          <w:i/>
          <w:iCs/>
          <w:szCs w:val="18"/>
          <w:lang w:val="fr-FR"/>
        </w:rPr>
        <w:t>Unies</w:t>
      </w:r>
      <w:r w:rsidRPr="0034470A">
        <w:rPr>
          <w:szCs w:val="18"/>
          <w:lang w:val="fr-FR"/>
        </w:rPr>
        <w:t xml:space="preserve"> (voir </w:t>
      </w:r>
      <w:r w:rsidRPr="0034470A">
        <w:rPr>
          <w:i/>
          <w:iCs/>
          <w:szCs w:val="18"/>
          <w:lang w:val="fr-FR"/>
        </w:rPr>
        <w:t>supra</w:t>
      </w:r>
      <w:r w:rsidRPr="0034470A">
        <w:rPr>
          <w:szCs w:val="18"/>
          <w:lang w:val="fr-FR"/>
        </w:rPr>
        <w:t xml:space="preserve"> la note </w:t>
      </w:r>
      <w:r w:rsidR="00722620">
        <w:rPr>
          <w:szCs w:val="18"/>
          <w:lang w:val="fr-FR"/>
        </w:rPr>
        <w:fldChar w:fldCharType="begin"/>
      </w:r>
      <w:r w:rsidR="00722620">
        <w:rPr>
          <w:szCs w:val="18"/>
          <w:lang w:val="fr-FR"/>
        </w:rPr>
        <w:instrText xml:space="preserve"> NOTEREF _Ref175124112 \h </w:instrText>
      </w:r>
      <w:r w:rsidR="00722620">
        <w:rPr>
          <w:szCs w:val="18"/>
          <w:lang w:val="fr-FR"/>
        </w:rPr>
      </w:r>
      <w:r w:rsidR="00722620">
        <w:rPr>
          <w:szCs w:val="18"/>
          <w:lang w:val="fr-FR"/>
        </w:rPr>
        <w:fldChar w:fldCharType="separate"/>
      </w:r>
      <w:r w:rsidR="00EC4FDE">
        <w:rPr>
          <w:szCs w:val="18"/>
          <w:lang w:val="fr-FR"/>
        </w:rPr>
        <w:t>65</w:t>
      </w:r>
      <w:r w:rsidR="00722620">
        <w:rPr>
          <w:szCs w:val="18"/>
          <w:lang w:val="fr-FR"/>
        </w:rPr>
        <w:fldChar w:fldCharType="end"/>
      </w:r>
      <w:r w:rsidRPr="0034470A">
        <w:rPr>
          <w:szCs w:val="18"/>
          <w:lang w:val="fr-FR"/>
        </w:rPr>
        <w:t>), par. 92.</w:t>
      </w:r>
    </w:p>
  </w:footnote>
  <w:footnote w:id="78">
    <w:p w14:paraId="44F8B305" w14:textId="286CBDD8" w:rsidR="00C324CF" w:rsidRPr="0034470A" w:rsidRDefault="00C324CF" w:rsidP="00E9227E">
      <w:pPr>
        <w:pStyle w:val="Notedebasdepage"/>
        <w:rPr>
          <w:szCs w:val="18"/>
          <w:lang w:val="fr-FR"/>
        </w:rPr>
      </w:pPr>
      <w:r w:rsidRPr="00DD4F4E">
        <w:rPr>
          <w:szCs w:val="18"/>
          <w:lang w:val="fr-FR"/>
        </w:rPr>
        <w:tab/>
      </w:r>
      <w:r w:rsidRPr="00E9227E">
        <w:rPr>
          <w:rStyle w:val="Appelnotedebasdep"/>
        </w:rPr>
        <w:footnoteRef/>
      </w:r>
      <w:r>
        <w:rPr>
          <w:szCs w:val="18"/>
          <w:lang w:val="fr-FR"/>
        </w:rPr>
        <w:tab/>
      </w:r>
      <w:r w:rsidRPr="00DD4F4E">
        <w:rPr>
          <w:i/>
          <w:iCs/>
          <w:szCs w:val="18"/>
          <w:lang w:val="fr-FR"/>
        </w:rPr>
        <w:t>Jugement n</w:t>
      </w:r>
      <w:r w:rsidRPr="00DD4F4E">
        <w:rPr>
          <w:i/>
          <w:iCs/>
          <w:szCs w:val="18"/>
          <w:vertAlign w:val="superscript"/>
          <w:lang w:val="fr-FR"/>
        </w:rPr>
        <w:t>o</w:t>
      </w:r>
      <w:r w:rsidRPr="00DD4F4E">
        <w:rPr>
          <w:i/>
          <w:iCs/>
          <w:szCs w:val="18"/>
          <w:lang w:val="fr-FR"/>
        </w:rPr>
        <w:t> 2867 du Tribunal administratif de l</w:t>
      </w:r>
      <w:r w:rsidR="004937A0">
        <w:rPr>
          <w:i/>
          <w:iCs/>
          <w:szCs w:val="18"/>
          <w:lang w:val="fr-FR"/>
        </w:rPr>
        <w:t>’</w:t>
      </w:r>
      <w:r w:rsidRPr="00DD4F4E">
        <w:rPr>
          <w:i/>
          <w:iCs/>
          <w:szCs w:val="18"/>
          <w:lang w:val="fr-FR"/>
        </w:rPr>
        <w:t xml:space="preserve">Organisation internationale du Travail sur requête contre le Fonds international de développement </w:t>
      </w:r>
      <w:r w:rsidRPr="0034470A">
        <w:rPr>
          <w:i/>
          <w:iCs/>
          <w:szCs w:val="18"/>
          <w:lang w:val="fr-FR"/>
        </w:rPr>
        <w:t>agricole</w:t>
      </w:r>
      <w:r w:rsidRPr="0034470A">
        <w:rPr>
          <w:szCs w:val="18"/>
          <w:lang w:val="fr-FR"/>
        </w:rPr>
        <w:t xml:space="preserve"> (voir </w:t>
      </w:r>
      <w:r w:rsidRPr="0034470A">
        <w:rPr>
          <w:i/>
          <w:iCs/>
          <w:szCs w:val="18"/>
          <w:lang w:val="fr-FR"/>
        </w:rPr>
        <w:t>supra</w:t>
      </w:r>
      <w:r w:rsidRPr="0034470A">
        <w:rPr>
          <w:szCs w:val="18"/>
          <w:lang w:val="fr-FR"/>
        </w:rPr>
        <w:t xml:space="preserve"> la note </w:t>
      </w:r>
      <w:r w:rsidR="00722620">
        <w:rPr>
          <w:szCs w:val="18"/>
          <w:lang w:val="fr-FR"/>
        </w:rPr>
        <w:fldChar w:fldCharType="begin"/>
      </w:r>
      <w:r w:rsidR="00722620">
        <w:rPr>
          <w:szCs w:val="18"/>
          <w:lang w:val="fr-FR"/>
        </w:rPr>
        <w:instrText xml:space="preserve"> NOTEREF _Ref171668870 \h </w:instrText>
      </w:r>
      <w:r w:rsidR="00722620">
        <w:rPr>
          <w:szCs w:val="18"/>
          <w:lang w:val="fr-FR"/>
        </w:rPr>
      </w:r>
      <w:r w:rsidR="00722620">
        <w:rPr>
          <w:szCs w:val="18"/>
          <w:lang w:val="fr-FR"/>
        </w:rPr>
        <w:fldChar w:fldCharType="separate"/>
      </w:r>
      <w:r w:rsidR="00EC4FDE">
        <w:rPr>
          <w:szCs w:val="18"/>
          <w:lang w:val="fr-FR"/>
        </w:rPr>
        <w:t>74</w:t>
      </w:r>
      <w:r w:rsidR="00722620">
        <w:rPr>
          <w:szCs w:val="18"/>
          <w:lang w:val="fr-FR"/>
        </w:rPr>
        <w:fldChar w:fldCharType="end"/>
      </w:r>
      <w:r w:rsidRPr="0034470A">
        <w:rPr>
          <w:szCs w:val="18"/>
          <w:lang w:val="fr-FR"/>
        </w:rPr>
        <w:t>), par. 30.</w:t>
      </w:r>
    </w:p>
  </w:footnote>
  <w:footnote w:id="79">
    <w:p w14:paraId="13F8ABAC" w14:textId="23AD87DC" w:rsidR="00C324CF" w:rsidRPr="00DD4F4E" w:rsidRDefault="00C324CF" w:rsidP="00E9227E">
      <w:pPr>
        <w:pStyle w:val="Notedebasdepage"/>
        <w:rPr>
          <w:szCs w:val="18"/>
          <w:lang w:val="en-US"/>
        </w:rPr>
      </w:pPr>
      <w:r w:rsidRPr="0034470A">
        <w:rPr>
          <w:szCs w:val="18"/>
          <w:lang w:val="fr-FR"/>
        </w:rPr>
        <w:tab/>
      </w:r>
      <w:r w:rsidRPr="00722620">
        <w:rPr>
          <w:rStyle w:val="Appelnotedebasdep"/>
        </w:rPr>
        <w:footnoteRef/>
      </w:r>
      <w:r w:rsidRPr="00722620">
        <w:rPr>
          <w:szCs w:val="18"/>
          <w:lang w:val="fr-FR"/>
        </w:rPr>
        <w:tab/>
      </w:r>
      <w:r w:rsidRPr="002C2BCB">
        <w:rPr>
          <w:szCs w:val="18"/>
          <w:lang w:val="fr-FR"/>
        </w:rPr>
        <w:t>Résolution </w:t>
      </w:r>
      <w:hyperlink r:id="rId50" w:history="1">
        <w:r w:rsidRPr="002C2BCB">
          <w:rPr>
            <w:rStyle w:val="Lienhypertexte"/>
            <w:szCs w:val="18"/>
            <w:lang w:val="fr-FR"/>
          </w:rPr>
          <w:t>67/1</w:t>
        </w:r>
      </w:hyperlink>
      <w:r w:rsidRPr="002C2BCB">
        <w:rPr>
          <w:szCs w:val="18"/>
          <w:lang w:val="fr-FR"/>
        </w:rPr>
        <w:t xml:space="preserve"> de l</w:t>
      </w:r>
      <w:r w:rsidR="004937A0" w:rsidRPr="002C2BCB">
        <w:rPr>
          <w:szCs w:val="18"/>
          <w:lang w:val="fr-FR"/>
        </w:rPr>
        <w:t>’</w:t>
      </w:r>
      <w:r w:rsidRPr="002C2BCB">
        <w:rPr>
          <w:szCs w:val="18"/>
          <w:lang w:val="fr-FR"/>
        </w:rPr>
        <w:t>Assemblée générale, par. 14. Voir aussi Cour européenne des droits de l</w:t>
      </w:r>
      <w:r w:rsidR="004937A0" w:rsidRPr="002C2BCB">
        <w:rPr>
          <w:szCs w:val="18"/>
          <w:lang w:val="fr-FR"/>
        </w:rPr>
        <w:t>’</w:t>
      </w:r>
      <w:r w:rsidRPr="002C2BCB">
        <w:rPr>
          <w:szCs w:val="18"/>
          <w:lang w:val="fr-FR"/>
        </w:rPr>
        <w:t xml:space="preserve">homme, </w:t>
      </w:r>
      <w:r w:rsidRPr="002C2BCB">
        <w:rPr>
          <w:i/>
          <w:iCs/>
          <w:szCs w:val="18"/>
          <w:lang w:val="fr-FR"/>
        </w:rPr>
        <w:t>Golder c. Royaume-Uni</w:t>
      </w:r>
      <w:r w:rsidRPr="002C2BCB">
        <w:rPr>
          <w:szCs w:val="18"/>
          <w:lang w:val="fr-FR"/>
        </w:rPr>
        <w:t>, n</w:t>
      </w:r>
      <w:r w:rsidRPr="002C2BCB">
        <w:rPr>
          <w:szCs w:val="18"/>
          <w:vertAlign w:val="superscript"/>
          <w:lang w:val="fr-FR"/>
        </w:rPr>
        <w:t>o</w:t>
      </w:r>
      <w:r w:rsidRPr="002C2BCB">
        <w:rPr>
          <w:szCs w:val="18"/>
          <w:lang w:val="fr-FR"/>
        </w:rPr>
        <w:t> 4451/70, arrêt du 21 février 1975, série A, n</w:t>
      </w:r>
      <w:r w:rsidRPr="002C2BCB">
        <w:rPr>
          <w:szCs w:val="18"/>
          <w:vertAlign w:val="superscript"/>
          <w:lang w:val="fr-FR"/>
        </w:rPr>
        <w:t>o</w:t>
      </w:r>
      <w:r w:rsidRPr="002C2BCB">
        <w:rPr>
          <w:szCs w:val="18"/>
          <w:lang w:val="fr-FR"/>
        </w:rPr>
        <w:t> 18, par. 36</w:t>
      </w:r>
      <w:r w:rsidR="00722620" w:rsidRPr="002C2BCB">
        <w:rPr>
          <w:szCs w:val="18"/>
          <w:lang w:val="fr-FR"/>
        </w:rPr>
        <w:t> </w:t>
      </w:r>
      <w:r w:rsidRPr="002C2BCB">
        <w:rPr>
          <w:szCs w:val="18"/>
          <w:lang w:val="fr-FR"/>
        </w:rPr>
        <w:t xml:space="preserve">; </w:t>
      </w:r>
      <w:r w:rsidRPr="002C2BCB">
        <w:rPr>
          <w:i/>
          <w:iCs/>
          <w:szCs w:val="18"/>
          <w:lang w:val="fr-FR"/>
        </w:rPr>
        <w:t>Waite et Kennedy c. Allemagne</w:t>
      </w:r>
      <w:r w:rsidRPr="002C2BCB">
        <w:rPr>
          <w:szCs w:val="18"/>
          <w:lang w:val="fr-FR"/>
        </w:rPr>
        <w:t xml:space="preserve"> [GC], n</w:t>
      </w:r>
      <w:r w:rsidRPr="002C2BCB">
        <w:rPr>
          <w:szCs w:val="18"/>
          <w:vertAlign w:val="superscript"/>
          <w:lang w:val="fr-FR"/>
        </w:rPr>
        <w:t>o</w:t>
      </w:r>
      <w:r w:rsidRPr="002C2BCB">
        <w:rPr>
          <w:szCs w:val="18"/>
          <w:lang w:val="fr-FR"/>
        </w:rPr>
        <w:t xml:space="preserve"> 26083/94, arrêt du 18 février 1999, par. 50. </w:t>
      </w:r>
      <w:r w:rsidRPr="002C2BCB">
        <w:rPr>
          <w:szCs w:val="18"/>
          <w:lang w:val="en-US"/>
        </w:rPr>
        <w:t xml:space="preserve">Voir aussi Francesco Francioni, « The rights of access to justice under customary international law », dans Francesco Francioni (dir. publ.), </w:t>
      </w:r>
      <w:r w:rsidRPr="002C2BCB">
        <w:rPr>
          <w:i/>
          <w:iCs/>
          <w:szCs w:val="18"/>
          <w:lang w:val="en-US"/>
        </w:rPr>
        <w:t>Access to Justice as a Human Right</w:t>
      </w:r>
      <w:r w:rsidRPr="002C2BCB">
        <w:rPr>
          <w:szCs w:val="18"/>
          <w:lang w:val="en-US"/>
        </w:rPr>
        <w:t xml:space="preserve"> (Oxford, Oxford University Press, 2007), p. 1 à 55, à la page 3</w:t>
      </w:r>
      <w:r w:rsidR="00722620" w:rsidRPr="002C2BCB">
        <w:rPr>
          <w:szCs w:val="18"/>
          <w:lang w:val="en-US"/>
        </w:rPr>
        <w:t> </w:t>
      </w:r>
      <w:r w:rsidRPr="002C2BCB">
        <w:rPr>
          <w:szCs w:val="18"/>
          <w:lang w:val="en-US"/>
        </w:rPr>
        <w:t xml:space="preserve">; Tom Bingham, </w:t>
      </w:r>
      <w:r w:rsidRPr="002C2BCB">
        <w:rPr>
          <w:i/>
          <w:iCs/>
          <w:szCs w:val="18"/>
          <w:lang w:val="en-US"/>
        </w:rPr>
        <w:t>The Rule of Law</w:t>
      </w:r>
      <w:r w:rsidRPr="002C2BCB">
        <w:rPr>
          <w:szCs w:val="18"/>
          <w:lang w:val="en-US"/>
        </w:rPr>
        <w:t xml:space="preserve"> (Londres, Penguin, 2010), p. 85.</w:t>
      </w:r>
    </w:p>
  </w:footnote>
  <w:footnote w:id="80">
    <w:p w14:paraId="790E5733" w14:textId="1C3B6A81" w:rsidR="004C5E26" w:rsidRPr="00C7483A" w:rsidRDefault="004C5E26" w:rsidP="004C5E26">
      <w:pPr>
        <w:pStyle w:val="Notedebasdepage"/>
        <w:rPr>
          <w:lang w:val="fr-FR"/>
        </w:rPr>
      </w:pPr>
      <w:r w:rsidRPr="005F7217">
        <w:rPr>
          <w:lang w:val="en-US"/>
        </w:rPr>
        <w:tab/>
      </w:r>
      <w:r w:rsidRPr="00452CA5">
        <w:rPr>
          <w:rStyle w:val="Appelnotedebasdep"/>
        </w:rPr>
        <w:footnoteRef/>
      </w:r>
      <w:r>
        <w:rPr>
          <w:lang w:val="fr-FR"/>
        </w:rPr>
        <w:tab/>
      </w:r>
      <w:r w:rsidRPr="00413076">
        <w:rPr>
          <w:lang w:val="fr-FR"/>
        </w:rPr>
        <w:tab/>
        <w:t xml:space="preserve">À sa </w:t>
      </w:r>
      <w:r w:rsidRPr="00452CA5">
        <w:rPr>
          <w:lang w:val="fr-FR"/>
        </w:rPr>
        <w:t>3583</w:t>
      </w:r>
      <w:r w:rsidRPr="00413076">
        <w:rPr>
          <w:vertAlign w:val="superscript"/>
          <w:lang w:val="fr-FR"/>
        </w:rPr>
        <w:t>e</w:t>
      </w:r>
      <w:r w:rsidRPr="00413076">
        <w:rPr>
          <w:lang w:val="fr-FR"/>
        </w:rPr>
        <w:t xml:space="preserve"> séance, le </w:t>
      </w:r>
      <w:r w:rsidRPr="00452CA5">
        <w:rPr>
          <w:lang w:val="fr-FR"/>
        </w:rPr>
        <w:t>17</w:t>
      </w:r>
      <w:r w:rsidRPr="00413076">
        <w:rPr>
          <w:lang w:val="fr-FR"/>
        </w:rPr>
        <w:t> mai</w:t>
      </w:r>
      <w:r>
        <w:rPr>
          <w:lang w:val="fr-FR"/>
        </w:rPr>
        <w:t xml:space="preserve"> </w:t>
      </w:r>
      <w:r w:rsidRPr="00452CA5">
        <w:rPr>
          <w:lang w:val="fr-FR"/>
        </w:rPr>
        <w:t>2022.</w:t>
      </w:r>
      <w:r w:rsidRPr="00413076">
        <w:rPr>
          <w:lang w:val="fr-FR"/>
        </w:rPr>
        <w:t xml:space="preserve"> </w:t>
      </w:r>
      <w:r w:rsidRPr="00C7483A">
        <w:rPr>
          <w:lang w:val="fr-FR"/>
        </w:rPr>
        <w:t>La Commission avait inscrit le sujet à son programme de travail à long terme à sa soixante-douzième session (</w:t>
      </w:r>
      <w:r w:rsidRPr="00452CA5">
        <w:rPr>
          <w:lang w:val="fr-FR"/>
        </w:rPr>
        <w:t>2021</w:t>
      </w:r>
      <w:r w:rsidRPr="00C7483A">
        <w:rPr>
          <w:lang w:val="fr-FR"/>
        </w:rPr>
        <w:t xml:space="preserve">), sur </w:t>
      </w:r>
      <w:r>
        <w:rPr>
          <w:lang w:val="fr-FR"/>
        </w:rPr>
        <w:t xml:space="preserve">la base de la proposition annexée à son rapport sur les travaux de cette session </w:t>
      </w:r>
      <w:r w:rsidRPr="00C7483A">
        <w:rPr>
          <w:lang w:val="fr-FR"/>
        </w:rPr>
        <w:t>(</w:t>
      </w:r>
      <w:r w:rsidRPr="00452CA5">
        <w:rPr>
          <w:i/>
          <w:iCs/>
          <w:lang w:val="fr-FR"/>
        </w:rPr>
        <w:t>Documents officiels de l</w:t>
      </w:r>
      <w:r w:rsidR="004937A0">
        <w:rPr>
          <w:i/>
          <w:iCs/>
          <w:lang w:val="fr-FR"/>
        </w:rPr>
        <w:t>’</w:t>
      </w:r>
      <w:r w:rsidRPr="00452CA5">
        <w:rPr>
          <w:i/>
          <w:iCs/>
          <w:lang w:val="fr-FR"/>
        </w:rPr>
        <w:t>Assemblée générale, soixante-seizième session, Supplément n</w:t>
      </w:r>
      <w:r w:rsidRPr="00452CA5">
        <w:rPr>
          <w:i/>
          <w:iCs/>
          <w:vertAlign w:val="superscript"/>
          <w:lang w:val="fr-FR"/>
        </w:rPr>
        <w:t>o</w:t>
      </w:r>
      <w:r w:rsidRPr="00452CA5">
        <w:rPr>
          <w:i/>
          <w:iCs/>
          <w:lang w:val="fr-FR"/>
        </w:rPr>
        <w:t> 10</w:t>
      </w:r>
      <w:r w:rsidRPr="00C7483A">
        <w:rPr>
          <w:lang w:val="fr-FR"/>
        </w:rPr>
        <w:t xml:space="preserve"> (</w:t>
      </w:r>
      <w:hyperlink r:id="rId51" w:history="1">
        <w:r w:rsidRPr="007749AF">
          <w:rPr>
            <w:rStyle w:val="Lienhypertexte"/>
            <w:sz w:val="17"/>
            <w:szCs w:val="17"/>
            <w:lang w:val="fr-FR"/>
          </w:rPr>
          <w:t>A/76/10</w:t>
        </w:r>
      </w:hyperlink>
      <w:r w:rsidRPr="00C7483A">
        <w:rPr>
          <w:lang w:val="fr-FR"/>
        </w:rPr>
        <w:t>), annex</w:t>
      </w:r>
      <w:r>
        <w:rPr>
          <w:lang w:val="fr-FR"/>
        </w:rPr>
        <w:t>e</w:t>
      </w:r>
      <w:r w:rsidRPr="00C7483A">
        <w:rPr>
          <w:lang w:val="fr-FR"/>
        </w:rPr>
        <w:t>)</w:t>
      </w:r>
      <w:r w:rsidRPr="00452CA5">
        <w:rPr>
          <w:lang w:val="fr-FR"/>
        </w:rPr>
        <w:t>.</w:t>
      </w:r>
    </w:p>
  </w:footnote>
  <w:footnote w:id="81">
    <w:p w14:paraId="36342774" w14:textId="77777777" w:rsidR="004C5E26" w:rsidRPr="00A41D8F" w:rsidRDefault="004C5E26" w:rsidP="004C5E26">
      <w:pPr>
        <w:pStyle w:val="Notedebasdepage"/>
        <w:rPr>
          <w:lang w:val="fr-FR"/>
        </w:rPr>
      </w:pPr>
      <w:r>
        <w:rPr>
          <w:lang w:val="fr-FR"/>
        </w:rPr>
        <w:tab/>
      </w:r>
      <w:r w:rsidRPr="00452CA5">
        <w:rPr>
          <w:rStyle w:val="Appelnotedebasdep"/>
        </w:rPr>
        <w:footnoteRef/>
      </w:r>
      <w:r>
        <w:rPr>
          <w:lang w:val="fr-FR"/>
        </w:rPr>
        <w:tab/>
      </w:r>
      <w:r w:rsidRPr="00A41D8F">
        <w:rPr>
          <w:lang w:val="fr-FR"/>
        </w:rPr>
        <w:tab/>
        <w:t xml:space="preserve">À sa </w:t>
      </w:r>
      <w:r w:rsidRPr="00452CA5">
        <w:rPr>
          <w:lang w:val="fr-FR"/>
        </w:rPr>
        <w:t>3612</w:t>
      </w:r>
      <w:r w:rsidRPr="00A41D8F">
        <w:rPr>
          <w:vertAlign w:val="superscript"/>
          <w:lang w:val="fr-FR"/>
        </w:rPr>
        <w:t>e</w:t>
      </w:r>
      <w:r w:rsidRPr="00A41D8F">
        <w:rPr>
          <w:lang w:val="fr-FR"/>
        </w:rPr>
        <w:t xml:space="preserve"> séance, le </w:t>
      </w:r>
      <w:r w:rsidRPr="00452CA5">
        <w:rPr>
          <w:lang w:val="fr-FR"/>
        </w:rPr>
        <w:t>5</w:t>
      </w:r>
      <w:r w:rsidRPr="00A41D8F">
        <w:rPr>
          <w:lang w:val="fr-FR"/>
        </w:rPr>
        <w:t> août </w:t>
      </w:r>
      <w:r w:rsidRPr="00452CA5">
        <w:rPr>
          <w:lang w:val="fr-FR"/>
        </w:rPr>
        <w:t>2022.</w:t>
      </w:r>
    </w:p>
  </w:footnote>
  <w:footnote w:id="82">
    <w:p w14:paraId="09DA6496" w14:textId="77777777" w:rsidR="004C5E26" w:rsidRPr="00F80FC3" w:rsidRDefault="004C5E26" w:rsidP="004C5E26">
      <w:pPr>
        <w:pStyle w:val="Notedebasdepage"/>
        <w:rPr>
          <w:lang w:val="fr-CA"/>
        </w:rPr>
      </w:pPr>
      <w:r w:rsidRPr="003F08BC">
        <w:rPr>
          <w:lang w:val="fr-FR"/>
        </w:rPr>
        <w:tab/>
      </w:r>
      <w:r w:rsidRPr="00452CA5">
        <w:rPr>
          <w:rStyle w:val="Appelnotedebasdep"/>
        </w:rPr>
        <w:footnoteRef/>
      </w:r>
      <w:r w:rsidRPr="00F80FC3">
        <w:rPr>
          <w:lang w:val="fr-CA"/>
        </w:rPr>
        <w:tab/>
      </w:r>
      <w:hyperlink r:id="rId52" w:history="1">
        <w:r w:rsidRPr="00F80FC3">
          <w:rPr>
            <w:rStyle w:val="Lienhypertexte"/>
            <w:shd w:val="clear" w:color="000000" w:fill="FFFFFF"/>
            <w:lang w:val="fr-CA"/>
          </w:rPr>
          <w:t>A/CN.4/760</w:t>
        </w:r>
      </w:hyperlink>
      <w:r w:rsidRPr="00F80FC3">
        <w:rPr>
          <w:shd w:val="clear" w:color="000000" w:fill="FFFFFF"/>
          <w:lang w:val="fr-CA"/>
        </w:rPr>
        <w:t>.</w:t>
      </w:r>
    </w:p>
  </w:footnote>
  <w:footnote w:id="83">
    <w:p w14:paraId="1A5180FF" w14:textId="55D0D537" w:rsidR="004C5E26" w:rsidRPr="00F80FC3" w:rsidRDefault="004C5E26" w:rsidP="004C5E26">
      <w:pPr>
        <w:pStyle w:val="Notedebasdepage"/>
        <w:rPr>
          <w:lang w:val="fr-CA"/>
        </w:rPr>
      </w:pPr>
      <w:r>
        <w:tab/>
      </w:r>
      <w:r w:rsidRPr="00452CA5">
        <w:rPr>
          <w:rStyle w:val="Appelnotedebasdep"/>
        </w:rPr>
        <w:footnoteRef/>
      </w:r>
      <w:r>
        <w:tab/>
      </w:r>
      <w:hyperlink r:id="rId53" w:history="1">
        <w:r w:rsidRPr="007749AF">
          <w:rPr>
            <w:rStyle w:val="Lienhypertexte"/>
            <w:rFonts w:ascii="TimesNewRomanPSMT" w:hAnsi="TimesNewRomanPSMT"/>
          </w:rPr>
          <w:t>A/CN.4/759</w:t>
        </w:r>
      </w:hyperlink>
      <w:r w:rsidRPr="00452CA5">
        <w:rPr>
          <w:rStyle w:val="Lienhypertexte"/>
          <w:rFonts w:ascii="TimesNewRomanPSMT" w:hAnsi="TimesNewRomanPSMT"/>
        </w:rPr>
        <w:t>.</w:t>
      </w:r>
    </w:p>
  </w:footnote>
  <w:footnote w:id="84">
    <w:p w14:paraId="43CE7A72" w14:textId="25AD5CDB" w:rsidR="004C5E26" w:rsidRPr="00F80FC3" w:rsidRDefault="004C5E26" w:rsidP="004C5E26">
      <w:pPr>
        <w:pStyle w:val="Notedebasdepage"/>
        <w:rPr>
          <w:lang w:val="fr-CA"/>
        </w:rPr>
      </w:pPr>
      <w:r>
        <w:tab/>
      </w:r>
      <w:r w:rsidRPr="00452CA5">
        <w:rPr>
          <w:rStyle w:val="Appelnotedebasdep"/>
        </w:rPr>
        <w:footnoteRef/>
      </w:r>
      <w:r>
        <w:tab/>
      </w:r>
      <w:r>
        <w:tab/>
      </w:r>
      <w:hyperlink r:id="rId54" w:history="1">
        <w:r w:rsidRPr="007749AF">
          <w:rPr>
            <w:rStyle w:val="Lienhypertexte"/>
            <w:rFonts w:ascii="TimesNewRomanPSMT" w:hAnsi="TimesNewRomanPSMT"/>
          </w:rPr>
          <w:t>A/CN.4/L.985/Add.1</w:t>
        </w:r>
      </w:hyperlink>
      <w:r w:rsidRPr="007749AF">
        <w:rPr>
          <w:rStyle w:val="Lienhypertexte"/>
          <w:rFonts w:ascii="TimesNewRomanPSMT" w:hAnsi="TimesNewRomanPSMT"/>
          <w:color w:val="auto"/>
        </w:rPr>
        <w:t>.</w:t>
      </w:r>
    </w:p>
  </w:footnote>
  <w:footnote w:id="85">
    <w:p w14:paraId="633C5003" w14:textId="55D1F1E5" w:rsidR="004C5E26" w:rsidRPr="00C17484" w:rsidRDefault="004C5E26" w:rsidP="004C5E26">
      <w:pPr>
        <w:pStyle w:val="Notedebasdepage"/>
        <w:rPr>
          <w:rFonts w:eastAsia="Times New Roman"/>
          <w:lang w:val="fr-FR"/>
        </w:rPr>
      </w:pPr>
      <w:r>
        <w:rPr>
          <w:rFonts w:eastAsia="Times New Roman"/>
          <w:color w:val="000000"/>
          <w:lang w:val="fr-FR"/>
        </w:rPr>
        <w:tab/>
      </w:r>
      <w:r w:rsidRPr="0053774D">
        <w:rPr>
          <w:rStyle w:val="Appelnotedebasdep"/>
        </w:rPr>
        <w:footnoteRef/>
      </w:r>
      <w:r>
        <w:rPr>
          <w:rFonts w:eastAsia="Times New Roman"/>
          <w:color w:val="000000"/>
          <w:lang w:val="fr-FR"/>
        </w:rPr>
        <w:tab/>
      </w:r>
      <w:r w:rsidRPr="00C17484">
        <w:rPr>
          <w:rFonts w:eastAsia="Times New Roman"/>
          <w:lang w:val="fr-FR"/>
        </w:rPr>
        <w:t xml:space="preserve">Voir par. 4 du commentaire du projet de conclusion </w:t>
      </w:r>
      <w:r w:rsidRPr="00BC36AB">
        <w:rPr>
          <w:rFonts w:eastAsia="Times New Roman"/>
          <w:lang w:val="fr-FR"/>
        </w:rPr>
        <w:t xml:space="preserve">2, </w:t>
      </w:r>
      <w:r w:rsidRPr="00BC36AB">
        <w:rPr>
          <w:i/>
          <w:iCs/>
          <w:lang w:val="fr-FR"/>
        </w:rPr>
        <w:t>Documents officiels de l</w:t>
      </w:r>
      <w:r w:rsidR="004937A0">
        <w:rPr>
          <w:i/>
          <w:iCs/>
          <w:lang w:val="fr-FR"/>
        </w:rPr>
        <w:t>’</w:t>
      </w:r>
      <w:r w:rsidRPr="00BC36AB">
        <w:rPr>
          <w:i/>
          <w:iCs/>
          <w:lang w:val="fr-FR"/>
        </w:rPr>
        <w:t>Assemblée générale, soixante-dix-huitième session, Supplément n</w:t>
      </w:r>
      <w:r w:rsidRPr="00BC36AB">
        <w:rPr>
          <w:i/>
          <w:iCs/>
          <w:vertAlign w:val="superscript"/>
          <w:lang w:val="fr-FR"/>
        </w:rPr>
        <w:t>o</w:t>
      </w:r>
      <w:r w:rsidRPr="00BC36AB">
        <w:rPr>
          <w:i/>
          <w:iCs/>
          <w:lang w:val="fr-FR"/>
        </w:rPr>
        <w:t> 10</w:t>
      </w:r>
      <w:r w:rsidRPr="00BC36AB">
        <w:rPr>
          <w:rFonts w:eastAsia="Times New Roman"/>
          <w:lang w:val="fr-FR"/>
        </w:rPr>
        <w:t xml:space="preserve"> (</w:t>
      </w:r>
      <w:hyperlink r:id="rId55" w:history="1">
        <w:r w:rsidRPr="00BC36AB">
          <w:rPr>
            <w:rStyle w:val="Lienhypertexte"/>
            <w:rFonts w:eastAsia="Times New Roman"/>
            <w:lang w:val="fr-FR"/>
          </w:rPr>
          <w:t>A/78/10</w:t>
        </w:r>
      </w:hyperlink>
      <w:r w:rsidRPr="00C17484">
        <w:rPr>
          <w:rFonts w:eastAsia="Times New Roman"/>
          <w:lang w:val="fr-FR"/>
        </w:rPr>
        <w:t xml:space="preserve">), </w:t>
      </w:r>
      <w:r w:rsidR="007749AF" w:rsidRPr="00C17484">
        <w:rPr>
          <w:rFonts w:eastAsia="Times New Roman"/>
          <w:lang w:val="fr-FR"/>
        </w:rPr>
        <w:t>par. 126</w:t>
      </w:r>
      <w:r w:rsidR="006517A4">
        <w:rPr>
          <w:rFonts w:eastAsia="Times New Roman"/>
          <w:lang w:val="fr-FR"/>
        </w:rPr>
        <w:t xml:space="preserve">, </w:t>
      </w:r>
      <w:r w:rsidRPr="00C17484">
        <w:rPr>
          <w:rFonts w:eastAsia="Times New Roman"/>
          <w:lang w:val="fr-FR"/>
        </w:rPr>
        <w:t>p. </w:t>
      </w:r>
      <w:r w:rsidRPr="00A14896">
        <w:rPr>
          <w:rFonts w:eastAsia="Times New Roman"/>
          <w:lang w:val="fr-FR"/>
        </w:rPr>
        <w:t>87</w:t>
      </w:r>
      <w:r w:rsidRPr="00C17484">
        <w:rPr>
          <w:rFonts w:eastAsia="Times New Roman"/>
          <w:lang w:val="fr-FR"/>
        </w:rPr>
        <w:t>.</w:t>
      </w:r>
    </w:p>
  </w:footnote>
  <w:footnote w:id="86">
    <w:p w14:paraId="1BD672CF" w14:textId="2270D686" w:rsidR="004C5E26" w:rsidRPr="00C17484" w:rsidRDefault="004C5E26" w:rsidP="004C5E26">
      <w:pPr>
        <w:pStyle w:val="Notedebasdepage"/>
        <w:rPr>
          <w:rFonts w:eastAsia="Times New Roman"/>
          <w:color w:val="000000"/>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Voir par. 6 et 7</w:t>
      </w:r>
      <w:r>
        <w:rPr>
          <w:rFonts w:eastAsia="Times New Roman"/>
          <w:lang w:val="fr-FR"/>
        </w:rPr>
        <w:t>,</w:t>
      </w:r>
      <w:r w:rsidRPr="00C17484">
        <w:rPr>
          <w:rFonts w:eastAsia="Times New Roman"/>
          <w:lang w:val="fr-FR"/>
        </w:rPr>
        <w:t xml:space="preserve"> ibid., p. 8</w:t>
      </w:r>
      <w:r>
        <w:rPr>
          <w:rFonts w:eastAsia="Times New Roman"/>
          <w:lang w:val="fr-FR"/>
        </w:rPr>
        <w:t>7 et 88</w:t>
      </w:r>
      <w:r w:rsidRPr="00C17484">
        <w:rPr>
          <w:rFonts w:eastAsia="Times New Roman"/>
          <w:lang w:val="fr-FR"/>
        </w:rPr>
        <w:t xml:space="preserve"> (On notera que </w:t>
      </w:r>
      <w:r>
        <w:rPr>
          <w:rFonts w:eastAsia="Times New Roman"/>
          <w:lang w:val="fr-FR"/>
        </w:rPr>
        <w:t>le terme « </w:t>
      </w:r>
      <w:r w:rsidRPr="00C17484">
        <w:rPr>
          <w:rFonts w:eastAsia="Times New Roman"/>
          <w:lang w:val="fr-FR"/>
        </w:rPr>
        <w:t>juridictions</w:t>
      </w:r>
      <w:r>
        <w:rPr>
          <w:rFonts w:eastAsia="Times New Roman"/>
          <w:lang w:val="fr-FR"/>
        </w:rPr>
        <w:t> »</w:t>
      </w:r>
      <w:r w:rsidRPr="00C17484">
        <w:rPr>
          <w:rFonts w:eastAsia="Times New Roman"/>
          <w:lang w:val="fr-FR"/>
        </w:rPr>
        <w:t xml:space="preserve"> </w:t>
      </w:r>
      <w:r>
        <w:rPr>
          <w:rFonts w:eastAsia="Times New Roman"/>
          <w:lang w:val="fr-FR"/>
        </w:rPr>
        <w:t xml:space="preserve">désigne </w:t>
      </w:r>
      <w:r w:rsidRPr="00C17484">
        <w:rPr>
          <w:rFonts w:eastAsia="Times New Roman"/>
          <w:lang w:val="fr-FR"/>
        </w:rPr>
        <w:t xml:space="preserve">également </w:t>
      </w:r>
      <w:r>
        <w:rPr>
          <w:rFonts w:eastAsia="Times New Roman"/>
          <w:lang w:val="fr-FR"/>
        </w:rPr>
        <w:t>l</w:t>
      </w:r>
      <w:r w:rsidRPr="00C17484">
        <w:rPr>
          <w:rFonts w:eastAsia="Times New Roman"/>
          <w:lang w:val="fr-FR"/>
        </w:rPr>
        <w:t>es organes judiciaires régionaux tels que la Cour africaine des droits de l</w:t>
      </w:r>
      <w:r w:rsidR="004937A0">
        <w:rPr>
          <w:rFonts w:eastAsia="Times New Roman"/>
          <w:lang w:val="fr-FR"/>
        </w:rPr>
        <w:t>’</w:t>
      </w:r>
      <w:r w:rsidRPr="00C17484">
        <w:rPr>
          <w:rFonts w:eastAsia="Times New Roman"/>
          <w:lang w:val="fr-FR"/>
        </w:rPr>
        <w:t>homme et des peuples, la Cour de justice des Caraïbes, la Cour de justice de l</w:t>
      </w:r>
      <w:r w:rsidR="004937A0">
        <w:rPr>
          <w:rFonts w:eastAsia="Times New Roman"/>
          <w:lang w:val="fr-FR"/>
        </w:rPr>
        <w:t>’</w:t>
      </w:r>
      <w:r w:rsidRPr="00C17484">
        <w:rPr>
          <w:rFonts w:eastAsia="Times New Roman"/>
          <w:lang w:val="fr-FR"/>
        </w:rPr>
        <w:t>Union européenne, la Cour de justice de la Communauté économique des États d</w:t>
      </w:r>
      <w:r>
        <w:rPr>
          <w:rFonts w:eastAsia="Times New Roman"/>
          <w:lang w:val="fr-FR"/>
        </w:rPr>
        <w:t>e l</w:t>
      </w:r>
      <w:r w:rsidR="004937A0">
        <w:rPr>
          <w:rFonts w:eastAsia="Times New Roman"/>
          <w:lang w:val="fr-FR"/>
        </w:rPr>
        <w:t>’</w:t>
      </w:r>
      <w:r w:rsidRPr="00C17484">
        <w:rPr>
          <w:rFonts w:eastAsia="Times New Roman"/>
          <w:lang w:val="fr-FR"/>
        </w:rPr>
        <w:t>Afrique de l</w:t>
      </w:r>
      <w:r w:rsidR="004937A0">
        <w:rPr>
          <w:rFonts w:eastAsia="Times New Roman"/>
          <w:lang w:val="fr-FR"/>
        </w:rPr>
        <w:t>’</w:t>
      </w:r>
      <w:r w:rsidRPr="00C17484">
        <w:rPr>
          <w:rFonts w:eastAsia="Times New Roman"/>
          <w:lang w:val="fr-FR"/>
        </w:rPr>
        <w:t>Ouest, la Cour de justice de l</w:t>
      </w:r>
      <w:r w:rsidR="004937A0">
        <w:rPr>
          <w:rFonts w:eastAsia="Times New Roman"/>
          <w:lang w:val="fr-FR"/>
        </w:rPr>
        <w:t>’</w:t>
      </w:r>
      <w:r w:rsidRPr="00C17484">
        <w:rPr>
          <w:rFonts w:eastAsia="Times New Roman"/>
          <w:lang w:val="fr-FR"/>
        </w:rPr>
        <w:t>Afrique de l</w:t>
      </w:r>
      <w:r w:rsidR="004937A0">
        <w:rPr>
          <w:rFonts w:eastAsia="Times New Roman"/>
          <w:lang w:val="fr-FR"/>
        </w:rPr>
        <w:t>’</w:t>
      </w:r>
      <w:r w:rsidRPr="00C17484">
        <w:rPr>
          <w:rFonts w:eastAsia="Times New Roman"/>
          <w:lang w:val="fr-FR"/>
        </w:rPr>
        <w:t>Est, la Cour européenne des droits de l</w:t>
      </w:r>
      <w:r w:rsidR="004937A0">
        <w:rPr>
          <w:rFonts w:eastAsia="Times New Roman"/>
          <w:lang w:val="fr-FR"/>
        </w:rPr>
        <w:t>’</w:t>
      </w:r>
      <w:r w:rsidRPr="00C17484">
        <w:rPr>
          <w:rFonts w:eastAsia="Times New Roman"/>
          <w:lang w:val="fr-FR"/>
        </w:rPr>
        <w:t>homme et la Cour interaméricaine des droits de l</w:t>
      </w:r>
      <w:r w:rsidR="004937A0">
        <w:rPr>
          <w:rFonts w:eastAsia="Times New Roman"/>
          <w:lang w:val="fr-FR"/>
        </w:rPr>
        <w:t>’</w:t>
      </w:r>
      <w:r w:rsidRPr="00C17484">
        <w:rPr>
          <w:rFonts w:eastAsia="Times New Roman"/>
          <w:lang w:val="fr-FR"/>
        </w:rPr>
        <w:t>homme).</w:t>
      </w:r>
    </w:p>
  </w:footnote>
  <w:footnote w:id="87">
    <w:p w14:paraId="0CFF4260" w14:textId="6C8107BE" w:rsidR="004C5E26" w:rsidRPr="00181D60" w:rsidRDefault="004C5E26" w:rsidP="004C5E26">
      <w:pPr>
        <w:pStyle w:val="Notedebasdepage"/>
        <w:rPr>
          <w:lang w:val="fr-FR"/>
        </w:rPr>
      </w:pPr>
      <w:r>
        <w:rPr>
          <w:rFonts w:eastAsia="Times New Roman"/>
          <w:lang w:val="fr-FR"/>
        </w:rPr>
        <w:tab/>
      </w:r>
      <w:r w:rsidRPr="00181D60">
        <w:rPr>
          <w:rStyle w:val="Appelnotedebasdep"/>
        </w:rPr>
        <w:footnoteRef/>
      </w:r>
      <w:r w:rsidRPr="00181D60">
        <w:rPr>
          <w:rFonts w:eastAsia="Times New Roman"/>
          <w:lang w:val="fr-FR"/>
        </w:rPr>
        <w:tab/>
        <w:t xml:space="preserve">Voir par. 5 du commentaire de la conclusion 13 des conclusions sur la détermination du droit international coutumier, </w:t>
      </w:r>
      <w:r w:rsidRPr="00181D60">
        <w:rPr>
          <w:rFonts w:eastAsia="Times New Roman"/>
          <w:i/>
          <w:iCs/>
          <w:lang w:val="fr-FR"/>
        </w:rPr>
        <w:t>Documents officiels de l</w:t>
      </w:r>
      <w:r w:rsidR="004937A0">
        <w:rPr>
          <w:rFonts w:eastAsia="Times New Roman"/>
          <w:i/>
          <w:iCs/>
          <w:lang w:val="fr-FR"/>
        </w:rPr>
        <w:t>’</w:t>
      </w:r>
      <w:r w:rsidRPr="00181D60">
        <w:rPr>
          <w:rFonts w:eastAsia="Times New Roman"/>
          <w:i/>
          <w:iCs/>
          <w:lang w:val="fr-FR"/>
        </w:rPr>
        <w:t>Assemblée générale, soixante-dixième session, Supplément n</w:t>
      </w:r>
      <w:r w:rsidRPr="00181D60">
        <w:rPr>
          <w:rFonts w:eastAsia="Times New Roman"/>
          <w:i/>
          <w:iCs/>
          <w:vertAlign w:val="superscript"/>
          <w:lang w:val="fr-FR"/>
        </w:rPr>
        <w:t>o</w:t>
      </w:r>
      <w:r w:rsidRPr="00181D60">
        <w:rPr>
          <w:rFonts w:eastAsia="Times New Roman"/>
          <w:i/>
          <w:iCs/>
          <w:lang w:val="fr-FR"/>
        </w:rPr>
        <w:t> 10</w:t>
      </w:r>
      <w:r w:rsidRPr="00181D60">
        <w:rPr>
          <w:rFonts w:eastAsia="Times New Roman"/>
          <w:lang w:val="fr-FR"/>
        </w:rPr>
        <w:t xml:space="preserve"> (</w:t>
      </w:r>
      <w:hyperlink r:id="rId56" w:history="1">
        <w:r w:rsidRPr="00181D60">
          <w:rPr>
            <w:rStyle w:val="Lienhypertexte"/>
            <w:rFonts w:eastAsia="Times New Roman"/>
            <w:lang w:val="fr-FR"/>
          </w:rPr>
          <w:t>A/73/10</w:t>
        </w:r>
      </w:hyperlink>
      <w:r w:rsidRPr="00181D60">
        <w:rPr>
          <w:rFonts w:eastAsia="Times New Roman"/>
          <w:lang w:val="fr-FR"/>
        </w:rPr>
        <w:t>), par. 66 (« le terme “décisions” s</w:t>
      </w:r>
      <w:r w:rsidR="004937A0">
        <w:rPr>
          <w:rFonts w:eastAsia="Times New Roman"/>
          <w:lang w:val="fr-FR"/>
        </w:rPr>
        <w:t>’</w:t>
      </w:r>
      <w:r w:rsidRPr="00181D60">
        <w:rPr>
          <w:rFonts w:eastAsia="Times New Roman"/>
          <w:lang w:val="fr-FR"/>
        </w:rPr>
        <w:t>entend des jugements et des avis consultatifs, ainsi que des ordonnances portant sur des questions de procédure et des décisions interlocutoires »).</w:t>
      </w:r>
    </w:p>
  </w:footnote>
  <w:footnote w:id="88">
    <w:p w14:paraId="37A201D1" w14:textId="4C962267" w:rsidR="004C5E26" w:rsidRPr="00C17484" w:rsidRDefault="004C5E26" w:rsidP="004C5E26">
      <w:pPr>
        <w:pStyle w:val="Notedebasdepage"/>
        <w:rPr>
          <w:rFonts w:eastAsia="Times New Roman"/>
          <w:color w:val="000000"/>
          <w:lang w:val="fr-FR"/>
        </w:rPr>
      </w:pPr>
      <w:r w:rsidRPr="00181D60">
        <w:rPr>
          <w:rFonts w:eastAsia="Times New Roman"/>
          <w:color w:val="000000"/>
          <w:lang w:val="fr-CA"/>
        </w:rPr>
        <w:tab/>
      </w:r>
      <w:r w:rsidRPr="00181D60">
        <w:rPr>
          <w:rStyle w:val="Appelnotedebasdep"/>
        </w:rPr>
        <w:footnoteRef/>
      </w:r>
      <w:r w:rsidRPr="00181D60">
        <w:rPr>
          <w:rFonts w:eastAsia="Times New Roman"/>
          <w:color w:val="000000"/>
          <w:lang w:val="fr-FR"/>
        </w:rPr>
        <w:tab/>
      </w:r>
      <w:r w:rsidRPr="00181D60">
        <w:rPr>
          <w:rFonts w:eastAsia="Times New Roman"/>
          <w:lang w:val="fr-FR"/>
        </w:rPr>
        <w:t xml:space="preserve">Par. 4 du commentaire de la conclusion 13 des conclusions sur la détermination du droit international coutumier, </w:t>
      </w:r>
      <w:r w:rsidRPr="00181D60">
        <w:rPr>
          <w:rFonts w:eastAsia="Times New Roman"/>
          <w:i/>
          <w:iCs/>
          <w:lang w:val="fr-FR"/>
        </w:rPr>
        <w:t>Documents officiels de l</w:t>
      </w:r>
      <w:r w:rsidR="004937A0">
        <w:rPr>
          <w:rFonts w:eastAsia="Times New Roman"/>
          <w:i/>
          <w:iCs/>
          <w:lang w:val="fr-FR"/>
        </w:rPr>
        <w:t>’</w:t>
      </w:r>
      <w:r w:rsidRPr="00181D60">
        <w:rPr>
          <w:rFonts w:eastAsia="Times New Roman"/>
          <w:i/>
          <w:iCs/>
          <w:lang w:val="fr-FR"/>
        </w:rPr>
        <w:t>Assemblée générale, soixante-dixième session, Supplément n</w:t>
      </w:r>
      <w:r w:rsidRPr="00181D60">
        <w:rPr>
          <w:rFonts w:eastAsia="Times New Roman"/>
          <w:i/>
          <w:iCs/>
          <w:vertAlign w:val="superscript"/>
          <w:lang w:val="fr-FR"/>
        </w:rPr>
        <w:t>o</w:t>
      </w:r>
      <w:r w:rsidRPr="00181D60">
        <w:rPr>
          <w:rFonts w:eastAsia="Times New Roman"/>
          <w:i/>
          <w:iCs/>
          <w:lang w:val="fr-FR"/>
        </w:rPr>
        <w:t> 10</w:t>
      </w:r>
      <w:r w:rsidRPr="00181D60">
        <w:rPr>
          <w:rFonts w:eastAsia="Times New Roman"/>
          <w:lang w:val="fr-FR"/>
        </w:rPr>
        <w:t xml:space="preserve"> (</w:t>
      </w:r>
      <w:hyperlink r:id="rId57" w:history="1">
        <w:r w:rsidRPr="00181D60">
          <w:rPr>
            <w:rStyle w:val="Lienhypertexte"/>
            <w:rFonts w:eastAsia="Times New Roman"/>
            <w:lang w:val="fr-FR"/>
          </w:rPr>
          <w:t>A/73/10</w:t>
        </w:r>
      </w:hyperlink>
      <w:r w:rsidRPr="00181D60">
        <w:rPr>
          <w:rFonts w:eastAsia="Times New Roman"/>
          <w:lang w:val="fr-FR"/>
        </w:rPr>
        <w:t>), par. 66.</w:t>
      </w:r>
    </w:p>
  </w:footnote>
  <w:footnote w:id="89">
    <w:p w14:paraId="5D2C7774" w14:textId="78378A47" w:rsidR="004C5E26" w:rsidRPr="00C17484" w:rsidRDefault="004C5E26" w:rsidP="004C5E26">
      <w:pPr>
        <w:pStyle w:val="Notedebasdepage"/>
        <w:rPr>
          <w:rFonts w:eastAsia="Times New Roman"/>
          <w:color w:val="000000"/>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Ibid. Le nombre des juridictions internationales s</w:t>
      </w:r>
      <w:r w:rsidR="004937A0">
        <w:rPr>
          <w:rFonts w:eastAsia="Times New Roman"/>
          <w:lang w:val="fr-FR"/>
        </w:rPr>
        <w:t>’</w:t>
      </w:r>
      <w:r w:rsidRPr="00C17484">
        <w:rPr>
          <w:rFonts w:eastAsia="Times New Roman"/>
          <w:lang w:val="fr-FR"/>
        </w:rPr>
        <w:t xml:space="preserve">accroît. Par exemple, si des études montrent </w:t>
      </w:r>
      <w:r>
        <w:rPr>
          <w:rFonts w:eastAsia="Times New Roman"/>
          <w:lang w:val="fr-FR"/>
        </w:rPr>
        <w:t>qu</w:t>
      </w:r>
      <w:r w:rsidR="004937A0">
        <w:rPr>
          <w:rFonts w:eastAsia="Times New Roman"/>
          <w:lang w:val="fr-FR"/>
        </w:rPr>
        <w:t>’</w:t>
      </w:r>
      <w:r>
        <w:rPr>
          <w:rFonts w:eastAsia="Times New Roman"/>
          <w:lang w:val="fr-FR"/>
        </w:rPr>
        <w:t xml:space="preserve">en </w:t>
      </w:r>
      <w:r w:rsidRPr="00C17484">
        <w:rPr>
          <w:rFonts w:eastAsia="Times New Roman"/>
          <w:lang w:val="fr-FR"/>
        </w:rPr>
        <w:t>1989 il n</w:t>
      </w:r>
      <w:r w:rsidR="004937A0">
        <w:rPr>
          <w:rFonts w:eastAsia="Times New Roman"/>
          <w:lang w:val="fr-FR"/>
        </w:rPr>
        <w:t>’</w:t>
      </w:r>
      <w:r w:rsidRPr="00C17484">
        <w:rPr>
          <w:rFonts w:eastAsia="Times New Roman"/>
          <w:lang w:val="fr-FR"/>
        </w:rPr>
        <w:t>y avait que six juridictions internationales permanentes, il existait en 2014 une douzaine d</w:t>
      </w:r>
      <w:r w:rsidR="004937A0">
        <w:rPr>
          <w:rFonts w:eastAsia="Times New Roman"/>
          <w:lang w:val="fr-FR"/>
        </w:rPr>
        <w:t>’</w:t>
      </w:r>
      <w:r w:rsidRPr="00C17484">
        <w:rPr>
          <w:rFonts w:eastAsia="Times New Roman"/>
          <w:lang w:val="fr-FR"/>
        </w:rPr>
        <w:t>organes de cette nature, qui avaient rendu plus de 37 000 décisions. Voir, à cet égard, Karen</w:t>
      </w:r>
      <w:r>
        <w:rPr>
          <w:rFonts w:eastAsia="Times New Roman"/>
          <w:lang w:val="fr-FR"/>
        </w:rPr>
        <w:t> </w:t>
      </w:r>
      <w:r w:rsidRPr="00C17484">
        <w:rPr>
          <w:rFonts w:eastAsia="Times New Roman"/>
          <w:lang w:val="fr-FR"/>
        </w:rPr>
        <w:t>J.</w:t>
      </w:r>
      <w:r>
        <w:rPr>
          <w:rFonts w:eastAsia="Times New Roman"/>
          <w:lang w:val="fr-FR"/>
        </w:rPr>
        <w:t> </w:t>
      </w:r>
      <w:r w:rsidRPr="00C17484">
        <w:rPr>
          <w:rFonts w:eastAsia="Times New Roman"/>
          <w:lang w:val="fr-FR"/>
        </w:rPr>
        <w:t xml:space="preserve">Alter, </w:t>
      </w:r>
      <w:r w:rsidRPr="00BC36AB">
        <w:rPr>
          <w:rFonts w:eastAsia="Times New Roman"/>
          <w:i/>
          <w:iCs/>
          <w:lang w:val="fr-FR"/>
        </w:rPr>
        <w:t>The New Terrain of International Law: Courts, Politics, Rights</w:t>
      </w:r>
      <w:r w:rsidRPr="00C17484">
        <w:rPr>
          <w:rFonts w:eastAsia="Times New Roman"/>
          <w:lang w:val="fr-FR"/>
        </w:rPr>
        <w:t xml:space="preserve"> (Princeton</w:t>
      </w:r>
      <w:r>
        <w:rPr>
          <w:rFonts w:eastAsia="Times New Roman"/>
          <w:lang w:val="fr-FR"/>
        </w:rPr>
        <w:t>,</w:t>
      </w:r>
      <w:r w:rsidRPr="00C17484">
        <w:rPr>
          <w:rFonts w:eastAsia="Times New Roman"/>
          <w:lang w:val="fr-FR"/>
        </w:rPr>
        <w:t xml:space="preserve"> Princeton University Press, 2014).</w:t>
      </w:r>
    </w:p>
  </w:footnote>
  <w:footnote w:id="90">
    <w:p w14:paraId="0DEF96C1" w14:textId="4DFD2A74" w:rsidR="004C5E26" w:rsidRPr="00BC36AB" w:rsidRDefault="004C5E26" w:rsidP="004C5E26">
      <w:pPr>
        <w:pStyle w:val="Notedebasdepage"/>
        <w:rPr>
          <w:lang w:val="fr-FR"/>
        </w:rPr>
      </w:pPr>
      <w:r>
        <w:rPr>
          <w:lang w:val="fr-FR"/>
        </w:rPr>
        <w:tab/>
      </w:r>
      <w:r w:rsidRPr="0053774D">
        <w:rPr>
          <w:rStyle w:val="Appelnotedebasdep"/>
        </w:rPr>
        <w:footnoteRef/>
      </w:r>
      <w:r>
        <w:rPr>
          <w:lang w:val="fr-FR"/>
        </w:rPr>
        <w:tab/>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sidRPr="00BC36AB">
        <w:rPr>
          <w:rFonts w:eastAsia="Times New Roman"/>
          <w:lang w:val="fr-FR"/>
        </w:rPr>
        <w:t xml:space="preserve"> (</w:t>
      </w:r>
      <w:hyperlink r:id="rId58" w:history="1">
        <w:r w:rsidRPr="00BC36AB">
          <w:rPr>
            <w:rStyle w:val="Lienhypertexte"/>
            <w:rFonts w:eastAsia="Times New Roman"/>
            <w:lang w:val="fr-FR"/>
          </w:rPr>
          <w:t>A/73/10</w:t>
        </w:r>
      </w:hyperlink>
      <w:r w:rsidRPr="00BC36AB">
        <w:rPr>
          <w:rFonts w:eastAsia="Times New Roman"/>
          <w:lang w:val="fr-FR"/>
        </w:rPr>
        <w:t>), par.</w:t>
      </w:r>
      <w:r>
        <w:rPr>
          <w:rFonts w:eastAsia="Times New Roman"/>
          <w:lang w:val="fr-FR"/>
        </w:rPr>
        <w:t> </w:t>
      </w:r>
      <w:r w:rsidRPr="00BC36AB">
        <w:rPr>
          <w:rFonts w:eastAsia="Times New Roman"/>
          <w:lang w:val="fr-FR"/>
        </w:rPr>
        <w:t>65.</w:t>
      </w:r>
    </w:p>
  </w:footnote>
  <w:footnote w:id="91">
    <w:p w14:paraId="3B771606" w14:textId="6DBA60B4" w:rsidR="004C5E26" w:rsidRPr="00E53983" w:rsidRDefault="004C5E26" w:rsidP="004C5E26">
      <w:pPr>
        <w:pStyle w:val="Notedebasdepage"/>
        <w:rPr>
          <w:lang w:val="fr-FR"/>
        </w:rPr>
      </w:pPr>
      <w:r w:rsidRPr="00BC36AB">
        <w:rPr>
          <w:lang w:val="fr-FR"/>
        </w:rPr>
        <w:tab/>
      </w:r>
      <w:r w:rsidRPr="00BC36AB">
        <w:rPr>
          <w:rStyle w:val="Appelnotedebasdep"/>
        </w:rPr>
        <w:footnoteRef/>
      </w:r>
      <w:r w:rsidRPr="00BC36AB">
        <w:rPr>
          <w:lang w:val="fr-FR"/>
        </w:rPr>
        <w:tab/>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soixante-dix-septième session, Supplément n</w:t>
      </w:r>
      <w:r w:rsidRPr="00BC36AB">
        <w:rPr>
          <w:rFonts w:eastAsia="Times New Roman"/>
          <w:i/>
          <w:iCs/>
          <w:vertAlign w:val="superscript"/>
          <w:lang w:val="fr-FR"/>
        </w:rPr>
        <w:t>o</w:t>
      </w:r>
      <w:r w:rsidRPr="00BC36AB">
        <w:rPr>
          <w:rFonts w:eastAsia="Times New Roman"/>
          <w:i/>
          <w:iCs/>
          <w:lang w:val="fr-FR"/>
        </w:rPr>
        <w:t> 10</w:t>
      </w:r>
      <w:r w:rsidRPr="00E53983">
        <w:rPr>
          <w:rFonts w:eastAsia="Times New Roman"/>
          <w:lang w:val="fr-FR"/>
        </w:rPr>
        <w:t xml:space="preserve"> (</w:t>
      </w:r>
      <w:hyperlink r:id="rId59" w:history="1">
        <w:r w:rsidRPr="008C17B1">
          <w:rPr>
            <w:rStyle w:val="Lienhypertexte"/>
            <w:rFonts w:eastAsia="Times New Roman"/>
            <w:lang w:val="fr-FR"/>
          </w:rPr>
          <w:t>A/77/10</w:t>
        </w:r>
      </w:hyperlink>
      <w:r w:rsidRPr="00E53983">
        <w:rPr>
          <w:rFonts w:eastAsia="Times New Roman"/>
          <w:lang w:val="fr-FR"/>
        </w:rPr>
        <w:t>), par. 43.</w:t>
      </w:r>
    </w:p>
  </w:footnote>
  <w:footnote w:id="92">
    <w:p w14:paraId="6294A896" w14:textId="77777777" w:rsidR="004C5E26" w:rsidRPr="00E53983" w:rsidRDefault="004C5E26" w:rsidP="004C5E26">
      <w:pPr>
        <w:pStyle w:val="Notedebasdepage"/>
        <w:rPr>
          <w:lang w:val="fr-FR"/>
        </w:rPr>
      </w:pPr>
      <w:r>
        <w:rPr>
          <w:lang w:val="fr-FR"/>
        </w:rPr>
        <w:tab/>
      </w:r>
      <w:r w:rsidRPr="0053774D">
        <w:rPr>
          <w:rStyle w:val="Appelnotedebasdep"/>
        </w:rPr>
        <w:footnoteRef/>
      </w:r>
      <w:r>
        <w:rPr>
          <w:lang w:val="fr-FR"/>
        </w:rPr>
        <w:tab/>
      </w:r>
      <w:r w:rsidRPr="00E53983">
        <w:rPr>
          <w:lang w:val="fr-FR"/>
        </w:rPr>
        <w:t>Ibid</w:t>
      </w:r>
      <w:r w:rsidRPr="00BC36AB">
        <w:rPr>
          <w:lang w:val="fr-FR"/>
        </w:rPr>
        <w:t xml:space="preserve">., </w:t>
      </w:r>
      <w:r w:rsidRPr="00BC36AB">
        <w:rPr>
          <w:i/>
          <w:iCs/>
          <w:lang w:val="fr-FR"/>
        </w:rPr>
        <w:t>soixante-dix-huitième session, Supplément n</w:t>
      </w:r>
      <w:r w:rsidRPr="00BC36AB">
        <w:rPr>
          <w:i/>
          <w:iCs/>
          <w:vertAlign w:val="superscript"/>
          <w:lang w:val="fr-FR"/>
        </w:rPr>
        <w:t>o</w:t>
      </w:r>
      <w:r w:rsidRPr="00BC36AB">
        <w:rPr>
          <w:i/>
          <w:iCs/>
          <w:lang w:val="fr-FR"/>
        </w:rPr>
        <w:t> 10</w:t>
      </w:r>
      <w:r w:rsidRPr="00BC36AB">
        <w:rPr>
          <w:lang w:val="fr-FR"/>
        </w:rPr>
        <w:t xml:space="preserve"> (</w:t>
      </w:r>
      <w:hyperlink r:id="rId60" w:history="1">
        <w:r w:rsidRPr="00BC36AB">
          <w:rPr>
            <w:rStyle w:val="Lienhypertexte"/>
            <w:lang w:val="fr-FR"/>
          </w:rPr>
          <w:t>A/78/</w:t>
        </w:r>
        <w:r w:rsidRPr="00BC36AB">
          <w:rPr>
            <w:rStyle w:val="Lienhypertexte"/>
            <w:szCs w:val="18"/>
            <w:lang w:val="fr-FR"/>
          </w:rPr>
          <w:t>10</w:t>
        </w:r>
      </w:hyperlink>
      <w:r w:rsidRPr="00E53983">
        <w:rPr>
          <w:lang w:val="fr-FR"/>
        </w:rPr>
        <w:t>), par. 40.</w:t>
      </w:r>
    </w:p>
  </w:footnote>
  <w:footnote w:id="93">
    <w:p w14:paraId="7C147C79" w14:textId="4672DDCC"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Étude du Secrétariat, </w:t>
      </w:r>
      <w:r>
        <w:rPr>
          <w:rFonts w:eastAsia="Times New Roman"/>
          <w:lang w:val="fr-FR"/>
        </w:rPr>
        <w:t>M</w:t>
      </w:r>
      <w:r w:rsidRPr="00C17484">
        <w:rPr>
          <w:rFonts w:eastAsia="Times New Roman"/>
          <w:lang w:val="fr-FR"/>
        </w:rPr>
        <w:t xml:space="preserve">oyens auxiliaires de détermination des règles de droit international </w:t>
      </w:r>
      <w:r>
        <w:rPr>
          <w:rFonts w:eastAsia="Times New Roman"/>
          <w:lang w:val="fr-FR"/>
        </w:rPr>
        <w:t>− </w:t>
      </w:r>
      <w:r w:rsidRPr="00C17484">
        <w:rPr>
          <w:rFonts w:eastAsia="Times New Roman"/>
          <w:lang w:val="fr-FR"/>
        </w:rPr>
        <w:t>Éléments figurant dans les travaux antérieurs de la Commission du droit international et pouvant être particulièrement utiles pour l</w:t>
      </w:r>
      <w:r w:rsidR="004937A0">
        <w:rPr>
          <w:rFonts w:eastAsia="Times New Roman"/>
          <w:lang w:val="fr-FR"/>
        </w:rPr>
        <w:t>’</w:t>
      </w:r>
      <w:r w:rsidRPr="00C17484">
        <w:rPr>
          <w:rFonts w:eastAsia="Times New Roman"/>
          <w:lang w:val="fr-FR"/>
        </w:rPr>
        <w:t>examen du</w:t>
      </w:r>
      <w:r>
        <w:rPr>
          <w:rFonts w:eastAsia="Times New Roman"/>
          <w:lang w:val="fr-FR"/>
        </w:rPr>
        <w:t xml:space="preserve"> sujet</w:t>
      </w:r>
      <w:r w:rsidRPr="00C17484">
        <w:rPr>
          <w:rFonts w:eastAsia="Times New Roman"/>
          <w:lang w:val="fr-FR"/>
        </w:rPr>
        <w:t xml:space="preserve"> </w:t>
      </w:r>
      <w:r>
        <w:rPr>
          <w:rFonts w:eastAsia="Times New Roman"/>
          <w:lang w:val="fr-FR"/>
        </w:rPr>
        <w:t>(</w:t>
      </w:r>
      <w:hyperlink r:id="rId61" w:history="1">
        <w:r w:rsidRPr="00796E89">
          <w:rPr>
            <w:rStyle w:val="Lienhypertexte"/>
            <w:rFonts w:eastAsia="Times New Roman"/>
            <w:lang w:val="fr-FR"/>
          </w:rPr>
          <w:t>A/CN.4/759</w:t>
        </w:r>
      </w:hyperlink>
      <w:r w:rsidRPr="00796E89">
        <w:rPr>
          <w:rFonts w:eastAsia="Times New Roman"/>
          <w:lang w:val="fr-FR"/>
        </w:rPr>
        <w:t>),</w:t>
      </w:r>
      <w:r w:rsidRPr="00C17484">
        <w:rPr>
          <w:rFonts w:eastAsia="Times New Roman"/>
          <w:lang w:val="fr-FR"/>
        </w:rPr>
        <w:t xml:space="preserve"> par. 219.</w:t>
      </w:r>
    </w:p>
  </w:footnote>
  <w:footnote w:id="94">
    <w:p w14:paraId="38F82312" w14:textId="6D59B2A0"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w:t>
      </w:r>
      <w:r w:rsidRPr="00467DE7">
        <w:rPr>
          <w:rFonts w:eastAsia="Times New Roman"/>
          <w:lang w:val="fr-FR"/>
        </w:rPr>
        <w:t>Charte des Nations Unies, Art</w:t>
      </w:r>
      <w:r w:rsidR="004F3FE4">
        <w:rPr>
          <w:rFonts w:eastAsia="Times New Roman"/>
          <w:lang w:val="fr-FR"/>
        </w:rPr>
        <w:t>.</w:t>
      </w:r>
      <w:r w:rsidRPr="00467DE7">
        <w:rPr>
          <w:rFonts w:eastAsia="Times New Roman"/>
          <w:lang w:val="fr-FR"/>
        </w:rPr>
        <w:t xml:space="preserve"> 92 : </w:t>
      </w:r>
      <w:r w:rsidRPr="00C17484">
        <w:rPr>
          <w:rFonts w:eastAsia="Times New Roman"/>
          <w:lang w:val="fr-FR"/>
        </w:rPr>
        <w:t xml:space="preserve">« La </w:t>
      </w:r>
      <w:r w:rsidRPr="00467DE7">
        <w:rPr>
          <w:rFonts w:eastAsia="Times New Roman"/>
          <w:lang w:val="fr-FR"/>
        </w:rPr>
        <w:t>Cour internationale de Justice constitue l</w:t>
      </w:r>
      <w:r w:rsidR="004937A0">
        <w:rPr>
          <w:rFonts w:eastAsia="Times New Roman"/>
          <w:lang w:val="fr-FR"/>
        </w:rPr>
        <w:t>’</w:t>
      </w:r>
      <w:r w:rsidRPr="00467DE7">
        <w:rPr>
          <w:rFonts w:eastAsia="Times New Roman"/>
          <w:lang w:val="fr-FR"/>
        </w:rPr>
        <w:t>organe judiciaire principal des Nations Unies. Elle fonctionne conformément à un Statut établi sur la base du Statut de la Cour permanente de Justice internationale et annexé à la présente Charte dont il fait partie intégrante.</w:t>
      </w:r>
      <w:r w:rsidRPr="00C17484">
        <w:rPr>
          <w:rFonts w:eastAsia="Times New Roman"/>
          <w:lang w:val="fr-FR"/>
        </w:rPr>
        <w:t> »</w:t>
      </w:r>
      <w:r w:rsidR="00181D60">
        <w:rPr>
          <w:rFonts w:eastAsia="Times New Roman"/>
          <w:lang w:val="fr-FR"/>
        </w:rPr>
        <w:t>.</w:t>
      </w:r>
    </w:p>
  </w:footnote>
  <w:footnote w:id="95">
    <w:p w14:paraId="22663FC9" w14:textId="32820350"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Voir Charte des Nations Unies, Art</w:t>
      </w:r>
      <w:r w:rsidR="004F3FE4">
        <w:rPr>
          <w:rFonts w:eastAsia="Times New Roman"/>
          <w:lang w:val="fr-FR"/>
        </w:rPr>
        <w:t>.</w:t>
      </w:r>
      <w:r w:rsidRPr="00C17484">
        <w:rPr>
          <w:rFonts w:eastAsia="Times New Roman"/>
          <w:lang w:val="fr-FR"/>
        </w:rPr>
        <w:t xml:space="preserve"> 93, par</w:t>
      </w:r>
      <w:r w:rsidR="00181D60">
        <w:rPr>
          <w:rFonts w:eastAsia="Times New Roman"/>
          <w:lang w:val="fr-FR"/>
        </w:rPr>
        <w:t>.</w:t>
      </w:r>
      <w:r w:rsidRPr="00C17484">
        <w:rPr>
          <w:rFonts w:eastAsia="Times New Roman"/>
          <w:lang w:val="fr-FR"/>
        </w:rPr>
        <w:t> 1 : « </w:t>
      </w:r>
      <w:r>
        <w:rPr>
          <w:rFonts w:eastAsia="Times New Roman"/>
          <w:lang w:val="fr-FR"/>
        </w:rPr>
        <w:t xml:space="preserve">Tous les </w:t>
      </w:r>
      <w:r w:rsidRPr="00C17484">
        <w:rPr>
          <w:rFonts w:eastAsia="Times New Roman"/>
          <w:lang w:val="fr-FR"/>
        </w:rPr>
        <w:t>Membre</w:t>
      </w:r>
      <w:r>
        <w:rPr>
          <w:rFonts w:eastAsia="Times New Roman"/>
          <w:lang w:val="fr-FR"/>
        </w:rPr>
        <w:t>s</w:t>
      </w:r>
      <w:r w:rsidRPr="00C17484">
        <w:rPr>
          <w:rFonts w:eastAsia="Times New Roman"/>
          <w:lang w:val="fr-FR"/>
        </w:rPr>
        <w:t xml:space="preserve"> des Nations Unies </w:t>
      </w:r>
      <w:r>
        <w:rPr>
          <w:rFonts w:eastAsia="Times New Roman"/>
          <w:lang w:val="fr-FR"/>
        </w:rPr>
        <w:t xml:space="preserve">sont </w:t>
      </w:r>
      <w:r w:rsidRPr="00796E89">
        <w:rPr>
          <w:rFonts w:eastAsia="Times New Roman"/>
          <w:i/>
          <w:iCs/>
          <w:lang w:val="fr-FR"/>
        </w:rPr>
        <w:t>ipso facto</w:t>
      </w:r>
      <w:r>
        <w:rPr>
          <w:rFonts w:eastAsia="Times New Roman"/>
          <w:lang w:val="fr-FR"/>
        </w:rPr>
        <w:t xml:space="preserve"> parties au Statut de </w:t>
      </w:r>
      <w:r w:rsidRPr="00C17484">
        <w:rPr>
          <w:rFonts w:eastAsia="Times New Roman"/>
          <w:lang w:val="fr-FR"/>
        </w:rPr>
        <w:t>la Cour internationale de Justice</w:t>
      </w:r>
      <w:r w:rsidRPr="00C17484">
        <w:rPr>
          <w:rFonts w:eastAsia="Times New Roman"/>
          <w:color w:val="333333"/>
          <w:lang w:val="fr-FR"/>
        </w:rPr>
        <w:t>.</w:t>
      </w:r>
      <w:r>
        <w:rPr>
          <w:rFonts w:eastAsia="Times New Roman"/>
          <w:color w:val="333333"/>
          <w:lang w:val="fr-FR"/>
        </w:rPr>
        <w:t> </w:t>
      </w:r>
      <w:r w:rsidRPr="00C17484">
        <w:rPr>
          <w:rFonts w:eastAsia="Times New Roman"/>
          <w:color w:val="333333"/>
          <w:lang w:val="fr-FR"/>
        </w:rPr>
        <w:t>».</w:t>
      </w:r>
    </w:p>
  </w:footnote>
  <w:footnote w:id="96">
    <w:p w14:paraId="47A9B81E" w14:textId="20EBD956" w:rsidR="004C5E26" w:rsidRPr="00C17484" w:rsidRDefault="004C5E26" w:rsidP="004C5E26">
      <w:pPr>
        <w:pStyle w:val="Notedebasdepage"/>
        <w:rPr>
          <w:rFonts w:eastAsia="Times New Roman"/>
          <w:lang w:val="fr-FR"/>
        </w:rPr>
      </w:pPr>
      <w:r w:rsidRPr="007B1F71">
        <w:rPr>
          <w:rFonts w:eastAsia="Times New Roman"/>
        </w:rPr>
        <w:tab/>
      </w:r>
      <w:r w:rsidRPr="0053774D">
        <w:rPr>
          <w:rStyle w:val="Appelnotedebasdep"/>
        </w:rPr>
        <w:footnoteRef/>
      </w:r>
      <w:r>
        <w:rPr>
          <w:rFonts w:eastAsia="Times New Roman"/>
          <w:lang w:val="en-US"/>
        </w:rPr>
        <w:tab/>
      </w:r>
      <w:r w:rsidRPr="0092733B">
        <w:rPr>
          <w:rFonts w:eastAsia="Times New Roman"/>
          <w:lang w:val="en-US"/>
        </w:rPr>
        <w:t>Voir, par exemple, États-Unis d</w:t>
      </w:r>
      <w:r w:rsidR="004937A0">
        <w:rPr>
          <w:rFonts w:eastAsia="Times New Roman"/>
          <w:lang w:val="en-US"/>
        </w:rPr>
        <w:t>’</w:t>
      </w:r>
      <w:r w:rsidRPr="0092733B">
        <w:rPr>
          <w:rFonts w:eastAsia="Times New Roman"/>
          <w:lang w:val="en-US"/>
        </w:rPr>
        <w:t xml:space="preserve">Amérique, </w:t>
      </w:r>
      <w:r w:rsidR="00181D60" w:rsidRPr="00181D60">
        <w:rPr>
          <w:rFonts w:eastAsia="Times New Roman"/>
          <w:lang w:val="en-US"/>
        </w:rPr>
        <w:t>« </w:t>
      </w:r>
      <w:r w:rsidRPr="0092733B">
        <w:rPr>
          <w:rFonts w:eastAsia="Times New Roman"/>
          <w:lang w:val="en-US"/>
        </w:rPr>
        <w:t xml:space="preserve">The United States and the </w:t>
      </w:r>
      <w:r w:rsidR="00181D60">
        <w:rPr>
          <w:rFonts w:eastAsia="Times New Roman"/>
          <w:lang w:val="en-US"/>
        </w:rPr>
        <w:t>“</w:t>
      </w:r>
      <w:r w:rsidRPr="0092733B">
        <w:rPr>
          <w:rFonts w:eastAsia="Times New Roman"/>
          <w:lang w:val="en-US"/>
        </w:rPr>
        <w:t>World Court</w:t>
      </w:r>
      <w:r w:rsidR="00181D60">
        <w:rPr>
          <w:rFonts w:eastAsia="Times New Roman"/>
          <w:lang w:val="en-US"/>
        </w:rPr>
        <w:t>”</w:t>
      </w:r>
      <w:r w:rsidR="00181D60" w:rsidRPr="00181D60">
        <w:rPr>
          <w:rFonts w:eastAsia="Times New Roman"/>
          <w:lang w:val="en-US"/>
        </w:rPr>
        <w:t> »</w:t>
      </w:r>
      <w:r w:rsidRPr="0092733B">
        <w:rPr>
          <w:rFonts w:eastAsia="Times New Roman"/>
          <w:lang w:val="en-US"/>
        </w:rPr>
        <w:t>, Congressional Research Service,</w:t>
      </w:r>
      <w:r w:rsidR="00181D60">
        <w:rPr>
          <w:rFonts w:eastAsia="Times New Roman"/>
          <w:lang w:val="en-US"/>
        </w:rPr>
        <w:t xml:space="preserve"> </w:t>
      </w:r>
      <w:r w:rsidRPr="0092733B">
        <w:rPr>
          <w:rFonts w:eastAsia="Times New Roman"/>
          <w:lang w:val="en-US"/>
        </w:rPr>
        <w:t>17</w:t>
      </w:r>
      <w:r>
        <w:rPr>
          <w:rFonts w:eastAsia="Times New Roman"/>
          <w:lang w:val="en-US"/>
        </w:rPr>
        <w:t> octobre </w:t>
      </w:r>
      <w:r w:rsidRPr="0092733B">
        <w:rPr>
          <w:rFonts w:eastAsia="Times New Roman"/>
          <w:lang w:val="en-US"/>
        </w:rPr>
        <w:t>2018 (CRS Report No. </w:t>
      </w:r>
      <w:r w:rsidRPr="00C17484">
        <w:rPr>
          <w:rFonts w:eastAsia="Times New Roman"/>
          <w:lang w:val="fr-FR"/>
        </w:rPr>
        <w:t>LSB10206)</w:t>
      </w:r>
      <w:r>
        <w:rPr>
          <w:rFonts w:eastAsia="Times New Roman"/>
          <w:lang w:val="fr-FR"/>
        </w:rPr>
        <w:t>,</w:t>
      </w:r>
      <w:r w:rsidRPr="00C17484">
        <w:rPr>
          <w:rFonts w:eastAsia="Times New Roman"/>
          <w:lang w:val="fr-FR"/>
        </w:rPr>
        <w:t xml:space="preserve"> disponible à l</w:t>
      </w:r>
      <w:r w:rsidR="004937A0">
        <w:rPr>
          <w:rFonts w:eastAsia="Times New Roman"/>
          <w:lang w:val="fr-FR"/>
        </w:rPr>
        <w:t>’</w:t>
      </w:r>
      <w:r w:rsidRPr="00C17484">
        <w:rPr>
          <w:rFonts w:eastAsia="Times New Roman"/>
          <w:lang w:val="fr-FR"/>
        </w:rPr>
        <w:t xml:space="preserve">adresse </w:t>
      </w:r>
      <w:r>
        <w:rPr>
          <w:rFonts w:eastAsia="Times New Roman"/>
          <w:lang w:val="fr-FR"/>
        </w:rPr>
        <w:t xml:space="preserve">suivante : </w:t>
      </w:r>
      <w:hyperlink r:id="rId62" w:history="1">
        <w:r w:rsidRPr="00CE4D8E">
          <w:rPr>
            <w:rStyle w:val="Lienhypertexte"/>
            <w:rFonts w:eastAsia="Times New Roman"/>
            <w:lang w:val="fr-FR"/>
          </w:rPr>
          <w:t>https://crsreports.congress.gov/product/pdf/LSB/LSB10206</w:t>
        </w:r>
      </w:hyperlink>
      <w:r w:rsidRPr="00947B86">
        <w:rPr>
          <w:rFonts w:eastAsia="Times New Roman"/>
          <w:lang w:val="fr-FR"/>
        </w:rPr>
        <w:t xml:space="preserve"> </w:t>
      </w:r>
      <w:r w:rsidRPr="00C17484">
        <w:rPr>
          <w:rFonts w:eastAsia="Times New Roman"/>
          <w:lang w:val="fr-FR"/>
        </w:rPr>
        <w:t xml:space="preserve">(indiquant que la Cour internationale de Justice (CIJ) est « communément appelée la </w:t>
      </w:r>
      <w:r>
        <w:rPr>
          <w:rFonts w:eastAsia="Times New Roman"/>
          <w:lang w:val="fr-FR"/>
        </w:rPr>
        <w:t>“</w:t>
      </w:r>
      <w:r w:rsidRPr="00C17484">
        <w:rPr>
          <w:rFonts w:eastAsia="Times New Roman"/>
          <w:lang w:val="fr-FR"/>
        </w:rPr>
        <w:t>Cour mondiale</w:t>
      </w:r>
      <w:r>
        <w:rPr>
          <w:rFonts w:eastAsia="Times New Roman"/>
          <w:lang w:val="fr-FR"/>
        </w:rPr>
        <w:t>”</w:t>
      </w:r>
      <w:r w:rsidRPr="00C17484">
        <w:rPr>
          <w:rFonts w:eastAsia="Times New Roman"/>
          <w:lang w:val="fr-FR"/>
        </w:rPr>
        <w:t> »</w:t>
      </w:r>
      <w:r>
        <w:rPr>
          <w:rFonts w:eastAsia="Times New Roman"/>
          <w:lang w:val="fr-FR"/>
        </w:rPr>
        <w:t>)</w:t>
      </w:r>
      <w:r w:rsidRPr="00C17484">
        <w:rPr>
          <w:rFonts w:eastAsia="Times New Roman"/>
          <w:lang w:val="fr-FR"/>
        </w:rPr>
        <w:t>.</w:t>
      </w:r>
    </w:p>
  </w:footnote>
  <w:footnote w:id="97">
    <w:p w14:paraId="55093648" w14:textId="5758B0A9" w:rsidR="004C5E26" w:rsidRPr="00C17484" w:rsidRDefault="004C5E26" w:rsidP="004C5E26">
      <w:pPr>
        <w:pStyle w:val="Notedebasdepage"/>
        <w:rPr>
          <w:rFonts w:eastAsia="Times New Roman"/>
          <w:color w:val="000000" w:themeColor="text1"/>
          <w:lang w:val="fr-FR"/>
        </w:rPr>
      </w:pPr>
      <w:r>
        <w:rPr>
          <w:rFonts w:eastAsia="Times New Roman"/>
          <w:color w:val="000000"/>
          <w:lang w:val="fr-FR"/>
        </w:rPr>
        <w:tab/>
      </w:r>
      <w:r w:rsidRPr="0053774D">
        <w:rPr>
          <w:rStyle w:val="Appelnotedebasdep"/>
        </w:rPr>
        <w:footnoteRef/>
      </w:r>
      <w:r>
        <w:rPr>
          <w:rFonts w:eastAsia="Times New Roman"/>
          <w:color w:val="000000"/>
          <w:lang w:val="fr-FR"/>
        </w:rPr>
        <w:tab/>
      </w:r>
      <w:r w:rsidRPr="00C17484">
        <w:rPr>
          <w:rFonts w:eastAsia="Times New Roman"/>
          <w:color w:val="000000"/>
          <w:lang w:val="fr-FR"/>
        </w:rPr>
        <w:t>Voir</w:t>
      </w:r>
      <w:r>
        <w:rPr>
          <w:rFonts w:eastAsia="Times New Roman"/>
          <w:color w:val="000000"/>
          <w:lang w:val="fr-FR"/>
        </w:rPr>
        <w:t>, par exemple,</w:t>
      </w:r>
      <w:r w:rsidRPr="00C17484">
        <w:rPr>
          <w:rFonts w:eastAsia="Times New Roman"/>
          <w:color w:val="000000"/>
          <w:lang w:val="fr-FR"/>
        </w:rPr>
        <w:t xml:space="preserve"> Traité révisé de Chaguaramas instituant la Communauté des Caraïbes, y compris le Marché unique de la CARICOM </w:t>
      </w:r>
      <w:r w:rsidRPr="001400B9">
        <w:rPr>
          <w:rFonts w:eastAsia="Times New Roman"/>
          <w:color w:val="000000"/>
          <w:lang w:val="fr-FR"/>
        </w:rPr>
        <w:t>[</w:t>
      </w:r>
      <w:r>
        <w:rPr>
          <w:rFonts w:eastAsia="Times New Roman"/>
          <w:color w:val="000000"/>
          <w:lang w:val="fr-FR"/>
        </w:rPr>
        <w:t>Communauté des Caraïbes</w:t>
      </w:r>
      <w:r w:rsidRPr="001400B9">
        <w:rPr>
          <w:rFonts w:eastAsia="Times New Roman"/>
          <w:color w:val="000000"/>
          <w:lang w:val="fr-FR"/>
        </w:rPr>
        <w:t>] (Nassau, 5</w:t>
      </w:r>
      <w:r>
        <w:rPr>
          <w:rFonts w:eastAsia="Times New Roman"/>
          <w:color w:val="000000"/>
          <w:lang w:val="fr-FR"/>
        </w:rPr>
        <w:t> juillet </w:t>
      </w:r>
      <w:r w:rsidRPr="001400B9">
        <w:rPr>
          <w:rFonts w:eastAsia="Times New Roman"/>
          <w:color w:val="000000"/>
          <w:lang w:val="fr-FR"/>
        </w:rPr>
        <w:t>2001), Nations</w:t>
      </w:r>
      <w:r w:rsidR="004F3FE4">
        <w:rPr>
          <w:rFonts w:eastAsia="Times New Roman"/>
          <w:color w:val="000000"/>
          <w:lang w:val="fr-FR"/>
        </w:rPr>
        <w:t> </w:t>
      </w:r>
      <w:r>
        <w:rPr>
          <w:rFonts w:eastAsia="Times New Roman"/>
          <w:color w:val="000000"/>
          <w:lang w:val="fr-FR"/>
        </w:rPr>
        <w:t>Unies</w:t>
      </w:r>
      <w:r w:rsidRPr="00007DE7">
        <w:rPr>
          <w:rFonts w:eastAsia="Times New Roman"/>
          <w:color w:val="000000"/>
          <w:lang w:val="fr-FR"/>
        </w:rPr>
        <w:t xml:space="preserve">, </w:t>
      </w:r>
      <w:r w:rsidRPr="00007DE7">
        <w:rPr>
          <w:rFonts w:eastAsia="Times New Roman"/>
          <w:i/>
          <w:iCs/>
          <w:color w:val="000000"/>
          <w:lang w:val="fr-FR"/>
        </w:rPr>
        <w:t xml:space="preserve">Recueil des </w:t>
      </w:r>
      <w:r w:rsidR="002C2BCB" w:rsidRPr="00007DE7">
        <w:rPr>
          <w:rFonts w:eastAsia="Times New Roman"/>
          <w:i/>
          <w:iCs/>
          <w:color w:val="000000"/>
          <w:lang w:val="fr-FR"/>
        </w:rPr>
        <w:t>T</w:t>
      </w:r>
      <w:r w:rsidRPr="00007DE7">
        <w:rPr>
          <w:rFonts w:eastAsia="Times New Roman"/>
          <w:i/>
          <w:iCs/>
          <w:color w:val="000000"/>
          <w:lang w:val="fr-FR"/>
        </w:rPr>
        <w:t>raités</w:t>
      </w:r>
      <w:r w:rsidRPr="00007DE7">
        <w:rPr>
          <w:rFonts w:eastAsia="Times New Roman"/>
          <w:color w:val="000000"/>
          <w:lang w:val="fr-FR"/>
        </w:rPr>
        <w:t>, vol. 2259, n</w:t>
      </w:r>
      <w:r w:rsidRPr="00007DE7">
        <w:rPr>
          <w:rFonts w:eastAsia="Times New Roman"/>
          <w:color w:val="000000"/>
          <w:vertAlign w:val="superscript"/>
          <w:lang w:val="fr-FR"/>
        </w:rPr>
        <w:t>o</w:t>
      </w:r>
      <w:r w:rsidRPr="00007DE7">
        <w:rPr>
          <w:rFonts w:eastAsia="Times New Roman"/>
          <w:color w:val="000000"/>
          <w:lang w:val="fr-FR"/>
        </w:rPr>
        <w:t xml:space="preserve"> 40269, p. </w:t>
      </w:r>
      <w:r>
        <w:rPr>
          <w:rFonts w:eastAsia="Times New Roman"/>
          <w:color w:val="000000"/>
          <w:lang w:val="fr-FR"/>
        </w:rPr>
        <w:t>403</w:t>
      </w:r>
      <w:r w:rsidRPr="00007DE7">
        <w:rPr>
          <w:rFonts w:eastAsia="Times New Roman"/>
          <w:color w:val="000000"/>
          <w:lang w:val="fr-FR"/>
        </w:rPr>
        <w:t xml:space="preserve">, </w:t>
      </w:r>
      <w:r w:rsidRPr="00007DE7">
        <w:rPr>
          <w:rFonts w:eastAsia="Times New Roman"/>
          <w:lang w:val="fr-FR"/>
        </w:rPr>
        <w:t>art. </w:t>
      </w:r>
      <w:r>
        <w:rPr>
          <w:rFonts w:eastAsia="Times New Roman"/>
          <w:lang w:val="fr-FR"/>
        </w:rPr>
        <w:t>211 et 2</w:t>
      </w:r>
      <w:r w:rsidRPr="00007DE7">
        <w:rPr>
          <w:rFonts w:eastAsia="Times New Roman"/>
          <w:lang w:val="fr-FR"/>
        </w:rPr>
        <w:t xml:space="preserve">12, </w:t>
      </w:r>
      <w:r>
        <w:rPr>
          <w:rFonts w:eastAsia="Times New Roman"/>
          <w:lang w:val="fr-FR"/>
        </w:rPr>
        <w:t>où il est fait référence au fait que la cour est compétente pour trancher</w:t>
      </w:r>
      <w:r w:rsidRPr="00C17484">
        <w:rPr>
          <w:rFonts w:eastAsia="Times New Roman"/>
          <w:color w:val="000000"/>
          <w:lang w:val="fr-FR"/>
        </w:rPr>
        <w:t xml:space="preserve"> les différends opposant les États membres</w:t>
      </w:r>
      <w:r>
        <w:rPr>
          <w:rFonts w:eastAsia="Times New Roman"/>
          <w:color w:val="000000"/>
          <w:lang w:val="fr-FR"/>
        </w:rPr>
        <w:t xml:space="preserve"> et émettre des avis consultatifs</w:t>
      </w:r>
      <w:r w:rsidRPr="00C17484">
        <w:rPr>
          <w:rFonts w:eastAsia="Times New Roman"/>
          <w:color w:val="000000" w:themeColor="text1"/>
          <w:lang w:val="fr-FR"/>
        </w:rPr>
        <w:t> ; Traité pour l</w:t>
      </w:r>
      <w:r w:rsidR="004937A0">
        <w:rPr>
          <w:rFonts w:eastAsia="Times New Roman"/>
          <w:color w:val="000000" w:themeColor="text1"/>
          <w:lang w:val="fr-FR"/>
        </w:rPr>
        <w:t>’</w:t>
      </w:r>
      <w:r w:rsidRPr="00C17484">
        <w:rPr>
          <w:rFonts w:eastAsia="Times New Roman"/>
          <w:color w:val="000000" w:themeColor="text1"/>
          <w:lang w:val="fr-FR"/>
        </w:rPr>
        <w:t>établissement de la Communauté d</w:t>
      </w:r>
      <w:r w:rsidR="004937A0">
        <w:rPr>
          <w:rFonts w:eastAsia="Times New Roman"/>
          <w:color w:val="000000" w:themeColor="text1"/>
          <w:lang w:val="fr-FR"/>
        </w:rPr>
        <w:t>’</w:t>
      </w:r>
      <w:r w:rsidRPr="00C17484">
        <w:rPr>
          <w:rFonts w:eastAsia="Times New Roman"/>
          <w:color w:val="000000" w:themeColor="text1"/>
          <w:lang w:val="fr-FR"/>
        </w:rPr>
        <w:t>Afrique de l</w:t>
      </w:r>
      <w:r w:rsidR="004937A0">
        <w:rPr>
          <w:rFonts w:eastAsia="Times New Roman"/>
          <w:color w:val="000000" w:themeColor="text1"/>
          <w:lang w:val="fr-FR"/>
        </w:rPr>
        <w:t>’</w:t>
      </w:r>
      <w:r w:rsidRPr="00C17484">
        <w:rPr>
          <w:rFonts w:eastAsia="Times New Roman"/>
          <w:color w:val="000000" w:themeColor="text1"/>
          <w:lang w:val="fr-FR"/>
        </w:rPr>
        <w:t>Est (Arusha, 30</w:t>
      </w:r>
      <w:r>
        <w:rPr>
          <w:rFonts w:eastAsia="Times New Roman"/>
          <w:color w:val="000000" w:themeColor="text1"/>
          <w:lang w:val="fr-FR"/>
        </w:rPr>
        <w:t> novembre </w:t>
      </w:r>
      <w:r w:rsidRPr="00C17484">
        <w:rPr>
          <w:rFonts w:eastAsia="Times New Roman"/>
          <w:color w:val="000000" w:themeColor="text1"/>
          <w:lang w:val="fr-FR"/>
        </w:rPr>
        <w:t xml:space="preserve">1999), ibid., vol. 2144, </w:t>
      </w:r>
      <w:r>
        <w:rPr>
          <w:rFonts w:eastAsia="Times New Roman"/>
          <w:color w:val="000000" w:themeColor="text1"/>
          <w:lang w:val="fr-FR"/>
        </w:rPr>
        <w:t>n</w:t>
      </w:r>
      <w:r w:rsidRPr="00BE5141">
        <w:rPr>
          <w:rFonts w:eastAsia="Times New Roman"/>
          <w:color w:val="000000" w:themeColor="text1"/>
          <w:vertAlign w:val="superscript"/>
          <w:lang w:val="fr-FR"/>
        </w:rPr>
        <w:t>o</w:t>
      </w:r>
      <w:r>
        <w:rPr>
          <w:rFonts w:eastAsia="Times New Roman"/>
          <w:color w:val="000000" w:themeColor="text1"/>
          <w:lang w:val="fr-FR"/>
        </w:rPr>
        <w:t> </w:t>
      </w:r>
      <w:r w:rsidRPr="00C17484">
        <w:rPr>
          <w:rFonts w:eastAsia="Times New Roman"/>
          <w:color w:val="000000" w:themeColor="text1"/>
          <w:lang w:val="fr-FR"/>
        </w:rPr>
        <w:t xml:space="preserve">37437, p. 255, art. 32, </w:t>
      </w:r>
      <w:r w:rsidRPr="00C35892">
        <w:rPr>
          <w:rFonts w:eastAsia="Times New Roman"/>
          <w:color w:val="000000" w:themeColor="text1"/>
          <w:lang w:val="fr-FR"/>
        </w:rPr>
        <w:t>alinéa b) (la</w:t>
      </w:r>
      <w:r w:rsidRPr="00C17484">
        <w:rPr>
          <w:rFonts w:eastAsia="Times New Roman"/>
          <w:color w:val="000000" w:themeColor="text1"/>
          <w:lang w:val="fr-FR"/>
        </w:rPr>
        <w:t xml:space="preserve"> Cour de justice de l</w:t>
      </w:r>
      <w:r w:rsidR="004937A0">
        <w:rPr>
          <w:rFonts w:eastAsia="Times New Roman"/>
          <w:color w:val="000000" w:themeColor="text1"/>
          <w:lang w:val="fr-FR"/>
        </w:rPr>
        <w:t>’</w:t>
      </w:r>
      <w:r w:rsidRPr="00C17484">
        <w:rPr>
          <w:rFonts w:eastAsia="Times New Roman"/>
          <w:color w:val="000000" w:themeColor="text1"/>
          <w:lang w:val="fr-FR"/>
        </w:rPr>
        <w:t>Afrique de l</w:t>
      </w:r>
      <w:r w:rsidR="004937A0">
        <w:rPr>
          <w:rFonts w:eastAsia="Times New Roman"/>
          <w:color w:val="000000" w:themeColor="text1"/>
          <w:lang w:val="fr-FR"/>
        </w:rPr>
        <w:t>’</w:t>
      </w:r>
      <w:r w:rsidRPr="00C17484">
        <w:rPr>
          <w:rFonts w:eastAsia="Times New Roman"/>
          <w:color w:val="000000" w:themeColor="text1"/>
          <w:lang w:val="fr-FR"/>
        </w:rPr>
        <w:t>Est est compétente pour connaître des litiges « </w:t>
      </w:r>
      <w:r>
        <w:rPr>
          <w:rFonts w:eastAsia="Times New Roman"/>
          <w:color w:val="000000" w:themeColor="text1"/>
          <w:lang w:val="fr-FR"/>
        </w:rPr>
        <w:t xml:space="preserve">[p]rovenant </w:t>
      </w:r>
      <w:r w:rsidRPr="00C17484">
        <w:rPr>
          <w:rFonts w:eastAsia="Times New Roman"/>
          <w:color w:val="000000" w:themeColor="text1"/>
          <w:lang w:val="fr-FR"/>
        </w:rPr>
        <w:t>d</w:t>
      </w:r>
      <w:r w:rsidR="004937A0">
        <w:rPr>
          <w:rFonts w:eastAsia="Times New Roman"/>
          <w:color w:val="000000" w:themeColor="text1"/>
          <w:lang w:val="fr-FR"/>
        </w:rPr>
        <w:t>’</w:t>
      </w:r>
      <w:r>
        <w:rPr>
          <w:rFonts w:eastAsia="Times New Roman"/>
          <w:color w:val="000000" w:themeColor="text1"/>
          <w:lang w:val="fr-FR"/>
        </w:rPr>
        <w:t>un</w:t>
      </w:r>
      <w:r w:rsidRPr="00C17484">
        <w:rPr>
          <w:rFonts w:eastAsia="Times New Roman"/>
          <w:color w:val="000000" w:themeColor="text1"/>
          <w:lang w:val="fr-FR"/>
        </w:rPr>
        <w:t xml:space="preserve"> différend entre </w:t>
      </w:r>
      <w:r>
        <w:rPr>
          <w:rFonts w:eastAsia="Times New Roman"/>
          <w:color w:val="000000" w:themeColor="text1"/>
          <w:lang w:val="fr-FR"/>
        </w:rPr>
        <w:t>d</w:t>
      </w:r>
      <w:r w:rsidRPr="00C17484">
        <w:rPr>
          <w:rFonts w:eastAsia="Times New Roman"/>
          <w:color w:val="000000" w:themeColor="text1"/>
          <w:lang w:val="fr-FR"/>
        </w:rPr>
        <w:t xml:space="preserve">es États membres </w:t>
      </w:r>
      <w:r>
        <w:rPr>
          <w:rFonts w:eastAsia="Times New Roman"/>
          <w:color w:val="000000" w:themeColor="text1"/>
          <w:lang w:val="fr-FR"/>
        </w:rPr>
        <w:t>relatif a</w:t>
      </w:r>
      <w:r w:rsidRPr="00C17484">
        <w:rPr>
          <w:rFonts w:eastAsia="Times New Roman"/>
          <w:color w:val="000000" w:themeColor="text1"/>
          <w:lang w:val="fr-FR"/>
        </w:rPr>
        <w:t xml:space="preserve">u présent traité si </w:t>
      </w:r>
      <w:r>
        <w:rPr>
          <w:rFonts w:eastAsia="Times New Roman"/>
          <w:color w:val="000000" w:themeColor="text1"/>
          <w:lang w:val="fr-FR"/>
        </w:rPr>
        <w:t xml:space="preserve">le différend est soumis conformément à </w:t>
      </w:r>
      <w:r w:rsidRPr="00C17484">
        <w:rPr>
          <w:rFonts w:eastAsia="Times New Roman"/>
          <w:color w:val="000000" w:themeColor="text1"/>
          <w:lang w:val="fr-FR"/>
        </w:rPr>
        <w:t>un accord spécial conclu entre les États membres concernés ») ; Statut de la Cour centraméricaine de justice (Panama City, 10 décembre 1992), ibid., vol. 1821, n</w:t>
      </w:r>
      <w:r w:rsidRPr="00C17484">
        <w:rPr>
          <w:rFonts w:eastAsia="Times New Roman"/>
          <w:color w:val="000000" w:themeColor="text1"/>
          <w:vertAlign w:val="superscript"/>
          <w:lang w:val="fr-FR"/>
        </w:rPr>
        <w:t>o</w:t>
      </w:r>
      <w:r w:rsidRPr="00C17484">
        <w:rPr>
          <w:rFonts w:eastAsia="Times New Roman"/>
          <w:color w:val="000000" w:themeColor="text1"/>
          <w:lang w:val="fr-FR"/>
        </w:rPr>
        <w:t> 31191, p. 291, art. 22 a) (La Cour a notamment compétence « [p]our connaître</w:t>
      </w:r>
      <w:r>
        <w:rPr>
          <w:rFonts w:eastAsia="Times New Roman"/>
          <w:color w:val="000000" w:themeColor="text1"/>
          <w:lang w:val="fr-FR"/>
        </w:rPr>
        <w:t>,</w:t>
      </w:r>
      <w:r w:rsidRPr="00C17484">
        <w:rPr>
          <w:rFonts w:eastAsia="Times New Roman"/>
          <w:color w:val="000000" w:themeColor="text1"/>
          <w:lang w:val="fr-FR"/>
        </w:rPr>
        <w:t xml:space="preserve"> à la demande de l</w:t>
      </w:r>
      <w:r w:rsidR="004937A0">
        <w:rPr>
          <w:rFonts w:eastAsia="Times New Roman"/>
          <w:color w:val="000000" w:themeColor="text1"/>
          <w:lang w:val="fr-FR"/>
        </w:rPr>
        <w:t>’</w:t>
      </w:r>
      <w:r w:rsidRPr="00C17484">
        <w:rPr>
          <w:rFonts w:eastAsia="Times New Roman"/>
          <w:color w:val="000000" w:themeColor="text1"/>
          <w:lang w:val="fr-FR"/>
        </w:rPr>
        <w:t>un quelconque des États membres, de</w:t>
      </w:r>
      <w:r>
        <w:rPr>
          <w:rFonts w:eastAsia="Times New Roman"/>
          <w:color w:val="000000" w:themeColor="text1"/>
          <w:lang w:val="fr-FR"/>
        </w:rPr>
        <w:t>s</w:t>
      </w:r>
      <w:r w:rsidRPr="00C17484">
        <w:rPr>
          <w:rFonts w:eastAsia="Times New Roman"/>
          <w:color w:val="000000" w:themeColor="text1"/>
          <w:lang w:val="fr-FR"/>
        </w:rPr>
        <w:t xml:space="preserve"> litiges qui surgissent entre eux ») ; Convention européenne de sauvegarde des droits de l</w:t>
      </w:r>
      <w:r w:rsidR="004937A0">
        <w:rPr>
          <w:rFonts w:eastAsia="Times New Roman"/>
          <w:color w:val="000000" w:themeColor="text1"/>
          <w:lang w:val="fr-FR"/>
        </w:rPr>
        <w:t>’</w:t>
      </w:r>
      <w:r w:rsidRPr="00C17484">
        <w:rPr>
          <w:rFonts w:eastAsia="Times New Roman"/>
          <w:color w:val="000000" w:themeColor="text1"/>
          <w:lang w:val="fr-FR"/>
        </w:rPr>
        <w:t>homme et des libertés fondamentales (Convention européenne des droits de l</w:t>
      </w:r>
      <w:r w:rsidR="004937A0">
        <w:rPr>
          <w:rFonts w:eastAsia="Times New Roman"/>
          <w:color w:val="000000" w:themeColor="text1"/>
          <w:lang w:val="fr-FR"/>
        </w:rPr>
        <w:t>’</w:t>
      </w:r>
      <w:r w:rsidRPr="00C17484">
        <w:rPr>
          <w:rFonts w:eastAsia="Times New Roman"/>
          <w:color w:val="000000" w:themeColor="text1"/>
          <w:lang w:val="fr-FR"/>
        </w:rPr>
        <w:t>homme) (Rome, 4 novembre 1950), ibid., vol.</w:t>
      </w:r>
      <w:r w:rsidR="004F3FE4">
        <w:rPr>
          <w:rFonts w:eastAsia="Times New Roman"/>
          <w:color w:val="000000" w:themeColor="text1"/>
          <w:lang w:val="fr-FR"/>
        </w:rPr>
        <w:t> </w:t>
      </w:r>
      <w:r w:rsidRPr="00C17484">
        <w:rPr>
          <w:rFonts w:eastAsia="Times New Roman"/>
          <w:color w:val="000000" w:themeColor="text1"/>
          <w:lang w:val="fr-FR"/>
        </w:rPr>
        <w:t>213, n</w:t>
      </w:r>
      <w:r w:rsidRPr="00C17484">
        <w:rPr>
          <w:rFonts w:eastAsia="Times New Roman"/>
          <w:color w:val="000000" w:themeColor="text1"/>
          <w:vertAlign w:val="superscript"/>
          <w:lang w:val="fr-FR"/>
        </w:rPr>
        <w:t>o</w:t>
      </w:r>
      <w:r w:rsidRPr="00C17484">
        <w:rPr>
          <w:rFonts w:eastAsia="Times New Roman"/>
          <w:color w:val="000000" w:themeColor="text1"/>
          <w:lang w:val="fr-FR"/>
        </w:rPr>
        <w:t xml:space="preserve"> 2889, p. 221, </w:t>
      </w:r>
      <w:r>
        <w:rPr>
          <w:rFonts w:eastAsia="Times New Roman"/>
          <w:color w:val="000000" w:themeColor="text1"/>
          <w:lang w:val="fr-FR"/>
        </w:rPr>
        <w:t xml:space="preserve">telle que </w:t>
      </w:r>
      <w:r w:rsidRPr="003D08B4">
        <w:rPr>
          <w:rFonts w:eastAsia="Times New Roman"/>
          <w:color w:val="000000" w:themeColor="text1"/>
          <w:lang w:val="fr-FR"/>
        </w:rPr>
        <w:t>révisée, art</w:t>
      </w:r>
      <w:r w:rsidRPr="00C17484">
        <w:rPr>
          <w:rFonts w:eastAsia="Times New Roman"/>
          <w:color w:val="000000" w:themeColor="text1"/>
          <w:lang w:val="fr-FR"/>
        </w:rPr>
        <w:t>. 33 (visant les affaires interétatiques dont connaît la Cour européenne des droits de l</w:t>
      </w:r>
      <w:r w:rsidR="004937A0">
        <w:rPr>
          <w:rFonts w:eastAsia="Times New Roman"/>
          <w:color w:val="000000" w:themeColor="text1"/>
          <w:lang w:val="fr-FR"/>
        </w:rPr>
        <w:t>’</w:t>
      </w:r>
      <w:r w:rsidRPr="00C17484">
        <w:rPr>
          <w:rFonts w:eastAsia="Times New Roman"/>
          <w:color w:val="000000" w:themeColor="text1"/>
          <w:lang w:val="fr-FR"/>
        </w:rPr>
        <w:t>homme</w:t>
      </w:r>
      <w:r w:rsidRPr="00467DE7">
        <w:rPr>
          <w:rFonts w:eastAsia="Times New Roman"/>
          <w:color w:val="000000" w:themeColor="text1"/>
          <w:lang w:val="fr-FR"/>
        </w:rPr>
        <w:t xml:space="preserve"> : </w:t>
      </w:r>
      <w:r w:rsidRPr="00C17484">
        <w:rPr>
          <w:rFonts w:eastAsia="Times New Roman"/>
          <w:color w:val="000000" w:themeColor="text1"/>
          <w:lang w:val="fr-FR"/>
        </w:rPr>
        <w:t>« Toute Haute Partie contractante peut saisir la Cour de tout manquement aux dispositions de la Convention et de ses protocoles qu</w:t>
      </w:r>
      <w:r w:rsidR="004937A0">
        <w:rPr>
          <w:rFonts w:eastAsia="Times New Roman"/>
          <w:color w:val="000000" w:themeColor="text1"/>
          <w:lang w:val="fr-FR"/>
        </w:rPr>
        <w:t>’</w:t>
      </w:r>
      <w:r w:rsidRPr="00C17484">
        <w:rPr>
          <w:rFonts w:eastAsia="Times New Roman"/>
          <w:color w:val="000000" w:themeColor="text1"/>
          <w:lang w:val="fr-FR"/>
        </w:rPr>
        <w:t>elle croira pouvoir être imputé à une autre Haute Partie contractante</w:t>
      </w:r>
      <w:r w:rsidRPr="00467DE7">
        <w:rPr>
          <w:rFonts w:eastAsia="Times New Roman"/>
          <w:color w:val="000000" w:themeColor="text1"/>
          <w:lang w:val="fr-FR"/>
        </w:rPr>
        <w:t>.</w:t>
      </w:r>
      <w:r w:rsidRPr="00C17484">
        <w:rPr>
          <w:rFonts w:eastAsia="Times New Roman"/>
          <w:color w:val="000000" w:themeColor="text1"/>
          <w:lang w:val="fr-FR"/>
        </w:rPr>
        <w:t> »</w:t>
      </w:r>
      <w:r w:rsidRPr="00467DE7">
        <w:rPr>
          <w:rFonts w:eastAsia="Times New Roman"/>
          <w:color w:val="000000" w:themeColor="text1"/>
          <w:lang w:val="fr-FR"/>
        </w:rPr>
        <w:t>).</w:t>
      </w:r>
    </w:p>
  </w:footnote>
  <w:footnote w:id="98">
    <w:p w14:paraId="5D744AC3" w14:textId="4237DE1D" w:rsidR="004C5E26" w:rsidRPr="00C17484" w:rsidRDefault="004C5E26" w:rsidP="004C5E26">
      <w:pPr>
        <w:pStyle w:val="Notedebasdepage"/>
        <w:rPr>
          <w:color w:val="000000" w:themeColor="text1"/>
          <w:lang w:val="fr-FR"/>
        </w:rPr>
      </w:pPr>
      <w:r>
        <w:rPr>
          <w:color w:val="000000" w:themeColor="text1"/>
          <w:lang w:val="fr-FR"/>
        </w:rPr>
        <w:tab/>
      </w:r>
      <w:r w:rsidRPr="0053774D">
        <w:rPr>
          <w:rStyle w:val="Appelnotedebasdep"/>
        </w:rPr>
        <w:footnoteRef/>
      </w:r>
      <w:r>
        <w:rPr>
          <w:color w:val="000000" w:themeColor="text1"/>
          <w:lang w:val="fr-FR"/>
        </w:rPr>
        <w:tab/>
      </w:r>
      <w:r w:rsidRPr="00C17484">
        <w:rPr>
          <w:color w:val="000000" w:themeColor="text1"/>
          <w:lang w:val="fr-FR"/>
        </w:rPr>
        <w:t xml:space="preserve">Voir </w:t>
      </w:r>
      <w:r w:rsidRPr="00467DE7">
        <w:rPr>
          <w:rFonts w:eastAsia="Times New Roman"/>
          <w:color w:val="000000" w:themeColor="text1"/>
          <w:lang w:val="fr-FR"/>
        </w:rPr>
        <w:t>Charte des Nations Unies, Art</w:t>
      </w:r>
      <w:r w:rsidR="004F3FE4">
        <w:rPr>
          <w:rFonts w:eastAsia="Times New Roman"/>
          <w:color w:val="000000" w:themeColor="text1"/>
          <w:lang w:val="fr-FR"/>
        </w:rPr>
        <w:t>.</w:t>
      </w:r>
      <w:r w:rsidRPr="00467DE7">
        <w:rPr>
          <w:rFonts w:eastAsia="Times New Roman"/>
          <w:color w:val="000000" w:themeColor="text1"/>
          <w:lang w:val="fr-FR"/>
        </w:rPr>
        <w:t xml:space="preserve"> 94, par</w:t>
      </w:r>
      <w:r w:rsidR="004F3FE4">
        <w:rPr>
          <w:rFonts w:eastAsia="Times New Roman"/>
          <w:color w:val="000000" w:themeColor="text1"/>
          <w:lang w:val="fr-FR"/>
        </w:rPr>
        <w:t>.</w:t>
      </w:r>
      <w:r w:rsidRPr="00467DE7">
        <w:rPr>
          <w:rFonts w:eastAsia="Times New Roman"/>
          <w:color w:val="000000" w:themeColor="text1"/>
          <w:lang w:val="fr-FR"/>
        </w:rPr>
        <w:t xml:space="preserve"> 1 : </w:t>
      </w:r>
      <w:r w:rsidRPr="00C17484">
        <w:rPr>
          <w:rFonts w:eastAsia="Times New Roman"/>
          <w:color w:val="000000" w:themeColor="text1"/>
          <w:lang w:val="fr-FR"/>
        </w:rPr>
        <w:t>« Chaque Membre des Nations Unies s</w:t>
      </w:r>
      <w:r w:rsidR="004937A0">
        <w:rPr>
          <w:rFonts w:eastAsia="Times New Roman"/>
          <w:color w:val="000000" w:themeColor="text1"/>
          <w:lang w:val="fr-FR"/>
        </w:rPr>
        <w:t>’</w:t>
      </w:r>
      <w:r w:rsidRPr="00C17484">
        <w:rPr>
          <w:rFonts w:eastAsia="Times New Roman"/>
          <w:color w:val="000000" w:themeColor="text1"/>
          <w:lang w:val="fr-FR"/>
        </w:rPr>
        <w:t>engage à se conformer à la décision de la Cour internationale de Justice dans tout litige auquel il est partie</w:t>
      </w:r>
      <w:r w:rsidRPr="00467DE7">
        <w:rPr>
          <w:rFonts w:eastAsia="Times New Roman"/>
          <w:color w:val="000000" w:themeColor="text1"/>
          <w:lang w:val="fr-FR"/>
        </w:rPr>
        <w:t>.</w:t>
      </w:r>
      <w:r w:rsidRPr="00C17484">
        <w:rPr>
          <w:rFonts w:eastAsia="Times New Roman"/>
          <w:color w:val="000000" w:themeColor="text1"/>
          <w:lang w:val="fr-FR"/>
        </w:rPr>
        <w:t> ».</w:t>
      </w:r>
    </w:p>
  </w:footnote>
  <w:footnote w:id="99">
    <w:p w14:paraId="5164F62D" w14:textId="2CDEAE33" w:rsidR="004C5E26" w:rsidRPr="00C17484" w:rsidRDefault="004C5E26" w:rsidP="004C5E26">
      <w:pPr>
        <w:pStyle w:val="Notedebasdepage"/>
        <w:rPr>
          <w:rFonts w:eastAsia="Times New Roman"/>
          <w:b/>
          <w:color w:val="000000"/>
          <w:lang w:val="fr-FR"/>
        </w:rPr>
      </w:pPr>
      <w:r>
        <w:rPr>
          <w:rFonts w:eastAsia="Times New Roman"/>
          <w:color w:val="000000" w:themeColor="text1"/>
          <w:lang w:val="fr-FR"/>
        </w:rPr>
        <w:tab/>
      </w:r>
      <w:r w:rsidRPr="004F3FE4">
        <w:rPr>
          <w:rStyle w:val="Appelnotedebasdep"/>
        </w:rPr>
        <w:footnoteRef/>
      </w:r>
      <w:r w:rsidRPr="004F3FE4">
        <w:rPr>
          <w:rFonts w:eastAsia="Times New Roman"/>
          <w:color w:val="000000" w:themeColor="text1"/>
          <w:lang w:val="fr-FR"/>
        </w:rPr>
        <w:tab/>
        <w:t>Le Royaume-Uni a prié le Conseil de sécurité de demander à l</w:t>
      </w:r>
      <w:r w:rsidR="004937A0">
        <w:rPr>
          <w:rFonts w:eastAsia="Times New Roman"/>
          <w:color w:val="000000" w:themeColor="text1"/>
          <w:lang w:val="fr-FR"/>
        </w:rPr>
        <w:t>’</w:t>
      </w:r>
      <w:r w:rsidRPr="004F3FE4">
        <w:rPr>
          <w:rFonts w:eastAsia="Times New Roman"/>
          <w:color w:val="000000" w:themeColor="text1"/>
          <w:lang w:val="fr-FR"/>
        </w:rPr>
        <w:t>Iran de se conformer à l</w:t>
      </w:r>
      <w:r w:rsidR="004937A0">
        <w:rPr>
          <w:rFonts w:eastAsia="Times New Roman"/>
          <w:color w:val="000000" w:themeColor="text1"/>
          <w:lang w:val="fr-FR"/>
        </w:rPr>
        <w:t>’</w:t>
      </w:r>
      <w:r w:rsidRPr="004F3FE4">
        <w:rPr>
          <w:rFonts w:eastAsia="Times New Roman"/>
          <w:color w:val="000000" w:themeColor="text1"/>
          <w:lang w:val="fr-FR"/>
        </w:rPr>
        <w:t>ordonnance indiquant des me</w:t>
      </w:r>
      <w:r w:rsidRPr="00C17484">
        <w:rPr>
          <w:rFonts w:eastAsia="Times New Roman"/>
          <w:color w:val="000000" w:themeColor="text1"/>
          <w:lang w:val="fr-FR"/>
        </w:rPr>
        <w:t>sures conservatoires rendue par la Cour internationale de Justice dans l</w:t>
      </w:r>
      <w:r w:rsidR="004937A0">
        <w:rPr>
          <w:rFonts w:eastAsia="Times New Roman"/>
          <w:color w:val="000000" w:themeColor="text1"/>
          <w:lang w:val="fr-FR"/>
        </w:rPr>
        <w:t>’</w:t>
      </w:r>
      <w:r>
        <w:rPr>
          <w:rFonts w:eastAsia="Times New Roman"/>
          <w:color w:val="000000" w:themeColor="text1"/>
          <w:lang w:val="fr-FR"/>
        </w:rPr>
        <w:t>a</w:t>
      </w:r>
      <w:r w:rsidRPr="00C17484">
        <w:rPr>
          <w:rFonts w:eastAsia="Times New Roman"/>
          <w:color w:val="000000" w:themeColor="text1"/>
          <w:lang w:val="fr-FR"/>
        </w:rPr>
        <w:t>ffaire de l</w:t>
      </w:r>
      <w:r w:rsidR="004937A0">
        <w:rPr>
          <w:rFonts w:eastAsia="Times New Roman"/>
          <w:color w:val="000000" w:themeColor="text1"/>
          <w:lang w:val="fr-FR"/>
        </w:rPr>
        <w:t>’</w:t>
      </w:r>
      <w:r w:rsidRPr="00007DE7">
        <w:rPr>
          <w:rFonts w:eastAsia="Times New Roman"/>
          <w:i/>
          <w:iCs/>
          <w:color w:val="000000"/>
          <w:lang w:val="fr-FR"/>
        </w:rPr>
        <w:t>Anglo-Iranian Oil Co</w:t>
      </w:r>
      <w:r w:rsidRPr="00C17484">
        <w:rPr>
          <w:rFonts w:eastAsia="Times New Roman"/>
          <w:color w:val="000000"/>
          <w:lang w:val="fr-FR"/>
        </w:rPr>
        <w:t xml:space="preserve">. Pour un résumé du débat, voir </w:t>
      </w:r>
      <w:hyperlink r:id="rId63" w:history="1">
        <w:r w:rsidRPr="00EB0C18">
          <w:rPr>
            <w:rStyle w:val="Lienhypertexte"/>
            <w:rFonts w:eastAsia="Times New Roman"/>
            <w:sz w:val="17"/>
            <w:szCs w:val="17"/>
            <w:lang w:val="fr-FR"/>
          </w:rPr>
          <w:t>https://legal.un.org/repertory/art94/english/rep</w:t>
        </w:r>
        <w:r w:rsidRPr="00EB0C18">
          <w:rPr>
            <w:rStyle w:val="Lienhypertexte"/>
            <w:rFonts w:eastAsia="Times New Roman"/>
            <w:sz w:val="17"/>
            <w:szCs w:val="17"/>
            <w:lang w:val="fr-FR"/>
          </w:rPr>
          <w:br/>
          <w:t>_orig_vol5_art94.pdf</w:t>
        </w:r>
      </w:hyperlink>
      <w:r w:rsidRPr="00C17484">
        <w:rPr>
          <w:rFonts w:eastAsia="Times New Roman"/>
          <w:color w:val="000000"/>
          <w:lang w:val="fr-FR"/>
        </w:rPr>
        <w:t>. La Cour a souligné l</w:t>
      </w:r>
      <w:r w:rsidR="004937A0">
        <w:rPr>
          <w:rFonts w:eastAsia="Times New Roman"/>
          <w:color w:val="000000"/>
          <w:lang w:val="fr-FR"/>
        </w:rPr>
        <w:t>’</w:t>
      </w:r>
      <w:r w:rsidRPr="00C17484">
        <w:rPr>
          <w:rFonts w:eastAsia="Times New Roman"/>
          <w:color w:val="000000"/>
          <w:lang w:val="fr-FR"/>
        </w:rPr>
        <w:t>effet et la force obligatoire de son arrêt au regard de l</w:t>
      </w:r>
      <w:r w:rsidR="004937A0">
        <w:rPr>
          <w:rFonts w:eastAsia="Times New Roman"/>
          <w:color w:val="000000"/>
          <w:lang w:val="fr-FR"/>
        </w:rPr>
        <w:t>’</w:t>
      </w:r>
      <w:r w:rsidRPr="00C17484">
        <w:rPr>
          <w:rFonts w:eastAsia="Times New Roman"/>
          <w:color w:val="000000"/>
          <w:lang w:val="fr-FR"/>
        </w:rPr>
        <w:t>Article 94 de la Charte des Nations Unies dans l</w:t>
      </w:r>
      <w:r w:rsidR="004937A0">
        <w:rPr>
          <w:rFonts w:eastAsia="Times New Roman"/>
          <w:color w:val="000000"/>
          <w:lang w:val="fr-FR"/>
        </w:rPr>
        <w:t>’</w:t>
      </w:r>
      <w:r w:rsidRPr="00C17484">
        <w:rPr>
          <w:rFonts w:eastAsia="Times New Roman"/>
          <w:color w:val="000000"/>
          <w:lang w:val="fr-FR"/>
        </w:rPr>
        <w:t xml:space="preserve">affaire du </w:t>
      </w:r>
      <w:r w:rsidRPr="00007DE7">
        <w:rPr>
          <w:rFonts w:eastAsia="Times New Roman"/>
          <w:i/>
          <w:iCs/>
          <w:color w:val="000000"/>
          <w:lang w:val="fr-FR"/>
        </w:rPr>
        <w:t>Plateau continental (Tunisie/Jamahiriya arabe libyenne), arrêt, C.I.J</w:t>
      </w:r>
      <w:r w:rsidR="004F3FE4">
        <w:rPr>
          <w:rFonts w:eastAsia="Times New Roman"/>
          <w:i/>
          <w:iCs/>
          <w:color w:val="000000"/>
          <w:lang w:val="fr-FR"/>
        </w:rPr>
        <w:t>.</w:t>
      </w:r>
      <w:r w:rsidRPr="00007DE7">
        <w:rPr>
          <w:rFonts w:eastAsia="Times New Roman"/>
          <w:i/>
          <w:iCs/>
          <w:color w:val="000000"/>
          <w:lang w:val="fr-FR"/>
        </w:rPr>
        <w:t xml:space="preserve"> Recueil 1982</w:t>
      </w:r>
      <w:r w:rsidRPr="00C17484">
        <w:rPr>
          <w:rFonts w:eastAsia="Times New Roman"/>
          <w:color w:val="000000"/>
          <w:lang w:val="fr-FR"/>
        </w:rPr>
        <w:t>, p. 18, par. 29. De même, l</w:t>
      </w:r>
      <w:r w:rsidR="004937A0">
        <w:rPr>
          <w:rFonts w:eastAsia="Times New Roman"/>
          <w:color w:val="000000"/>
          <w:lang w:val="fr-FR"/>
        </w:rPr>
        <w:t>’</w:t>
      </w:r>
      <w:r w:rsidRPr="00C17484">
        <w:rPr>
          <w:rFonts w:eastAsia="Times New Roman"/>
          <w:color w:val="000000"/>
          <w:lang w:val="fr-FR"/>
        </w:rPr>
        <w:t xml:space="preserve">Article 94 de la Charte des Nations Unies </w:t>
      </w:r>
      <w:r>
        <w:rPr>
          <w:rFonts w:eastAsia="Times New Roman"/>
          <w:color w:val="000000"/>
          <w:lang w:val="fr-FR"/>
        </w:rPr>
        <w:t xml:space="preserve">a été </w:t>
      </w:r>
      <w:r w:rsidRPr="00C17484">
        <w:rPr>
          <w:rFonts w:eastAsia="Times New Roman"/>
          <w:color w:val="000000"/>
          <w:lang w:val="fr-FR"/>
        </w:rPr>
        <w:t xml:space="preserve">jugé pertinent dans </w:t>
      </w:r>
      <w:r>
        <w:rPr>
          <w:rFonts w:eastAsia="Times New Roman"/>
          <w:color w:val="000000"/>
          <w:lang w:val="fr-FR"/>
        </w:rPr>
        <w:t xml:space="preserve">les </w:t>
      </w:r>
      <w:r w:rsidRPr="00C17484">
        <w:rPr>
          <w:rFonts w:eastAsia="Times New Roman"/>
          <w:color w:val="000000"/>
          <w:lang w:val="fr-FR"/>
        </w:rPr>
        <w:t>affaire</w:t>
      </w:r>
      <w:r>
        <w:rPr>
          <w:rFonts w:eastAsia="Times New Roman"/>
          <w:color w:val="000000"/>
          <w:lang w:val="fr-FR"/>
        </w:rPr>
        <w:t>s</w:t>
      </w:r>
      <w:r w:rsidRPr="00C17484">
        <w:rPr>
          <w:rFonts w:eastAsia="Times New Roman"/>
          <w:color w:val="000000"/>
          <w:lang w:val="fr-FR"/>
        </w:rPr>
        <w:t xml:space="preserve"> </w:t>
      </w:r>
      <w:r w:rsidRPr="00007DE7">
        <w:rPr>
          <w:rFonts w:eastAsia="Times New Roman"/>
          <w:i/>
          <w:iCs/>
          <w:color w:val="000000"/>
          <w:lang w:val="fr-FR"/>
        </w:rPr>
        <w:t>Activités militaires et paramilitaires au Nicaragua et contre celui-ci (Nicaragua c. États-Unis d</w:t>
      </w:r>
      <w:r w:rsidR="004937A0">
        <w:rPr>
          <w:rFonts w:eastAsia="Times New Roman"/>
          <w:i/>
          <w:iCs/>
          <w:color w:val="000000"/>
          <w:lang w:val="fr-FR"/>
        </w:rPr>
        <w:t>’</w:t>
      </w:r>
      <w:r w:rsidRPr="00007DE7">
        <w:rPr>
          <w:rFonts w:eastAsia="Times New Roman"/>
          <w:i/>
          <w:iCs/>
          <w:color w:val="000000"/>
          <w:lang w:val="fr-FR"/>
        </w:rPr>
        <w:t>Amérique), fond, arrêt, C.I.J. Recueil 1986</w:t>
      </w:r>
      <w:r w:rsidRPr="00C17484">
        <w:rPr>
          <w:rFonts w:eastAsia="Times New Roman"/>
          <w:color w:val="000000"/>
          <w:lang w:val="fr-FR"/>
        </w:rPr>
        <w:t>, p. 14, par. 178</w:t>
      </w:r>
      <w:r>
        <w:rPr>
          <w:rFonts w:eastAsia="Times New Roman"/>
          <w:color w:val="000000"/>
          <w:lang w:val="fr-FR"/>
        </w:rPr>
        <w:t> ;</w:t>
      </w:r>
      <w:r w:rsidRPr="00C17484">
        <w:rPr>
          <w:rFonts w:eastAsia="Times New Roman"/>
          <w:color w:val="000000"/>
          <w:lang w:val="fr-FR"/>
        </w:rPr>
        <w:t xml:space="preserve"> </w:t>
      </w:r>
      <w:r w:rsidRPr="00007DE7">
        <w:rPr>
          <w:rFonts w:eastAsia="Times New Roman"/>
          <w:i/>
          <w:iCs/>
          <w:color w:val="000000"/>
          <w:lang w:val="fr-FR"/>
        </w:rPr>
        <w:t>LaGrand (Allemagne c. États-Unis d</w:t>
      </w:r>
      <w:r w:rsidR="004937A0">
        <w:rPr>
          <w:rFonts w:eastAsia="Times New Roman"/>
          <w:i/>
          <w:iCs/>
          <w:color w:val="000000"/>
          <w:lang w:val="fr-FR"/>
        </w:rPr>
        <w:t>’</w:t>
      </w:r>
      <w:r w:rsidRPr="00007DE7">
        <w:rPr>
          <w:rFonts w:eastAsia="Times New Roman"/>
          <w:i/>
          <w:iCs/>
          <w:color w:val="000000"/>
          <w:lang w:val="fr-FR"/>
        </w:rPr>
        <w:t>Amérique), arrêt, C.I.J. Recueil 2001</w:t>
      </w:r>
      <w:r w:rsidRPr="00C17484">
        <w:rPr>
          <w:rFonts w:eastAsia="Times New Roman"/>
          <w:color w:val="000000"/>
          <w:lang w:val="fr-FR"/>
        </w:rPr>
        <w:t>, p. 466</w:t>
      </w:r>
      <w:r>
        <w:rPr>
          <w:rFonts w:eastAsia="Times New Roman"/>
          <w:color w:val="000000"/>
          <w:lang w:val="fr-FR"/>
        </w:rPr>
        <w:t> </w:t>
      </w:r>
      <w:r w:rsidRPr="00C17484">
        <w:rPr>
          <w:rFonts w:eastAsia="Times New Roman"/>
          <w:color w:val="000000"/>
          <w:lang w:val="fr-FR"/>
        </w:rPr>
        <w:t xml:space="preserve">; </w:t>
      </w:r>
      <w:r w:rsidRPr="00007DE7">
        <w:rPr>
          <w:rFonts w:eastAsia="Times New Roman"/>
          <w:i/>
          <w:iCs/>
          <w:color w:val="000000"/>
          <w:lang w:val="fr-FR"/>
        </w:rPr>
        <w:t>Demande en interprétation de l</w:t>
      </w:r>
      <w:r w:rsidR="004937A0">
        <w:rPr>
          <w:rFonts w:eastAsia="Times New Roman"/>
          <w:i/>
          <w:iCs/>
          <w:color w:val="000000"/>
          <w:lang w:val="fr-FR"/>
        </w:rPr>
        <w:t>’</w:t>
      </w:r>
      <w:r w:rsidRPr="00007DE7">
        <w:rPr>
          <w:rFonts w:eastAsia="Times New Roman"/>
          <w:i/>
          <w:iCs/>
          <w:color w:val="000000"/>
          <w:lang w:val="fr-FR"/>
        </w:rPr>
        <w:t>arrêt du 31 mars 2004 en l</w:t>
      </w:r>
      <w:r w:rsidR="004937A0">
        <w:rPr>
          <w:rFonts w:eastAsia="Times New Roman"/>
          <w:i/>
          <w:iCs/>
          <w:color w:val="000000"/>
          <w:lang w:val="fr-FR"/>
        </w:rPr>
        <w:t>’</w:t>
      </w:r>
      <w:r w:rsidRPr="00007DE7">
        <w:rPr>
          <w:rFonts w:eastAsia="Times New Roman"/>
          <w:i/>
          <w:iCs/>
          <w:color w:val="000000"/>
          <w:lang w:val="fr-FR"/>
        </w:rPr>
        <w:t xml:space="preserve">affaire </w:t>
      </w:r>
      <w:r w:rsidRPr="009379E1">
        <w:rPr>
          <w:rFonts w:eastAsia="Times New Roman"/>
          <w:color w:val="000000"/>
          <w:lang w:val="fr-FR"/>
        </w:rPr>
        <w:t>Avena et autres ressortissants mexicains (Mexique c. États-Unis d</w:t>
      </w:r>
      <w:r w:rsidR="004937A0">
        <w:rPr>
          <w:rFonts w:eastAsia="Times New Roman"/>
          <w:color w:val="000000"/>
          <w:lang w:val="fr-FR"/>
        </w:rPr>
        <w:t>’</w:t>
      </w:r>
      <w:r w:rsidRPr="009379E1">
        <w:rPr>
          <w:rFonts w:eastAsia="Times New Roman"/>
          <w:color w:val="000000"/>
          <w:lang w:val="fr-FR"/>
        </w:rPr>
        <w:t>Amérique)</w:t>
      </w:r>
      <w:r w:rsidRPr="009379E1">
        <w:rPr>
          <w:rFonts w:eastAsia="Times New Roman"/>
          <w:i/>
          <w:iCs/>
          <w:color w:val="000000"/>
          <w:lang w:val="fr-FR"/>
        </w:rPr>
        <w:t xml:space="preserve"> (Mexique c. États-Unis d</w:t>
      </w:r>
      <w:r w:rsidR="004937A0">
        <w:rPr>
          <w:rFonts w:eastAsia="Times New Roman"/>
          <w:i/>
          <w:iCs/>
          <w:color w:val="000000"/>
          <w:lang w:val="fr-FR"/>
        </w:rPr>
        <w:t>’</w:t>
      </w:r>
      <w:r w:rsidRPr="009379E1">
        <w:rPr>
          <w:rFonts w:eastAsia="Times New Roman"/>
          <w:i/>
          <w:iCs/>
          <w:color w:val="000000"/>
          <w:lang w:val="fr-FR"/>
        </w:rPr>
        <w:t>Amérique), mesures</w:t>
      </w:r>
      <w:r w:rsidRPr="00007DE7">
        <w:rPr>
          <w:rFonts w:eastAsia="Times New Roman"/>
          <w:i/>
          <w:iCs/>
          <w:color w:val="000000"/>
          <w:lang w:val="fr-FR"/>
        </w:rPr>
        <w:t xml:space="preserve"> conservatoires, ordonnance du 16 juillet 2008, C.I.J. Recueil 2008</w:t>
      </w:r>
      <w:r w:rsidRPr="00C41B10">
        <w:rPr>
          <w:rFonts w:eastAsia="Times New Roman"/>
          <w:color w:val="000000"/>
          <w:lang w:val="fr-FR"/>
        </w:rPr>
        <w:t>, p.</w:t>
      </w:r>
      <w:r>
        <w:rPr>
          <w:rFonts w:eastAsia="Times New Roman"/>
          <w:color w:val="000000"/>
          <w:lang w:val="fr-FR"/>
        </w:rPr>
        <w:t> </w:t>
      </w:r>
      <w:r w:rsidRPr="00C41B10">
        <w:rPr>
          <w:rFonts w:eastAsia="Times New Roman"/>
          <w:color w:val="000000"/>
          <w:lang w:val="fr-FR"/>
        </w:rPr>
        <w:t>311</w:t>
      </w:r>
      <w:r>
        <w:rPr>
          <w:rFonts w:eastAsia="Times New Roman"/>
          <w:color w:val="000000"/>
          <w:lang w:val="fr-FR"/>
        </w:rPr>
        <w:t> ;</w:t>
      </w:r>
      <w:r w:rsidRPr="00C41B10">
        <w:rPr>
          <w:rFonts w:eastAsia="Times New Roman"/>
          <w:color w:val="000000"/>
          <w:lang w:val="fr-FR"/>
        </w:rPr>
        <w:t xml:space="preserve"> </w:t>
      </w:r>
      <w:r w:rsidRPr="00007DE7">
        <w:rPr>
          <w:rFonts w:eastAsia="Times New Roman"/>
          <w:i/>
          <w:iCs/>
          <w:color w:val="000000"/>
          <w:lang w:val="fr-FR"/>
        </w:rPr>
        <w:t>Différend frontalier terrestre, insulaire et maritime (El Salvador c. Honduras : Nicaragua (intervenant)), arrêt du 11 septembre 1992, C.I.J. Recueil 1992</w:t>
      </w:r>
      <w:r w:rsidRPr="00C17484">
        <w:rPr>
          <w:rFonts w:eastAsia="Times New Roman"/>
          <w:color w:val="000000"/>
          <w:lang w:val="fr-FR"/>
        </w:rPr>
        <w:t>, p.</w:t>
      </w:r>
      <w:r>
        <w:rPr>
          <w:rFonts w:eastAsia="Times New Roman"/>
          <w:color w:val="000000"/>
          <w:lang w:val="fr-FR"/>
        </w:rPr>
        <w:t> </w:t>
      </w:r>
      <w:r w:rsidRPr="00C17484">
        <w:rPr>
          <w:rFonts w:eastAsia="Times New Roman"/>
          <w:color w:val="000000"/>
          <w:lang w:val="fr-FR"/>
        </w:rPr>
        <w:t>350</w:t>
      </w:r>
      <w:r>
        <w:rPr>
          <w:rFonts w:eastAsia="Times New Roman"/>
          <w:color w:val="000000"/>
          <w:lang w:val="fr-FR"/>
        </w:rPr>
        <w:t> ;</w:t>
      </w:r>
      <w:r w:rsidRPr="00C17484">
        <w:rPr>
          <w:rFonts w:eastAsia="Times New Roman"/>
          <w:color w:val="000000"/>
          <w:lang w:val="fr-FR"/>
        </w:rPr>
        <w:t xml:space="preserve"> et </w:t>
      </w:r>
      <w:r w:rsidRPr="00007DE7">
        <w:rPr>
          <w:rFonts w:eastAsia="Times New Roman"/>
          <w:i/>
          <w:iCs/>
          <w:color w:val="000000"/>
          <w:lang w:val="fr-FR"/>
        </w:rPr>
        <w:t>Frontière terrestre et maritime entre le Cameroun et le Nigéria (Cameroun c. Nigéria ; Guinée équatoriale (intervenant)), arrêt, C.I.J. Recueil 2002</w:t>
      </w:r>
      <w:r w:rsidRPr="00C17484">
        <w:rPr>
          <w:rFonts w:eastAsia="Times New Roman"/>
          <w:color w:val="000000"/>
          <w:lang w:val="fr-FR"/>
        </w:rPr>
        <w:t>, p.</w:t>
      </w:r>
      <w:r>
        <w:rPr>
          <w:rFonts w:eastAsia="Times New Roman"/>
          <w:color w:val="000000"/>
          <w:lang w:val="fr-FR"/>
        </w:rPr>
        <w:t> </w:t>
      </w:r>
      <w:r w:rsidRPr="00C17484">
        <w:rPr>
          <w:rFonts w:eastAsia="Times New Roman"/>
          <w:color w:val="000000"/>
          <w:lang w:val="fr-FR"/>
        </w:rPr>
        <w:t>303.</w:t>
      </w:r>
    </w:p>
  </w:footnote>
  <w:footnote w:id="100">
    <w:p w14:paraId="2945064C"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hyperlink r:id="rId64" w:history="1">
        <w:r w:rsidRPr="00007DE7">
          <w:rPr>
            <w:rStyle w:val="Lienhypertexte"/>
            <w:rFonts w:eastAsia="Times New Roman"/>
            <w:lang w:val="fr-FR"/>
          </w:rPr>
          <w:t>A/78/10</w:t>
        </w:r>
      </w:hyperlink>
      <w:r w:rsidRPr="00932C73">
        <w:rPr>
          <w:lang w:val="fr-FR"/>
        </w:rPr>
        <w:t>, par. 126.</w:t>
      </w:r>
    </w:p>
  </w:footnote>
  <w:footnote w:id="101">
    <w:p w14:paraId="580F654E" w14:textId="77777777" w:rsidR="004C5E26" w:rsidRPr="00C17484" w:rsidRDefault="004C5E26" w:rsidP="004C5E26">
      <w:pPr>
        <w:pStyle w:val="Notedebasdepage"/>
        <w:rPr>
          <w:rFonts w:eastAsia="Times New Roman"/>
          <w:color w:val="000000"/>
          <w:lang w:val="fr-FR"/>
        </w:rPr>
      </w:pPr>
      <w:r>
        <w:rPr>
          <w:lang w:val="fr-FR"/>
        </w:rPr>
        <w:tab/>
      </w:r>
      <w:r w:rsidRPr="0053774D">
        <w:rPr>
          <w:rStyle w:val="Appelnotedebasdep"/>
        </w:rPr>
        <w:footnoteRef/>
      </w:r>
      <w:r>
        <w:rPr>
          <w:lang w:val="fr-FR"/>
        </w:rPr>
        <w:tab/>
      </w:r>
      <w:r w:rsidRPr="00C17484">
        <w:rPr>
          <w:rFonts w:eastAsia="Times New Roman"/>
          <w:color w:val="000000"/>
          <w:lang w:val="fr-FR"/>
        </w:rPr>
        <w:t>Ibid.</w:t>
      </w:r>
    </w:p>
  </w:footnote>
  <w:footnote w:id="102">
    <w:p w14:paraId="61AE370D" w14:textId="77777777" w:rsidR="004C5E26" w:rsidRPr="00C17484" w:rsidRDefault="004C5E26" w:rsidP="004C5E26">
      <w:pPr>
        <w:pStyle w:val="Notedebasdepage"/>
        <w:rPr>
          <w:rFonts w:eastAsia="Times New Roman"/>
          <w:color w:val="000000"/>
          <w:lang w:val="fr-FR"/>
        </w:rPr>
      </w:pPr>
      <w:r>
        <w:rPr>
          <w:lang w:val="fr-FR"/>
        </w:rPr>
        <w:tab/>
      </w:r>
      <w:r w:rsidRPr="0053774D">
        <w:rPr>
          <w:rStyle w:val="Appelnotedebasdep"/>
        </w:rPr>
        <w:footnoteRef/>
      </w:r>
      <w:r w:rsidRPr="00C17484">
        <w:rPr>
          <w:lang w:val="fr-FR"/>
        </w:rPr>
        <w:tab/>
      </w:r>
      <w:r w:rsidRPr="00C17484">
        <w:rPr>
          <w:rFonts w:eastAsia="Times New Roman"/>
          <w:color w:val="000000"/>
          <w:lang w:val="fr-FR"/>
        </w:rPr>
        <w:t>Ibid.</w:t>
      </w:r>
    </w:p>
  </w:footnote>
  <w:footnote w:id="103">
    <w:p w14:paraId="7382E621" w14:textId="4B955346" w:rsidR="004C5E26" w:rsidRPr="00F80FC3" w:rsidRDefault="004C5E26" w:rsidP="004C5E26">
      <w:pPr>
        <w:pStyle w:val="Notedebasdepage"/>
        <w:rPr>
          <w:lang w:val="fr-CA"/>
        </w:rPr>
      </w:pPr>
      <w:r>
        <w:tab/>
      </w:r>
      <w:r>
        <w:rPr>
          <w:rStyle w:val="Appelnotedebasdep"/>
        </w:rPr>
        <w:footnoteRef/>
      </w:r>
      <w:r>
        <w:tab/>
      </w:r>
      <w:r w:rsidRPr="00C17484">
        <w:rPr>
          <w:rFonts w:eastAsia="Times New Roman"/>
          <w:color w:val="000000"/>
          <w:lang w:val="fr-FR"/>
        </w:rPr>
        <w:t xml:space="preserve">La Cour internationale de Justice </w:t>
      </w:r>
      <w:r>
        <w:rPr>
          <w:rFonts w:eastAsia="Times New Roman"/>
          <w:color w:val="000000"/>
          <w:lang w:val="fr-FR"/>
        </w:rPr>
        <w:t>l</w:t>
      </w:r>
      <w:r w:rsidR="004937A0">
        <w:rPr>
          <w:rFonts w:eastAsia="Times New Roman"/>
          <w:color w:val="000000"/>
          <w:lang w:val="fr-FR"/>
        </w:rPr>
        <w:t>’</w:t>
      </w:r>
      <w:r w:rsidRPr="00C17484">
        <w:rPr>
          <w:rFonts w:eastAsia="Times New Roman"/>
          <w:color w:val="000000"/>
          <w:lang w:val="fr-FR"/>
        </w:rPr>
        <w:t xml:space="preserve">a expliqué dans </w:t>
      </w:r>
      <w:r>
        <w:rPr>
          <w:rFonts w:eastAsia="Times New Roman"/>
          <w:color w:val="000000"/>
          <w:lang w:val="fr-FR"/>
        </w:rPr>
        <w:t>l</w:t>
      </w:r>
      <w:r w:rsidR="004937A0">
        <w:rPr>
          <w:rFonts w:eastAsia="Times New Roman"/>
          <w:color w:val="000000"/>
          <w:lang w:val="fr-FR"/>
        </w:rPr>
        <w:t>’</w:t>
      </w:r>
      <w:r>
        <w:rPr>
          <w:rFonts w:eastAsia="Times New Roman"/>
          <w:color w:val="000000"/>
          <w:lang w:val="fr-FR"/>
        </w:rPr>
        <w:t xml:space="preserve">affaire de la </w:t>
      </w:r>
      <w:r w:rsidRPr="00C3040A">
        <w:rPr>
          <w:rFonts w:eastAsia="Times New Roman"/>
          <w:i/>
          <w:iCs/>
          <w:lang w:val="fr-FR"/>
        </w:rPr>
        <w:t xml:space="preserve">Délimitation de la frontière maritime dans la région du golfe du </w:t>
      </w:r>
      <w:r w:rsidRPr="009379E1">
        <w:rPr>
          <w:rFonts w:eastAsia="Times New Roman"/>
          <w:i/>
          <w:iCs/>
          <w:lang w:val="fr-FR"/>
        </w:rPr>
        <w:t>Maine</w:t>
      </w:r>
      <w:r w:rsidRPr="009379E1">
        <w:rPr>
          <w:rFonts w:eastAsia="Times New Roman"/>
          <w:lang w:val="fr-FR"/>
        </w:rPr>
        <w:t xml:space="preserve"> </w:t>
      </w:r>
      <w:r w:rsidRPr="009379E1">
        <w:rPr>
          <w:rFonts w:eastAsia="Times New Roman"/>
          <w:i/>
          <w:iCs/>
          <w:lang w:val="fr-FR"/>
        </w:rPr>
        <w:t>(Canada/États-Unis d</w:t>
      </w:r>
      <w:r w:rsidR="004937A0">
        <w:rPr>
          <w:rFonts w:eastAsia="Times New Roman"/>
          <w:i/>
          <w:iCs/>
          <w:lang w:val="fr-FR"/>
        </w:rPr>
        <w:t>’</w:t>
      </w:r>
      <w:r w:rsidRPr="009379E1">
        <w:rPr>
          <w:rFonts w:eastAsia="Times New Roman"/>
          <w:i/>
          <w:iCs/>
          <w:lang w:val="fr-FR"/>
        </w:rPr>
        <w:t>Amérique)</w:t>
      </w:r>
      <w:r w:rsidRPr="009379E1">
        <w:rPr>
          <w:rFonts w:eastAsia="Times New Roman"/>
          <w:lang w:val="fr-FR"/>
        </w:rPr>
        <w:t xml:space="preserve">, </w:t>
      </w:r>
      <w:r w:rsidRPr="009379E1">
        <w:rPr>
          <w:rFonts w:eastAsia="Times New Roman"/>
          <w:i/>
          <w:iCs/>
          <w:lang w:val="fr-FR"/>
        </w:rPr>
        <w:t>arrêt, C.I.J. Recueil 1984</w:t>
      </w:r>
      <w:r w:rsidRPr="009379E1">
        <w:rPr>
          <w:rFonts w:eastAsia="Times New Roman"/>
          <w:lang w:val="fr-FR"/>
        </w:rPr>
        <w:t>, p. 246, au par</w:t>
      </w:r>
      <w:r w:rsidR="00EF797B">
        <w:rPr>
          <w:rFonts w:eastAsia="Times New Roman"/>
          <w:lang w:val="fr-FR"/>
        </w:rPr>
        <w:t>agraphe</w:t>
      </w:r>
      <w:r w:rsidRPr="009379E1">
        <w:rPr>
          <w:rFonts w:eastAsia="Times New Roman"/>
          <w:lang w:val="fr-FR"/>
        </w:rPr>
        <w:t xml:space="preserve"> 79 </w:t>
      </w:r>
      <w:r w:rsidRPr="009379E1">
        <w:rPr>
          <w:rFonts w:eastAsia="Times New Roman"/>
          <w:color w:val="000000"/>
          <w:lang w:val="fr-FR"/>
        </w:rPr>
        <w:t>(« Quant à l</w:t>
      </w:r>
      <w:r w:rsidR="004937A0">
        <w:rPr>
          <w:rFonts w:eastAsia="Times New Roman"/>
          <w:color w:val="000000"/>
          <w:lang w:val="fr-FR"/>
        </w:rPr>
        <w:t>’</w:t>
      </w:r>
      <w:r w:rsidRPr="009379E1">
        <w:rPr>
          <w:rFonts w:eastAsia="Times New Roman"/>
          <w:color w:val="000000"/>
          <w:lang w:val="fr-FR"/>
        </w:rPr>
        <w:t>association des termes “règles” et “principes</w:t>
      </w:r>
      <w:r>
        <w:rPr>
          <w:rFonts w:eastAsia="Times New Roman"/>
          <w:color w:val="000000"/>
          <w:lang w:val="fr-FR"/>
        </w:rPr>
        <w:t>”</w:t>
      </w:r>
      <w:r w:rsidRPr="00C17484">
        <w:rPr>
          <w:rFonts w:eastAsia="Times New Roman"/>
          <w:color w:val="000000"/>
          <w:lang w:val="fr-FR"/>
        </w:rPr>
        <w:t>, il ne s</w:t>
      </w:r>
      <w:r w:rsidR="004937A0">
        <w:rPr>
          <w:rFonts w:eastAsia="Times New Roman"/>
          <w:color w:val="000000"/>
          <w:lang w:val="fr-FR"/>
        </w:rPr>
        <w:t>’</w:t>
      </w:r>
      <w:r w:rsidRPr="00C17484">
        <w:rPr>
          <w:rFonts w:eastAsia="Times New Roman"/>
          <w:color w:val="000000"/>
          <w:lang w:val="fr-FR"/>
        </w:rPr>
        <w:t>agit, de l</w:t>
      </w:r>
      <w:r w:rsidR="004937A0">
        <w:rPr>
          <w:rFonts w:eastAsia="Times New Roman"/>
          <w:color w:val="000000"/>
          <w:lang w:val="fr-FR"/>
        </w:rPr>
        <w:t>’</w:t>
      </w:r>
      <w:r w:rsidRPr="00C17484">
        <w:rPr>
          <w:rFonts w:eastAsia="Times New Roman"/>
          <w:color w:val="000000"/>
          <w:lang w:val="fr-FR"/>
        </w:rPr>
        <w:t>avis de la Chambre, que d</w:t>
      </w:r>
      <w:r w:rsidR="004937A0">
        <w:rPr>
          <w:rFonts w:eastAsia="Times New Roman"/>
          <w:color w:val="000000"/>
          <w:lang w:val="fr-FR"/>
        </w:rPr>
        <w:t>’</w:t>
      </w:r>
      <w:r w:rsidRPr="00C17484">
        <w:rPr>
          <w:rFonts w:eastAsia="Times New Roman"/>
          <w:color w:val="000000"/>
          <w:lang w:val="fr-FR"/>
        </w:rPr>
        <w:t>une expression double pour énoncer la même idée, car dans ce contexte on entend manifestement par principes des principes de droit, donc aussi des règles du droit international pour lesquelles l</w:t>
      </w:r>
      <w:r w:rsidR="004937A0">
        <w:rPr>
          <w:rFonts w:eastAsia="Times New Roman"/>
          <w:color w:val="000000"/>
          <w:lang w:val="fr-FR"/>
        </w:rPr>
        <w:t>’</w:t>
      </w:r>
      <w:r w:rsidRPr="00C17484">
        <w:rPr>
          <w:rFonts w:eastAsia="Times New Roman"/>
          <w:color w:val="000000"/>
          <w:lang w:val="fr-FR"/>
        </w:rPr>
        <w:t>appellation de principes peut être justifiée en raison de leur caractère plus général et plus fondamental »).</w:t>
      </w:r>
    </w:p>
  </w:footnote>
  <w:footnote w:id="104">
    <w:p w14:paraId="7FC37C37" w14:textId="6BCD5C93" w:rsidR="004C5E26" w:rsidRPr="00C17484" w:rsidRDefault="004C5E26" w:rsidP="004C5E26">
      <w:pPr>
        <w:pStyle w:val="Notedebasdepage"/>
        <w:rPr>
          <w:rFonts w:eastAsia="Times New Roman"/>
          <w:color w:val="000000"/>
          <w:lang w:val="fr-FR"/>
        </w:rPr>
      </w:pPr>
      <w:r>
        <w:rPr>
          <w:rFonts w:eastAsia="Times New Roman"/>
          <w:color w:val="000000"/>
          <w:lang w:val="fr-FR"/>
        </w:rPr>
        <w:tab/>
      </w:r>
      <w:r w:rsidRPr="0053774D">
        <w:rPr>
          <w:rStyle w:val="Appelnotedebasdep"/>
        </w:rPr>
        <w:footnoteRef/>
      </w:r>
      <w:r>
        <w:rPr>
          <w:rFonts w:eastAsia="Times New Roman"/>
          <w:color w:val="000000"/>
          <w:lang w:val="fr-FR"/>
        </w:rPr>
        <w:tab/>
      </w:r>
      <w:r w:rsidRPr="00C17484">
        <w:rPr>
          <w:rFonts w:eastAsia="Times New Roman"/>
          <w:color w:val="000000"/>
          <w:lang w:val="fr-FR"/>
        </w:rPr>
        <w:t>Cour européenne des droits de l</w:t>
      </w:r>
      <w:r w:rsidR="004937A0">
        <w:rPr>
          <w:rFonts w:eastAsia="Times New Roman"/>
          <w:color w:val="000000"/>
          <w:lang w:val="fr-FR"/>
        </w:rPr>
        <w:t>’</w:t>
      </w:r>
      <w:r w:rsidRPr="00C17484">
        <w:rPr>
          <w:rFonts w:eastAsia="Times New Roman"/>
          <w:color w:val="000000"/>
          <w:lang w:val="fr-FR"/>
        </w:rPr>
        <w:t xml:space="preserve">homme : </w:t>
      </w:r>
      <w:r w:rsidRPr="00C3040A">
        <w:rPr>
          <w:rFonts w:eastAsia="Times New Roman"/>
          <w:i/>
          <w:iCs/>
          <w:color w:val="000000"/>
          <w:lang w:val="fr-FR"/>
        </w:rPr>
        <w:t>Soering c. Royaume-Uni</w:t>
      </w:r>
      <w:r w:rsidRPr="00C17484">
        <w:rPr>
          <w:rFonts w:eastAsia="Times New Roman"/>
          <w:color w:val="000000"/>
          <w:lang w:val="fr-FR"/>
        </w:rPr>
        <w:t xml:space="preserve">, 7 juillet 1989, </w:t>
      </w:r>
      <w:r w:rsidR="00A31388">
        <w:rPr>
          <w:rFonts w:eastAsia="Times New Roman"/>
          <w:color w:val="000000"/>
          <w:lang w:val="fr-FR"/>
        </w:rPr>
        <w:t>s</w:t>
      </w:r>
      <w:r w:rsidRPr="00C17484">
        <w:rPr>
          <w:rFonts w:eastAsia="Times New Roman"/>
          <w:color w:val="000000"/>
          <w:lang w:val="fr-FR"/>
        </w:rPr>
        <w:t>érie A n</w:t>
      </w:r>
      <w:r w:rsidRPr="00C17484">
        <w:rPr>
          <w:rFonts w:eastAsia="Times New Roman"/>
          <w:color w:val="000000"/>
          <w:vertAlign w:val="superscript"/>
          <w:lang w:val="fr-FR"/>
        </w:rPr>
        <w:t>o</w:t>
      </w:r>
      <w:r w:rsidRPr="00C17484">
        <w:rPr>
          <w:rFonts w:eastAsia="Times New Roman"/>
          <w:color w:val="000000"/>
          <w:lang w:val="fr-FR"/>
        </w:rPr>
        <w:t xml:space="preserve"> 161 ; </w:t>
      </w:r>
      <w:r w:rsidRPr="000F2420">
        <w:rPr>
          <w:rFonts w:eastAsia="Times New Roman"/>
          <w:i/>
          <w:iCs/>
          <w:color w:val="000000"/>
          <w:lang w:val="fr-FR"/>
        </w:rPr>
        <w:t>Cruz Varas et autres c. Suède</w:t>
      </w:r>
      <w:r w:rsidRPr="00C17484">
        <w:rPr>
          <w:rFonts w:eastAsia="Times New Roman"/>
          <w:color w:val="000000"/>
          <w:lang w:val="fr-FR"/>
        </w:rPr>
        <w:t xml:space="preserve">, 20 mars 1991, </w:t>
      </w:r>
      <w:r w:rsidR="00A31388" w:rsidRPr="00C17484">
        <w:rPr>
          <w:rFonts w:eastAsia="Times New Roman"/>
          <w:color w:val="000000"/>
          <w:lang w:val="fr-FR"/>
        </w:rPr>
        <w:t>s</w:t>
      </w:r>
      <w:r w:rsidRPr="00C17484">
        <w:rPr>
          <w:rFonts w:eastAsia="Times New Roman"/>
          <w:color w:val="000000"/>
          <w:lang w:val="fr-FR"/>
        </w:rPr>
        <w:t>éries A n</w:t>
      </w:r>
      <w:r w:rsidRPr="00C17484">
        <w:rPr>
          <w:rFonts w:eastAsia="Times New Roman"/>
          <w:color w:val="000000"/>
          <w:vertAlign w:val="superscript"/>
          <w:lang w:val="fr-FR"/>
        </w:rPr>
        <w:t>o</w:t>
      </w:r>
      <w:r w:rsidRPr="00C17484">
        <w:rPr>
          <w:rFonts w:eastAsia="Times New Roman"/>
          <w:color w:val="000000"/>
          <w:lang w:val="fr-FR"/>
        </w:rPr>
        <w:t xml:space="preserve"> 201 ; et </w:t>
      </w:r>
      <w:r w:rsidRPr="000F2420">
        <w:rPr>
          <w:rFonts w:eastAsia="Times New Roman"/>
          <w:i/>
          <w:iCs/>
          <w:color w:val="000000"/>
          <w:lang w:val="fr-FR"/>
        </w:rPr>
        <w:t>Chahal c. Royaume-Uni</w:t>
      </w:r>
      <w:r w:rsidRPr="00C17484">
        <w:rPr>
          <w:rFonts w:eastAsia="Times New Roman"/>
          <w:color w:val="000000"/>
          <w:lang w:val="fr-FR"/>
        </w:rPr>
        <w:t xml:space="preserve">, 15 novembre 1996, </w:t>
      </w:r>
      <w:r w:rsidRPr="000F2420">
        <w:rPr>
          <w:rFonts w:eastAsia="Times New Roman"/>
          <w:i/>
          <w:iCs/>
          <w:color w:val="000000"/>
          <w:lang w:val="fr-FR"/>
        </w:rPr>
        <w:t>Recueil des arrêts et décisions</w:t>
      </w:r>
      <w:r w:rsidRPr="00C17484">
        <w:rPr>
          <w:rFonts w:eastAsia="Times New Roman"/>
          <w:color w:val="000000"/>
          <w:lang w:val="fr-FR"/>
        </w:rPr>
        <w:t xml:space="preserve"> 1996-V.</w:t>
      </w:r>
    </w:p>
  </w:footnote>
  <w:footnote w:id="105">
    <w:p w14:paraId="0981507B" w14:textId="15EE23FD"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r w:rsidRPr="00C17484">
        <w:rPr>
          <w:rFonts w:eastAsia="Times New Roman"/>
          <w:lang w:val="fr-FR"/>
        </w:rPr>
        <w:t>Pa</w:t>
      </w:r>
      <w:r w:rsidR="00EF797B">
        <w:rPr>
          <w:rFonts w:eastAsia="Times New Roman"/>
          <w:lang w:val="fr-FR"/>
        </w:rPr>
        <w:t>r.</w:t>
      </w:r>
      <w:r w:rsidRPr="00C17484">
        <w:rPr>
          <w:rFonts w:eastAsia="Times New Roman"/>
          <w:lang w:val="fr-FR"/>
        </w:rPr>
        <w:t> 3 du commentaire de la conclusion 9 du projet de conclusions sur la détermination et les conséquences juridiques des normes impératives du droit international général (</w:t>
      </w:r>
      <w:r w:rsidRPr="000F2420">
        <w:rPr>
          <w:rFonts w:eastAsia="Times New Roman"/>
          <w:i/>
          <w:iCs/>
          <w:lang w:val="fr-FR"/>
        </w:rPr>
        <w:t>jus cogens</w:t>
      </w:r>
      <w:r w:rsidRPr="00C17484">
        <w:rPr>
          <w:rFonts w:eastAsia="Times New Roman"/>
          <w:lang w:val="fr-FR"/>
        </w:rPr>
        <w:t xml:space="preserve">), </w:t>
      </w:r>
      <w:hyperlink r:id="rId65" w:history="1">
        <w:r w:rsidRPr="000F2420">
          <w:rPr>
            <w:rStyle w:val="Lienhypertexte"/>
            <w:rFonts w:eastAsia="Times New Roman"/>
            <w:lang w:val="fr-FR"/>
          </w:rPr>
          <w:t>A/77/10</w:t>
        </w:r>
      </w:hyperlink>
      <w:r w:rsidRPr="00C17484">
        <w:rPr>
          <w:rFonts w:eastAsia="Times New Roman"/>
          <w:lang w:val="fr-FR"/>
        </w:rPr>
        <w:t>, par.</w:t>
      </w:r>
      <w:r>
        <w:rPr>
          <w:rFonts w:eastAsia="Times New Roman"/>
          <w:lang w:val="fr-FR"/>
        </w:rPr>
        <w:t> </w:t>
      </w:r>
      <w:r w:rsidRPr="00C17484">
        <w:rPr>
          <w:rFonts w:eastAsia="Times New Roman"/>
          <w:lang w:val="fr-FR"/>
        </w:rPr>
        <w:t>44.</w:t>
      </w:r>
    </w:p>
  </w:footnote>
  <w:footnote w:id="106">
    <w:p w14:paraId="40F933F5" w14:textId="65CE33E0" w:rsidR="004C5E26" w:rsidRPr="00C17484" w:rsidRDefault="004C5E26" w:rsidP="004C5E26">
      <w:pPr>
        <w:pStyle w:val="Notedebasdepage"/>
        <w:rPr>
          <w:rFonts w:eastAsia="Times New Roman"/>
          <w:color w:val="000000"/>
          <w:lang w:val="fr-FR"/>
        </w:rPr>
      </w:pPr>
      <w:r>
        <w:rPr>
          <w:rFonts w:eastAsia="Times New Roman"/>
          <w:color w:val="000000"/>
          <w:lang w:val="fr-FR"/>
        </w:rPr>
        <w:tab/>
      </w:r>
      <w:r w:rsidRPr="0053774D">
        <w:rPr>
          <w:rStyle w:val="Appelnotedebasdep"/>
        </w:rPr>
        <w:footnoteRef/>
      </w:r>
      <w:r>
        <w:rPr>
          <w:rFonts w:eastAsia="Times New Roman"/>
          <w:color w:val="000000"/>
          <w:lang w:val="fr-FR"/>
        </w:rPr>
        <w:tab/>
      </w:r>
      <w:r w:rsidRPr="00C17484">
        <w:rPr>
          <w:rFonts w:eastAsia="Times New Roman"/>
          <w:color w:val="000000"/>
          <w:lang w:val="fr-FR"/>
        </w:rPr>
        <w:t>Voir Tribunal pénal international pour l</w:t>
      </w:r>
      <w:r w:rsidR="004937A0">
        <w:rPr>
          <w:rFonts w:eastAsia="Times New Roman"/>
          <w:color w:val="000000"/>
          <w:lang w:val="fr-FR"/>
        </w:rPr>
        <w:t>’</w:t>
      </w:r>
      <w:r w:rsidRPr="00C17484">
        <w:rPr>
          <w:rFonts w:eastAsia="Times New Roman"/>
          <w:color w:val="000000"/>
          <w:lang w:val="fr-FR"/>
        </w:rPr>
        <w:t xml:space="preserve">ex-Yougoslavie, </w:t>
      </w:r>
      <w:r w:rsidRPr="000F2420">
        <w:rPr>
          <w:rFonts w:eastAsia="Times New Roman"/>
          <w:i/>
          <w:iCs/>
          <w:color w:val="000000"/>
          <w:lang w:val="fr-FR"/>
        </w:rPr>
        <w:t>Le Procureur c</w:t>
      </w:r>
      <w:r w:rsidR="00EF797B">
        <w:rPr>
          <w:rFonts w:eastAsia="Times New Roman"/>
          <w:i/>
          <w:iCs/>
          <w:color w:val="000000"/>
          <w:lang w:val="fr-FR"/>
        </w:rPr>
        <w:t>.</w:t>
      </w:r>
      <w:r w:rsidRPr="000F2420">
        <w:rPr>
          <w:rFonts w:eastAsia="Times New Roman"/>
          <w:i/>
          <w:iCs/>
          <w:color w:val="000000"/>
          <w:lang w:val="fr-FR"/>
        </w:rPr>
        <w:t xml:space="preserve"> Anto Furundžija</w:t>
      </w:r>
      <w:r w:rsidRPr="00C17484">
        <w:rPr>
          <w:rFonts w:eastAsia="Times New Roman"/>
          <w:color w:val="000000"/>
          <w:lang w:val="fr-FR"/>
        </w:rPr>
        <w:t>, affaire n</w:t>
      </w:r>
      <w:r w:rsidRPr="00C17484">
        <w:rPr>
          <w:rFonts w:eastAsia="Times New Roman"/>
          <w:color w:val="000000"/>
          <w:vertAlign w:val="superscript"/>
          <w:lang w:val="fr-FR"/>
        </w:rPr>
        <w:t>o</w:t>
      </w:r>
      <w:r w:rsidRPr="00C17484">
        <w:rPr>
          <w:rFonts w:eastAsia="Times New Roman"/>
          <w:color w:val="000000"/>
          <w:lang w:val="fr-FR"/>
        </w:rPr>
        <w:t xml:space="preserve"> IT-95-17/1-T, </w:t>
      </w:r>
      <w:r>
        <w:rPr>
          <w:rFonts w:eastAsia="Times New Roman"/>
          <w:color w:val="000000"/>
          <w:lang w:val="fr-FR"/>
        </w:rPr>
        <w:t>J</w:t>
      </w:r>
      <w:r w:rsidRPr="00C17484">
        <w:rPr>
          <w:rFonts w:eastAsia="Times New Roman"/>
          <w:color w:val="000000"/>
          <w:lang w:val="fr-FR"/>
        </w:rPr>
        <w:t xml:space="preserve">ugement, 10 décembre 1998, Chambre de première instance, </w:t>
      </w:r>
      <w:r w:rsidRPr="000F2420">
        <w:rPr>
          <w:rFonts w:eastAsia="Times New Roman"/>
          <w:i/>
          <w:iCs/>
          <w:color w:val="000000"/>
          <w:lang w:val="fr-FR"/>
        </w:rPr>
        <w:t>Recueils judiciaires 1998</w:t>
      </w:r>
      <w:r w:rsidRPr="00C17484">
        <w:rPr>
          <w:rFonts w:eastAsia="Times New Roman"/>
          <w:color w:val="000000"/>
          <w:lang w:val="fr-FR"/>
        </w:rPr>
        <w:t>, vol. 1, p. 46</w:t>
      </w:r>
      <w:r>
        <w:rPr>
          <w:rFonts w:eastAsia="Times New Roman"/>
          <w:color w:val="000000"/>
          <w:lang w:val="fr-FR"/>
        </w:rPr>
        <w:t>6</w:t>
      </w:r>
      <w:r w:rsidRPr="00C17484">
        <w:rPr>
          <w:rFonts w:eastAsia="Times New Roman"/>
          <w:color w:val="000000"/>
          <w:lang w:val="fr-FR"/>
        </w:rPr>
        <w:t>, à la</w:t>
      </w:r>
      <w:r>
        <w:rPr>
          <w:rFonts w:eastAsia="Times New Roman"/>
          <w:color w:val="000000"/>
          <w:lang w:val="fr-FR"/>
        </w:rPr>
        <w:t xml:space="preserve"> page</w:t>
      </w:r>
      <w:r w:rsidRPr="00C17484">
        <w:rPr>
          <w:rFonts w:eastAsia="Times New Roman"/>
          <w:color w:val="000000"/>
          <w:lang w:val="fr-FR"/>
        </w:rPr>
        <w:t xml:space="preserve"> 56</w:t>
      </w:r>
      <w:r>
        <w:rPr>
          <w:rFonts w:eastAsia="Times New Roman"/>
          <w:color w:val="000000"/>
          <w:lang w:val="fr-FR"/>
        </w:rPr>
        <w:t>8</w:t>
      </w:r>
      <w:r w:rsidRPr="00C17484">
        <w:rPr>
          <w:rFonts w:eastAsia="Times New Roman"/>
          <w:color w:val="000000"/>
          <w:lang w:val="fr-FR"/>
        </w:rPr>
        <w:t>, par.</w:t>
      </w:r>
      <w:r>
        <w:rPr>
          <w:rFonts w:eastAsia="Times New Roman"/>
          <w:color w:val="000000"/>
          <w:lang w:val="fr-FR"/>
        </w:rPr>
        <w:t> </w:t>
      </w:r>
      <w:r w:rsidRPr="00C17484">
        <w:rPr>
          <w:rFonts w:eastAsia="Times New Roman"/>
          <w:color w:val="000000"/>
          <w:lang w:val="fr-FR"/>
        </w:rPr>
        <w:t>153 et 154. La Cour européenne s</w:t>
      </w:r>
      <w:r w:rsidR="004937A0">
        <w:rPr>
          <w:rFonts w:eastAsia="Times New Roman"/>
          <w:color w:val="000000"/>
          <w:lang w:val="fr-FR"/>
        </w:rPr>
        <w:t>’</w:t>
      </w:r>
      <w:r w:rsidRPr="00C17484">
        <w:rPr>
          <w:rFonts w:eastAsia="Times New Roman"/>
          <w:color w:val="000000"/>
          <w:lang w:val="fr-FR"/>
        </w:rPr>
        <w:t>est ultérieurement appuyée sur cette interprétation dans l</w:t>
      </w:r>
      <w:r w:rsidR="004937A0">
        <w:rPr>
          <w:rFonts w:eastAsia="Times New Roman"/>
          <w:color w:val="000000"/>
          <w:lang w:val="fr-FR"/>
        </w:rPr>
        <w:t>’</w:t>
      </w:r>
      <w:r w:rsidRPr="00C17484">
        <w:rPr>
          <w:rFonts w:eastAsia="Times New Roman"/>
          <w:color w:val="000000"/>
          <w:lang w:val="fr-FR"/>
        </w:rPr>
        <w:t xml:space="preserve">affaire </w:t>
      </w:r>
      <w:r w:rsidRPr="000F2420">
        <w:rPr>
          <w:rFonts w:eastAsia="Times New Roman"/>
          <w:i/>
          <w:iCs/>
          <w:color w:val="000000"/>
          <w:lang w:val="fr-FR"/>
        </w:rPr>
        <w:t>Al-Adsani c. Royaume-Uni</w:t>
      </w:r>
      <w:r w:rsidRPr="00C17484">
        <w:rPr>
          <w:rFonts w:eastAsia="Times New Roman"/>
          <w:color w:val="000000"/>
          <w:lang w:val="fr-FR"/>
        </w:rPr>
        <w:t xml:space="preserve"> [Grande Chambre (GC)], n</w:t>
      </w:r>
      <w:r w:rsidRPr="00C17484">
        <w:rPr>
          <w:rFonts w:eastAsia="Times New Roman"/>
          <w:color w:val="000000"/>
          <w:vertAlign w:val="superscript"/>
          <w:lang w:val="fr-FR"/>
        </w:rPr>
        <w:t>o</w:t>
      </w:r>
      <w:r w:rsidRPr="00C17484">
        <w:rPr>
          <w:rFonts w:eastAsia="Times New Roman"/>
          <w:color w:val="000000"/>
          <w:lang w:val="fr-FR"/>
        </w:rPr>
        <w:t xml:space="preserve"> 35763/97, CEDH 2001-XI, par. 30. Voir </w:t>
      </w:r>
      <w:r>
        <w:rPr>
          <w:rFonts w:eastAsia="Times New Roman"/>
          <w:color w:val="000000"/>
          <w:lang w:val="fr-FR"/>
        </w:rPr>
        <w:t>aussi</w:t>
      </w:r>
      <w:r w:rsidRPr="00C17484">
        <w:rPr>
          <w:rFonts w:eastAsia="Times New Roman"/>
          <w:color w:val="000000"/>
          <w:lang w:val="fr-FR"/>
        </w:rPr>
        <w:t xml:space="preserve"> Cour interaméricaine des droits de l</w:t>
      </w:r>
      <w:r w:rsidR="004937A0">
        <w:rPr>
          <w:rFonts w:eastAsia="Times New Roman"/>
          <w:color w:val="000000"/>
          <w:lang w:val="fr-FR"/>
        </w:rPr>
        <w:t>’</w:t>
      </w:r>
      <w:r w:rsidRPr="00C17484">
        <w:rPr>
          <w:rFonts w:eastAsia="Times New Roman"/>
          <w:color w:val="000000"/>
          <w:lang w:val="fr-FR"/>
        </w:rPr>
        <w:t xml:space="preserve">homme, </w:t>
      </w:r>
      <w:r w:rsidRPr="000F2420">
        <w:rPr>
          <w:rFonts w:eastAsia="Times New Roman"/>
          <w:i/>
          <w:iCs/>
          <w:color w:val="000000"/>
          <w:lang w:val="fr-FR"/>
        </w:rPr>
        <w:t>Goiburú et autres c. Paraguay</w:t>
      </w:r>
      <w:r w:rsidRPr="00C17484">
        <w:rPr>
          <w:rFonts w:eastAsia="Times New Roman"/>
          <w:color w:val="000000"/>
          <w:lang w:val="fr-FR"/>
        </w:rPr>
        <w:t xml:space="preserve"> (fond, réparations et dépens), 22 septembre 2006, </w:t>
      </w:r>
      <w:r w:rsidR="00A31388" w:rsidRPr="00C17484">
        <w:rPr>
          <w:rFonts w:eastAsia="Times New Roman"/>
          <w:color w:val="000000"/>
          <w:lang w:val="fr-FR"/>
        </w:rPr>
        <w:t>s</w:t>
      </w:r>
      <w:r w:rsidRPr="00C17484">
        <w:rPr>
          <w:rFonts w:eastAsia="Times New Roman"/>
          <w:color w:val="000000"/>
          <w:lang w:val="fr-FR"/>
        </w:rPr>
        <w:t>éries C, n</w:t>
      </w:r>
      <w:r w:rsidRPr="00C17484">
        <w:rPr>
          <w:rFonts w:eastAsia="Times New Roman"/>
          <w:color w:val="000000"/>
          <w:vertAlign w:val="superscript"/>
          <w:lang w:val="fr-FR"/>
        </w:rPr>
        <w:t>o</w:t>
      </w:r>
      <w:r w:rsidRPr="00C17484">
        <w:rPr>
          <w:rFonts w:eastAsia="Times New Roman"/>
          <w:color w:val="000000"/>
          <w:lang w:val="fr-FR"/>
        </w:rPr>
        <w:t> 153, par.</w:t>
      </w:r>
      <w:r w:rsidR="00EF797B">
        <w:rPr>
          <w:rFonts w:eastAsia="Times New Roman"/>
          <w:color w:val="000000"/>
          <w:lang w:val="fr-FR"/>
        </w:rPr>
        <w:t> </w:t>
      </w:r>
      <w:r w:rsidRPr="00C17484">
        <w:rPr>
          <w:rFonts w:eastAsia="Times New Roman"/>
          <w:color w:val="000000"/>
          <w:lang w:val="fr-FR"/>
        </w:rPr>
        <w:t>128, et Commission interaméricaine des droits de l</w:t>
      </w:r>
      <w:r w:rsidR="004937A0">
        <w:rPr>
          <w:rFonts w:eastAsia="Times New Roman"/>
          <w:color w:val="000000"/>
          <w:lang w:val="fr-FR"/>
        </w:rPr>
        <w:t>’</w:t>
      </w:r>
      <w:r w:rsidRPr="00C17484">
        <w:rPr>
          <w:rFonts w:eastAsia="Times New Roman"/>
          <w:color w:val="000000"/>
          <w:lang w:val="fr-FR"/>
        </w:rPr>
        <w:t xml:space="preserve">homme, </w:t>
      </w:r>
      <w:r w:rsidRPr="000F2420">
        <w:rPr>
          <w:rFonts w:eastAsia="Times New Roman"/>
          <w:i/>
          <w:iCs/>
          <w:color w:val="000000"/>
          <w:lang w:val="fr-FR"/>
        </w:rPr>
        <w:t>Michael Domingues v. United States</w:t>
      </w:r>
      <w:r w:rsidRPr="00C17484">
        <w:rPr>
          <w:rFonts w:eastAsia="Times New Roman"/>
          <w:color w:val="000000"/>
          <w:lang w:val="fr-FR"/>
        </w:rPr>
        <w:t>, affaire 12.285, fond, 22 octobre 2002, rapport n</w:t>
      </w:r>
      <w:r w:rsidRPr="00C17484">
        <w:rPr>
          <w:rFonts w:eastAsia="Times New Roman"/>
          <w:color w:val="000000"/>
          <w:vertAlign w:val="superscript"/>
          <w:lang w:val="fr-FR"/>
        </w:rPr>
        <w:t>o</w:t>
      </w:r>
      <w:r w:rsidRPr="00C17484">
        <w:rPr>
          <w:rFonts w:eastAsia="Times New Roman"/>
          <w:color w:val="000000"/>
          <w:lang w:val="fr-FR"/>
        </w:rPr>
        <w:t> 62/02, par.</w:t>
      </w:r>
      <w:r>
        <w:rPr>
          <w:rFonts w:eastAsia="Times New Roman"/>
          <w:color w:val="000000"/>
          <w:lang w:val="fr-FR"/>
        </w:rPr>
        <w:t> </w:t>
      </w:r>
      <w:r w:rsidRPr="00C17484">
        <w:rPr>
          <w:rFonts w:eastAsia="Times New Roman"/>
          <w:color w:val="000000"/>
          <w:lang w:val="fr-FR"/>
        </w:rPr>
        <w:t>49.</w:t>
      </w:r>
    </w:p>
  </w:footnote>
  <w:footnote w:id="107">
    <w:p w14:paraId="334B1D77" w14:textId="1A604B9D" w:rsidR="004C5E26" w:rsidRPr="00C17484" w:rsidRDefault="004C5E26" w:rsidP="004C5E26">
      <w:pPr>
        <w:pStyle w:val="Notedebasdepage"/>
        <w:rPr>
          <w:rFonts w:eastAsia="Times New Roman"/>
          <w:lang w:val="fr-FR"/>
        </w:rPr>
      </w:pPr>
      <w:r>
        <w:rPr>
          <w:lang w:val="fr-FR"/>
        </w:rPr>
        <w:tab/>
      </w:r>
      <w:r w:rsidRPr="0053774D">
        <w:rPr>
          <w:rStyle w:val="Appelnotedebasdep"/>
        </w:rPr>
        <w:footnoteRef/>
      </w:r>
      <w:r>
        <w:rPr>
          <w:lang w:val="fr-FR"/>
        </w:rPr>
        <w:tab/>
      </w:r>
      <w:r w:rsidRPr="00C17484">
        <w:rPr>
          <w:lang w:val="fr-FR"/>
        </w:rPr>
        <w:t>Voir par.</w:t>
      </w:r>
      <w:r w:rsidRPr="00C17484">
        <w:rPr>
          <w:rFonts w:eastAsia="Times New Roman"/>
          <w:lang w:val="fr-FR"/>
        </w:rPr>
        <w:t xml:space="preserve"> 6 du commentaire de la conclusion 13 des conclusions sur la détermination du droit international coutumier, </w:t>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sidRPr="000F2420">
        <w:rPr>
          <w:rFonts w:eastAsia="Times New Roman"/>
          <w:lang w:val="fr-FR"/>
        </w:rPr>
        <w:t>(</w:t>
      </w:r>
      <w:hyperlink r:id="rId66" w:history="1">
        <w:r w:rsidRPr="000F2420">
          <w:rPr>
            <w:rStyle w:val="Lienhypertexte"/>
            <w:rFonts w:eastAsia="Times New Roman"/>
            <w:lang w:val="fr-FR"/>
          </w:rPr>
          <w:t>A/73/10</w:t>
        </w:r>
      </w:hyperlink>
      <w:r>
        <w:rPr>
          <w:rFonts w:eastAsia="Times New Roman"/>
          <w:lang w:val="fr-FR"/>
        </w:rPr>
        <w:t xml:space="preserve">), </w:t>
      </w:r>
      <w:r w:rsidRPr="00C17484">
        <w:rPr>
          <w:rFonts w:eastAsia="Times New Roman"/>
          <w:lang w:val="fr-FR"/>
        </w:rPr>
        <w:t>par.</w:t>
      </w:r>
      <w:r>
        <w:rPr>
          <w:rFonts w:eastAsia="Times New Roman"/>
          <w:lang w:val="fr-FR"/>
        </w:rPr>
        <w:t> </w:t>
      </w:r>
      <w:r w:rsidRPr="00C17484">
        <w:rPr>
          <w:rFonts w:eastAsia="Times New Roman"/>
          <w:lang w:val="fr-FR"/>
        </w:rPr>
        <w:t>66.</w:t>
      </w:r>
    </w:p>
  </w:footnote>
  <w:footnote w:id="108">
    <w:p w14:paraId="63B62170" w14:textId="1BCBFE47" w:rsidR="004C5E26" w:rsidRPr="00C17484" w:rsidRDefault="004C5E26" w:rsidP="004C5E26">
      <w:pPr>
        <w:pStyle w:val="Notedebasdepage"/>
        <w:rPr>
          <w:color w:val="000000" w:themeColor="text1"/>
          <w:spacing w:val="2"/>
          <w:lang w:val="fr-FR"/>
        </w:rPr>
      </w:pPr>
      <w:r>
        <w:rPr>
          <w:lang w:val="fr-FR"/>
        </w:rPr>
        <w:tab/>
      </w:r>
      <w:r w:rsidRPr="0053774D">
        <w:rPr>
          <w:rStyle w:val="Appelnotedebasdep"/>
        </w:rPr>
        <w:footnoteRef/>
      </w:r>
      <w:r>
        <w:rPr>
          <w:lang w:val="fr-FR"/>
        </w:rPr>
        <w:tab/>
      </w:r>
      <w:r w:rsidRPr="00C17484">
        <w:rPr>
          <w:lang w:val="fr-FR"/>
        </w:rPr>
        <w:t xml:space="preserve">Il y a plusieurs types de juridictions </w:t>
      </w:r>
      <w:r>
        <w:rPr>
          <w:lang w:val="fr-FR"/>
        </w:rPr>
        <w:t>de ce type</w:t>
      </w:r>
      <w:r w:rsidRPr="00C17484">
        <w:rPr>
          <w:lang w:val="fr-FR"/>
        </w:rPr>
        <w:t>, qui sont hybrides à des degrés divers. Certaines des « juridictions hybrides » font partie ou opèrent dans le cadre d</w:t>
      </w:r>
      <w:r w:rsidR="004937A0">
        <w:rPr>
          <w:lang w:val="fr-FR"/>
        </w:rPr>
        <w:t>’</w:t>
      </w:r>
      <w:r w:rsidRPr="00C17484">
        <w:rPr>
          <w:lang w:val="fr-FR"/>
        </w:rPr>
        <w:t xml:space="preserve">un système juridique </w:t>
      </w:r>
      <w:r>
        <w:rPr>
          <w:lang w:val="fr-FR"/>
        </w:rPr>
        <w:t>national</w:t>
      </w:r>
      <w:r w:rsidRPr="00C17484">
        <w:rPr>
          <w:lang w:val="fr-FR"/>
        </w:rPr>
        <w:t>, alors que d</w:t>
      </w:r>
      <w:r w:rsidR="004937A0">
        <w:rPr>
          <w:lang w:val="fr-FR"/>
        </w:rPr>
        <w:t>’</w:t>
      </w:r>
      <w:r w:rsidRPr="00C17484">
        <w:rPr>
          <w:lang w:val="fr-FR"/>
        </w:rPr>
        <w:t>autres opèrent en tant qu</w:t>
      </w:r>
      <w:r w:rsidR="004937A0">
        <w:rPr>
          <w:lang w:val="fr-FR"/>
        </w:rPr>
        <w:t>’</w:t>
      </w:r>
      <w:r w:rsidRPr="00C17484">
        <w:rPr>
          <w:lang w:val="fr-FR"/>
        </w:rPr>
        <w:t>institutions indépendantes dotées de la personnalité juridique en droit international. Souvent envisagées en fonction du fondement juridique de leur création</w:t>
      </w:r>
      <w:r>
        <w:rPr>
          <w:lang w:val="fr-FR"/>
        </w:rPr>
        <w:t>,</w:t>
      </w:r>
      <w:r w:rsidRPr="00C17484">
        <w:rPr>
          <w:lang w:val="fr-FR"/>
        </w:rPr>
        <w:t xml:space="preserve"> selon que leur personnel est de composition mixte ou </w:t>
      </w:r>
      <w:r>
        <w:rPr>
          <w:lang w:val="fr-FR"/>
        </w:rPr>
        <w:t xml:space="preserve">encore selon </w:t>
      </w:r>
      <w:r w:rsidRPr="00C17484">
        <w:rPr>
          <w:lang w:val="fr-FR"/>
        </w:rPr>
        <w:t>qu</w:t>
      </w:r>
      <w:r w:rsidR="004937A0">
        <w:rPr>
          <w:lang w:val="fr-FR"/>
        </w:rPr>
        <w:t>’</w:t>
      </w:r>
      <w:r w:rsidRPr="00C17484">
        <w:rPr>
          <w:lang w:val="fr-FR"/>
        </w:rPr>
        <w:t xml:space="preserve">elles appliquent le droit international ou le droit </w:t>
      </w:r>
      <w:r>
        <w:rPr>
          <w:lang w:val="fr-FR"/>
        </w:rPr>
        <w:t>national</w:t>
      </w:r>
      <w:r w:rsidRPr="00C17484">
        <w:rPr>
          <w:lang w:val="fr-FR"/>
        </w:rPr>
        <w:t>, au moins trois grandes catégories peuvent être identifiées. Premièrement, les juridictions créé</w:t>
      </w:r>
      <w:r>
        <w:rPr>
          <w:lang w:val="fr-FR"/>
        </w:rPr>
        <w:t>e</w:t>
      </w:r>
      <w:r w:rsidRPr="00C17484">
        <w:rPr>
          <w:lang w:val="fr-FR"/>
        </w:rPr>
        <w:t>s au moyen d</w:t>
      </w:r>
      <w:r w:rsidR="004937A0">
        <w:rPr>
          <w:lang w:val="fr-FR"/>
        </w:rPr>
        <w:t>’</w:t>
      </w:r>
      <w:r w:rsidRPr="00C17484">
        <w:rPr>
          <w:lang w:val="fr-FR"/>
        </w:rPr>
        <w:t xml:space="preserve">un traité entre un État et </w:t>
      </w:r>
      <w:r>
        <w:rPr>
          <w:lang w:val="fr-FR"/>
        </w:rPr>
        <w:t xml:space="preserve">soit </w:t>
      </w:r>
      <w:r w:rsidRPr="00C17484">
        <w:rPr>
          <w:lang w:val="fr-FR"/>
        </w:rPr>
        <w:t xml:space="preserve">une organisation internationale </w:t>
      </w:r>
      <w:r>
        <w:rPr>
          <w:lang w:val="fr-FR"/>
        </w:rPr>
        <w:t>soit une organisation</w:t>
      </w:r>
      <w:r w:rsidRPr="00C17484">
        <w:rPr>
          <w:lang w:val="fr-FR"/>
        </w:rPr>
        <w:t xml:space="preserve"> régionale. Deuxièmement, les tribunaux créés par une administration internationale de transition chargée d</w:t>
      </w:r>
      <w:r w:rsidR="004937A0">
        <w:rPr>
          <w:lang w:val="fr-FR"/>
        </w:rPr>
        <w:t>’</w:t>
      </w:r>
      <w:r w:rsidRPr="00C17484">
        <w:rPr>
          <w:lang w:val="fr-FR"/>
        </w:rPr>
        <w:t xml:space="preserve">administrer un pays en transition. Troisièmement, les juridictions créées par les États en vertu de leur droit </w:t>
      </w:r>
      <w:r>
        <w:rPr>
          <w:lang w:val="fr-FR"/>
        </w:rPr>
        <w:t>national</w:t>
      </w:r>
      <w:r w:rsidRPr="00C17484">
        <w:rPr>
          <w:lang w:val="fr-FR"/>
        </w:rPr>
        <w:t xml:space="preserve"> qui bénéficient d</w:t>
      </w:r>
      <w:r w:rsidR="004937A0">
        <w:rPr>
          <w:lang w:val="fr-FR"/>
        </w:rPr>
        <w:t>’</w:t>
      </w:r>
      <w:r w:rsidRPr="00C17484">
        <w:rPr>
          <w:lang w:val="fr-FR"/>
        </w:rPr>
        <w:t>un appui international, notamment technique et financier. Les Chambres africaines extraordinaires au sein du système judiciaire sénégalais et les Chambres extraordinaires au sein des tribunaux cambodgiens sont des exemples des premières de ces juridictions. Le Tribunal spécial pour la Sierra Leone et le Tribunal spécial pour le Liban ont été créés par des accords bilatéraux entre l</w:t>
      </w:r>
      <w:r w:rsidR="004937A0">
        <w:rPr>
          <w:lang w:val="fr-FR"/>
        </w:rPr>
        <w:t>’</w:t>
      </w:r>
      <w:r w:rsidRPr="00C17484">
        <w:rPr>
          <w:lang w:val="fr-FR"/>
        </w:rPr>
        <w:t>Organisation des Nations Unies, d</w:t>
      </w:r>
      <w:r w:rsidR="004937A0">
        <w:rPr>
          <w:lang w:val="fr-FR"/>
        </w:rPr>
        <w:t>’</w:t>
      </w:r>
      <w:r w:rsidRPr="00C17484">
        <w:rPr>
          <w:lang w:val="fr-FR"/>
        </w:rPr>
        <w:t>une part, et les gouvernements de la Sierra Leone et du Liban, respectivement</w:t>
      </w:r>
      <w:r>
        <w:rPr>
          <w:lang w:val="fr-FR"/>
        </w:rPr>
        <w:t>,</w:t>
      </w:r>
      <w:r w:rsidRPr="00C17484">
        <w:rPr>
          <w:lang w:val="fr-FR"/>
        </w:rPr>
        <w:t xml:space="preserve"> d</w:t>
      </w:r>
      <w:r w:rsidR="004937A0">
        <w:rPr>
          <w:lang w:val="fr-FR"/>
        </w:rPr>
        <w:t>’</w:t>
      </w:r>
      <w:r w:rsidRPr="00C17484">
        <w:rPr>
          <w:lang w:val="fr-FR"/>
        </w:rPr>
        <w:t>autre part. D</w:t>
      </w:r>
      <w:r w:rsidR="004937A0">
        <w:rPr>
          <w:lang w:val="fr-FR"/>
        </w:rPr>
        <w:t>’</w:t>
      </w:r>
      <w:r w:rsidRPr="00C17484">
        <w:rPr>
          <w:lang w:val="fr-FR"/>
        </w:rPr>
        <w:t>autres tribunaux « hybrides</w:t>
      </w:r>
      <w:r w:rsidRPr="00C17484">
        <w:rPr>
          <w:rFonts w:eastAsia="Times New Roman"/>
          <w:color w:val="000000"/>
          <w:lang w:val="fr-FR"/>
        </w:rPr>
        <w:t> </w:t>
      </w:r>
      <w:r w:rsidRPr="00C17484">
        <w:rPr>
          <w:lang w:val="fr-FR"/>
        </w:rPr>
        <w:t xml:space="preserve">» ont été créés par des administrations internationales, par exemple les </w:t>
      </w:r>
      <w:r w:rsidRPr="00B569C5">
        <w:rPr>
          <w:lang w:val="fr-FR"/>
        </w:rPr>
        <w:t xml:space="preserve">Chambres spéciales chargées de connaître des crimes graves commis au Timor oriental </w:t>
      </w:r>
      <w:r w:rsidRPr="00C17484">
        <w:rPr>
          <w:lang w:val="fr-FR"/>
        </w:rPr>
        <w:t xml:space="preserve">et la </w:t>
      </w:r>
      <w:r w:rsidRPr="0018582A">
        <w:rPr>
          <w:lang w:val="fr-FR"/>
        </w:rPr>
        <w:t>Chambre chargée des crimes de guerre en Bosnie-Herzégovine</w:t>
      </w:r>
      <w:r w:rsidRPr="00C17484">
        <w:rPr>
          <w:lang w:val="fr-FR"/>
        </w:rPr>
        <w:t>. D</w:t>
      </w:r>
      <w:r w:rsidR="004937A0">
        <w:rPr>
          <w:lang w:val="fr-FR"/>
        </w:rPr>
        <w:t>’</w:t>
      </w:r>
      <w:r w:rsidRPr="00C17484">
        <w:rPr>
          <w:lang w:val="fr-FR"/>
        </w:rPr>
        <w:t xml:space="preserve">autres exemples sont fournis par les </w:t>
      </w:r>
      <w:r>
        <w:rPr>
          <w:lang w:val="fr-FR"/>
        </w:rPr>
        <w:t>initiatives</w:t>
      </w:r>
      <w:r w:rsidRPr="00C17484">
        <w:rPr>
          <w:lang w:val="fr-FR"/>
        </w:rPr>
        <w:t>, bénéficiant d</w:t>
      </w:r>
      <w:r w:rsidR="004937A0">
        <w:rPr>
          <w:lang w:val="fr-FR"/>
        </w:rPr>
        <w:t>’</w:t>
      </w:r>
      <w:r w:rsidRPr="00C17484">
        <w:rPr>
          <w:lang w:val="fr-FR"/>
        </w:rPr>
        <w:t xml:space="preserve">une assistance internationale, prises au </w:t>
      </w:r>
      <w:r>
        <w:rPr>
          <w:lang w:val="fr-FR"/>
        </w:rPr>
        <w:t>niveau national</w:t>
      </w:r>
      <w:r w:rsidRPr="00C17484">
        <w:rPr>
          <w:lang w:val="fr-FR"/>
        </w:rPr>
        <w:t xml:space="preserve"> pour mettre en œuvre le principe de responsabilité, par exemple la Division des crimes internationaux de la Haute Cour d</w:t>
      </w:r>
      <w:r w:rsidR="004937A0">
        <w:rPr>
          <w:lang w:val="fr-FR"/>
        </w:rPr>
        <w:t>’</w:t>
      </w:r>
      <w:r w:rsidRPr="00C17484">
        <w:rPr>
          <w:lang w:val="fr-FR"/>
        </w:rPr>
        <w:t xml:space="preserve">Ouganda, la Chambre des crimes de guerre du Tribunal de district de Belgrade </w:t>
      </w:r>
      <w:r>
        <w:rPr>
          <w:lang w:val="fr-FR"/>
        </w:rPr>
        <w:t>(</w:t>
      </w:r>
      <w:r w:rsidRPr="00C17484">
        <w:rPr>
          <w:lang w:val="fr-FR"/>
        </w:rPr>
        <w:t>Serbie</w:t>
      </w:r>
      <w:r>
        <w:rPr>
          <w:lang w:val="fr-FR"/>
        </w:rPr>
        <w:t>)</w:t>
      </w:r>
      <w:r w:rsidRPr="00C17484">
        <w:rPr>
          <w:lang w:val="fr-FR"/>
        </w:rPr>
        <w:t xml:space="preserve"> </w:t>
      </w:r>
      <w:r>
        <w:rPr>
          <w:lang w:val="fr-FR"/>
        </w:rPr>
        <w:t>soutenue</w:t>
      </w:r>
      <w:r w:rsidRPr="00C17484">
        <w:rPr>
          <w:lang w:val="fr-FR"/>
        </w:rPr>
        <w:t xml:space="preserve"> par l</w:t>
      </w:r>
      <w:r w:rsidR="004937A0">
        <w:rPr>
          <w:lang w:val="fr-FR"/>
        </w:rPr>
        <w:t>’</w:t>
      </w:r>
      <w:r w:rsidRPr="00C17484">
        <w:rPr>
          <w:lang w:val="fr-FR"/>
        </w:rPr>
        <w:t>Organisation pour la sécurité et la coopération en Europe</w:t>
      </w:r>
      <w:r>
        <w:rPr>
          <w:lang w:val="fr-FR"/>
        </w:rPr>
        <w:t>,</w:t>
      </w:r>
      <w:r w:rsidRPr="00C17484">
        <w:rPr>
          <w:lang w:val="fr-FR"/>
        </w:rPr>
        <w:t xml:space="preserve"> et la Cour pénale spéciale de la République centrafricaine. Pour de plus amples informations sur les juridictions hybrides, voir Sarah Williams, </w:t>
      </w:r>
      <w:r w:rsidRPr="00B569C5">
        <w:rPr>
          <w:i/>
          <w:iCs/>
          <w:lang w:val="fr-FR"/>
        </w:rPr>
        <w:t>Hybrid and Internationalized Criminal Tribunals: Selected Jurisdictional Issues</w:t>
      </w:r>
      <w:r w:rsidRPr="00C17484">
        <w:rPr>
          <w:lang w:val="fr-FR"/>
        </w:rPr>
        <w:t xml:space="preserve"> (Oxford, Bloomsbury, 2012), Laura A. Dickinson, « The promise of hybrid courts », </w:t>
      </w:r>
      <w:r w:rsidRPr="00B569C5">
        <w:rPr>
          <w:i/>
          <w:iCs/>
          <w:lang w:val="fr-FR"/>
        </w:rPr>
        <w:t>American Journal of International Law</w:t>
      </w:r>
      <w:r w:rsidRPr="00C17484">
        <w:rPr>
          <w:lang w:val="fr-FR"/>
        </w:rPr>
        <w:t>, vol. 97 (2003), p. 295</w:t>
      </w:r>
      <w:r>
        <w:rPr>
          <w:lang w:val="fr-FR"/>
        </w:rPr>
        <w:t xml:space="preserve"> à </w:t>
      </w:r>
      <w:r w:rsidRPr="00C17484">
        <w:rPr>
          <w:lang w:val="fr-FR"/>
        </w:rPr>
        <w:t xml:space="preserve">310, </w:t>
      </w:r>
      <w:r w:rsidRPr="00C17484">
        <w:rPr>
          <w:color w:val="000000" w:themeColor="text1"/>
          <w:spacing w:val="2"/>
          <w:lang w:val="fr-FR"/>
        </w:rPr>
        <w:t>Cesare P.</w:t>
      </w:r>
      <w:r w:rsidR="00042735">
        <w:rPr>
          <w:color w:val="000000" w:themeColor="text1"/>
          <w:spacing w:val="2"/>
          <w:lang w:val="fr-FR"/>
        </w:rPr>
        <w:t> </w:t>
      </w:r>
      <w:r w:rsidRPr="00C17484">
        <w:rPr>
          <w:color w:val="000000" w:themeColor="text1"/>
          <w:spacing w:val="2"/>
          <w:lang w:val="fr-FR"/>
        </w:rPr>
        <w:t xml:space="preserve">R. Romano, André Nollkaemper et Jann K. Kleffner (dir. publ.), </w:t>
      </w:r>
      <w:r w:rsidRPr="00B569C5">
        <w:rPr>
          <w:i/>
          <w:iCs/>
          <w:color w:val="000000" w:themeColor="text1"/>
          <w:spacing w:val="2"/>
          <w:lang w:val="fr-FR"/>
        </w:rPr>
        <w:t>Internationalized Criminal Courts: Sierra Leone, East Timor, Kosovo, and Cambodia</w:t>
      </w:r>
      <w:r w:rsidRPr="00C17484">
        <w:rPr>
          <w:color w:val="000000" w:themeColor="text1"/>
          <w:spacing w:val="2"/>
          <w:lang w:val="fr-FR"/>
        </w:rPr>
        <w:t xml:space="preserve"> (Oxford, Oxford University Press, 2004)</w:t>
      </w:r>
      <w:r>
        <w:rPr>
          <w:color w:val="000000" w:themeColor="text1"/>
          <w:spacing w:val="2"/>
          <w:lang w:val="fr-FR"/>
        </w:rPr>
        <w:t>, et</w:t>
      </w:r>
      <w:r w:rsidRPr="00F80FC3">
        <w:rPr>
          <w:lang w:val="fr-FR"/>
        </w:rPr>
        <w:t xml:space="preserve"> Chiara Ragni, </w:t>
      </w:r>
      <w:r w:rsidRPr="00F80FC3">
        <w:rPr>
          <w:i/>
          <w:iCs/>
          <w:lang w:val="fr-FR"/>
        </w:rPr>
        <w:t xml:space="preserve">I Tribunali penali internazionalizzati. </w:t>
      </w:r>
      <w:r w:rsidRPr="00612BE3">
        <w:rPr>
          <w:i/>
          <w:iCs/>
          <w:lang w:val="fr-FR"/>
        </w:rPr>
        <w:t>Fondamento, giurisdizione, diritto applicabile</w:t>
      </w:r>
      <w:r w:rsidRPr="00612BE3">
        <w:rPr>
          <w:lang w:val="fr-FR"/>
        </w:rPr>
        <w:t xml:space="preserve"> (Milan, Giuffrè Editore, 2012)</w:t>
      </w:r>
      <w:r w:rsidR="00042735">
        <w:rPr>
          <w:lang w:val="fr-FR"/>
        </w:rPr>
        <w:t xml:space="preserve">, </w:t>
      </w:r>
      <w:r w:rsidRPr="00612BE3">
        <w:rPr>
          <w:lang w:val="fr-FR"/>
        </w:rPr>
        <w:t xml:space="preserve">Hervé Ascensio </w:t>
      </w:r>
      <w:r w:rsidRPr="004549DC">
        <w:rPr>
          <w:i/>
          <w:iCs/>
          <w:lang w:val="fr-FR"/>
        </w:rPr>
        <w:t xml:space="preserve">et </w:t>
      </w:r>
      <w:r w:rsidRPr="00F80FC3">
        <w:rPr>
          <w:i/>
          <w:iCs/>
          <w:lang w:val="fr-FR"/>
        </w:rPr>
        <w:t>al.</w:t>
      </w:r>
      <w:r w:rsidRPr="00F80FC3">
        <w:rPr>
          <w:lang w:val="fr-FR"/>
        </w:rPr>
        <w:t xml:space="preserve"> (dir. publ.)</w:t>
      </w:r>
      <w:r w:rsidRPr="00612BE3">
        <w:rPr>
          <w:lang w:val="fr-FR"/>
        </w:rPr>
        <w:t xml:space="preserve">, </w:t>
      </w:r>
      <w:r w:rsidRPr="00612BE3">
        <w:rPr>
          <w:i/>
          <w:iCs/>
          <w:lang w:val="fr-FR"/>
        </w:rPr>
        <w:t>Les juridictions pénales internationalisées (Cambodge, Sierra Leone, Timor Leste)</w:t>
      </w:r>
      <w:r w:rsidRPr="00612BE3">
        <w:rPr>
          <w:lang w:val="fr-FR"/>
        </w:rPr>
        <w:t xml:space="preserve"> (Paris, Société de Législation Comparée, 2006)</w:t>
      </w:r>
      <w:r w:rsidR="00042735">
        <w:rPr>
          <w:lang w:val="fr-FR"/>
        </w:rPr>
        <w:t>,</w:t>
      </w:r>
      <w:r w:rsidRPr="00612BE3">
        <w:rPr>
          <w:lang w:val="fr-FR"/>
        </w:rPr>
        <w:t xml:space="preserve"> Anne-Charlotte Martineau, </w:t>
      </w:r>
      <w:r w:rsidRPr="00612BE3">
        <w:rPr>
          <w:i/>
          <w:iCs/>
          <w:lang w:val="fr-FR"/>
        </w:rPr>
        <w:t xml:space="preserve">Les juridictions pénales internationalisées </w:t>
      </w:r>
      <w:r w:rsidR="00042735">
        <w:rPr>
          <w:i/>
          <w:iCs/>
          <w:lang w:val="fr-FR"/>
        </w:rPr>
        <w:t>−</w:t>
      </w:r>
      <w:r w:rsidRPr="00612BE3">
        <w:rPr>
          <w:i/>
          <w:iCs/>
          <w:lang w:val="fr-FR"/>
        </w:rPr>
        <w:t xml:space="preserve"> Un nouveau modèle de justice hybride</w:t>
      </w:r>
      <w:r w:rsidR="00042735">
        <w:rPr>
          <w:i/>
          <w:iCs/>
          <w:lang w:val="fr-FR"/>
        </w:rPr>
        <w:t> </w:t>
      </w:r>
      <w:r w:rsidRPr="00612BE3">
        <w:rPr>
          <w:i/>
          <w:iCs/>
          <w:lang w:val="fr-FR"/>
        </w:rPr>
        <w:t>?</w:t>
      </w:r>
      <w:r w:rsidRPr="00612BE3">
        <w:rPr>
          <w:lang w:val="fr-FR"/>
        </w:rPr>
        <w:t xml:space="preserve"> </w:t>
      </w:r>
      <w:r w:rsidRPr="00F80FC3">
        <w:rPr>
          <w:lang w:val="fr-CA"/>
        </w:rPr>
        <w:t>(Paris, Pedone, 2007)</w:t>
      </w:r>
      <w:r w:rsidRPr="00C17484">
        <w:rPr>
          <w:color w:val="000000" w:themeColor="text1"/>
          <w:spacing w:val="2"/>
          <w:lang w:val="fr-FR"/>
        </w:rPr>
        <w:t>.</w:t>
      </w:r>
    </w:p>
  </w:footnote>
  <w:footnote w:id="109">
    <w:p w14:paraId="5D2DC344"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Au sujet des décisions des juridictions nationales comme moyen auxiliaire de détermination des règles du droit international coutumier</w:t>
      </w:r>
      <w:r>
        <w:rPr>
          <w:rFonts w:eastAsia="Times New Roman"/>
          <w:lang w:val="fr-FR"/>
        </w:rPr>
        <w:t>,</w:t>
      </w:r>
      <w:r w:rsidRPr="00C17484">
        <w:rPr>
          <w:rFonts w:eastAsia="Times New Roman"/>
          <w:lang w:val="fr-FR"/>
        </w:rPr>
        <w:t xml:space="preserve"> voir, par exemple, Royaume-Uni, Cour suprême, </w:t>
      </w:r>
      <w:r w:rsidRPr="00F2387E">
        <w:rPr>
          <w:rFonts w:eastAsia="Times New Roman"/>
          <w:i/>
          <w:iCs/>
          <w:lang w:val="fr-FR"/>
        </w:rPr>
        <w:t>Mohammed and others v. Ministry of Defence</w:t>
      </w:r>
      <w:r w:rsidRPr="00C17484">
        <w:rPr>
          <w:rFonts w:eastAsia="Times New Roman"/>
          <w:lang w:val="fr-FR"/>
        </w:rPr>
        <w:t>, [2017] UKSC 2 (17 janvier 2017), par. 149 à 151 (Lord Mance).</w:t>
      </w:r>
    </w:p>
  </w:footnote>
  <w:footnote w:id="110">
    <w:p w14:paraId="3FA8F207" w14:textId="5CB888DF"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Pr>
          <w:rFonts w:eastAsia="Times New Roman"/>
          <w:lang w:val="fr-FR"/>
        </w:rPr>
        <w:t>(</w:t>
      </w:r>
      <w:hyperlink r:id="rId67" w:history="1">
        <w:r w:rsidRPr="00F2387E">
          <w:rPr>
            <w:rStyle w:val="Lienhypertexte"/>
            <w:lang w:val="fr-FR"/>
          </w:rPr>
          <w:t>A/73/10</w:t>
        </w:r>
      </w:hyperlink>
      <w:r>
        <w:rPr>
          <w:lang w:val="fr-FR"/>
        </w:rPr>
        <w:t xml:space="preserve">), </w:t>
      </w:r>
      <w:r w:rsidRPr="009379E1">
        <w:rPr>
          <w:lang w:val="fr-FR"/>
        </w:rPr>
        <w:t>p</w:t>
      </w:r>
      <w:r w:rsidRPr="009379E1">
        <w:rPr>
          <w:rFonts w:eastAsia="Times New Roman"/>
          <w:lang w:val="fr-FR"/>
        </w:rPr>
        <w:t>ar.</w:t>
      </w:r>
      <w:r w:rsidR="00042735">
        <w:rPr>
          <w:rFonts w:eastAsia="Times New Roman"/>
          <w:lang w:val="fr-FR"/>
        </w:rPr>
        <w:t> </w:t>
      </w:r>
      <w:r w:rsidRPr="009379E1">
        <w:rPr>
          <w:rFonts w:eastAsia="Times New Roman"/>
          <w:lang w:val="fr-FR"/>
        </w:rPr>
        <w:t>65.</w:t>
      </w:r>
    </w:p>
  </w:footnote>
  <w:footnote w:id="111">
    <w:p w14:paraId="4F59C6B7"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hyperlink r:id="rId68" w:history="1">
        <w:r w:rsidRPr="00F2387E">
          <w:rPr>
            <w:rStyle w:val="Lienhypertexte"/>
            <w:lang w:val="fr-FR"/>
          </w:rPr>
          <w:t>A/78/</w:t>
        </w:r>
        <w:r w:rsidRPr="00F2387E">
          <w:rPr>
            <w:rStyle w:val="Lienhypertexte"/>
          </w:rPr>
          <w:t>10</w:t>
        </w:r>
      </w:hyperlink>
      <w:r w:rsidRPr="00C17484">
        <w:rPr>
          <w:lang w:val="fr-FR"/>
        </w:rPr>
        <w:t>, par. 40.</w:t>
      </w:r>
    </w:p>
  </w:footnote>
  <w:footnote w:id="112">
    <w:p w14:paraId="422941F5"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hyperlink r:id="rId69" w:history="1">
        <w:r w:rsidRPr="00463947">
          <w:rPr>
            <w:rStyle w:val="Lienhypertexte"/>
            <w:rFonts w:eastAsia="Times New Roman"/>
            <w:lang w:val="fr-FR"/>
          </w:rPr>
          <w:t>A/77/10</w:t>
        </w:r>
      </w:hyperlink>
      <w:r w:rsidRPr="00C17484">
        <w:rPr>
          <w:rFonts w:eastAsia="Times New Roman"/>
          <w:lang w:val="fr-FR"/>
        </w:rPr>
        <w:t>, par. 43.</w:t>
      </w:r>
    </w:p>
  </w:footnote>
  <w:footnote w:id="113">
    <w:p w14:paraId="43D427EC" w14:textId="5AA3F5C3" w:rsidR="004C5E26" w:rsidRPr="00D802C2"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par. 7 du commentaire de la conclusion 13 des conclusions sur la détermination du droit international coutumier, </w:t>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Pr>
          <w:rFonts w:eastAsia="Times New Roman"/>
          <w:lang w:val="fr-FR"/>
        </w:rPr>
        <w:t>(</w:t>
      </w:r>
      <w:hyperlink r:id="rId70" w:history="1">
        <w:r w:rsidRPr="00463947">
          <w:rPr>
            <w:rStyle w:val="Lienhypertexte"/>
            <w:rFonts w:eastAsia="Times New Roman"/>
            <w:lang w:val="fr-FR"/>
          </w:rPr>
          <w:t>A/73/10</w:t>
        </w:r>
      </w:hyperlink>
      <w:r>
        <w:rPr>
          <w:rFonts w:eastAsia="Times New Roman"/>
          <w:lang w:val="fr-FR"/>
        </w:rPr>
        <w:t>)</w:t>
      </w:r>
      <w:r w:rsidRPr="00D802C2">
        <w:rPr>
          <w:rFonts w:eastAsia="Times New Roman"/>
          <w:lang w:val="fr-FR"/>
        </w:rPr>
        <w:t>.</w:t>
      </w:r>
    </w:p>
  </w:footnote>
  <w:footnote w:id="114">
    <w:p w14:paraId="3D0C735C" w14:textId="5D09E585" w:rsidR="004C5E26" w:rsidRPr="0092733B" w:rsidRDefault="004C5E26" w:rsidP="004C5E26">
      <w:pPr>
        <w:pStyle w:val="Notedebasdepage"/>
        <w:rPr>
          <w:lang w:val="en-US"/>
        </w:rPr>
      </w:pPr>
      <w:r w:rsidRPr="007B1F71">
        <w:tab/>
      </w:r>
      <w:r w:rsidRPr="0053774D">
        <w:rPr>
          <w:rStyle w:val="Appelnotedebasdep"/>
        </w:rPr>
        <w:footnoteRef/>
      </w:r>
      <w:r>
        <w:rPr>
          <w:lang w:val="en-US"/>
        </w:rPr>
        <w:tab/>
      </w:r>
      <w:r w:rsidRPr="0092733B">
        <w:rPr>
          <w:lang w:val="en-US"/>
        </w:rPr>
        <w:t>Voir James Thuo Gathii, « </w:t>
      </w:r>
      <w:r>
        <w:rPr>
          <w:lang w:val="en-US"/>
        </w:rPr>
        <w:t>P</w:t>
      </w:r>
      <w:r w:rsidRPr="0092733B">
        <w:rPr>
          <w:lang w:val="en-US"/>
        </w:rPr>
        <w:t>romise of international law: a third world view</w:t>
      </w:r>
      <w:r>
        <w:rPr>
          <w:lang w:val="en-US"/>
        </w:rPr>
        <w:t xml:space="preserve"> </w:t>
      </w:r>
      <w:r w:rsidRPr="00F80FC3">
        <w:rPr>
          <w:szCs w:val="18"/>
          <w:lang w:val="en-US"/>
        </w:rPr>
        <w:t>(including a TWAIL bibliography 1996–2019 as an appendix)</w:t>
      </w:r>
      <w:r w:rsidRPr="0092733B">
        <w:rPr>
          <w:lang w:val="en-US"/>
        </w:rPr>
        <w:t> »</w:t>
      </w:r>
      <w:r w:rsidRPr="00F80FC3">
        <w:rPr>
          <w:szCs w:val="18"/>
          <w:lang w:val="en-US"/>
        </w:rPr>
        <w:t xml:space="preserve">, </w:t>
      </w:r>
      <w:r w:rsidRPr="00F80FC3">
        <w:rPr>
          <w:i/>
          <w:iCs/>
          <w:szCs w:val="18"/>
          <w:lang w:val="en-US"/>
        </w:rPr>
        <w:t>American Society of International Law Proceedings</w:t>
      </w:r>
      <w:r w:rsidRPr="00F80FC3">
        <w:rPr>
          <w:szCs w:val="18"/>
          <w:lang w:val="en-US"/>
        </w:rPr>
        <w:t>, vol.</w:t>
      </w:r>
      <w:r w:rsidR="00042735">
        <w:rPr>
          <w:szCs w:val="18"/>
          <w:lang w:val="en-US"/>
        </w:rPr>
        <w:t> </w:t>
      </w:r>
      <w:r w:rsidRPr="00F80FC3">
        <w:rPr>
          <w:szCs w:val="18"/>
          <w:lang w:val="en-US"/>
        </w:rPr>
        <w:t>114 (2020), p. 165</w:t>
      </w:r>
      <w:r>
        <w:rPr>
          <w:szCs w:val="18"/>
          <w:lang w:val="en-US"/>
        </w:rPr>
        <w:t xml:space="preserve"> à </w:t>
      </w:r>
      <w:r w:rsidRPr="00F80FC3">
        <w:rPr>
          <w:szCs w:val="18"/>
          <w:lang w:val="en-US"/>
        </w:rPr>
        <w:t>187</w:t>
      </w:r>
      <w:r w:rsidRPr="0092733B">
        <w:rPr>
          <w:lang w:val="en-US"/>
        </w:rPr>
        <w:t>.</w:t>
      </w:r>
    </w:p>
  </w:footnote>
  <w:footnote w:id="115">
    <w:p w14:paraId="21B2561B" w14:textId="16095895" w:rsidR="004C5E26" w:rsidRPr="00C17484" w:rsidRDefault="004C5E26" w:rsidP="004C5E26">
      <w:pPr>
        <w:pStyle w:val="Notedebasdepage"/>
        <w:rPr>
          <w:rFonts w:eastAsia="Times New Roman"/>
          <w:lang w:val="fr-FR"/>
        </w:rPr>
      </w:pPr>
      <w:r w:rsidRPr="007B1F71">
        <w:rPr>
          <w:rFonts w:eastAsia="Times New Roman"/>
          <w:color w:val="000000"/>
          <w:lang w:val="en-US"/>
        </w:rPr>
        <w:tab/>
      </w:r>
      <w:r w:rsidRPr="0053774D">
        <w:rPr>
          <w:rStyle w:val="Appelnotedebasdep"/>
        </w:rPr>
        <w:footnoteRef/>
      </w:r>
      <w:r>
        <w:rPr>
          <w:rFonts w:eastAsia="Times New Roman"/>
          <w:color w:val="000000"/>
          <w:lang w:val="fr-FR"/>
        </w:rPr>
        <w:tab/>
      </w:r>
      <w:r w:rsidRPr="00C17484">
        <w:rPr>
          <w:rFonts w:eastAsia="Times New Roman"/>
          <w:color w:val="000000"/>
          <w:lang w:val="fr-FR"/>
        </w:rPr>
        <w:t>Dans le cadre de ses travaux antérieurs, la Commission a déterminé que le mot « doctrine</w:t>
      </w:r>
      <w:r>
        <w:rPr>
          <w:rFonts w:eastAsia="Times New Roman"/>
          <w:color w:val="000000"/>
          <w:lang w:val="fr-FR"/>
        </w:rPr>
        <w:t> </w:t>
      </w:r>
      <w:r w:rsidRPr="00C17484">
        <w:rPr>
          <w:rFonts w:eastAsia="Times New Roman"/>
          <w:color w:val="000000"/>
          <w:lang w:val="fr-FR"/>
        </w:rPr>
        <w:t>» devait «</w:t>
      </w:r>
      <w:r>
        <w:rPr>
          <w:rFonts w:eastAsia="Times New Roman"/>
          <w:color w:val="000000"/>
          <w:lang w:val="fr-FR"/>
        </w:rPr>
        <w:t> </w:t>
      </w:r>
      <w:r w:rsidRPr="00C17484">
        <w:rPr>
          <w:rFonts w:eastAsia="Times New Roman"/>
          <w:color w:val="000000"/>
          <w:lang w:val="fr-FR"/>
        </w:rPr>
        <w:t>s</w:t>
      </w:r>
      <w:r w:rsidR="004937A0">
        <w:rPr>
          <w:rFonts w:eastAsia="Times New Roman"/>
          <w:color w:val="000000"/>
          <w:lang w:val="fr-FR"/>
        </w:rPr>
        <w:t>’</w:t>
      </w:r>
      <w:r w:rsidRPr="00C17484">
        <w:rPr>
          <w:rFonts w:eastAsia="Times New Roman"/>
          <w:color w:val="000000"/>
          <w:lang w:val="fr-FR"/>
        </w:rPr>
        <w:t xml:space="preserve">entendre au sens large ». Elle a également estimé que cette catégorie comprenait « la doctrine se présentant sous une forme non écrite, par exemple les conférences et les matériels audiovisuels ». Voir </w:t>
      </w:r>
      <w:r w:rsidRPr="00C17484">
        <w:rPr>
          <w:rFonts w:eastAsia="Times New Roman"/>
          <w:lang w:val="fr-FR"/>
        </w:rPr>
        <w:t xml:space="preserve">par. 1 du commentaire de la conclusion 14 des conclusions sur la détermination du droit international coutumier, </w:t>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Pr>
          <w:rFonts w:eastAsia="Times New Roman"/>
          <w:lang w:val="fr-FR"/>
        </w:rPr>
        <w:t>(</w:t>
      </w:r>
      <w:hyperlink r:id="rId71" w:history="1">
        <w:r w:rsidRPr="004E64D8">
          <w:rPr>
            <w:rStyle w:val="Lienhypertexte"/>
            <w:rFonts w:eastAsia="Times New Roman"/>
            <w:lang w:val="fr-FR"/>
          </w:rPr>
          <w:t>A/73/10</w:t>
        </w:r>
      </w:hyperlink>
      <w:r>
        <w:rPr>
          <w:rFonts w:eastAsia="Times New Roman"/>
          <w:lang w:val="fr-FR"/>
        </w:rPr>
        <w:t>)</w:t>
      </w:r>
      <w:r w:rsidRPr="00C17484">
        <w:rPr>
          <w:rFonts w:eastAsia="Times New Roman"/>
          <w:lang w:val="fr-FR"/>
        </w:rPr>
        <w:t>, par. 66.</w:t>
      </w:r>
    </w:p>
  </w:footnote>
  <w:footnote w:id="116">
    <w:p w14:paraId="519E20CD" w14:textId="3C8EB59E" w:rsidR="004C5E26" w:rsidRPr="00F80FC3" w:rsidRDefault="004C5E26" w:rsidP="004C5E26">
      <w:pPr>
        <w:pStyle w:val="Notedebasdepage"/>
        <w:rPr>
          <w:rFonts w:eastAsia="Times New Roman"/>
          <w:lang w:val="fr-CA"/>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L</w:t>
      </w:r>
      <w:r w:rsidR="004937A0">
        <w:rPr>
          <w:rFonts w:eastAsia="Times New Roman"/>
          <w:lang w:val="fr-FR"/>
        </w:rPr>
        <w:t>’</w:t>
      </w:r>
      <w:r w:rsidRPr="00C17484">
        <w:rPr>
          <w:rFonts w:eastAsia="Times New Roman"/>
          <w:lang w:val="fr-FR"/>
        </w:rPr>
        <w:t>inclusion de la doctrine émanant d</w:t>
      </w:r>
      <w:r w:rsidR="004937A0">
        <w:rPr>
          <w:rFonts w:eastAsia="Times New Roman"/>
          <w:lang w:val="fr-FR"/>
        </w:rPr>
        <w:t>’</w:t>
      </w:r>
      <w:r w:rsidRPr="00C17484">
        <w:rPr>
          <w:rFonts w:eastAsia="Times New Roman"/>
          <w:lang w:val="fr-FR"/>
        </w:rPr>
        <w:t xml:space="preserve">auteurs individuels ainsi que de </w:t>
      </w:r>
      <w:r>
        <w:rPr>
          <w:rFonts w:eastAsia="Times New Roman"/>
          <w:lang w:val="fr-FR"/>
        </w:rPr>
        <w:t>collectifs d</w:t>
      </w:r>
      <w:r w:rsidR="004937A0">
        <w:rPr>
          <w:rFonts w:eastAsia="Times New Roman"/>
          <w:lang w:val="fr-FR"/>
        </w:rPr>
        <w:t>’</w:t>
      </w:r>
      <w:r>
        <w:rPr>
          <w:rFonts w:eastAsia="Times New Roman"/>
          <w:lang w:val="fr-FR"/>
        </w:rPr>
        <w:t>auteurs</w:t>
      </w:r>
      <w:r w:rsidRPr="00C17484">
        <w:rPr>
          <w:rFonts w:eastAsia="Times New Roman"/>
          <w:lang w:val="fr-FR"/>
        </w:rPr>
        <w:t>, qu</w:t>
      </w:r>
      <w:r w:rsidR="004937A0">
        <w:rPr>
          <w:rFonts w:eastAsia="Times New Roman"/>
          <w:lang w:val="fr-FR"/>
        </w:rPr>
        <w:t>’</w:t>
      </w:r>
      <w:r w:rsidRPr="00C17484">
        <w:rPr>
          <w:rFonts w:eastAsia="Times New Roman"/>
          <w:lang w:val="fr-FR"/>
        </w:rPr>
        <w:t xml:space="preserve">ils soient privés ou créés par les États ou les organisations internationales, est conforme aux travaux antérieurs </w:t>
      </w:r>
      <w:r w:rsidRPr="0069529C">
        <w:rPr>
          <w:rFonts w:eastAsia="Times New Roman"/>
          <w:lang w:val="fr-FR"/>
        </w:rPr>
        <w:t xml:space="preserve">de la Commission. </w:t>
      </w:r>
      <w:r w:rsidRPr="00143133">
        <w:rPr>
          <w:rFonts w:eastAsia="Times New Roman"/>
          <w:lang w:val="fr-FR"/>
        </w:rPr>
        <w:t xml:space="preserve">Voir, </w:t>
      </w:r>
      <w:r w:rsidRPr="00143133">
        <w:rPr>
          <w:rFonts w:eastAsia="Times New Roman"/>
          <w:i/>
          <w:iCs/>
          <w:lang w:val="fr-FR"/>
        </w:rPr>
        <w:t>inter alia</w:t>
      </w:r>
      <w:r w:rsidRPr="00143133">
        <w:rPr>
          <w:rFonts w:eastAsia="Times New Roman"/>
          <w:lang w:val="fr-FR"/>
        </w:rPr>
        <w:t xml:space="preserve">, par. 4, ibid. </w:t>
      </w:r>
      <w:r>
        <w:rPr>
          <w:rFonts w:eastAsia="Times New Roman"/>
          <w:szCs w:val="18"/>
          <w:lang w:val="fr-FR"/>
        </w:rPr>
        <w:t>Figurent notamment parmi ces institutions privées l</w:t>
      </w:r>
      <w:r w:rsidR="004937A0">
        <w:rPr>
          <w:rFonts w:eastAsia="Times New Roman"/>
          <w:szCs w:val="18"/>
          <w:lang w:val="fr-FR"/>
        </w:rPr>
        <w:t>’</w:t>
      </w:r>
      <w:r w:rsidRPr="00F80FC3">
        <w:rPr>
          <w:rFonts w:eastAsia="Times New Roman"/>
          <w:szCs w:val="18"/>
          <w:lang w:val="fr-FR"/>
        </w:rPr>
        <w:t>Institut de droit international</w:t>
      </w:r>
      <w:r>
        <w:rPr>
          <w:rFonts w:eastAsia="Times New Roman"/>
          <w:szCs w:val="18"/>
          <w:lang w:val="fr-FR"/>
        </w:rPr>
        <w:t xml:space="preserve"> et l</w:t>
      </w:r>
      <w:r w:rsidR="004937A0">
        <w:rPr>
          <w:rFonts w:eastAsia="Times New Roman"/>
          <w:szCs w:val="18"/>
          <w:lang w:val="fr-FR"/>
        </w:rPr>
        <w:t>’</w:t>
      </w:r>
      <w:r w:rsidRPr="00F80FC3">
        <w:rPr>
          <w:rFonts w:eastAsia="Times New Roman"/>
          <w:szCs w:val="18"/>
          <w:lang w:val="fr-FR"/>
        </w:rPr>
        <w:t>Association</w:t>
      </w:r>
      <w:r>
        <w:rPr>
          <w:rFonts w:eastAsia="Times New Roman"/>
          <w:szCs w:val="18"/>
          <w:lang w:val="fr-FR"/>
        </w:rPr>
        <w:t xml:space="preserve"> de droit international (voir par. 5 du commentaire du projet de</w:t>
      </w:r>
      <w:r w:rsidRPr="00F80FC3">
        <w:rPr>
          <w:rFonts w:eastAsia="Times New Roman"/>
          <w:szCs w:val="18"/>
          <w:lang w:val="fr-CA"/>
        </w:rPr>
        <w:t xml:space="preserve"> conclusion 9 </w:t>
      </w:r>
      <w:r>
        <w:rPr>
          <w:rFonts w:eastAsia="Times New Roman"/>
          <w:szCs w:val="18"/>
          <w:lang w:val="fr-CA"/>
        </w:rPr>
        <w:t>du projet de</w:t>
      </w:r>
      <w:r w:rsidRPr="00F80FC3">
        <w:rPr>
          <w:rFonts w:eastAsia="Times New Roman"/>
          <w:szCs w:val="18"/>
          <w:lang w:val="fr-CA"/>
        </w:rPr>
        <w:t xml:space="preserve"> conclusions </w:t>
      </w:r>
      <w:r>
        <w:rPr>
          <w:rFonts w:eastAsia="Times New Roman"/>
          <w:szCs w:val="18"/>
          <w:lang w:val="fr-CA"/>
        </w:rPr>
        <w:t>sur les principes généraux du droit tel qu</w:t>
      </w:r>
      <w:r w:rsidR="004937A0">
        <w:rPr>
          <w:rFonts w:eastAsia="Times New Roman"/>
          <w:szCs w:val="18"/>
          <w:lang w:val="fr-CA"/>
        </w:rPr>
        <w:t>’</w:t>
      </w:r>
      <w:r>
        <w:rPr>
          <w:rFonts w:eastAsia="Times New Roman"/>
          <w:szCs w:val="18"/>
          <w:lang w:val="fr-CA"/>
        </w:rPr>
        <w:t>adopté en première lecture,</w:t>
      </w:r>
      <w:r w:rsidRPr="00F80FC3">
        <w:rPr>
          <w:rFonts w:eastAsia="Times New Roman"/>
          <w:szCs w:val="18"/>
          <w:lang w:val="fr-CA"/>
        </w:rPr>
        <w:t xml:space="preserve"> </w:t>
      </w:r>
      <w:hyperlink r:id="rId72" w:history="1">
        <w:r w:rsidRPr="00042735">
          <w:rPr>
            <w:rStyle w:val="Lienhypertexte"/>
            <w:rFonts w:eastAsia="Times New Roman"/>
            <w:szCs w:val="18"/>
            <w:lang w:val="fr-CA"/>
          </w:rPr>
          <w:t>A/78/10</w:t>
        </w:r>
      </w:hyperlink>
      <w:r w:rsidRPr="00F80FC3">
        <w:rPr>
          <w:rFonts w:eastAsia="Times New Roman"/>
          <w:szCs w:val="18"/>
          <w:lang w:val="fr-CA"/>
        </w:rPr>
        <w:t xml:space="preserve">, par. 41, </w:t>
      </w:r>
      <w:r>
        <w:rPr>
          <w:rFonts w:eastAsia="Times New Roman"/>
          <w:szCs w:val="18"/>
          <w:lang w:val="fr-CA"/>
        </w:rPr>
        <w:t>à la page 29</w:t>
      </w:r>
      <w:r w:rsidRPr="00F80FC3">
        <w:rPr>
          <w:rFonts w:eastAsia="Times New Roman"/>
          <w:szCs w:val="18"/>
          <w:lang w:val="fr-CA"/>
        </w:rPr>
        <w:t>)</w:t>
      </w:r>
      <w:r>
        <w:rPr>
          <w:rFonts w:eastAsia="Times New Roman"/>
          <w:szCs w:val="18"/>
          <w:lang w:val="fr-CA"/>
        </w:rPr>
        <w:t xml:space="preserve"> ainsi que le </w:t>
      </w:r>
      <w:r w:rsidRPr="00F80FC3">
        <w:rPr>
          <w:rFonts w:eastAsia="Times New Roman"/>
          <w:szCs w:val="18"/>
          <w:lang w:val="fr-CA"/>
        </w:rPr>
        <w:t>Harvard Research in International Law. Cela étant, dans le context</w:t>
      </w:r>
      <w:r>
        <w:rPr>
          <w:rFonts w:eastAsia="Times New Roman"/>
          <w:szCs w:val="18"/>
          <w:lang w:val="fr-CA"/>
        </w:rPr>
        <w:t>e</w:t>
      </w:r>
      <w:r w:rsidRPr="00F80FC3">
        <w:rPr>
          <w:rFonts w:eastAsia="Times New Roman"/>
          <w:szCs w:val="18"/>
          <w:lang w:val="fr-CA"/>
        </w:rPr>
        <w:t xml:space="preserve"> du pr</w:t>
      </w:r>
      <w:r>
        <w:rPr>
          <w:rFonts w:eastAsia="Times New Roman"/>
          <w:szCs w:val="18"/>
          <w:lang w:val="fr-CA"/>
        </w:rPr>
        <w:t>é</w:t>
      </w:r>
      <w:r w:rsidRPr="00F80FC3">
        <w:rPr>
          <w:rFonts w:eastAsia="Times New Roman"/>
          <w:szCs w:val="18"/>
          <w:lang w:val="fr-CA"/>
        </w:rPr>
        <w:t>sent sujet, la Commission a indiqué qu</w:t>
      </w:r>
      <w:r w:rsidR="004937A0">
        <w:rPr>
          <w:rFonts w:eastAsia="Times New Roman"/>
          <w:szCs w:val="18"/>
          <w:lang w:val="fr-CA"/>
        </w:rPr>
        <w:t>’</w:t>
      </w:r>
      <w:r w:rsidRPr="00F80FC3">
        <w:rPr>
          <w:rFonts w:eastAsia="Times New Roman"/>
          <w:szCs w:val="18"/>
          <w:lang w:val="fr-CA"/>
        </w:rPr>
        <w:t>elle se pen</w:t>
      </w:r>
      <w:r>
        <w:rPr>
          <w:rFonts w:eastAsia="Times New Roman"/>
          <w:szCs w:val="18"/>
          <w:lang w:val="fr-CA"/>
        </w:rPr>
        <w:t>cherait de nouveau sur la question</w:t>
      </w:r>
      <w:r w:rsidRPr="00F80FC3">
        <w:rPr>
          <w:rFonts w:eastAsia="Times New Roman"/>
          <w:szCs w:val="18"/>
          <w:lang w:val="fr-CA"/>
        </w:rPr>
        <w:t>.</w:t>
      </w:r>
    </w:p>
  </w:footnote>
  <w:footnote w:id="117">
    <w:p w14:paraId="3A5D2DE4" w14:textId="77777777" w:rsidR="004C5E26" w:rsidRPr="00C17484" w:rsidRDefault="004C5E26" w:rsidP="004C5E26">
      <w:pPr>
        <w:pStyle w:val="Notedebasdepage"/>
        <w:rPr>
          <w:rFonts w:eastAsia="Times New Roman"/>
          <w:lang w:val="fr-FR"/>
        </w:rPr>
      </w:pPr>
      <w:r w:rsidRPr="00F80FC3">
        <w:rPr>
          <w:rFonts w:eastAsia="Times New Roman"/>
          <w:lang w:val="fr-CA"/>
        </w:rPr>
        <w:tab/>
      </w:r>
      <w:r w:rsidRPr="0069529C">
        <w:rPr>
          <w:rStyle w:val="Appelnotedebasdep"/>
        </w:rPr>
        <w:footnoteRef/>
      </w:r>
      <w:r w:rsidRPr="0069529C">
        <w:rPr>
          <w:rFonts w:eastAsia="Times New Roman"/>
          <w:lang w:val="fr-FR"/>
        </w:rPr>
        <w:tab/>
        <w:t xml:space="preserve">Voir projet de conclusion 14, ibid., et par. 2 du projet de conclusion 9 </w:t>
      </w:r>
      <w:r>
        <w:rPr>
          <w:rFonts w:eastAsia="Times New Roman"/>
          <w:lang w:val="fr-FR"/>
        </w:rPr>
        <w:t>des</w:t>
      </w:r>
      <w:r w:rsidRPr="00C17484">
        <w:rPr>
          <w:rFonts w:eastAsia="Times New Roman"/>
          <w:lang w:val="fr-FR"/>
        </w:rPr>
        <w:t xml:space="preserve"> conclusions sur la détermination et les conséquences juridiques des normes impératives du droit international général (</w:t>
      </w:r>
      <w:r w:rsidRPr="00B90704">
        <w:rPr>
          <w:rFonts w:eastAsia="Times New Roman"/>
          <w:i/>
          <w:iCs/>
          <w:lang w:val="fr-FR"/>
        </w:rPr>
        <w:t>jus cogens</w:t>
      </w:r>
      <w:r w:rsidRPr="00C17484">
        <w:rPr>
          <w:rFonts w:eastAsia="Times New Roman"/>
          <w:lang w:val="fr-FR"/>
        </w:rPr>
        <w:t xml:space="preserve">), </w:t>
      </w:r>
      <w:hyperlink r:id="rId73" w:history="1">
        <w:r w:rsidRPr="00B90704">
          <w:rPr>
            <w:rStyle w:val="Lienhypertexte"/>
            <w:rFonts w:eastAsia="Times New Roman"/>
            <w:lang w:val="fr-FR"/>
          </w:rPr>
          <w:t>A/77/10</w:t>
        </w:r>
      </w:hyperlink>
      <w:r w:rsidRPr="00C17484">
        <w:rPr>
          <w:rFonts w:eastAsia="Times New Roman"/>
          <w:lang w:val="fr-FR"/>
        </w:rPr>
        <w:t>, par. 44, p. 45.</w:t>
      </w:r>
    </w:p>
  </w:footnote>
  <w:footnote w:id="118">
    <w:p w14:paraId="23B6605E" w14:textId="5312A05C"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Pr>
          <w:rFonts w:eastAsia="Times New Roman"/>
          <w:lang w:val="fr-FR"/>
        </w:rPr>
        <w:t>(</w:t>
      </w:r>
      <w:hyperlink r:id="rId74" w:history="1">
        <w:r w:rsidRPr="007730FE">
          <w:rPr>
            <w:rStyle w:val="Lienhypertexte"/>
            <w:rFonts w:eastAsia="Times New Roman"/>
            <w:lang w:val="fr-FR"/>
          </w:rPr>
          <w:t>A/73/10</w:t>
        </w:r>
      </w:hyperlink>
      <w:r>
        <w:rPr>
          <w:rFonts w:eastAsia="Times New Roman"/>
          <w:lang w:val="fr-FR"/>
        </w:rPr>
        <w:t>)</w:t>
      </w:r>
      <w:r w:rsidRPr="00B22A2A">
        <w:rPr>
          <w:rFonts w:eastAsia="Times New Roman"/>
          <w:lang w:val="fr-FR"/>
        </w:rPr>
        <w:t>, par.</w:t>
      </w:r>
      <w:r>
        <w:rPr>
          <w:rFonts w:eastAsia="Times New Roman"/>
          <w:lang w:val="fr-FR"/>
        </w:rPr>
        <w:t> </w:t>
      </w:r>
      <w:r w:rsidRPr="00B22A2A">
        <w:rPr>
          <w:rFonts w:eastAsia="Times New Roman"/>
          <w:lang w:val="fr-FR"/>
        </w:rPr>
        <w:t>65.</w:t>
      </w:r>
    </w:p>
  </w:footnote>
  <w:footnote w:id="119">
    <w:p w14:paraId="269BB624"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hyperlink r:id="rId75" w:history="1">
        <w:r w:rsidRPr="007730FE">
          <w:rPr>
            <w:rStyle w:val="Lienhypertexte"/>
            <w:lang w:val="fr-FR"/>
          </w:rPr>
          <w:t>A/78/10</w:t>
        </w:r>
      </w:hyperlink>
      <w:r w:rsidRPr="00C17484">
        <w:rPr>
          <w:lang w:val="fr-FR"/>
        </w:rPr>
        <w:t>, par. 40.</w:t>
      </w:r>
    </w:p>
  </w:footnote>
  <w:footnote w:id="120">
    <w:p w14:paraId="3EA73B33"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hyperlink r:id="rId76" w:history="1">
        <w:r w:rsidRPr="007730FE">
          <w:rPr>
            <w:rStyle w:val="Lienhypertexte"/>
            <w:rFonts w:eastAsia="Times New Roman"/>
            <w:lang w:val="fr-FR"/>
          </w:rPr>
          <w:t>A/77/10</w:t>
        </w:r>
      </w:hyperlink>
      <w:r w:rsidRPr="00C17484">
        <w:rPr>
          <w:rFonts w:eastAsia="Times New Roman"/>
          <w:lang w:val="fr-FR"/>
        </w:rPr>
        <w:t>, par. 43.</w:t>
      </w:r>
    </w:p>
  </w:footnote>
  <w:footnote w:id="121">
    <w:p w14:paraId="3096EF3E" w14:textId="5F4992F1"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r w:rsidRPr="00C17484">
        <w:rPr>
          <w:lang w:val="fr-FR"/>
        </w:rPr>
        <w:t>Voir, à cet égard, les déclarations faites par l</w:t>
      </w:r>
      <w:r w:rsidR="004937A0">
        <w:rPr>
          <w:lang w:val="fr-FR"/>
        </w:rPr>
        <w:t>’</w:t>
      </w:r>
      <w:r w:rsidRPr="00C17484">
        <w:rPr>
          <w:lang w:val="fr-FR"/>
        </w:rPr>
        <w:t>Ouganda et la Sierra Leone devant la Sixième Commission à la soixante-dix-huitième session de l</w:t>
      </w:r>
      <w:r w:rsidR="004937A0">
        <w:rPr>
          <w:lang w:val="fr-FR"/>
        </w:rPr>
        <w:t>’</w:t>
      </w:r>
      <w:r w:rsidRPr="00C17484">
        <w:rPr>
          <w:lang w:val="fr-FR"/>
        </w:rPr>
        <w:t>Assemblée générale durant le débat consacré au rapport de la Commission. Disponible à l</w:t>
      </w:r>
      <w:r w:rsidR="004937A0">
        <w:rPr>
          <w:lang w:val="fr-FR"/>
        </w:rPr>
        <w:t>’</w:t>
      </w:r>
      <w:r w:rsidRPr="00C17484">
        <w:rPr>
          <w:lang w:val="fr-FR"/>
        </w:rPr>
        <w:t xml:space="preserve">adresse </w:t>
      </w:r>
      <w:r>
        <w:rPr>
          <w:lang w:val="fr-FR"/>
        </w:rPr>
        <w:t>suivante :</w:t>
      </w:r>
      <w:r w:rsidR="00042735">
        <w:rPr>
          <w:lang w:val="fr-FR"/>
        </w:rPr>
        <w:t xml:space="preserve"> </w:t>
      </w:r>
      <w:hyperlink r:id="rId77" w:history="1">
        <w:r w:rsidR="00245505" w:rsidRPr="00ED66A8">
          <w:rPr>
            <w:rStyle w:val="Lienhypertexte"/>
            <w:sz w:val="17"/>
            <w:szCs w:val="17"/>
            <w:lang w:val="fr-FR"/>
          </w:rPr>
          <w:t>https://www.un.org/en/ga/sixth/78/summaries.shtml</w:t>
        </w:r>
      </w:hyperlink>
      <w:r w:rsidRPr="00C17484">
        <w:rPr>
          <w:lang w:val="fr-FR"/>
        </w:rPr>
        <w:t>.</w:t>
      </w:r>
    </w:p>
  </w:footnote>
  <w:footnote w:id="122">
    <w:p w14:paraId="2964DD97" w14:textId="4FB8A687" w:rsidR="004C5E26" w:rsidRPr="00F80FC3" w:rsidRDefault="004C5E26" w:rsidP="004C5E26">
      <w:pPr>
        <w:pStyle w:val="Notedebasdepage"/>
        <w:rPr>
          <w:lang w:val="fr-CA"/>
        </w:rPr>
      </w:pPr>
      <w:r>
        <w:tab/>
      </w:r>
      <w:r>
        <w:rPr>
          <w:rStyle w:val="Appelnotedebasdep"/>
        </w:rPr>
        <w:footnoteRef/>
      </w:r>
      <w:r>
        <w:tab/>
        <w:t>Voir, par exemple, l</w:t>
      </w:r>
      <w:r w:rsidR="004937A0">
        <w:t>’</w:t>
      </w:r>
      <w:r>
        <w:t xml:space="preserve">article 2 du Pacte international relatif aux droits civils et politiques, qui prévoit que les États reconnaissent à tous les individus les droits reconnus dans le Pacte, sans distinction aucune, notamment de race, de couleur, de sexe, de langue ou de religion, Pacte international relatif aux droits civils et politiques (New York, 16 décembre 1966), Nations Unies, </w:t>
      </w:r>
      <w:r w:rsidRPr="00F80FC3">
        <w:rPr>
          <w:i/>
          <w:iCs/>
        </w:rPr>
        <w:t>Recueil des Traités</w:t>
      </w:r>
      <w:r>
        <w:t>, vol.</w:t>
      </w:r>
      <w:r w:rsidR="00245505">
        <w:t> </w:t>
      </w:r>
      <w:r>
        <w:t xml:space="preserve">999, </w:t>
      </w:r>
      <w:r w:rsidR="00245505">
        <w:rPr>
          <w:rFonts w:eastAsia="MS Mincho"/>
        </w:rPr>
        <w:t>n</w:t>
      </w:r>
      <w:r w:rsidR="00245505">
        <w:rPr>
          <w:rFonts w:eastAsia="MS Mincho"/>
          <w:vertAlign w:val="superscript"/>
        </w:rPr>
        <w:t>o</w:t>
      </w:r>
      <w:r>
        <w:t xml:space="preserve"> 14668, p. 187. Voir Nations Unies, </w:t>
      </w:r>
      <w:r w:rsidRPr="00F80FC3">
        <w:rPr>
          <w:i/>
          <w:iCs/>
        </w:rPr>
        <w:t>État des traités multilatéraux</w:t>
      </w:r>
      <w:r>
        <w:t>, chap. IV.4.</w:t>
      </w:r>
    </w:p>
  </w:footnote>
  <w:footnote w:id="123">
    <w:p w14:paraId="1D95A8F3" w14:textId="77777777" w:rsidR="004C5E26" w:rsidRPr="00F80FC3" w:rsidRDefault="004C5E26" w:rsidP="004C5E26">
      <w:pPr>
        <w:pStyle w:val="Notedebasdepage"/>
        <w:rPr>
          <w:lang w:val="fr-CA"/>
        </w:rPr>
      </w:pPr>
      <w:r w:rsidRPr="007B1F71">
        <w:tab/>
      </w:r>
      <w:r w:rsidRPr="0053774D">
        <w:rPr>
          <w:rStyle w:val="Appelnotedebasdep"/>
        </w:rPr>
        <w:footnoteRef/>
      </w:r>
      <w:r w:rsidRPr="00F80FC3">
        <w:rPr>
          <w:lang w:val="fr-CA"/>
        </w:rPr>
        <w:tab/>
        <w:t xml:space="preserve">États-Unis, Cour suprême, </w:t>
      </w:r>
      <w:r w:rsidRPr="00F80FC3">
        <w:rPr>
          <w:i/>
          <w:iCs/>
          <w:lang w:val="fr-CA"/>
        </w:rPr>
        <w:t>The Paquete Habana and The Lola</w:t>
      </w:r>
      <w:r w:rsidRPr="00F80FC3">
        <w:rPr>
          <w:lang w:val="fr-CA"/>
        </w:rPr>
        <w:t>, 175 U.S. 677 (1900), p. 700.</w:t>
      </w:r>
    </w:p>
  </w:footnote>
  <w:footnote w:id="124">
    <w:p w14:paraId="117F2382" w14:textId="050CCF25" w:rsidR="004C5E26" w:rsidRPr="00C51781" w:rsidRDefault="004C5E26" w:rsidP="004C5E26">
      <w:pPr>
        <w:pStyle w:val="Notedebasdepage"/>
      </w:pPr>
      <w:r>
        <w:tab/>
      </w:r>
      <w:r>
        <w:rPr>
          <w:rStyle w:val="Appelnotedebasdep"/>
        </w:rPr>
        <w:footnoteRef/>
      </w:r>
      <w:r w:rsidRPr="00C51781">
        <w:tab/>
      </w:r>
      <w:r w:rsidRPr="00F80FC3">
        <w:t>Cour supr</w:t>
      </w:r>
      <w:r w:rsidR="00245505">
        <w:t>ê</w:t>
      </w:r>
      <w:r w:rsidRPr="00F80FC3">
        <w:t>me d</w:t>
      </w:r>
      <w:r w:rsidR="004937A0">
        <w:t>’</w:t>
      </w:r>
      <w:r w:rsidRPr="00F80FC3">
        <w:t>appel de l</w:t>
      </w:r>
      <w:r w:rsidR="004937A0">
        <w:t>’</w:t>
      </w:r>
      <w:r w:rsidRPr="00F80FC3">
        <w:t xml:space="preserve">Afrique du </w:t>
      </w:r>
      <w:r>
        <w:t>Sud,</w:t>
      </w:r>
      <w:r w:rsidRPr="00F80FC3">
        <w:t xml:space="preserve"> </w:t>
      </w:r>
      <w:r w:rsidRPr="00F80FC3">
        <w:rPr>
          <w:i/>
          <w:iCs/>
        </w:rPr>
        <w:t>Minister of Justice and Constitutional Development and others v. Southern African Litigation Centre and others</w:t>
      </w:r>
      <w:r w:rsidRPr="00F80FC3">
        <w:t>, 2016 (3) SA 317 (SCA) (15</w:t>
      </w:r>
      <w:r>
        <w:t xml:space="preserve"> mars</w:t>
      </w:r>
      <w:r w:rsidRPr="00F80FC3">
        <w:t xml:space="preserve"> 2016).</w:t>
      </w:r>
    </w:p>
  </w:footnote>
  <w:footnote w:id="125">
    <w:p w14:paraId="5581F2AA" w14:textId="77777777" w:rsidR="004C5E26" w:rsidRPr="00F80FC3" w:rsidRDefault="004C5E26" w:rsidP="004C5E26">
      <w:pPr>
        <w:pStyle w:val="Notedebasdepage"/>
        <w:rPr>
          <w:lang w:val="fr-CA"/>
        </w:rPr>
      </w:pPr>
      <w:r>
        <w:tab/>
      </w:r>
      <w:r>
        <w:rPr>
          <w:rStyle w:val="Appelnotedebasdep"/>
        </w:rPr>
        <w:footnoteRef/>
      </w:r>
      <w:r>
        <w:tab/>
        <w:t xml:space="preserve">Ibid., par. 69. </w:t>
      </w:r>
    </w:p>
  </w:footnote>
  <w:footnote w:id="126">
    <w:p w14:paraId="754745B0" w14:textId="77777777" w:rsidR="004C5E26" w:rsidRPr="00F80FC3" w:rsidRDefault="004C5E26" w:rsidP="004C5E26">
      <w:pPr>
        <w:pStyle w:val="Notedebasdepage"/>
        <w:rPr>
          <w:lang w:val="fr-CA"/>
        </w:rPr>
      </w:pPr>
      <w:r>
        <w:tab/>
      </w:r>
      <w:r>
        <w:rPr>
          <w:rStyle w:val="Appelnotedebasdep"/>
        </w:rPr>
        <w:footnoteRef/>
      </w:r>
      <w:r>
        <w:tab/>
        <w:t xml:space="preserve">Ibid., par. 70. </w:t>
      </w:r>
    </w:p>
  </w:footnote>
  <w:footnote w:id="127">
    <w:p w14:paraId="4A495A49" w14:textId="77777777" w:rsidR="004C5E26" w:rsidRPr="00F80FC3" w:rsidRDefault="004C5E26" w:rsidP="004C5E26">
      <w:pPr>
        <w:pStyle w:val="Notedebasdepage"/>
        <w:rPr>
          <w:lang w:val="fr-CA"/>
        </w:rPr>
      </w:pPr>
      <w:r>
        <w:tab/>
      </w:r>
      <w:r>
        <w:rPr>
          <w:rStyle w:val="Appelnotedebasdep"/>
        </w:rPr>
        <w:footnoteRef/>
      </w:r>
      <w:r>
        <w:tab/>
        <w:t xml:space="preserve">Ibid., par. 74. </w:t>
      </w:r>
    </w:p>
  </w:footnote>
  <w:footnote w:id="128">
    <w:p w14:paraId="7B198B57" w14:textId="77777777" w:rsidR="004C5E26" w:rsidRPr="00F80FC3" w:rsidRDefault="004C5E26" w:rsidP="004C5E26">
      <w:pPr>
        <w:pStyle w:val="Notedebasdepage"/>
        <w:rPr>
          <w:lang w:val="fr-CA"/>
        </w:rPr>
      </w:pPr>
      <w:r>
        <w:tab/>
      </w:r>
      <w:r>
        <w:rPr>
          <w:rStyle w:val="Appelnotedebasdep"/>
        </w:rPr>
        <w:footnoteRef/>
      </w:r>
      <w:r>
        <w:tab/>
        <w:t xml:space="preserve">Ibid. </w:t>
      </w:r>
    </w:p>
  </w:footnote>
  <w:footnote w:id="129">
    <w:p w14:paraId="1E038D3B" w14:textId="77777777" w:rsidR="004C5E26" w:rsidRPr="00C17484" w:rsidRDefault="004C5E26" w:rsidP="004C5E26">
      <w:pPr>
        <w:pStyle w:val="Notedebasdepage"/>
        <w:rPr>
          <w:lang w:val="fr-FR"/>
        </w:rPr>
      </w:pPr>
      <w:r w:rsidRPr="00F80FC3">
        <w:tab/>
      </w:r>
      <w:r w:rsidRPr="0053774D">
        <w:rPr>
          <w:rStyle w:val="Appelnotedebasdep"/>
        </w:rPr>
        <w:footnoteRef/>
      </w:r>
      <w:r>
        <w:rPr>
          <w:lang w:val="fr-FR"/>
        </w:rPr>
        <w:tab/>
      </w:r>
      <w:r w:rsidRPr="00C17484">
        <w:rPr>
          <w:lang w:val="fr-FR"/>
        </w:rPr>
        <w:t xml:space="preserve">Voir le deuxième rapport du Rapporteur spécial sur les </w:t>
      </w:r>
      <w:r w:rsidRPr="00C17484">
        <w:rPr>
          <w:rFonts w:eastAsia="Times New Roman"/>
          <w:color w:val="000000"/>
          <w:lang w:val="fr-FR"/>
        </w:rPr>
        <w:t xml:space="preserve">moyens auxiliaires de détermination des règles de droit international </w:t>
      </w:r>
      <w:r w:rsidRPr="00C17484">
        <w:rPr>
          <w:lang w:val="fr-FR"/>
        </w:rPr>
        <w:t>(</w:t>
      </w:r>
      <w:hyperlink r:id="rId78" w:history="1">
        <w:r w:rsidRPr="000D6492">
          <w:rPr>
            <w:rStyle w:val="Lienhypertexte"/>
            <w:lang w:val="fr-FR"/>
          </w:rPr>
          <w:t>A/CN.4/769</w:t>
        </w:r>
      </w:hyperlink>
      <w:r w:rsidRPr="00C17484">
        <w:rPr>
          <w:lang w:val="fr-FR"/>
        </w:rPr>
        <w:t>), par. 64 à 126.</w:t>
      </w:r>
    </w:p>
  </w:footnote>
  <w:footnote w:id="130">
    <w:p w14:paraId="094DD765" w14:textId="77777777" w:rsidR="004C5E26" w:rsidRPr="00C17484" w:rsidRDefault="004C5E26" w:rsidP="004C5E26">
      <w:pPr>
        <w:pStyle w:val="Notedebasdepage"/>
        <w:rPr>
          <w:lang w:val="fr-FR"/>
        </w:rPr>
      </w:pPr>
      <w:r>
        <w:rPr>
          <w:lang w:val="fr-FR"/>
        </w:rPr>
        <w:tab/>
      </w:r>
      <w:r w:rsidRPr="0053774D">
        <w:rPr>
          <w:rStyle w:val="Appelnotedebasdep"/>
        </w:rPr>
        <w:footnoteRef/>
      </w:r>
      <w:r>
        <w:rPr>
          <w:lang w:val="fr-FR"/>
        </w:rPr>
        <w:tab/>
      </w:r>
      <w:r w:rsidRPr="00C17484">
        <w:rPr>
          <w:lang w:val="fr-FR"/>
        </w:rPr>
        <w:t>Ibid.</w:t>
      </w:r>
    </w:p>
  </w:footnote>
  <w:footnote w:id="131">
    <w:p w14:paraId="0A4CF1B2" w14:textId="2FDC4DC6"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par. 6 du commentaire du projet de conclusion 1, </w:t>
      </w:r>
      <w:hyperlink r:id="rId79" w:history="1">
        <w:r w:rsidRPr="0066177E">
          <w:rPr>
            <w:rStyle w:val="Lienhypertexte"/>
            <w:rFonts w:eastAsia="Times New Roman"/>
            <w:lang w:val="fr-FR"/>
          </w:rPr>
          <w:t>A/78/10</w:t>
        </w:r>
      </w:hyperlink>
      <w:r w:rsidRPr="00C17484">
        <w:rPr>
          <w:rFonts w:eastAsia="Times New Roman"/>
          <w:lang w:val="fr-FR"/>
        </w:rPr>
        <w:t>, par. 126, p. 83 (« [les moyens auxiliaires] sont utilisés pour aider à déterminer si des règles de droit international existent ou non et, dans l</w:t>
      </w:r>
      <w:r w:rsidR="004937A0">
        <w:rPr>
          <w:rFonts w:eastAsia="Times New Roman"/>
          <w:lang w:val="fr-FR"/>
        </w:rPr>
        <w:t>’</w:t>
      </w:r>
      <w:r w:rsidRPr="00C17484">
        <w:rPr>
          <w:rFonts w:eastAsia="Times New Roman"/>
          <w:lang w:val="fr-FR"/>
        </w:rPr>
        <w:t xml:space="preserve">affirmative, à </w:t>
      </w:r>
      <w:r>
        <w:rPr>
          <w:rFonts w:eastAsia="Times New Roman"/>
          <w:lang w:val="fr-FR"/>
        </w:rPr>
        <w:t xml:space="preserve">en </w:t>
      </w:r>
      <w:r w:rsidRPr="00C17484">
        <w:rPr>
          <w:rFonts w:eastAsia="Times New Roman"/>
          <w:lang w:val="fr-FR"/>
        </w:rPr>
        <w:t xml:space="preserve">déterminer le contenu »). Voir </w:t>
      </w:r>
      <w:r>
        <w:rPr>
          <w:rFonts w:eastAsia="Times New Roman"/>
          <w:lang w:val="fr-FR"/>
        </w:rPr>
        <w:t xml:space="preserve">aussi </w:t>
      </w:r>
      <w:hyperlink r:id="rId80" w:history="1">
        <w:r w:rsidRPr="0066177E">
          <w:rPr>
            <w:rStyle w:val="Lienhypertexte"/>
            <w:rFonts w:eastAsia="Times New Roman"/>
            <w:lang w:val="fr-FR"/>
          </w:rPr>
          <w:t>A/CN.4/769</w:t>
        </w:r>
      </w:hyperlink>
      <w:r w:rsidRPr="00C17484">
        <w:rPr>
          <w:rFonts w:eastAsia="Times New Roman"/>
          <w:lang w:val="fr-FR"/>
        </w:rPr>
        <w:t>, par. 21 (durant le premier débat en plénière sur le sujet des moyens auxiliaires de détermination des règles de droit international, les membres de la Commission se sont accordés pour dire que les moyens auxiliaires « jou[aient] en pratique un rôle d</w:t>
      </w:r>
      <w:r w:rsidR="004937A0">
        <w:rPr>
          <w:rFonts w:eastAsia="Times New Roman"/>
          <w:lang w:val="fr-FR"/>
        </w:rPr>
        <w:t>’</w:t>
      </w:r>
      <w:r w:rsidRPr="00C17484">
        <w:rPr>
          <w:rFonts w:eastAsia="Times New Roman"/>
          <w:lang w:val="fr-FR"/>
        </w:rPr>
        <w:t>assistance important dans la détermination de l</w:t>
      </w:r>
      <w:r w:rsidR="004937A0">
        <w:rPr>
          <w:rFonts w:eastAsia="Times New Roman"/>
          <w:lang w:val="fr-FR"/>
        </w:rPr>
        <w:t>’</w:t>
      </w:r>
      <w:r w:rsidRPr="00C17484">
        <w:rPr>
          <w:rFonts w:eastAsia="Times New Roman"/>
          <w:lang w:val="fr-FR"/>
        </w:rPr>
        <w:t>existence et du contenu des règles de droit international</w:t>
      </w:r>
      <w:r>
        <w:rPr>
          <w:rFonts w:eastAsia="Times New Roman"/>
          <w:lang w:val="fr-FR"/>
        </w:rPr>
        <w:t>.</w:t>
      </w:r>
      <w:r w:rsidRPr="00C17484">
        <w:rPr>
          <w:rFonts w:eastAsia="Times New Roman"/>
          <w:lang w:val="fr-FR"/>
        </w:rPr>
        <w:t> »).</w:t>
      </w:r>
    </w:p>
  </w:footnote>
  <w:footnote w:id="132">
    <w:p w14:paraId="44E0EF63" w14:textId="2B5514E2"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Voir le premier rapport du Rapporteur spécial sur les moyens auxiliaires de détermination des règles de droit international (</w:t>
      </w:r>
      <w:hyperlink r:id="rId81" w:history="1">
        <w:r w:rsidRPr="0066177E">
          <w:rPr>
            <w:rStyle w:val="Lienhypertexte"/>
            <w:rFonts w:eastAsia="Times New Roman"/>
            <w:lang w:val="fr-FR"/>
          </w:rPr>
          <w:t>A/CN.4/760</w:t>
        </w:r>
      </w:hyperlink>
      <w:r w:rsidRPr="00C17484">
        <w:rPr>
          <w:rFonts w:eastAsia="Times New Roman"/>
          <w:lang w:val="fr-FR"/>
        </w:rPr>
        <w:t xml:space="preserve">), par. 286. Voir </w:t>
      </w:r>
      <w:r>
        <w:rPr>
          <w:rFonts w:eastAsia="Times New Roman"/>
          <w:lang w:val="fr-FR"/>
        </w:rPr>
        <w:t>aussi</w:t>
      </w:r>
      <w:r w:rsidRPr="00C17484">
        <w:rPr>
          <w:rFonts w:eastAsia="Times New Roman"/>
          <w:lang w:val="fr-FR"/>
        </w:rPr>
        <w:t xml:space="preserve"> par. 1 du commentaire de la conclusion 13 des conclusions sur la détermination du droit international coutumier, </w:t>
      </w:r>
      <w:r w:rsidRPr="00BC36AB">
        <w:rPr>
          <w:rFonts w:eastAsia="Times New Roman"/>
          <w:i/>
          <w:iCs/>
          <w:lang w:val="fr-FR"/>
        </w:rPr>
        <w:t>Documents officiels de l</w:t>
      </w:r>
      <w:r w:rsidR="004937A0">
        <w:rPr>
          <w:rFonts w:eastAsia="Times New Roman"/>
          <w:i/>
          <w:iCs/>
          <w:lang w:val="fr-FR"/>
        </w:rPr>
        <w:t>’</w:t>
      </w:r>
      <w:r w:rsidRPr="00BC36AB">
        <w:rPr>
          <w:rFonts w:eastAsia="Times New Roman"/>
          <w:i/>
          <w:iCs/>
          <w:lang w:val="fr-FR"/>
        </w:rPr>
        <w:t>Assemblée générale, soixante-dixième session, Supplément n</w:t>
      </w:r>
      <w:r w:rsidRPr="00BC36AB">
        <w:rPr>
          <w:rFonts w:eastAsia="Times New Roman"/>
          <w:i/>
          <w:iCs/>
          <w:vertAlign w:val="superscript"/>
          <w:lang w:val="fr-FR"/>
        </w:rPr>
        <w:t>o</w:t>
      </w:r>
      <w:r w:rsidRPr="00BC36AB">
        <w:rPr>
          <w:rFonts w:eastAsia="Times New Roman"/>
          <w:i/>
          <w:iCs/>
          <w:lang w:val="fr-FR"/>
        </w:rPr>
        <w:t> 10</w:t>
      </w:r>
      <w:r>
        <w:rPr>
          <w:rFonts w:eastAsia="Times New Roman"/>
          <w:i/>
          <w:iCs/>
          <w:lang w:val="fr-FR"/>
        </w:rPr>
        <w:t xml:space="preserve"> </w:t>
      </w:r>
      <w:r>
        <w:rPr>
          <w:rFonts w:eastAsia="Times New Roman"/>
          <w:lang w:val="fr-FR"/>
        </w:rPr>
        <w:t>(</w:t>
      </w:r>
      <w:hyperlink r:id="rId82" w:history="1">
        <w:r w:rsidRPr="0066177E">
          <w:rPr>
            <w:rStyle w:val="Lienhypertexte"/>
            <w:rFonts w:eastAsia="Times New Roman"/>
            <w:lang w:val="fr-FR"/>
          </w:rPr>
          <w:t>A/73/10</w:t>
        </w:r>
      </w:hyperlink>
      <w:r>
        <w:rPr>
          <w:rFonts w:eastAsia="Times New Roman"/>
          <w:lang w:val="fr-FR"/>
        </w:rPr>
        <w:t>)</w:t>
      </w:r>
      <w:r w:rsidRPr="00C17484">
        <w:rPr>
          <w:rFonts w:eastAsia="Times New Roman"/>
          <w:lang w:val="fr-FR"/>
        </w:rPr>
        <w:t>, par. 66 (« les décisions des juridictions nationales peuvent avoir une double fonction à cet égard. D</w:t>
      </w:r>
      <w:r w:rsidR="004937A0">
        <w:rPr>
          <w:rFonts w:eastAsia="Times New Roman"/>
          <w:lang w:val="fr-FR"/>
        </w:rPr>
        <w:t>’</w:t>
      </w:r>
      <w:r w:rsidRPr="00C17484">
        <w:rPr>
          <w:rFonts w:eastAsia="Times New Roman"/>
          <w:lang w:val="fr-FR"/>
        </w:rPr>
        <w:t>une part, elles peuvent valoir pratique ainsi que preuve de l</w:t>
      </w:r>
      <w:r w:rsidR="004937A0">
        <w:rPr>
          <w:rFonts w:eastAsia="Times New Roman"/>
          <w:lang w:val="fr-FR"/>
        </w:rPr>
        <w:t>’</w:t>
      </w:r>
      <w:r w:rsidRPr="00C17484">
        <w:rPr>
          <w:rFonts w:eastAsia="Times New Roman"/>
          <w:lang w:val="fr-FR"/>
        </w:rPr>
        <w:t>acceptation comme étant le droit (</w:t>
      </w:r>
      <w:r w:rsidRPr="0066177E">
        <w:rPr>
          <w:rFonts w:eastAsia="Times New Roman"/>
          <w:i/>
          <w:iCs/>
          <w:lang w:val="fr-FR"/>
        </w:rPr>
        <w:t>opinio juris</w:t>
      </w:r>
      <w:r w:rsidRPr="00C17484">
        <w:rPr>
          <w:rFonts w:eastAsia="Times New Roman"/>
          <w:lang w:val="fr-FR"/>
        </w:rPr>
        <w:t>) de la part de l</w:t>
      </w:r>
      <w:r w:rsidR="004937A0">
        <w:rPr>
          <w:rFonts w:eastAsia="Times New Roman"/>
          <w:lang w:val="fr-FR"/>
        </w:rPr>
        <w:t>’</w:t>
      </w:r>
      <w:r w:rsidRPr="00C17484">
        <w:rPr>
          <w:rFonts w:eastAsia="Times New Roman"/>
          <w:lang w:val="fr-FR"/>
        </w:rPr>
        <w:t>État du for […]. D</w:t>
      </w:r>
      <w:r w:rsidR="004937A0">
        <w:rPr>
          <w:rFonts w:eastAsia="Times New Roman"/>
          <w:lang w:val="fr-FR"/>
        </w:rPr>
        <w:t>’</w:t>
      </w:r>
      <w:r w:rsidRPr="00C17484">
        <w:rPr>
          <w:rFonts w:eastAsia="Times New Roman"/>
          <w:lang w:val="fr-FR"/>
        </w:rPr>
        <w:t>autre part, lorsqu</w:t>
      </w:r>
      <w:r w:rsidR="004937A0">
        <w:rPr>
          <w:rFonts w:eastAsia="Times New Roman"/>
          <w:lang w:val="fr-FR"/>
        </w:rPr>
        <w:t>’</w:t>
      </w:r>
      <w:r w:rsidRPr="00C17484">
        <w:rPr>
          <w:rFonts w:eastAsia="Times New Roman"/>
          <w:lang w:val="fr-FR"/>
        </w:rPr>
        <w:t>elles sont elles-mêmes relatives à l</w:t>
      </w:r>
      <w:r w:rsidR="004937A0">
        <w:rPr>
          <w:rFonts w:eastAsia="Times New Roman"/>
          <w:lang w:val="fr-FR"/>
        </w:rPr>
        <w:t>’</w:t>
      </w:r>
      <w:r w:rsidRPr="00C17484">
        <w:rPr>
          <w:rFonts w:eastAsia="Times New Roman"/>
          <w:lang w:val="fr-FR"/>
        </w:rPr>
        <w:t>existence et au contenu de règles de droit international coutumier, elles peuvent constituer un moyen auxiliaire de détermination de ces règles, comme il est indiqué dans le projet de conclusion 13 ».).</w:t>
      </w:r>
    </w:p>
  </w:footnote>
  <w:footnote w:id="133">
    <w:p w14:paraId="044C8BE0" w14:textId="77777777" w:rsidR="004C5E26" w:rsidRPr="00C17484" w:rsidRDefault="004C5E26" w:rsidP="004C5E26">
      <w:pPr>
        <w:pStyle w:val="Notedebasdepage"/>
        <w:rPr>
          <w:rFonts w:eastAsia="Times New Roman"/>
          <w:lang w:val="fr-FR"/>
        </w:rPr>
      </w:pPr>
      <w:r>
        <w:rPr>
          <w:lang w:val="fr-FR"/>
        </w:rPr>
        <w:tab/>
      </w:r>
      <w:r w:rsidRPr="0053774D">
        <w:rPr>
          <w:rStyle w:val="Appelnotedebasdep"/>
        </w:rPr>
        <w:footnoteRef/>
      </w:r>
      <w:r>
        <w:rPr>
          <w:lang w:val="fr-FR"/>
        </w:rPr>
        <w:tab/>
      </w:r>
      <w:r w:rsidRPr="00C17484">
        <w:rPr>
          <w:lang w:val="fr-FR"/>
        </w:rPr>
        <w:t xml:space="preserve">Voir </w:t>
      </w:r>
      <w:r w:rsidRPr="00C17484">
        <w:rPr>
          <w:rFonts w:eastAsia="Times New Roman"/>
          <w:lang w:val="fr-FR"/>
        </w:rPr>
        <w:t xml:space="preserve">par. 5 du commentaire de la conclusion 5 du projet de conclusions sur les principes généraux du droit international, </w:t>
      </w:r>
      <w:hyperlink r:id="rId83" w:history="1">
        <w:r w:rsidRPr="0066177E">
          <w:rPr>
            <w:rStyle w:val="Lienhypertexte"/>
            <w:rFonts w:eastAsia="Times New Roman"/>
            <w:lang w:val="fr-FR"/>
          </w:rPr>
          <w:t>A/78/10</w:t>
        </w:r>
      </w:hyperlink>
      <w:r w:rsidRPr="00C17484">
        <w:rPr>
          <w:rFonts w:eastAsia="Times New Roman"/>
          <w:lang w:val="fr-FR"/>
        </w:rPr>
        <w:t>, par. 41, p. 20.</w:t>
      </w:r>
    </w:p>
  </w:footnote>
  <w:footnote w:id="134">
    <w:p w14:paraId="079EBADD"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Voir par. 6 du commentaire de la conclusion 9 du projet de conclusions sur la détermination et les conséquences juridiques des normes impératives du droit international général (</w:t>
      </w:r>
      <w:r w:rsidRPr="0066177E">
        <w:rPr>
          <w:rFonts w:eastAsia="Times New Roman"/>
          <w:i/>
          <w:iCs/>
          <w:lang w:val="fr-FR"/>
        </w:rPr>
        <w:t>jus cogens</w:t>
      </w:r>
      <w:r w:rsidRPr="00C17484">
        <w:rPr>
          <w:rFonts w:eastAsia="Times New Roman"/>
          <w:lang w:val="fr-FR"/>
        </w:rPr>
        <w:t xml:space="preserve">), </w:t>
      </w:r>
      <w:hyperlink r:id="rId84" w:history="1">
        <w:r w:rsidRPr="0066177E">
          <w:rPr>
            <w:rStyle w:val="Lienhypertexte"/>
            <w:rFonts w:eastAsia="Times New Roman"/>
            <w:lang w:val="fr-FR"/>
          </w:rPr>
          <w:t>A/77/10</w:t>
        </w:r>
      </w:hyperlink>
      <w:r w:rsidRPr="00C17484">
        <w:rPr>
          <w:rFonts w:eastAsia="Times New Roman"/>
          <w:lang w:val="fr-FR"/>
        </w:rPr>
        <w:t>, par. 44, p. 48.</w:t>
      </w:r>
    </w:p>
  </w:footnote>
  <w:footnote w:id="135">
    <w:p w14:paraId="6F736362" w14:textId="0CE0A5D3"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Par</w:t>
      </w:r>
      <w:r w:rsidR="00245505">
        <w:rPr>
          <w:rFonts w:eastAsia="Times New Roman"/>
          <w:lang w:val="fr-FR"/>
        </w:rPr>
        <w:t>.</w:t>
      </w:r>
      <w:r w:rsidRPr="00C17484">
        <w:rPr>
          <w:rFonts w:eastAsia="Times New Roman"/>
          <w:lang w:val="fr-FR"/>
        </w:rPr>
        <w:t xml:space="preserve"> 18 du commentaire du projet de conclusion 2, </w:t>
      </w:r>
      <w:hyperlink r:id="rId85" w:history="1">
        <w:r w:rsidRPr="000B2A51">
          <w:rPr>
            <w:rStyle w:val="Lienhypertexte"/>
            <w:rFonts w:eastAsia="Times New Roman"/>
            <w:lang w:val="fr-FR"/>
          </w:rPr>
          <w:t>A/78/10</w:t>
        </w:r>
      </w:hyperlink>
      <w:r w:rsidRPr="00C17484">
        <w:rPr>
          <w:rFonts w:eastAsia="Times New Roman"/>
          <w:lang w:val="fr-FR"/>
        </w:rPr>
        <w:t>, par. 126, p. 90 (« La Commission a laissé la troisième catégorie ouverte pour ne pas exclure la possibilité que d</w:t>
      </w:r>
      <w:r w:rsidR="004937A0">
        <w:rPr>
          <w:rFonts w:eastAsia="Times New Roman"/>
          <w:lang w:val="fr-FR"/>
        </w:rPr>
        <w:t>’</w:t>
      </w:r>
      <w:r w:rsidRPr="00C17484">
        <w:rPr>
          <w:rFonts w:eastAsia="Times New Roman"/>
          <w:lang w:val="fr-FR"/>
        </w:rPr>
        <w:t>autres moyens auxiliaires, qui peuvent n</w:t>
      </w:r>
      <w:r w:rsidR="004937A0">
        <w:rPr>
          <w:rFonts w:eastAsia="Times New Roman"/>
          <w:lang w:val="fr-FR"/>
        </w:rPr>
        <w:t>’</w:t>
      </w:r>
      <w:r w:rsidRPr="00C17484">
        <w:rPr>
          <w:rFonts w:eastAsia="Times New Roman"/>
          <w:lang w:val="fr-FR"/>
        </w:rPr>
        <w:t>être pas largement utilisés à l</w:t>
      </w:r>
      <w:r w:rsidR="004937A0">
        <w:rPr>
          <w:rFonts w:eastAsia="Times New Roman"/>
          <w:lang w:val="fr-FR"/>
        </w:rPr>
        <w:t>’</w:t>
      </w:r>
      <w:r w:rsidRPr="00C17484">
        <w:rPr>
          <w:rFonts w:eastAsia="Times New Roman"/>
          <w:lang w:val="fr-FR"/>
        </w:rPr>
        <w:t>heure actuelle ou qui sont utilisés mais laissés en dehors des travaux sur le présent sujet, soient envisagés dans le présent projet de conclusions au fur et à mesure que les travaux progresseront »).</w:t>
      </w:r>
    </w:p>
  </w:footnote>
  <w:footnote w:id="136">
    <w:p w14:paraId="38B8A229" w14:textId="789AD948" w:rsidR="004C5E26" w:rsidRPr="00C17484" w:rsidRDefault="004C5E26" w:rsidP="004C5E26">
      <w:pPr>
        <w:pStyle w:val="Notedebasdepage"/>
        <w:rPr>
          <w:rFonts w:eastAsia="Times New Roman"/>
          <w:lang w:val="fr-FR"/>
        </w:rPr>
      </w:pPr>
      <w:r>
        <w:rPr>
          <w:rFonts w:eastAsia="Times New Roman"/>
        </w:rPr>
        <w:tab/>
      </w:r>
      <w:r w:rsidRPr="0053774D">
        <w:rPr>
          <w:rStyle w:val="Appelnotedebasdep"/>
        </w:rPr>
        <w:footnoteRef/>
      </w:r>
      <w:r>
        <w:rPr>
          <w:rFonts w:eastAsia="Times New Roman"/>
        </w:rPr>
        <w:tab/>
      </w:r>
      <w:r w:rsidRPr="00A31388">
        <w:rPr>
          <w:rFonts w:eastAsia="Times New Roman"/>
          <w:lang w:val="fr-FR"/>
        </w:rPr>
        <w:t xml:space="preserve">Par exemple, voir Cour internationale de Justice, </w:t>
      </w:r>
      <w:r w:rsidRPr="00A31388">
        <w:rPr>
          <w:rFonts w:eastAsia="Times New Roman"/>
          <w:i/>
          <w:iCs/>
          <w:lang w:val="fr-FR"/>
        </w:rPr>
        <w:t>Frontière terrestre et maritime entre le Cameroun et le Nigéria, exceptions préliminaires, arrêt, C.I.J. Recueil 1998</w:t>
      </w:r>
      <w:r w:rsidRPr="00A31388">
        <w:rPr>
          <w:rFonts w:eastAsia="Times New Roman"/>
          <w:lang w:val="fr-FR"/>
        </w:rPr>
        <w:t xml:space="preserve">, p. 275, par. 28 ; Centre international pour le règlement des différends relatifs aux investissements, </w:t>
      </w:r>
      <w:r w:rsidRPr="00A31388">
        <w:rPr>
          <w:rFonts w:eastAsia="Times New Roman"/>
          <w:i/>
          <w:iCs/>
          <w:lang w:val="fr-FR"/>
        </w:rPr>
        <w:t>SGS Société Générale de Surveillance SA v. Republic of the Philippines</w:t>
      </w:r>
      <w:r w:rsidRPr="00A31388">
        <w:rPr>
          <w:rFonts w:eastAsia="Times New Roman"/>
          <w:lang w:val="fr-FR"/>
        </w:rPr>
        <w:t>, ICSID Case n</w:t>
      </w:r>
      <w:r w:rsidRPr="00A31388">
        <w:rPr>
          <w:rFonts w:eastAsia="Times New Roman"/>
          <w:vertAlign w:val="superscript"/>
          <w:lang w:val="fr-FR"/>
        </w:rPr>
        <w:t>o</w:t>
      </w:r>
      <w:r w:rsidRPr="00A31388">
        <w:rPr>
          <w:rFonts w:eastAsia="Times New Roman"/>
          <w:lang w:val="fr-FR"/>
        </w:rPr>
        <w:t> ARB/02/6, Décision sur les exceptions à la compétence, 29 janvier 2004, par. 97 ; Tribunal pénal international pour l</w:t>
      </w:r>
      <w:r w:rsidR="004937A0">
        <w:rPr>
          <w:rFonts w:eastAsia="Times New Roman"/>
          <w:lang w:val="fr-FR"/>
        </w:rPr>
        <w:t>’</w:t>
      </w:r>
      <w:r w:rsidRPr="00A31388">
        <w:rPr>
          <w:rFonts w:eastAsia="Times New Roman"/>
          <w:lang w:val="fr-FR"/>
        </w:rPr>
        <w:t xml:space="preserve">ex-Yougoslavie, </w:t>
      </w:r>
      <w:r w:rsidRPr="00A31388">
        <w:rPr>
          <w:rFonts w:eastAsia="Times New Roman"/>
          <w:i/>
          <w:iCs/>
          <w:lang w:val="fr-FR"/>
        </w:rPr>
        <w:t>Le Procureur c</w:t>
      </w:r>
      <w:r w:rsidR="00A31388" w:rsidRPr="00A31388">
        <w:rPr>
          <w:rFonts w:eastAsia="Times New Roman"/>
          <w:i/>
          <w:iCs/>
          <w:lang w:val="fr-FR"/>
        </w:rPr>
        <w:t>.</w:t>
      </w:r>
      <w:r w:rsidRPr="00A31388">
        <w:rPr>
          <w:rFonts w:eastAsia="Times New Roman"/>
          <w:i/>
          <w:iCs/>
          <w:lang w:val="fr-FR"/>
        </w:rPr>
        <w:t xml:space="preserve"> Zoran K</w:t>
      </w:r>
      <w:r w:rsidRPr="000B2A51">
        <w:rPr>
          <w:rFonts w:eastAsia="Times New Roman"/>
          <w:i/>
          <w:iCs/>
          <w:lang w:val="fr-FR"/>
        </w:rPr>
        <w:t>upreškić et consorts</w:t>
      </w:r>
      <w:r w:rsidRPr="00C17484">
        <w:rPr>
          <w:rFonts w:eastAsia="Times New Roman"/>
          <w:lang w:val="fr-FR"/>
        </w:rPr>
        <w:t>,</w:t>
      </w:r>
      <w:r w:rsidRPr="00C17484">
        <w:rPr>
          <w:rFonts w:eastAsia="Times New Roman"/>
          <w:bCs/>
          <w:lang w:val="fr-FR"/>
        </w:rPr>
        <w:t xml:space="preserve"> affaire </w:t>
      </w:r>
      <w:r w:rsidRPr="00C17484">
        <w:rPr>
          <w:rFonts w:eastAsia="Times New Roman"/>
          <w:lang w:val="fr-FR"/>
        </w:rPr>
        <w:t>n</w:t>
      </w:r>
      <w:r w:rsidRPr="00C17484">
        <w:rPr>
          <w:rFonts w:eastAsia="Times New Roman"/>
          <w:vertAlign w:val="superscript"/>
          <w:lang w:val="fr-FR"/>
        </w:rPr>
        <w:t>o</w:t>
      </w:r>
      <w:r w:rsidRPr="00C17484">
        <w:rPr>
          <w:rFonts w:eastAsia="Times New Roman"/>
          <w:lang w:val="fr-FR"/>
        </w:rPr>
        <w:t xml:space="preserve"> IT-95-16-T, </w:t>
      </w:r>
      <w:r>
        <w:rPr>
          <w:rFonts w:eastAsia="Times New Roman"/>
          <w:lang w:val="fr-FR"/>
        </w:rPr>
        <w:t>J</w:t>
      </w:r>
      <w:r w:rsidRPr="00C17484">
        <w:rPr>
          <w:rFonts w:eastAsia="Times New Roman"/>
          <w:lang w:val="fr-FR"/>
        </w:rPr>
        <w:t>ugement, 14 janvier 2000, Chambre de première instance, par. 540 (« </w:t>
      </w:r>
      <w:r>
        <w:rPr>
          <w:rFonts w:eastAsia="Times New Roman"/>
          <w:lang w:val="fr-FR"/>
        </w:rPr>
        <w:t xml:space="preserve">en général et </w:t>
      </w:r>
      <w:r w:rsidRPr="00F80FC3">
        <w:rPr>
          <w:rFonts w:eastAsia="Times New Roman"/>
          <w:i/>
          <w:iCs/>
          <w:lang w:val="fr-FR"/>
        </w:rPr>
        <w:t>sous réserve que les arrêts de la Chambre d</w:t>
      </w:r>
      <w:r w:rsidR="004937A0">
        <w:rPr>
          <w:rFonts w:eastAsia="Times New Roman"/>
          <w:i/>
          <w:iCs/>
          <w:lang w:val="fr-FR"/>
        </w:rPr>
        <w:t>’</w:t>
      </w:r>
      <w:r w:rsidRPr="00F80FC3">
        <w:rPr>
          <w:rFonts w:eastAsia="Times New Roman"/>
          <w:i/>
          <w:iCs/>
          <w:lang w:val="fr-FR"/>
        </w:rPr>
        <w:t>appel du Tribunal aient force contraignante sur les Chambres de première instance</w:t>
      </w:r>
      <w:r w:rsidRPr="00C17484">
        <w:rPr>
          <w:rFonts w:eastAsia="Times New Roman"/>
          <w:lang w:val="fr-FR"/>
        </w:rPr>
        <w:t>, le Tribunal international ne peut adhérer à la doctrine du précédent contraignant (</w:t>
      </w:r>
      <w:r>
        <w:rPr>
          <w:rFonts w:eastAsia="Times New Roman"/>
          <w:lang w:val="fr-FR"/>
        </w:rPr>
        <w:t xml:space="preserve">règle du </w:t>
      </w:r>
      <w:r w:rsidRPr="000B2A51">
        <w:rPr>
          <w:rFonts w:eastAsia="Times New Roman"/>
          <w:i/>
          <w:iCs/>
          <w:lang w:val="fr-FR"/>
        </w:rPr>
        <w:t>stare decisis</w:t>
      </w:r>
      <w:r w:rsidRPr="00C17484">
        <w:rPr>
          <w:rFonts w:eastAsia="Times New Roman"/>
          <w:lang w:val="fr-FR"/>
        </w:rPr>
        <w:t xml:space="preserve">) </w:t>
      </w:r>
      <w:r>
        <w:rPr>
          <w:rFonts w:eastAsia="Times New Roman"/>
          <w:lang w:val="fr-FR"/>
        </w:rPr>
        <w:t>observée</w:t>
      </w:r>
      <w:r w:rsidRPr="00C17484">
        <w:rPr>
          <w:rFonts w:eastAsia="Times New Roman"/>
          <w:lang w:val="fr-FR"/>
        </w:rPr>
        <w:t xml:space="preserve"> dans les pays de </w:t>
      </w:r>
      <w:r w:rsidRPr="00F80FC3">
        <w:rPr>
          <w:rFonts w:eastAsia="Times New Roman"/>
          <w:i/>
          <w:iCs/>
          <w:lang w:val="fr-FR"/>
        </w:rPr>
        <w:t>common law</w:t>
      </w:r>
      <w:r w:rsidRPr="00C17484">
        <w:rPr>
          <w:rFonts w:eastAsia="Times New Roman"/>
          <w:lang w:val="fr-FR"/>
        </w:rPr>
        <w:t xml:space="preserve"> ») </w:t>
      </w:r>
      <w:r>
        <w:rPr>
          <w:rFonts w:eastAsia="Times New Roman"/>
          <w:lang w:val="fr-FR"/>
        </w:rPr>
        <w:t>(non souligné dans l</w:t>
      </w:r>
      <w:r w:rsidR="004937A0">
        <w:rPr>
          <w:rFonts w:eastAsia="Times New Roman"/>
          <w:lang w:val="fr-FR"/>
        </w:rPr>
        <w:t>’</w:t>
      </w:r>
      <w:r>
        <w:rPr>
          <w:rFonts w:eastAsia="Times New Roman"/>
          <w:lang w:val="fr-FR"/>
        </w:rPr>
        <w:t>original)</w:t>
      </w:r>
      <w:r w:rsidRPr="00C17484">
        <w:rPr>
          <w:rFonts w:eastAsia="Times New Roman"/>
          <w:lang w:val="fr-FR"/>
        </w:rPr>
        <w:t>.</w:t>
      </w:r>
    </w:p>
  </w:footnote>
  <w:footnote w:id="137">
    <w:p w14:paraId="1E31C69A" w14:textId="539870CE" w:rsidR="004C5E26" w:rsidRPr="00F80FC3" w:rsidRDefault="004C5E26" w:rsidP="004C5E26">
      <w:pPr>
        <w:pStyle w:val="Notedebasdepage"/>
        <w:rPr>
          <w:lang w:val="fr-CA"/>
        </w:rPr>
      </w:pPr>
      <w:r>
        <w:tab/>
      </w:r>
      <w:r>
        <w:rPr>
          <w:rStyle w:val="Appelnotedebasdep"/>
        </w:rPr>
        <w:footnoteRef/>
      </w:r>
      <w:r w:rsidRPr="00981178">
        <w:tab/>
      </w:r>
      <w:r w:rsidRPr="00F80FC3">
        <w:t>Voir aussi Institut de droit international, r</w:t>
      </w:r>
      <w:r>
        <w:t>é</w:t>
      </w:r>
      <w:r w:rsidRPr="00F80FC3">
        <w:t>solution adopt</w:t>
      </w:r>
      <w:r>
        <w:t>é</w:t>
      </w:r>
      <w:r w:rsidRPr="00F80FC3">
        <w:t>e le 1</w:t>
      </w:r>
      <w:r w:rsidRPr="00A31388">
        <w:rPr>
          <w:vertAlign w:val="superscript"/>
        </w:rPr>
        <w:t>er</w:t>
      </w:r>
      <w:r w:rsidR="00A31388">
        <w:t xml:space="preserve"> </w:t>
      </w:r>
      <w:r w:rsidRPr="00F80FC3">
        <w:t>septembre 2023 (</w:t>
      </w:r>
      <w:r>
        <w:t>session d</w:t>
      </w:r>
      <w:r w:rsidR="004937A0">
        <w:t>’</w:t>
      </w:r>
      <w:r w:rsidRPr="00F80FC3">
        <w:t xml:space="preserve">Angers) </w:t>
      </w:r>
      <w:r>
        <w:t>sur les précédents et la jurisprudence dans les procédures contentieuses interétatiques et consultatives, par.</w:t>
      </w:r>
      <w:r w:rsidR="00A31388">
        <w:t> </w:t>
      </w:r>
      <w:r>
        <w:t>3 : « Un précédent ou une jurisprudence peut être utilisé à l</w:t>
      </w:r>
      <w:r w:rsidR="004937A0">
        <w:t>’</w:t>
      </w:r>
      <w:r>
        <w:t>appui d</w:t>
      </w:r>
      <w:r w:rsidR="004937A0">
        <w:t>’</w:t>
      </w:r>
      <w:r>
        <w:t>un prononcé judiciaire s</w:t>
      </w:r>
      <w:r w:rsidR="004937A0">
        <w:t>’</w:t>
      </w:r>
      <w:r>
        <w:t>il concerne des questions juridiques comparables au cas d</w:t>
      </w:r>
      <w:r w:rsidR="004937A0">
        <w:t>’</w:t>
      </w:r>
      <w:r>
        <w:t>espèce […] ». Disponible à l</w:t>
      </w:r>
      <w:r w:rsidR="004937A0">
        <w:t>’</w:t>
      </w:r>
      <w:r>
        <w:t>adresse suivante :</w:t>
      </w:r>
      <w:r w:rsidRPr="00F80FC3">
        <w:rPr>
          <w:lang w:val="fr-CA"/>
        </w:rPr>
        <w:t xml:space="preserve"> </w:t>
      </w:r>
      <w:hyperlink r:id="rId86" w:history="1">
        <w:r w:rsidR="00A31388" w:rsidRPr="008C11ED">
          <w:rPr>
            <w:rStyle w:val="Lienhypertexte"/>
            <w:lang w:val="fr-CA"/>
          </w:rPr>
          <w:t>www.idi-iil.org/fr/</w:t>
        </w:r>
      </w:hyperlink>
      <w:r w:rsidRPr="00F80FC3">
        <w:rPr>
          <w:lang w:val="fr-CA"/>
        </w:rPr>
        <w:t>.</w:t>
      </w:r>
    </w:p>
  </w:footnote>
  <w:footnote w:id="138">
    <w:p w14:paraId="769CD543"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w:t>
      </w:r>
      <w:r w:rsidRPr="000B2A51">
        <w:rPr>
          <w:rFonts w:eastAsia="Times New Roman"/>
          <w:i/>
          <w:iCs/>
          <w:lang w:val="fr-FR"/>
        </w:rPr>
        <w:t>Service postal polonais à Danzig, avis consultatif, CPJI, série B, n</w:t>
      </w:r>
      <w:r w:rsidRPr="000B2A51">
        <w:rPr>
          <w:rFonts w:eastAsia="Times New Roman"/>
          <w:i/>
          <w:iCs/>
          <w:vertAlign w:val="superscript"/>
          <w:lang w:val="fr-FR"/>
        </w:rPr>
        <w:t>o</w:t>
      </w:r>
      <w:r w:rsidRPr="000B2A51">
        <w:rPr>
          <w:rFonts w:eastAsia="Times New Roman"/>
          <w:i/>
          <w:iCs/>
          <w:lang w:val="fr-FR"/>
        </w:rPr>
        <w:t> 11</w:t>
      </w:r>
      <w:r w:rsidRPr="00C17484">
        <w:rPr>
          <w:rFonts w:eastAsia="Times New Roman"/>
          <w:lang w:val="fr-FR"/>
        </w:rPr>
        <w:t>, p. 6, aux p</w:t>
      </w:r>
      <w:r>
        <w:rPr>
          <w:rFonts w:eastAsia="Times New Roman"/>
          <w:lang w:val="fr-FR"/>
        </w:rPr>
        <w:t>ages</w:t>
      </w:r>
      <w:r w:rsidRPr="00C17484">
        <w:rPr>
          <w:rFonts w:eastAsia="Times New Roman"/>
          <w:lang w:val="fr-FR"/>
        </w:rPr>
        <w:t xml:space="preserve"> 29 et 30.</w:t>
      </w:r>
    </w:p>
  </w:footnote>
  <w:footnote w:id="139">
    <w:p w14:paraId="79AE6AF1" w14:textId="3525C19B"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0B2A51">
        <w:rPr>
          <w:rFonts w:eastAsia="Times New Roman"/>
          <w:i/>
          <w:iCs/>
          <w:lang w:val="fr-FR"/>
        </w:rPr>
        <w:t>Concessions Mavrommatis à Jérusalem (réadaptation), CPJI, série A, 1927, n</w:t>
      </w:r>
      <w:r w:rsidRPr="000B2A51">
        <w:rPr>
          <w:rFonts w:eastAsia="Times New Roman"/>
          <w:i/>
          <w:iCs/>
          <w:vertAlign w:val="superscript"/>
          <w:lang w:val="fr-FR"/>
        </w:rPr>
        <w:t>o</w:t>
      </w:r>
      <w:r w:rsidRPr="000B2A51">
        <w:rPr>
          <w:rFonts w:eastAsia="Times New Roman"/>
          <w:i/>
          <w:iCs/>
          <w:lang w:val="fr-FR"/>
        </w:rPr>
        <w:t> 11</w:t>
      </w:r>
      <w:r w:rsidRPr="00C17484">
        <w:rPr>
          <w:rFonts w:eastAsia="Times New Roman"/>
          <w:lang w:val="fr-FR"/>
        </w:rPr>
        <w:t xml:space="preserve">, p. 4, à la </w:t>
      </w:r>
      <w:r>
        <w:rPr>
          <w:rFonts w:eastAsia="Times New Roman"/>
          <w:lang w:val="fr-FR"/>
        </w:rPr>
        <w:t xml:space="preserve">page </w:t>
      </w:r>
      <w:r w:rsidRPr="00C17484">
        <w:rPr>
          <w:rFonts w:eastAsia="Times New Roman"/>
          <w:lang w:val="fr-FR"/>
        </w:rPr>
        <w:t>18</w:t>
      </w:r>
      <w:r>
        <w:rPr>
          <w:rFonts w:eastAsia="Times New Roman"/>
          <w:lang w:val="fr-FR"/>
        </w:rPr>
        <w:t xml:space="preserve"> (non souligné dans l</w:t>
      </w:r>
      <w:r w:rsidR="004937A0">
        <w:rPr>
          <w:rFonts w:eastAsia="Times New Roman"/>
          <w:lang w:val="fr-FR"/>
        </w:rPr>
        <w:t>’</w:t>
      </w:r>
      <w:r>
        <w:rPr>
          <w:rFonts w:eastAsia="Times New Roman"/>
          <w:lang w:val="fr-FR"/>
        </w:rPr>
        <w:t>original)</w:t>
      </w:r>
      <w:r w:rsidRPr="00C17484">
        <w:rPr>
          <w:rFonts w:eastAsia="Times New Roman"/>
          <w:lang w:val="fr-FR"/>
        </w:rPr>
        <w:t>.</w:t>
      </w:r>
    </w:p>
  </w:footnote>
  <w:footnote w:id="140">
    <w:p w14:paraId="33498647" w14:textId="367ABF7F" w:rsidR="004C5E26" w:rsidRPr="00314264" w:rsidRDefault="004C5E26" w:rsidP="004C5E26">
      <w:pPr>
        <w:pStyle w:val="Notedebasdepage"/>
        <w:rPr>
          <w:rFonts w:eastAsia="Times New Roman"/>
          <w:lang w:val="fr-FR"/>
        </w:rPr>
      </w:pPr>
      <w:r>
        <w:rPr>
          <w:rFonts w:eastAsia="Times New Roman"/>
          <w:lang w:val="fr-FR"/>
        </w:rPr>
        <w:tab/>
      </w:r>
      <w:r w:rsidRPr="00314264">
        <w:rPr>
          <w:rStyle w:val="Appelnotedebasdep"/>
        </w:rPr>
        <w:footnoteRef/>
      </w:r>
      <w:r w:rsidRPr="00314264">
        <w:rPr>
          <w:rFonts w:eastAsia="Times New Roman"/>
          <w:lang w:val="fr-FR"/>
        </w:rPr>
        <w:tab/>
      </w:r>
      <w:r w:rsidRPr="00314264">
        <w:rPr>
          <w:rFonts w:eastAsia="Times New Roman"/>
          <w:i/>
          <w:iCs/>
          <w:lang w:val="fr-FR"/>
        </w:rPr>
        <w:t>Frontière terrestre et maritime …, exceptions préliminaires</w:t>
      </w:r>
      <w:r w:rsidRPr="00314264">
        <w:rPr>
          <w:rFonts w:eastAsia="Times New Roman"/>
          <w:lang w:val="fr-FR"/>
        </w:rPr>
        <w:t xml:space="preserve"> (voir </w:t>
      </w:r>
      <w:r w:rsidRPr="00314264">
        <w:rPr>
          <w:rFonts w:eastAsia="Times New Roman"/>
          <w:i/>
          <w:iCs/>
          <w:lang w:val="fr-FR"/>
        </w:rPr>
        <w:t>supra</w:t>
      </w:r>
      <w:r w:rsidRPr="00314264">
        <w:rPr>
          <w:rFonts w:eastAsia="Times New Roman"/>
          <w:lang w:val="fr-FR"/>
        </w:rPr>
        <w:t xml:space="preserve"> la note </w:t>
      </w:r>
      <w:r w:rsidR="00314264">
        <w:rPr>
          <w:rFonts w:eastAsia="Times New Roman"/>
          <w:lang w:val="fr-FR"/>
        </w:rPr>
        <w:fldChar w:fldCharType="begin"/>
      </w:r>
      <w:r w:rsidR="00314264">
        <w:rPr>
          <w:rFonts w:eastAsia="Times New Roman"/>
          <w:lang w:val="fr-FR"/>
        </w:rPr>
        <w:instrText xml:space="preserve"> NOTEREF _Ref170130436 \h </w:instrText>
      </w:r>
      <w:r w:rsidR="00314264">
        <w:rPr>
          <w:rFonts w:eastAsia="Times New Roman"/>
          <w:lang w:val="fr-FR"/>
        </w:rPr>
      </w:r>
      <w:r w:rsidR="00314264">
        <w:rPr>
          <w:rFonts w:eastAsia="Times New Roman"/>
          <w:lang w:val="fr-FR"/>
        </w:rPr>
        <w:fldChar w:fldCharType="separate"/>
      </w:r>
      <w:r w:rsidR="00EC4FDE">
        <w:rPr>
          <w:rFonts w:eastAsia="Times New Roman"/>
          <w:lang w:val="fr-FR"/>
        </w:rPr>
        <w:t>135</w:t>
      </w:r>
      <w:r w:rsidR="00314264">
        <w:rPr>
          <w:rFonts w:eastAsia="Times New Roman"/>
          <w:lang w:val="fr-FR"/>
        </w:rPr>
        <w:fldChar w:fldCharType="end"/>
      </w:r>
      <w:r w:rsidRPr="00314264">
        <w:rPr>
          <w:rFonts w:eastAsia="Times New Roman"/>
          <w:lang w:val="fr-FR"/>
        </w:rPr>
        <w:t>), par. 28.</w:t>
      </w:r>
    </w:p>
  </w:footnote>
  <w:footnote w:id="141">
    <w:p w14:paraId="26B12CD5" w14:textId="109B209E" w:rsidR="004C5E26" w:rsidRPr="00C17484" w:rsidRDefault="004C5E26" w:rsidP="004C5E26">
      <w:pPr>
        <w:pStyle w:val="Notedebasdepage"/>
        <w:rPr>
          <w:rFonts w:eastAsia="Times New Roman"/>
          <w:lang w:val="fr-FR"/>
        </w:rPr>
      </w:pPr>
      <w:r w:rsidRPr="00314264">
        <w:rPr>
          <w:rFonts w:eastAsia="Times New Roman"/>
          <w:lang w:val="fr-FR"/>
        </w:rPr>
        <w:tab/>
      </w:r>
      <w:r w:rsidRPr="00314264">
        <w:rPr>
          <w:rStyle w:val="Appelnotedebasdep"/>
        </w:rPr>
        <w:footnoteRef/>
      </w:r>
      <w:r w:rsidRPr="00314264">
        <w:rPr>
          <w:rFonts w:eastAsia="Times New Roman"/>
          <w:lang w:val="fr-FR"/>
        </w:rPr>
        <w:tab/>
        <w:t xml:space="preserve">Centre international pour le règlement des différends relatifs aux investissements, </w:t>
      </w:r>
      <w:r w:rsidRPr="00314264">
        <w:rPr>
          <w:rFonts w:eastAsia="Times New Roman"/>
          <w:i/>
          <w:iCs/>
          <w:lang w:val="fr-FR"/>
        </w:rPr>
        <w:t>Bayindir Insaat Turizm Ticaret Ve Sanayi A.Ş. v. Islamic Republic of Pakistan</w:t>
      </w:r>
      <w:r w:rsidRPr="00314264">
        <w:rPr>
          <w:rFonts w:eastAsia="Times New Roman"/>
          <w:lang w:val="fr-FR"/>
        </w:rPr>
        <w:t>, CIRDI affaire n</w:t>
      </w:r>
      <w:r w:rsidRPr="00314264">
        <w:rPr>
          <w:rFonts w:eastAsia="Times New Roman"/>
          <w:vertAlign w:val="superscript"/>
          <w:lang w:val="fr-FR"/>
        </w:rPr>
        <w:t>o</w:t>
      </w:r>
      <w:r w:rsidRPr="00314264">
        <w:rPr>
          <w:rFonts w:eastAsia="Times New Roman"/>
          <w:lang w:val="fr-FR"/>
        </w:rPr>
        <w:t> ARB/03/29, Sentence, 27 août 2009, par. 145 (indiquant que les tribunaux du Centre « [devaient] suivre les solutions constantes établies dans une série d</w:t>
      </w:r>
      <w:r w:rsidR="004937A0">
        <w:rPr>
          <w:rFonts w:eastAsia="Times New Roman"/>
          <w:lang w:val="fr-FR"/>
        </w:rPr>
        <w:t>’</w:t>
      </w:r>
      <w:r w:rsidRPr="00314264">
        <w:rPr>
          <w:rFonts w:eastAsia="Times New Roman"/>
          <w:lang w:val="fr-FR"/>
        </w:rPr>
        <w:t>affaires comparables à l</w:t>
      </w:r>
      <w:r w:rsidR="004937A0">
        <w:rPr>
          <w:rFonts w:eastAsia="Times New Roman"/>
          <w:lang w:val="fr-FR"/>
        </w:rPr>
        <w:t>’</w:t>
      </w:r>
      <w:r w:rsidRPr="00314264">
        <w:rPr>
          <w:rFonts w:eastAsia="Times New Roman"/>
          <w:lang w:val="fr-FR"/>
        </w:rPr>
        <w:t>affaire en cause, mais sous réserve bien entendu des caractéristiques d</w:t>
      </w:r>
      <w:r w:rsidR="004937A0">
        <w:rPr>
          <w:rFonts w:eastAsia="Times New Roman"/>
          <w:lang w:val="fr-FR"/>
        </w:rPr>
        <w:t>’</w:t>
      </w:r>
      <w:r w:rsidRPr="00314264">
        <w:rPr>
          <w:rFonts w:eastAsia="Times New Roman"/>
          <w:lang w:val="fr-FR"/>
        </w:rPr>
        <w:t xml:space="preserve">un traité donné et des circonstances de cette affaire »). Voir aussi, par exemple, Centre international pour le règlement des différends relatifs aux investissements : </w:t>
      </w:r>
      <w:r w:rsidRPr="00314264">
        <w:rPr>
          <w:rFonts w:eastAsia="Times New Roman"/>
          <w:i/>
          <w:iCs/>
          <w:lang w:val="fr-FR"/>
        </w:rPr>
        <w:t>Suez, Sociedad General de Aguas de Barcelona S.A., and Vivendi Universal S.A. v. the Argentine Republic</w:t>
      </w:r>
      <w:r w:rsidRPr="00314264">
        <w:rPr>
          <w:rFonts w:eastAsia="Times New Roman"/>
          <w:lang w:val="fr-FR"/>
        </w:rPr>
        <w:t>, CIRDI, affaire n</w:t>
      </w:r>
      <w:r w:rsidRPr="00314264">
        <w:rPr>
          <w:rFonts w:eastAsia="Times New Roman"/>
          <w:vertAlign w:val="superscript"/>
          <w:lang w:val="fr-FR"/>
        </w:rPr>
        <w:t>o</w:t>
      </w:r>
      <w:r w:rsidRPr="00314264">
        <w:rPr>
          <w:rFonts w:eastAsia="Times New Roman"/>
          <w:lang w:val="fr-FR"/>
        </w:rPr>
        <w:t xml:space="preserve"> ARB/03/19, et </w:t>
      </w:r>
      <w:r w:rsidRPr="00314264">
        <w:rPr>
          <w:rFonts w:eastAsia="Times New Roman"/>
          <w:i/>
          <w:iCs/>
          <w:lang w:val="fr-FR"/>
        </w:rPr>
        <w:t>AWG Group v. the Argentine Republic</w:t>
      </w:r>
      <w:r w:rsidRPr="00314264">
        <w:rPr>
          <w:rFonts w:eastAsia="Times New Roman"/>
          <w:lang w:val="fr-FR"/>
        </w:rPr>
        <w:t xml:space="preserve">, décision relative à la responsabilité, 30 juillet 2010, par. 189 ; </w:t>
      </w:r>
      <w:r w:rsidRPr="00314264">
        <w:rPr>
          <w:rFonts w:eastAsia="Times New Roman"/>
          <w:i/>
          <w:iCs/>
          <w:lang w:val="fr-FR"/>
        </w:rPr>
        <w:t>Metal-Tech Ltd. v. the Republic of Uzbekistan</w:t>
      </w:r>
      <w:r w:rsidRPr="00314264">
        <w:rPr>
          <w:rFonts w:eastAsia="Times New Roman"/>
          <w:lang w:val="fr-FR"/>
        </w:rPr>
        <w:t>, CIRDI, affaire n</w:t>
      </w:r>
      <w:r w:rsidRPr="00314264">
        <w:rPr>
          <w:rFonts w:eastAsia="Times New Roman"/>
          <w:vertAlign w:val="superscript"/>
          <w:lang w:val="fr-FR"/>
        </w:rPr>
        <w:t>o</w:t>
      </w:r>
      <w:r w:rsidRPr="00314264">
        <w:rPr>
          <w:rFonts w:eastAsia="Times New Roman"/>
          <w:lang w:val="fr-FR"/>
        </w:rPr>
        <w:t xml:space="preserve"> ARB/10/3, Sentence, 4 octobre 2013, par. 116 ; et </w:t>
      </w:r>
      <w:r w:rsidRPr="00314264">
        <w:rPr>
          <w:rFonts w:eastAsia="Times New Roman"/>
          <w:i/>
          <w:iCs/>
          <w:lang w:val="fr-FR"/>
        </w:rPr>
        <w:t>Renée Rose Levy and Gremcitel S.A. v. Republic of Peru</w:t>
      </w:r>
      <w:r w:rsidRPr="00314264">
        <w:rPr>
          <w:rFonts w:eastAsia="Times New Roman"/>
          <w:lang w:val="fr-FR"/>
        </w:rPr>
        <w:t>, affaire n</w:t>
      </w:r>
      <w:r w:rsidRPr="00314264">
        <w:rPr>
          <w:rFonts w:eastAsia="Times New Roman"/>
          <w:vertAlign w:val="superscript"/>
          <w:lang w:val="fr-FR"/>
        </w:rPr>
        <w:t>o</w:t>
      </w:r>
      <w:r w:rsidRPr="00314264">
        <w:rPr>
          <w:rFonts w:eastAsia="Times New Roman"/>
          <w:lang w:val="fr-FR"/>
        </w:rPr>
        <w:t> ARB/11/17, Sentence, 9 janvier 2015, par. 76. D</w:t>
      </w:r>
      <w:r w:rsidR="004937A0">
        <w:rPr>
          <w:rFonts w:eastAsia="Times New Roman"/>
          <w:lang w:val="fr-FR"/>
        </w:rPr>
        <w:t>’</w:t>
      </w:r>
      <w:r w:rsidRPr="00314264">
        <w:rPr>
          <w:rFonts w:eastAsia="Times New Roman"/>
          <w:lang w:val="fr-FR"/>
        </w:rPr>
        <w:t>autre part, une certaine prudence s</w:t>
      </w:r>
      <w:r w:rsidR="004937A0">
        <w:rPr>
          <w:rFonts w:eastAsia="Times New Roman"/>
          <w:lang w:val="fr-FR"/>
        </w:rPr>
        <w:t>’</w:t>
      </w:r>
      <w:r w:rsidRPr="00314264">
        <w:rPr>
          <w:rFonts w:eastAsia="Times New Roman"/>
          <w:lang w:val="fr-FR"/>
        </w:rPr>
        <w:t xml:space="preserve">impose. Voir, par exemple, </w:t>
      </w:r>
      <w:r w:rsidRPr="00314264">
        <w:rPr>
          <w:color w:val="000000" w:themeColor="text1"/>
          <w:lang w:val="fr-FR"/>
        </w:rPr>
        <w:t>Wolfgang Alschner, résumé pour le chapitre 6 de l</w:t>
      </w:r>
      <w:r w:rsidR="004937A0">
        <w:rPr>
          <w:color w:val="000000" w:themeColor="text1"/>
          <w:lang w:val="fr-FR"/>
        </w:rPr>
        <w:t>’</w:t>
      </w:r>
      <w:r w:rsidRPr="00314264">
        <w:rPr>
          <w:color w:val="000000" w:themeColor="text1"/>
          <w:lang w:val="fr-FR"/>
        </w:rPr>
        <w:t xml:space="preserve">ouvrage </w:t>
      </w:r>
      <w:r w:rsidRPr="00314264">
        <w:rPr>
          <w:i/>
          <w:iCs/>
          <w:color w:val="000000" w:themeColor="text1"/>
          <w:lang w:val="fr-FR"/>
        </w:rPr>
        <w:t>Investment Arbitration and State-Driven Reform: New Treaties, Old Outcomes</w:t>
      </w:r>
      <w:r w:rsidRPr="00314264">
        <w:rPr>
          <w:color w:val="000000" w:themeColor="text1"/>
          <w:lang w:val="fr-FR"/>
        </w:rPr>
        <w:t xml:space="preserve"> (Oxford, Oxford University Press, 2022).</w:t>
      </w:r>
      <w:r w:rsidRPr="00C17484">
        <w:rPr>
          <w:color w:val="000000" w:themeColor="text1"/>
          <w:lang w:val="fr-FR"/>
        </w:rPr>
        <w:t xml:space="preserve"> </w:t>
      </w:r>
    </w:p>
  </w:footnote>
  <w:footnote w:id="142">
    <w:p w14:paraId="7611B574" w14:textId="4A2412A1"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Tribunal pénal international pour l</w:t>
      </w:r>
      <w:r w:rsidR="004937A0">
        <w:rPr>
          <w:rFonts w:eastAsia="Times New Roman"/>
          <w:lang w:val="fr-FR"/>
        </w:rPr>
        <w:t>’</w:t>
      </w:r>
      <w:r w:rsidRPr="00C17484">
        <w:rPr>
          <w:rFonts w:eastAsia="Times New Roman"/>
          <w:lang w:val="fr-FR"/>
        </w:rPr>
        <w:t xml:space="preserve">ex-Yougoslavie, </w:t>
      </w:r>
      <w:r w:rsidRPr="000B2F5B">
        <w:rPr>
          <w:rFonts w:eastAsia="Times New Roman"/>
          <w:i/>
          <w:iCs/>
          <w:lang w:val="fr-FR"/>
        </w:rPr>
        <w:t>Le Procureur</w:t>
      </w:r>
      <w:r>
        <w:rPr>
          <w:rFonts w:eastAsia="Times New Roman"/>
          <w:i/>
          <w:iCs/>
          <w:lang w:val="fr-FR"/>
        </w:rPr>
        <w:t xml:space="preserve"> </w:t>
      </w:r>
      <w:r w:rsidRPr="000B2F5B">
        <w:rPr>
          <w:rFonts w:eastAsia="Times New Roman"/>
          <w:i/>
          <w:iCs/>
          <w:lang w:val="fr-FR"/>
        </w:rPr>
        <w:t>c</w:t>
      </w:r>
      <w:r w:rsidR="00314264">
        <w:rPr>
          <w:rFonts w:eastAsia="Times New Roman"/>
          <w:i/>
          <w:iCs/>
          <w:lang w:val="fr-FR"/>
        </w:rPr>
        <w:t>.</w:t>
      </w:r>
      <w:r w:rsidRPr="000B2F5B">
        <w:rPr>
          <w:rFonts w:eastAsia="Times New Roman"/>
          <w:i/>
          <w:iCs/>
          <w:lang w:val="fr-FR"/>
        </w:rPr>
        <w:t xml:space="preserve"> Zlatko Aleksovski</w:t>
      </w:r>
      <w:r w:rsidRPr="00C17484">
        <w:rPr>
          <w:rFonts w:eastAsia="Times New Roman"/>
          <w:lang w:val="fr-FR"/>
        </w:rPr>
        <w:t>, n</w:t>
      </w:r>
      <w:r w:rsidRPr="00C17484">
        <w:rPr>
          <w:rFonts w:eastAsia="Times New Roman"/>
          <w:vertAlign w:val="superscript"/>
          <w:lang w:val="fr-FR"/>
        </w:rPr>
        <w:t>o</w:t>
      </w:r>
      <w:r w:rsidRPr="00C17484">
        <w:rPr>
          <w:rFonts w:eastAsia="Times New Roman"/>
          <w:lang w:val="fr-FR"/>
        </w:rPr>
        <w:t> IT</w:t>
      </w:r>
      <w:r>
        <w:rPr>
          <w:rFonts w:eastAsia="Times New Roman"/>
          <w:lang w:val="fr-FR"/>
        </w:rPr>
        <w:noBreakHyphen/>
      </w:r>
      <w:r w:rsidRPr="00C17484">
        <w:rPr>
          <w:rFonts w:eastAsia="Times New Roman"/>
          <w:lang w:val="fr-FR"/>
        </w:rPr>
        <w:t>95</w:t>
      </w:r>
      <w:r>
        <w:rPr>
          <w:rFonts w:eastAsia="Times New Roman"/>
          <w:lang w:val="fr-FR"/>
        </w:rPr>
        <w:noBreakHyphen/>
      </w:r>
      <w:r w:rsidRPr="00C17484">
        <w:rPr>
          <w:rFonts w:eastAsia="Times New Roman"/>
          <w:lang w:val="fr-FR"/>
        </w:rPr>
        <w:t>14/1</w:t>
      </w:r>
      <w:r>
        <w:rPr>
          <w:rFonts w:eastAsia="Times New Roman"/>
          <w:lang w:val="fr-FR"/>
        </w:rPr>
        <w:noBreakHyphen/>
      </w:r>
      <w:r w:rsidRPr="00C17484">
        <w:rPr>
          <w:rFonts w:eastAsia="Times New Roman"/>
          <w:lang w:val="fr-FR"/>
        </w:rPr>
        <w:t>A, Arrêt, 24 mars 2000, Chambre d</w:t>
      </w:r>
      <w:r w:rsidR="004937A0">
        <w:rPr>
          <w:rFonts w:eastAsia="Times New Roman"/>
          <w:lang w:val="fr-FR"/>
        </w:rPr>
        <w:t>’</w:t>
      </w:r>
      <w:r w:rsidRPr="00C17484">
        <w:rPr>
          <w:rFonts w:eastAsia="Times New Roman"/>
          <w:lang w:val="fr-FR"/>
        </w:rPr>
        <w:t xml:space="preserve">appel, par. 110. Voir </w:t>
      </w:r>
      <w:r>
        <w:rPr>
          <w:rFonts w:eastAsia="Times New Roman"/>
          <w:lang w:val="fr-FR"/>
        </w:rPr>
        <w:t>aussi</w:t>
      </w:r>
      <w:r w:rsidRPr="00C17484">
        <w:rPr>
          <w:rFonts w:eastAsia="Times New Roman"/>
          <w:lang w:val="fr-FR"/>
        </w:rPr>
        <w:t xml:space="preserve"> Cour permanente de Justice internationale, </w:t>
      </w:r>
      <w:r w:rsidRPr="000B2F5B">
        <w:rPr>
          <w:rFonts w:eastAsia="Times New Roman"/>
          <w:i/>
          <w:iCs/>
          <w:lang w:val="fr-FR"/>
        </w:rPr>
        <w:t>Affaire du « Lotus », Arrêt, 7 septembre 1927, série A, n</w:t>
      </w:r>
      <w:r w:rsidRPr="000B2F5B">
        <w:rPr>
          <w:rFonts w:eastAsia="Times New Roman"/>
          <w:i/>
          <w:iCs/>
          <w:vertAlign w:val="superscript"/>
          <w:lang w:val="fr-FR"/>
        </w:rPr>
        <w:t>o</w:t>
      </w:r>
      <w:r w:rsidRPr="000B2F5B">
        <w:rPr>
          <w:rFonts w:eastAsia="Times New Roman"/>
          <w:i/>
          <w:iCs/>
          <w:lang w:val="fr-FR"/>
        </w:rPr>
        <w:t> 10</w:t>
      </w:r>
      <w:r w:rsidRPr="00C17484">
        <w:rPr>
          <w:rFonts w:eastAsia="Times New Roman"/>
          <w:lang w:val="fr-FR"/>
        </w:rPr>
        <w:t xml:space="preserve">, p. 4, à la </w:t>
      </w:r>
      <w:r>
        <w:rPr>
          <w:rFonts w:eastAsia="Times New Roman"/>
          <w:lang w:val="fr-FR"/>
        </w:rPr>
        <w:t>page</w:t>
      </w:r>
      <w:r w:rsidRPr="00C17484">
        <w:rPr>
          <w:rFonts w:eastAsia="Times New Roman"/>
          <w:lang w:val="fr-FR"/>
        </w:rPr>
        <w:t xml:space="preserve"> 21 ; Cour internationale de Justice, </w:t>
      </w:r>
      <w:r w:rsidRPr="000B2F5B">
        <w:rPr>
          <w:rFonts w:eastAsia="Times New Roman"/>
          <w:i/>
          <w:iCs/>
          <w:lang w:val="fr-FR"/>
        </w:rPr>
        <w:t>Application de la convention pour la prévention et la répression du crime de génocide (Croatie c. Serbie), exceptions préliminaires, arrêt, C.I.J. Recueil 2008</w:t>
      </w:r>
      <w:r w:rsidRPr="00C17484">
        <w:rPr>
          <w:rFonts w:eastAsia="Times New Roman"/>
          <w:lang w:val="fr-FR"/>
        </w:rPr>
        <w:t>, p. 412, par. 105.</w:t>
      </w:r>
    </w:p>
  </w:footnote>
  <w:footnote w:id="143">
    <w:p w14:paraId="206B0752" w14:textId="77777777" w:rsidR="004C5E26" w:rsidRPr="00E15E4A"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0B2F5B">
        <w:rPr>
          <w:rFonts w:eastAsia="Times New Roman"/>
          <w:i/>
          <w:iCs/>
          <w:lang w:val="fr-FR"/>
        </w:rPr>
        <w:t>Barcelona Traction, Light and Power Company, Limited, Arrêt, C.I.J. Recueil 1970</w:t>
      </w:r>
      <w:r w:rsidRPr="00410F1A">
        <w:rPr>
          <w:rFonts w:eastAsia="Times New Roman"/>
          <w:lang w:val="fr-FR"/>
        </w:rPr>
        <w:t xml:space="preserve">, p. 3, par. 63. </w:t>
      </w:r>
      <w:r w:rsidRPr="00C17484">
        <w:rPr>
          <w:rFonts w:eastAsia="Times New Roman"/>
          <w:lang w:val="fr-FR"/>
        </w:rPr>
        <w:t xml:space="preserve">Pour un examen plus récent de la question, voir </w:t>
      </w:r>
      <w:r>
        <w:rPr>
          <w:rFonts w:eastAsia="Times New Roman"/>
          <w:lang w:val="fr-FR"/>
        </w:rPr>
        <w:t xml:space="preserve">aussi </w:t>
      </w:r>
      <w:r w:rsidRPr="000B2F5B">
        <w:rPr>
          <w:rFonts w:eastAsia="Times New Roman"/>
          <w:i/>
          <w:iCs/>
          <w:lang w:val="fr-FR"/>
        </w:rPr>
        <w:t>ADC Affiliate Limited and ADC &amp; ADMC Management Limited v. the Republic of Hungary</w:t>
      </w:r>
      <w:r w:rsidRPr="00C17484">
        <w:rPr>
          <w:rFonts w:eastAsia="Times New Roman"/>
          <w:lang w:val="fr-FR"/>
        </w:rPr>
        <w:t>, CIRDI, affaire n</w:t>
      </w:r>
      <w:r w:rsidRPr="00C17484">
        <w:rPr>
          <w:rFonts w:eastAsia="Times New Roman"/>
          <w:vertAlign w:val="superscript"/>
          <w:lang w:val="fr-FR"/>
        </w:rPr>
        <w:t>o</w:t>
      </w:r>
      <w:r w:rsidRPr="00C17484">
        <w:rPr>
          <w:rFonts w:eastAsia="Times New Roman"/>
          <w:lang w:val="fr-FR"/>
        </w:rPr>
        <w:t> ARB/03/16, Sentence, 2 octobre 2006, par. </w:t>
      </w:r>
      <w:r w:rsidRPr="00E15E4A">
        <w:rPr>
          <w:rFonts w:eastAsia="Times New Roman"/>
          <w:lang w:val="fr-FR"/>
        </w:rPr>
        <w:t>293.</w:t>
      </w:r>
    </w:p>
  </w:footnote>
  <w:footnote w:id="144">
    <w:p w14:paraId="4504A915" w14:textId="72DAA032" w:rsidR="004C5E26" w:rsidRPr="00F80FC3" w:rsidRDefault="004C5E26" w:rsidP="004C5E26">
      <w:pPr>
        <w:pStyle w:val="Notedebasdepage"/>
        <w:rPr>
          <w:lang w:val="fr-CA"/>
        </w:rPr>
      </w:pPr>
      <w:r>
        <w:tab/>
      </w:r>
      <w:r>
        <w:rPr>
          <w:rStyle w:val="Appelnotedebasdep"/>
        </w:rPr>
        <w:footnoteRef/>
      </w:r>
      <w:r>
        <w:tab/>
      </w:r>
      <w:r>
        <w:rPr>
          <w:lang w:val="fr-CA"/>
        </w:rPr>
        <w:t>Voir, par exemple, la décision dans laquelle la Chambre d</w:t>
      </w:r>
      <w:r w:rsidR="004937A0">
        <w:rPr>
          <w:lang w:val="fr-CA"/>
        </w:rPr>
        <w:t>’</w:t>
      </w:r>
      <w:r>
        <w:rPr>
          <w:lang w:val="fr-CA"/>
        </w:rPr>
        <w:t xml:space="preserve">appel de Cour pénale internationale a dit </w:t>
      </w:r>
      <w:r w:rsidRPr="00F80FC3">
        <w:rPr>
          <w:lang w:val="fr-CA"/>
        </w:rPr>
        <w:t>qu</w:t>
      </w:r>
      <w:r w:rsidR="004937A0">
        <w:rPr>
          <w:lang w:val="fr-CA"/>
        </w:rPr>
        <w:t>’</w:t>
      </w:r>
      <w:r w:rsidRPr="00F80FC3">
        <w:rPr>
          <w:lang w:val="fr-CA"/>
        </w:rPr>
        <w:t>elle ne s</w:t>
      </w:r>
      <w:r w:rsidR="004937A0">
        <w:rPr>
          <w:lang w:val="fr-CA"/>
        </w:rPr>
        <w:t>’</w:t>
      </w:r>
      <w:r w:rsidRPr="00F80FC3">
        <w:rPr>
          <w:lang w:val="fr-CA"/>
        </w:rPr>
        <w:t>écarterait pas à la légère de sa jurisprudence en l</w:t>
      </w:r>
      <w:r w:rsidR="004937A0">
        <w:rPr>
          <w:lang w:val="fr-CA"/>
        </w:rPr>
        <w:t>’</w:t>
      </w:r>
      <w:r w:rsidRPr="00F80FC3">
        <w:rPr>
          <w:lang w:val="fr-CA"/>
        </w:rPr>
        <w:t>absence d</w:t>
      </w:r>
      <w:r w:rsidR="004937A0">
        <w:rPr>
          <w:lang w:val="fr-CA"/>
        </w:rPr>
        <w:t>’</w:t>
      </w:r>
      <w:r w:rsidRPr="00F80FC3">
        <w:rPr>
          <w:lang w:val="fr-CA"/>
        </w:rPr>
        <w:t>un « motif convaincant » étant donné « la nécessité d</w:t>
      </w:r>
      <w:r w:rsidR="004937A0">
        <w:rPr>
          <w:lang w:val="fr-CA"/>
        </w:rPr>
        <w:t>’</w:t>
      </w:r>
      <w:r w:rsidRPr="00F80FC3">
        <w:rPr>
          <w:lang w:val="fr-CA"/>
        </w:rPr>
        <w:t>assurer la prévisibilité du droit et l</w:t>
      </w:r>
      <w:r w:rsidR="004937A0">
        <w:rPr>
          <w:lang w:val="fr-CA"/>
        </w:rPr>
        <w:t>’</w:t>
      </w:r>
      <w:r w:rsidRPr="00F80FC3">
        <w:rPr>
          <w:lang w:val="fr-CA"/>
        </w:rPr>
        <w:t>équité de la justice pour promouvoir la confiance du public dans ses décisions »</w:t>
      </w:r>
      <w:r>
        <w:rPr>
          <w:lang w:val="fr-CA"/>
        </w:rPr>
        <w:t>, voir</w:t>
      </w:r>
      <w:r w:rsidRPr="0040227E">
        <w:rPr>
          <w:lang w:val="fr-CA"/>
        </w:rPr>
        <w:t xml:space="preserve"> Situation en Côte d</w:t>
      </w:r>
      <w:r w:rsidR="004937A0">
        <w:rPr>
          <w:lang w:val="fr-CA"/>
        </w:rPr>
        <w:t>’</w:t>
      </w:r>
      <w:r w:rsidRPr="0040227E">
        <w:rPr>
          <w:lang w:val="fr-CA"/>
        </w:rPr>
        <w:t>Ivoire</w:t>
      </w:r>
      <w:r>
        <w:rPr>
          <w:lang w:val="fr-CA"/>
        </w:rPr>
        <w:t xml:space="preserve"> dans l</w:t>
      </w:r>
      <w:r w:rsidR="004937A0">
        <w:rPr>
          <w:lang w:val="fr-CA"/>
        </w:rPr>
        <w:t>’</w:t>
      </w:r>
      <w:r w:rsidRPr="0040227E">
        <w:rPr>
          <w:lang w:val="fr-CA"/>
        </w:rPr>
        <w:t xml:space="preserve">affaire </w:t>
      </w:r>
      <w:r w:rsidRPr="00F80FC3">
        <w:rPr>
          <w:i/>
          <w:iCs/>
          <w:lang w:val="fr-CA"/>
        </w:rPr>
        <w:t>Le Procureur c. Laurent Gbagbo et Charles Blé Goudé</w:t>
      </w:r>
      <w:r w:rsidRPr="0040227E">
        <w:rPr>
          <w:lang w:val="fr-CA"/>
        </w:rPr>
        <w:t xml:space="preserve">, </w:t>
      </w:r>
      <w:r w:rsidR="00314264" w:rsidRPr="00314264">
        <w:rPr>
          <w:rFonts w:eastAsia="MS Mincho"/>
          <w:lang w:val="fr-CA"/>
        </w:rPr>
        <w:t>n</w:t>
      </w:r>
      <w:r w:rsidR="00314264" w:rsidRPr="00314264">
        <w:rPr>
          <w:rFonts w:eastAsia="MS Mincho"/>
          <w:vertAlign w:val="superscript"/>
          <w:lang w:val="fr-CA"/>
        </w:rPr>
        <w:t>o</w:t>
      </w:r>
      <w:r w:rsidRPr="0040227E">
        <w:rPr>
          <w:lang w:val="fr-CA"/>
        </w:rPr>
        <w:t xml:space="preserve"> ICC-02/11-01/15 OA</w:t>
      </w:r>
      <w:r w:rsidR="00B94A3F">
        <w:rPr>
          <w:lang w:val="fr-CA"/>
        </w:rPr>
        <w:t xml:space="preserve"> 6</w:t>
      </w:r>
      <w:r w:rsidRPr="0040227E">
        <w:rPr>
          <w:lang w:val="fr-CA"/>
        </w:rPr>
        <w:t>,</w:t>
      </w:r>
      <w:r w:rsidRPr="00F80FC3">
        <w:rPr>
          <w:lang w:val="fr-CA"/>
        </w:rPr>
        <w:t xml:space="preserve"> </w:t>
      </w:r>
      <w:r w:rsidRPr="00F80FC3">
        <w:rPr>
          <w:i/>
          <w:iCs/>
          <w:lang w:val="fr-CA"/>
        </w:rPr>
        <w:t xml:space="preserve">Reasons for the “Decision on the </w:t>
      </w:r>
      <w:r w:rsidR="004937A0">
        <w:rPr>
          <w:i/>
          <w:iCs/>
          <w:lang w:val="fr-CA"/>
        </w:rPr>
        <w:t>‘</w:t>
      </w:r>
      <w:r w:rsidRPr="00F80FC3">
        <w:rPr>
          <w:i/>
          <w:iCs/>
          <w:lang w:val="fr-CA"/>
        </w:rPr>
        <w:t>Request for the recognition of the right of victims authorized to participate in the case to automatically participate in any interlocutory appeal arising from the case and, in the alternative, application to participate in the interlocutory appeal against the ninth decision on Mr. Gbagbo</w:t>
      </w:r>
      <w:r w:rsidR="004937A0">
        <w:rPr>
          <w:i/>
          <w:iCs/>
          <w:lang w:val="fr-CA"/>
        </w:rPr>
        <w:t>’</w:t>
      </w:r>
      <w:r w:rsidRPr="00F80FC3">
        <w:rPr>
          <w:i/>
          <w:iCs/>
          <w:lang w:val="fr-CA"/>
        </w:rPr>
        <w:t>s detention (ICC-02/11-01/15-134-Red3)</w:t>
      </w:r>
      <w:r w:rsidRPr="00F80FC3">
        <w:rPr>
          <w:lang w:val="fr-CA"/>
        </w:rPr>
        <w:t>”, 31 juillet 2015, Chambre d</w:t>
      </w:r>
      <w:r w:rsidR="004937A0">
        <w:rPr>
          <w:lang w:val="fr-CA"/>
        </w:rPr>
        <w:t>’</w:t>
      </w:r>
      <w:r w:rsidRPr="00F80FC3">
        <w:rPr>
          <w:lang w:val="fr-CA"/>
        </w:rPr>
        <w:t>appel, par. 14.</w:t>
      </w:r>
    </w:p>
  </w:footnote>
  <w:footnote w:id="145">
    <w:p w14:paraId="0A32EA61" w14:textId="4A807F38" w:rsidR="004C5E26" w:rsidRPr="0040227E" w:rsidRDefault="004C5E26" w:rsidP="004C5E26">
      <w:pPr>
        <w:pStyle w:val="Notedebasdepage"/>
      </w:pPr>
      <w:r w:rsidRPr="00F80FC3">
        <w:rPr>
          <w:lang w:val="fr-CA"/>
        </w:rPr>
        <w:tab/>
      </w:r>
      <w:r>
        <w:rPr>
          <w:rStyle w:val="Appelnotedebasdep"/>
        </w:rPr>
        <w:footnoteRef/>
      </w:r>
      <w:r>
        <w:tab/>
        <w:t xml:space="preserve">Voir par exemple, </w:t>
      </w:r>
      <w:r w:rsidRPr="004F2FC8">
        <w:rPr>
          <w:i/>
        </w:rPr>
        <w:t>Application de la convention pour la prévention et la répression du crime de génocide (Croatie c. Serbie)</w:t>
      </w:r>
      <w:r>
        <w:rPr>
          <w:i/>
        </w:rPr>
        <w:t>, arrêt, C.I.J. Recueil 2015</w:t>
      </w:r>
      <w:r>
        <w:rPr>
          <w:iCs/>
        </w:rPr>
        <w:t>, p. 3, par. 389</w:t>
      </w:r>
      <w:r w:rsidRPr="00F80FC3">
        <w:rPr>
          <w:lang w:val="fr-CA"/>
        </w:rPr>
        <w:t xml:space="preserve"> « La Cour estime qu</w:t>
      </w:r>
      <w:r w:rsidR="004937A0">
        <w:rPr>
          <w:lang w:val="fr-CA"/>
        </w:rPr>
        <w:t>’</w:t>
      </w:r>
      <w:r w:rsidRPr="00F80FC3">
        <w:rPr>
          <w:lang w:val="fr-CA"/>
        </w:rPr>
        <w:t>il n</w:t>
      </w:r>
      <w:r w:rsidR="004937A0">
        <w:rPr>
          <w:lang w:val="fr-CA"/>
        </w:rPr>
        <w:t>’</w:t>
      </w:r>
      <w:r w:rsidRPr="00F80FC3">
        <w:rPr>
          <w:lang w:val="fr-CA"/>
        </w:rPr>
        <w:t>existe, en l</w:t>
      </w:r>
      <w:r w:rsidR="004937A0">
        <w:rPr>
          <w:lang w:val="fr-CA"/>
        </w:rPr>
        <w:t>’</w:t>
      </w:r>
      <w:r w:rsidRPr="00F80FC3">
        <w:rPr>
          <w:lang w:val="fr-CA"/>
        </w:rPr>
        <w:t>espèce, aucune raison impérieuse qui devrait la conduire à s</w:t>
      </w:r>
      <w:r w:rsidR="004937A0">
        <w:rPr>
          <w:lang w:val="fr-CA"/>
        </w:rPr>
        <w:t>’</w:t>
      </w:r>
      <w:r w:rsidRPr="00F80FC3">
        <w:rPr>
          <w:lang w:val="fr-CA"/>
        </w:rPr>
        <w:t>écarter de cette approche. Par conséquent, elle conclut qu</w:t>
      </w:r>
      <w:r w:rsidR="004937A0">
        <w:rPr>
          <w:lang w:val="fr-CA"/>
        </w:rPr>
        <w:t>’</w:t>
      </w:r>
      <w:r w:rsidRPr="00F80FC3">
        <w:rPr>
          <w:lang w:val="fr-CA"/>
        </w:rPr>
        <w:t>il n</w:t>
      </w:r>
      <w:r w:rsidR="004937A0">
        <w:rPr>
          <w:lang w:val="fr-CA"/>
        </w:rPr>
        <w:t>’</w:t>
      </w:r>
      <w:r w:rsidRPr="00F80FC3">
        <w:rPr>
          <w:lang w:val="fr-CA"/>
        </w:rPr>
        <w:t>est pas nécessaire d</w:t>
      </w:r>
      <w:r w:rsidR="004937A0">
        <w:rPr>
          <w:lang w:val="fr-CA"/>
        </w:rPr>
        <w:t>’</w:t>
      </w:r>
      <w:r w:rsidRPr="00F80FC3">
        <w:rPr>
          <w:lang w:val="fr-CA"/>
        </w:rPr>
        <w:t>examiner plus avant les allégations de la Croatie aux fins d</w:t>
      </w:r>
      <w:r w:rsidR="004937A0">
        <w:rPr>
          <w:lang w:val="fr-CA"/>
        </w:rPr>
        <w:t>’</w:t>
      </w:r>
      <w:r w:rsidRPr="00F80FC3">
        <w:rPr>
          <w:lang w:val="fr-CA"/>
        </w:rPr>
        <w:t>établir l</w:t>
      </w:r>
      <w:r w:rsidR="004937A0">
        <w:rPr>
          <w:lang w:val="fr-CA"/>
        </w:rPr>
        <w:t>’</w:t>
      </w:r>
      <w:r w:rsidRPr="00F80FC3">
        <w:rPr>
          <w:lang w:val="fr-CA"/>
        </w:rPr>
        <w:t xml:space="preserve">élément matériel du génocide, au </w:t>
      </w:r>
      <w:r w:rsidRPr="008F52F2">
        <w:rPr>
          <w:lang w:val="fr-CA"/>
        </w:rPr>
        <w:t xml:space="preserve">sens du </w:t>
      </w:r>
      <w:r w:rsidRPr="008F52F2">
        <w:rPr>
          <w:i/>
          <w:iCs/>
          <w:lang w:val="fr-CA"/>
        </w:rPr>
        <w:t>litt</w:t>
      </w:r>
      <w:r w:rsidRPr="008F52F2">
        <w:rPr>
          <w:lang w:val="fr-CA"/>
        </w:rPr>
        <w:t>. c)</w:t>
      </w:r>
      <w:r w:rsidRPr="00F80FC3">
        <w:rPr>
          <w:lang w:val="fr-CA"/>
        </w:rPr>
        <w:t xml:space="preserve"> de l</w:t>
      </w:r>
      <w:r w:rsidR="004937A0">
        <w:rPr>
          <w:lang w:val="fr-CA"/>
        </w:rPr>
        <w:t>’</w:t>
      </w:r>
      <w:r w:rsidRPr="00F80FC3">
        <w:rPr>
          <w:lang w:val="fr-CA"/>
        </w:rPr>
        <w:t>article II de la Convention.</w:t>
      </w:r>
      <w:r>
        <w:rPr>
          <w:lang w:val="fr-CA"/>
        </w:rPr>
        <w:t> »</w:t>
      </w:r>
      <w:r w:rsidR="00B94A3F">
        <w:rPr>
          <w:lang w:val="fr-CA"/>
        </w:rPr>
        <w:t>.</w:t>
      </w:r>
    </w:p>
  </w:footnote>
  <w:footnote w:id="146">
    <w:p w14:paraId="13061B18" w14:textId="62FFDC30" w:rsidR="008F52F2" w:rsidRDefault="004C5E26" w:rsidP="004C5E26">
      <w:pPr>
        <w:pStyle w:val="Notedebasdepage"/>
      </w:pPr>
      <w:r>
        <w:tab/>
      </w:r>
      <w:r>
        <w:rPr>
          <w:rStyle w:val="Appelnotedebasdep"/>
        </w:rPr>
        <w:footnoteRef/>
      </w:r>
      <w:r>
        <w:tab/>
        <w:t>Le paragraphe 3 de l</w:t>
      </w:r>
      <w:r w:rsidR="004937A0">
        <w:t>’</w:t>
      </w:r>
      <w:r>
        <w:t>article 20 du Statut du Tribunal spécial pour la Sierra Leone, adopté par l</w:t>
      </w:r>
      <w:r w:rsidR="004937A0">
        <w:t>’</w:t>
      </w:r>
      <w:r>
        <w:t>Organisation des Nations Unies et le Gouvernement sierra-léonais au moyen d</w:t>
      </w:r>
      <w:r w:rsidR="004937A0">
        <w:t>’</w:t>
      </w:r>
      <w:r>
        <w:t>un traité bilatéral, cherchait à limiter la possibilité de conflit entre décisions judiciaires et la fragmentation du droit pénal international en disposant que les juges de la Chambre d</w:t>
      </w:r>
      <w:r w:rsidR="004937A0">
        <w:t>’</w:t>
      </w:r>
      <w:r>
        <w:t>appel du Tribunal spécial « se laissent guider par les décisions de la Chambre d</w:t>
      </w:r>
      <w:r w:rsidR="004937A0">
        <w:t>’</w:t>
      </w:r>
      <w:r>
        <w:t>appel des Tribunaux internationaux pour l</w:t>
      </w:r>
      <w:r w:rsidR="004937A0">
        <w:t>’</w:t>
      </w:r>
      <w:r>
        <w:t>ex-Yougoslavie et pour le Rwanda. Lorsqu</w:t>
      </w:r>
      <w:r w:rsidR="004937A0">
        <w:t>’</w:t>
      </w:r>
      <w:r>
        <w:t>ils doivent interpréter ou appliquer la législation sierra-léonaise, ils se laissent guider par les décisions de la Cour suprême de la Sierra Leone ». Le but était initialement d</w:t>
      </w:r>
      <w:r w:rsidR="004937A0">
        <w:t>’</w:t>
      </w:r>
      <w:r>
        <w:t>éviter la fragmentation du droit pénal international en faisant de la Chambre d</w:t>
      </w:r>
      <w:r w:rsidR="004937A0">
        <w:t>’</w:t>
      </w:r>
      <w:r>
        <w:t>appel du tribunal pénal international pour l</w:t>
      </w:r>
      <w:r w:rsidR="004937A0">
        <w:t>’</w:t>
      </w:r>
      <w:r>
        <w:t>ex-Yougoslavie et du Tribunal pénal international pour le Rwanda la Chambre d</w:t>
      </w:r>
      <w:r w:rsidR="004937A0">
        <w:t>’</w:t>
      </w:r>
      <w:r>
        <w:t>appel du Tribunal spécial pour la Sierra Leone. Toutefois, pour des raisons pratiques et compte tenu de la charge de travail et de la stratégie d</w:t>
      </w:r>
      <w:r w:rsidR="004937A0">
        <w:t>’</w:t>
      </w:r>
      <w:r>
        <w:t>achèvement des travaux des tribunaux prédécesseurs, il a été considéré que le même but pourrait être atteint en rendant les décisions de la Chambre d</w:t>
      </w:r>
      <w:r w:rsidR="004937A0">
        <w:t>’</w:t>
      </w:r>
      <w:r>
        <w:t>appel conjointe du Tribunal pénal international pour l</w:t>
      </w:r>
      <w:r w:rsidR="004937A0">
        <w:t>’</w:t>
      </w:r>
      <w:r>
        <w:t>ex-Yougoslavie et du Tribunal pénal international pour le Rwanda contraignantes pour le Tribunal spécial pour la Sierra Leone. Lorsqu</w:t>
      </w:r>
      <w:r w:rsidR="004937A0">
        <w:t>’</w:t>
      </w:r>
      <w:r>
        <w:t>elle a interprété la première partie de la disposition, dans l</w:t>
      </w:r>
      <w:r w:rsidR="004937A0">
        <w:t>’</w:t>
      </w:r>
      <w:r>
        <w:t xml:space="preserve">affaire </w:t>
      </w:r>
      <w:r w:rsidRPr="00F80FC3">
        <w:rPr>
          <w:i/>
          <w:iCs/>
        </w:rPr>
        <w:t>Norman</w:t>
      </w:r>
      <w:r>
        <w:t>, la Chambre d</w:t>
      </w:r>
      <w:r w:rsidR="004937A0">
        <w:t>’</w:t>
      </w:r>
      <w:r>
        <w:t>appel du Tribunal spécial pour la Sierra Leone a toutefois adopté une position plus nuancée, disant ce qui suit :</w:t>
      </w:r>
    </w:p>
    <w:p w14:paraId="5E563DBD" w14:textId="15EB0917" w:rsidR="004C5E26" w:rsidRDefault="004C5E26" w:rsidP="008F52F2">
      <w:pPr>
        <w:pStyle w:val="Notedebasdepage"/>
        <w:ind w:left="1701" w:firstLine="0"/>
        <w:rPr>
          <w:rFonts w:ascii="Segoe UI" w:hAnsi="Segoe UI" w:cs="Segoe UI"/>
          <w:sz w:val="20"/>
        </w:rPr>
      </w:pPr>
      <w:r>
        <w:t>« Sans vouloir mettre en doute la qualité de précédents ou la valeur persuasive des décisions du Tribunal pénal international pour le Rwanda et du Tribunal pénal international pour l</w:t>
      </w:r>
      <w:r w:rsidR="004937A0">
        <w:t>’</w:t>
      </w:r>
      <w:r>
        <w:t>ex</w:t>
      </w:r>
      <w:r w:rsidR="008F52F2">
        <w:noBreakHyphen/>
      </w:r>
      <w:r>
        <w:t>Yougoslavie, il convient de souligner que l</w:t>
      </w:r>
      <w:r w:rsidR="004937A0">
        <w:t>’</w:t>
      </w:r>
      <w:r>
        <w:t>utilisation de la formule « se laissent guider par » à l</w:t>
      </w:r>
      <w:r w:rsidR="004937A0">
        <w:t>’</w:t>
      </w:r>
      <w:r w:rsidR="008F52F2">
        <w:t>A</w:t>
      </w:r>
      <w:r>
        <w:t xml:space="preserve">rticle 20 du Statut </w:t>
      </w:r>
      <w:r w:rsidRPr="00F80FC3">
        <w:t>n</w:t>
      </w:r>
      <w:r w:rsidR="004937A0">
        <w:t>’</w:t>
      </w:r>
      <w:r w:rsidRPr="00F80FC3">
        <w:t>impose pas une émulation servile et inconditionnelle, que ce soit à titre de précédents ou pour leur valeur persuasive, des principes et doctrines énoncés par nos juridictions sœurs</w:t>
      </w:r>
      <w:r w:rsidR="008F52F2">
        <w:t>.</w:t>
      </w:r>
      <w:r>
        <w:t> »</w:t>
      </w:r>
      <w:r w:rsidRPr="00F80FC3">
        <w:t>. [</w:t>
      </w:r>
      <w:r>
        <w:t>t</w:t>
      </w:r>
      <w:r w:rsidRPr="00F80FC3">
        <w:t>raduction non officielle</w:t>
      </w:r>
      <w:r>
        <w:rPr>
          <w:rFonts w:ascii="Segoe UI" w:hAnsi="Segoe UI" w:cs="Segoe UI"/>
          <w:sz w:val="20"/>
        </w:rPr>
        <w:t>]</w:t>
      </w:r>
    </w:p>
    <w:p w14:paraId="2D8B65D6" w14:textId="483CF872" w:rsidR="004C5E26" w:rsidRPr="00CD055A" w:rsidRDefault="004C5E26" w:rsidP="004C5E26">
      <w:pPr>
        <w:pStyle w:val="Notedebasdepage"/>
      </w:pPr>
      <w:r>
        <w:tab/>
      </w:r>
      <w:r>
        <w:tab/>
      </w:r>
      <w:r w:rsidRPr="00F80FC3">
        <w:t>La Chambre d</w:t>
      </w:r>
      <w:r w:rsidR="004937A0">
        <w:t>’</w:t>
      </w:r>
      <w:r w:rsidRPr="00F80FC3">
        <w:t>appel du Tribunal spécial a expliqué que l</w:t>
      </w:r>
      <w:r w:rsidR="004937A0">
        <w:t>’</w:t>
      </w:r>
      <w:r w:rsidRPr="00F80FC3">
        <w:t>autorité d</w:t>
      </w:r>
      <w:r w:rsidR="004937A0">
        <w:t>’</w:t>
      </w:r>
      <w:r w:rsidRPr="00F80FC3">
        <w:t>une autre décision dépendait également de son caractère persuasif et pas seulement de l</w:t>
      </w:r>
      <w:r w:rsidR="004937A0">
        <w:t>’</w:t>
      </w:r>
      <w:r w:rsidRPr="00F80FC3">
        <w:t>existence d</w:t>
      </w:r>
      <w:r w:rsidR="004937A0">
        <w:t>’</w:t>
      </w:r>
      <w:r w:rsidRPr="00F80FC3">
        <w:t>une prescription statutaire formelle et que, de plus, en tant qu</w:t>
      </w:r>
      <w:r w:rsidR="004937A0">
        <w:t>’</w:t>
      </w:r>
      <w:r w:rsidRPr="00F80FC3">
        <w:t>instance suprême du système à deux degrés du Tribunal spécial, elle était tenue de veiller à ce que les interprétations émanant de ces autres juridictions soient compatibles avec son contexte spécifique.</w:t>
      </w:r>
      <w:r>
        <w:t xml:space="preserve"> </w:t>
      </w:r>
      <w:r w:rsidRPr="00F80FC3">
        <w:t>Elle a également indiqué que</w:t>
      </w:r>
      <w:r>
        <w:t>,</w:t>
      </w:r>
      <w:r w:rsidRPr="00F80FC3">
        <w:t xml:space="preserve"> dans le même temps</w:t>
      </w:r>
      <w:r>
        <w:t>,</w:t>
      </w:r>
      <w:r w:rsidRPr="00F80FC3">
        <w:t xml:space="preserve"> elle appuyait l</w:t>
      </w:r>
      <w:r w:rsidR="004937A0">
        <w:t>’</w:t>
      </w:r>
      <w:r w:rsidRPr="00F80FC3">
        <w:t>intention de ses fondateurs de maintenir la cohérence et l</w:t>
      </w:r>
      <w:r w:rsidR="004937A0">
        <w:t>’</w:t>
      </w:r>
      <w:r w:rsidRPr="00F80FC3">
        <w:t>uniformité dans l</w:t>
      </w:r>
      <w:r w:rsidR="004937A0">
        <w:t>’</w:t>
      </w:r>
      <w:r w:rsidRPr="00F80FC3">
        <w:t>interprétation et l</w:t>
      </w:r>
      <w:r w:rsidR="004937A0">
        <w:t>’</w:t>
      </w:r>
      <w:r w:rsidRPr="00F80FC3">
        <w:t>application du droit pénal international</w:t>
      </w:r>
      <w:r>
        <w:t xml:space="preserve">. </w:t>
      </w:r>
      <w:r w:rsidRPr="00CD055A">
        <w:t xml:space="preserve">(Tribunal spécial pour la Sierra Leone, </w:t>
      </w:r>
      <w:r w:rsidRPr="00F80FC3">
        <w:rPr>
          <w:i/>
          <w:iCs/>
        </w:rPr>
        <w:t>Prosecutor v. Samuel</w:t>
      </w:r>
      <w:r w:rsidR="008F52F2">
        <w:rPr>
          <w:i/>
          <w:iCs/>
        </w:rPr>
        <w:t> </w:t>
      </w:r>
      <w:r w:rsidRPr="00F80FC3">
        <w:rPr>
          <w:i/>
          <w:iCs/>
        </w:rPr>
        <w:t>Hinga Norman</w:t>
      </w:r>
      <w:r w:rsidRPr="00CD055A">
        <w:t xml:space="preserve">, affaire </w:t>
      </w:r>
      <w:r w:rsidR="008F52F2">
        <w:rPr>
          <w:rFonts w:eastAsia="MS Mincho"/>
        </w:rPr>
        <w:t>n</w:t>
      </w:r>
      <w:r w:rsidR="008F52F2">
        <w:rPr>
          <w:rFonts w:eastAsia="MS Mincho"/>
          <w:vertAlign w:val="superscript"/>
        </w:rPr>
        <w:t>o</w:t>
      </w:r>
      <w:r w:rsidRPr="00CD055A">
        <w:t xml:space="preserve"> SCSL-2003-08-PT, </w:t>
      </w:r>
      <w:r w:rsidRPr="00F80FC3">
        <w:rPr>
          <w:i/>
          <w:iCs/>
        </w:rPr>
        <w:t>Decision on the Prosecutor</w:t>
      </w:r>
      <w:r w:rsidR="004937A0">
        <w:rPr>
          <w:i/>
          <w:iCs/>
        </w:rPr>
        <w:t>’</w:t>
      </w:r>
      <w:r w:rsidRPr="00F80FC3">
        <w:rPr>
          <w:i/>
          <w:iCs/>
        </w:rPr>
        <w:t>s motion for immediate protective measures for witnesses and victims and for non-public disclosure</w:t>
      </w:r>
      <w:r w:rsidRPr="00F80FC3">
        <w:t>, 23 mai 2003, Chambre de pr</w:t>
      </w:r>
      <w:r>
        <w:t>emière instance, par. 11).</w:t>
      </w:r>
    </w:p>
  </w:footnote>
  <w:footnote w:id="147">
    <w:p w14:paraId="57CE84FA" w14:textId="61D21DDB" w:rsidR="004C5E26" w:rsidRPr="00E15E4A" w:rsidRDefault="004C5E26" w:rsidP="004C5E26">
      <w:pPr>
        <w:pStyle w:val="Notedebasdepage"/>
        <w:rPr>
          <w:rFonts w:eastAsia="Times New Roman"/>
          <w:lang w:val="fr-FR"/>
        </w:rPr>
      </w:pPr>
      <w:r w:rsidRPr="00F80FC3">
        <w:rPr>
          <w:rFonts w:eastAsia="Times New Roman"/>
        </w:rPr>
        <w:tab/>
      </w:r>
      <w:r w:rsidRPr="0053774D">
        <w:rPr>
          <w:rStyle w:val="Appelnotedebasdep"/>
        </w:rPr>
        <w:footnoteRef/>
      </w:r>
      <w:r>
        <w:rPr>
          <w:rFonts w:eastAsia="Times New Roman"/>
          <w:lang w:val="fr-FR"/>
        </w:rPr>
        <w:tab/>
      </w:r>
      <w:r w:rsidRPr="00E15E4A">
        <w:rPr>
          <w:rFonts w:eastAsia="Times New Roman"/>
          <w:lang w:val="fr-FR"/>
        </w:rPr>
        <w:t>Voir art</w:t>
      </w:r>
      <w:r w:rsidR="008F52F2">
        <w:rPr>
          <w:rFonts w:eastAsia="Times New Roman"/>
          <w:lang w:val="fr-FR"/>
        </w:rPr>
        <w:t>.</w:t>
      </w:r>
      <w:r w:rsidRPr="00E15E4A">
        <w:rPr>
          <w:rFonts w:eastAsia="Times New Roman"/>
          <w:lang w:val="fr-FR"/>
        </w:rPr>
        <w:t xml:space="preserve"> 61, deuxième paragraphe, et</w:t>
      </w:r>
      <w:r>
        <w:rPr>
          <w:rFonts w:eastAsia="Times New Roman"/>
          <w:lang w:val="fr-FR"/>
        </w:rPr>
        <w:t xml:space="preserve"> </w:t>
      </w:r>
      <w:r w:rsidRPr="0069529C">
        <w:rPr>
          <w:rFonts w:eastAsia="Times New Roman"/>
          <w:lang w:val="fr-FR"/>
        </w:rPr>
        <w:t>ar</w:t>
      </w:r>
      <w:r w:rsidR="008F52F2">
        <w:rPr>
          <w:rFonts w:eastAsia="Times New Roman"/>
          <w:lang w:val="fr-FR"/>
        </w:rPr>
        <w:t>t.</w:t>
      </w:r>
      <w:r w:rsidRPr="0069529C">
        <w:rPr>
          <w:rFonts w:eastAsia="Times New Roman"/>
          <w:lang w:val="fr-FR"/>
        </w:rPr>
        <w:t xml:space="preserve"> 62 </w:t>
      </w:r>
      <w:r w:rsidRPr="0069529C">
        <w:rPr>
          <w:rFonts w:eastAsia="Times New Roman"/>
          <w:i/>
          <w:iCs/>
          <w:lang w:val="fr-FR"/>
        </w:rPr>
        <w:t>ter</w:t>
      </w:r>
      <w:r w:rsidRPr="0069529C">
        <w:rPr>
          <w:rFonts w:eastAsia="Times New Roman"/>
          <w:lang w:val="fr-FR"/>
        </w:rPr>
        <w:t xml:space="preserve"> du Statut</w:t>
      </w:r>
      <w:r w:rsidRPr="00E15E4A">
        <w:rPr>
          <w:rFonts w:eastAsia="Times New Roman"/>
          <w:lang w:val="fr-FR"/>
        </w:rPr>
        <w:t xml:space="preserve"> de la Cour de justice de l</w:t>
      </w:r>
      <w:r w:rsidR="004937A0">
        <w:rPr>
          <w:rFonts w:eastAsia="Times New Roman"/>
          <w:lang w:val="fr-FR"/>
        </w:rPr>
        <w:t>’</w:t>
      </w:r>
      <w:r w:rsidRPr="00E15E4A">
        <w:rPr>
          <w:rFonts w:eastAsia="Times New Roman"/>
          <w:lang w:val="fr-FR"/>
        </w:rPr>
        <w:t>Union européenne</w:t>
      </w:r>
      <w:r>
        <w:rPr>
          <w:rFonts w:eastAsia="Times New Roman"/>
          <w:lang w:val="fr-FR"/>
        </w:rPr>
        <w:t xml:space="preserve">, </w:t>
      </w:r>
      <w:r w:rsidRPr="00E15E4A">
        <w:rPr>
          <w:rFonts w:eastAsia="Times New Roman"/>
          <w:lang w:val="fr-FR"/>
        </w:rPr>
        <w:t>lequel prévoit l</w:t>
      </w:r>
      <w:r w:rsidR="004937A0">
        <w:rPr>
          <w:rFonts w:eastAsia="Times New Roman"/>
          <w:lang w:val="fr-FR"/>
        </w:rPr>
        <w:t>’</w:t>
      </w:r>
      <w:r w:rsidRPr="00E15E4A">
        <w:rPr>
          <w:rFonts w:eastAsia="Times New Roman"/>
          <w:lang w:val="fr-FR"/>
        </w:rPr>
        <w:t>application obligatoire des décisions de la Cour notamment lorsqu</w:t>
      </w:r>
      <w:r w:rsidR="004937A0">
        <w:rPr>
          <w:rFonts w:eastAsia="Times New Roman"/>
          <w:lang w:val="fr-FR"/>
        </w:rPr>
        <w:t>’</w:t>
      </w:r>
      <w:r w:rsidRPr="00E15E4A">
        <w:rPr>
          <w:rFonts w:eastAsia="Times New Roman"/>
          <w:lang w:val="fr-FR"/>
        </w:rPr>
        <w:t>il existe un risque sérieux d</w:t>
      </w:r>
      <w:r w:rsidR="004937A0">
        <w:rPr>
          <w:rFonts w:eastAsia="Times New Roman"/>
          <w:lang w:val="fr-FR"/>
        </w:rPr>
        <w:t>’</w:t>
      </w:r>
      <w:r w:rsidRPr="00E15E4A">
        <w:rPr>
          <w:rFonts w:eastAsia="Times New Roman"/>
          <w:lang w:val="fr-FR"/>
        </w:rPr>
        <w:t>atteinte à l</w:t>
      </w:r>
      <w:r w:rsidR="004937A0">
        <w:rPr>
          <w:rFonts w:eastAsia="Times New Roman"/>
          <w:lang w:val="fr-FR"/>
        </w:rPr>
        <w:t>’</w:t>
      </w:r>
      <w:r w:rsidRPr="00E15E4A">
        <w:rPr>
          <w:rFonts w:eastAsia="Times New Roman"/>
          <w:lang w:val="fr-FR"/>
        </w:rPr>
        <w:t>unité ou à la cohérence du droit de l</w:t>
      </w:r>
      <w:r w:rsidR="004937A0">
        <w:rPr>
          <w:rFonts w:eastAsia="Times New Roman"/>
          <w:lang w:val="fr-FR"/>
        </w:rPr>
        <w:t>’</w:t>
      </w:r>
      <w:r w:rsidRPr="00E15E4A">
        <w:rPr>
          <w:rFonts w:eastAsia="Times New Roman"/>
          <w:lang w:val="fr-FR"/>
        </w:rPr>
        <w:t>Union (disponible à l</w:t>
      </w:r>
      <w:r w:rsidR="004937A0">
        <w:rPr>
          <w:rFonts w:eastAsia="Times New Roman"/>
          <w:lang w:val="fr-FR"/>
        </w:rPr>
        <w:t>’</w:t>
      </w:r>
      <w:r w:rsidRPr="00E15E4A">
        <w:rPr>
          <w:rFonts w:eastAsia="Times New Roman"/>
          <w:lang w:val="fr-FR"/>
        </w:rPr>
        <w:t>adresse</w:t>
      </w:r>
      <w:r>
        <w:rPr>
          <w:rFonts w:eastAsia="Times New Roman"/>
          <w:lang w:val="fr-FR"/>
        </w:rPr>
        <w:t xml:space="preserve"> suivante : </w:t>
      </w:r>
      <w:hyperlink r:id="rId87" w:history="1">
        <w:r w:rsidR="002C2BCB" w:rsidRPr="008C11ED">
          <w:rPr>
            <w:rStyle w:val="Lienhypertexte"/>
            <w:rFonts w:eastAsia="Times New Roman"/>
            <w:lang w:val="fr-FR"/>
          </w:rPr>
          <w:t>https://curia.europa.eu/jcms/upload/docs/application/pdf/2016-08/tra-doc-fr-div-c-0000-2016-201606984-05_00.pdf</w:t>
        </w:r>
      </w:hyperlink>
      <w:r w:rsidRPr="00E15E4A">
        <w:rPr>
          <w:rFonts w:eastAsia="Times New Roman"/>
          <w:lang w:val="fr-FR"/>
        </w:rPr>
        <w:t> ; il s</w:t>
      </w:r>
      <w:r w:rsidR="004937A0">
        <w:rPr>
          <w:rFonts w:eastAsia="Times New Roman"/>
          <w:lang w:val="fr-FR"/>
        </w:rPr>
        <w:t>’</w:t>
      </w:r>
      <w:r w:rsidRPr="00E15E4A">
        <w:rPr>
          <w:rFonts w:eastAsia="Times New Roman"/>
          <w:lang w:val="fr-FR"/>
        </w:rPr>
        <w:t>agit de la version consolidée du Statut, incorporant les textes énumérés ibid., p. 2).</w:t>
      </w:r>
    </w:p>
  </w:footnote>
  <w:footnote w:id="148">
    <w:p w14:paraId="28D05A8A" w14:textId="518A7023" w:rsidR="004C5E26" w:rsidRPr="00F80FC3" w:rsidRDefault="004C5E26" w:rsidP="004C5E26">
      <w:pPr>
        <w:pStyle w:val="Notedebasdepage"/>
        <w:rPr>
          <w:lang w:val="fr-CA"/>
        </w:rPr>
      </w:pPr>
      <w:r>
        <w:tab/>
      </w:r>
      <w:r>
        <w:rPr>
          <w:rStyle w:val="Appelnotedebasdep"/>
        </w:rPr>
        <w:footnoteRef/>
      </w:r>
      <w:r>
        <w:tab/>
        <w:t>Accord sur l</w:t>
      </w:r>
      <w:r w:rsidR="004937A0">
        <w:t>’</w:t>
      </w:r>
      <w:r>
        <w:t xml:space="preserve">Espace économique européen (Porto, 2 mai 1992), Nations Unies, </w:t>
      </w:r>
      <w:r w:rsidRPr="00F80FC3">
        <w:rPr>
          <w:i/>
          <w:iCs/>
        </w:rPr>
        <w:t>Recueil des Traités</w:t>
      </w:r>
      <w:r>
        <w:t>, vol.</w:t>
      </w:r>
      <w:r w:rsidR="008F52F2">
        <w:t> </w:t>
      </w:r>
      <w:r>
        <w:t xml:space="preserve">1793, </w:t>
      </w:r>
      <w:r w:rsidR="008F52F2">
        <w:rPr>
          <w:rFonts w:eastAsia="MS Mincho"/>
        </w:rPr>
        <w:t>n</w:t>
      </w:r>
      <w:r w:rsidR="008F52F2">
        <w:rPr>
          <w:rFonts w:eastAsia="MS Mincho"/>
          <w:vertAlign w:val="superscript"/>
        </w:rPr>
        <w:t>o</w:t>
      </w:r>
      <w:r>
        <w:t xml:space="preserve"> 31121, p. 3, art. 6. </w:t>
      </w:r>
    </w:p>
  </w:footnote>
  <w:footnote w:id="149">
    <w:p w14:paraId="5C2E334D" w14:textId="142A9F22" w:rsidR="004C5E26" w:rsidRPr="00C17484" w:rsidRDefault="004C5E26" w:rsidP="004C5E26">
      <w:pPr>
        <w:pStyle w:val="Notedebasdepage"/>
        <w:rPr>
          <w:color w:val="000000" w:themeColor="text1"/>
          <w:bdr w:val="none" w:sz="0" w:space="0" w:color="auto" w:frame="1"/>
          <w:shd w:val="clear" w:color="auto" w:fill="FFFFFF"/>
          <w:lang w:val="fr-FR"/>
        </w:rPr>
      </w:pPr>
      <w:r>
        <w:rPr>
          <w:lang w:val="fr-FR"/>
        </w:rPr>
        <w:tab/>
      </w:r>
      <w:r w:rsidRPr="0053774D">
        <w:rPr>
          <w:rStyle w:val="Appelnotedebasdep"/>
        </w:rPr>
        <w:footnoteRef/>
      </w:r>
      <w:r>
        <w:rPr>
          <w:lang w:val="fr-FR"/>
        </w:rPr>
        <w:tab/>
      </w:r>
      <w:r w:rsidRPr="00E15E4A">
        <w:rPr>
          <w:lang w:val="fr-FR"/>
        </w:rPr>
        <w:t xml:space="preserve">Voir, pour la décision </w:t>
      </w:r>
      <w:r>
        <w:rPr>
          <w:lang w:val="fr-FR"/>
        </w:rPr>
        <w:t>fondamentale</w:t>
      </w:r>
      <w:r w:rsidRPr="00E15E4A">
        <w:rPr>
          <w:lang w:val="fr-FR"/>
        </w:rPr>
        <w:t>, Cour interaméricaine des droits de l</w:t>
      </w:r>
      <w:r w:rsidR="004937A0">
        <w:rPr>
          <w:lang w:val="fr-FR"/>
        </w:rPr>
        <w:t>’</w:t>
      </w:r>
      <w:r w:rsidRPr="00E15E4A">
        <w:rPr>
          <w:lang w:val="fr-FR"/>
        </w:rPr>
        <w:t xml:space="preserve">homme, </w:t>
      </w:r>
      <w:r w:rsidRPr="00C91784">
        <w:rPr>
          <w:i/>
          <w:iCs/>
          <w:lang w:val="fr-FR"/>
        </w:rPr>
        <w:t>Almonacid</w:t>
      </w:r>
      <w:r w:rsidRPr="00C91784">
        <w:rPr>
          <w:i/>
          <w:iCs/>
          <w:lang w:val="fr-FR"/>
        </w:rPr>
        <w:noBreakHyphen/>
        <w:t>Arellano et autres c. Chili</w:t>
      </w:r>
      <w:r w:rsidRPr="00E15E4A">
        <w:rPr>
          <w:lang w:val="fr-FR"/>
        </w:rPr>
        <w:t xml:space="preserve">, arrêt </w:t>
      </w:r>
      <w:r w:rsidRPr="00E15E4A">
        <w:rPr>
          <w:color w:val="000000" w:themeColor="text1"/>
          <w:lang w:val="fr-FR"/>
        </w:rPr>
        <w:t>(exceptions préliminaires, fond, réparations et dépens)</w:t>
      </w:r>
      <w:r w:rsidRPr="00E15E4A">
        <w:rPr>
          <w:lang w:val="fr-FR"/>
        </w:rPr>
        <w:t>, 26</w:t>
      </w:r>
      <w:r>
        <w:rPr>
          <w:lang w:val="fr-FR"/>
        </w:rPr>
        <w:t> </w:t>
      </w:r>
      <w:r w:rsidRPr="00E15E4A">
        <w:rPr>
          <w:lang w:val="fr-FR"/>
        </w:rPr>
        <w:t xml:space="preserve">septembre </w:t>
      </w:r>
      <w:r w:rsidRPr="00E15E4A">
        <w:rPr>
          <w:color w:val="000000" w:themeColor="text1"/>
          <w:lang w:val="fr-FR"/>
        </w:rPr>
        <w:t>2006, série C, n</w:t>
      </w:r>
      <w:r w:rsidRPr="00E15E4A">
        <w:rPr>
          <w:color w:val="000000" w:themeColor="text1"/>
          <w:vertAlign w:val="superscript"/>
          <w:lang w:val="fr-FR"/>
        </w:rPr>
        <w:t>o</w:t>
      </w:r>
      <w:r w:rsidRPr="00E15E4A">
        <w:rPr>
          <w:color w:val="000000" w:themeColor="text1"/>
          <w:lang w:val="fr-FR"/>
        </w:rPr>
        <w:t> 154, par. 124. Pour des exemples de l</w:t>
      </w:r>
      <w:r w:rsidR="004937A0">
        <w:rPr>
          <w:color w:val="000000" w:themeColor="text1"/>
          <w:lang w:val="fr-FR"/>
        </w:rPr>
        <w:t>’</w:t>
      </w:r>
      <w:r w:rsidRPr="00E15E4A">
        <w:rPr>
          <w:color w:val="000000" w:themeColor="text1"/>
          <w:lang w:val="fr-FR"/>
        </w:rPr>
        <w:t>application et l</w:t>
      </w:r>
      <w:r w:rsidR="004937A0">
        <w:rPr>
          <w:color w:val="000000" w:themeColor="text1"/>
          <w:lang w:val="fr-FR"/>
        </w:rPr>
        <w:t>’</w:t>
      </w:r>
      <w:r w:rsidRPr="00E15E4A">
        <w:rPr>
          <w:color w:val="000000" w:themeColor="text1"/>
          <w:lang w:val="fr-FR"/>
        </w:rPr>
        <w:t>expansion ultérieures de cette doctrine et de son adoption par des organes</w:t>
      </w:r>
      <w:r w:rsidRPr="00C17484">
        <w:rPr>
          <w:color w:val="000000" w:themeColor="text1"/>
          <w:lang w:val="fr-FR"/>
        </w:rPr>
        <w:t xml:space="preserve"> publics </w:t>
      </w:r>
      <w:r>
        <w:rPr>
          <w:color w:val="000000" w:themeColor="text1"/>
          <w:lang w:val="fr-FR"/>
        </w:rPr>
        <w:t xml:space="preserve">autres </w:t>
      </w:r>
      <w:r w:rsidRPr="00C17484">
        <w:rPr>
          <w:color w:val="000000" w:themeColor="text1"/>
          <w:lang w:val="fr-FR"/>
        </w:rPr>
        <w:t xml:space="preserve">que </w:t>
      </w:r>
      <w:r>
        <w:rPr>
          <w:color w:val="000000" w:themeColor="text1"/>
          <w:lang w:val="fr-FR"/>
        </w:rPr>
        <w:t>d</w:t>
      </w:r>
      <w:r w:rsidRPr="00C17484">
        <w:rPr>
          <w:color w:val="000000" w:themeColor="text1"/>
          <w:lang w:val="fr-FR"/>
        </w:rPr>
        <w:t xml:space="preserve">es tribunaux, voir </w:t>
      </w:r>
      <w:r w:rsidRPr="00C91784">
        <w:t>Cour interaméricaine</w:t>
      </w:r>
      <w:r w:rsidRPr="00C17484">
        <w:rPr>
          <w:lang w:val="fr-FR"/>
        </w:rPr>
        <w:t xml:space="preserve"> des droits de l</w:t>
      </w:r>
      <w:r w:rsidR="004937A0">
        <w:rPr>
          <w:lang w:val="fr-FR"/>
        </w:rPr>
        <w:t>’</w:t>
      </w:r>
      <w:r w:rsidRPr="00C17484">
        <w:rPr>
          <w:lang w:val="fr-FR"/>
        </w:rPr>
        <w:t>homme</w:t>
      </w:r>
      <w:r>
        <w:rPr>
          <w:lang w:val="fr-FR"/>
        </w:rPr>
        <w:t>,</w:t>
      </w:r>
      <w:r w:rsidRPr="00C17484">
        <w:rPr>
          <w:lang w:val="fr-FR"/>
        </w:rPr>
        <w:t xml:space="preserve"> </w:t>
      </w:r>
      <w:r w:rsidRPr="00C17484">
        <w:rPr>
          <w:rStyle w:val="Accentuation"/>
          <w:color w:val="000000" w:themeColor="text1"/>
          <w:sz w:val="17"/>
          <w:szCs w:val="17"/>
          <w:bdr w:val="none" w:sz="0" w:space="0" w:color="auto" w:frame="1"/>
          <w:shd w:val="clear" w:color="auto" w:fill="FFFFFF"/>
          <w:lang w:val="fr-FR"/>
        </w:rPr>
        <w:t xml:space="preserve">Fermín Ramírez </w:t>
      </w:r>
      <w:r>
        <w:rPr>
          <w:rStyle w:val="Accentuation"/>
          <w:color w:val="000000" w:themeColor="text1"/>
          <w:sz w:val="17"/>
          <w:szCs w:val="17"/>
          <w:bdr w:val="none" w:sz="0" w:space="0" w:color="auto" w:frame="1"/>
          <w:shd w:val="clear" w:color="auto" w:fill="FFFFFF"/>
          <w:lang w:val="fr-FR"/>
        </w:rPr>
        <w:t>c</w:t>
      </w:r>
      <w:r w:rsidRPr="00C17484">
        <w:rPr>
          <w:rStyle w:val="Accentuation"/>
          <w:color w:val="000000" w:themeColor="text1"/>
          <w:sz w:val="17"/>
          <w:szCs w:val="17"/>
          <w:bdr w:val="none" w:sz="0" w:space="0" w:color="auto" w:frame="1"/>
          <w:shd w:val="clear" w:color="auto" w:fill="FFFFFF"/>
          <w:lang w:val="fr-FR"/>
        </w:rPr>
        <w:t xml:space="preserve">. Guatemala </w:t>
      </w:r>
      <w:r w:rsidRPr="003E15AF">
        <w:rPr>
          <w:rStyle w:val="Accentuation"/>
          <w:color w:val="000000" w:themeColor="text1"/>
          <w:sz w:val="17"/>
          <w:szCs w:val="17"/>
          <w:bdr w:val="none" w:sz="0" w:space="0" w:color="auto" w:frame="1"/>
          <w:shd w:val="clear" w:color="auto" w:fill="FFFFFF"/>
          <w:lang w:val="fr-FR"/>
        </w:rPr>
        <w:t>et</w:t>
      </w:r>
      <w:r w:rsidRPr="00C17484">
        <w:rPr>
          <w:rStyle w:val="Accentuation"/>
          <w:color w:val="000000" w:themeColor="text1"/>
          <w:sz w:val="17"/>
          <w:szCs w:val="17"/>
          <w:bdr w:val="none" w:sz="0" w:space="0" w:color="auto" w:frame="1"/>
          <w:shd w:val="clear" w:color="auto" w:fill="FFFFFF"/>
          <w:lang w:val="fr-FR"/>
        </w:rPr>
        <w:t xml:space="preserve"> Raxcacó Reyes et </w:t>
      </w:r>
      <w:r>
        <w:rPr>
          <w:rStyle w:val="Accentuation"/>
          <w:color w:val="000000" w:themeColor="text1"/>
          <w:sz w:val="17"/>
          <w:szCs w:val="17"/>
          <w:bdr w:val="none" w:sz="0" w:space="0" w:color="auto" w:frame="1"/>
          <w:shd w:val="clear" w:color="auto" w:fill="FFFFFF"/>
          <w:lang w:val="fr-FR"/>
        </w:rPr>
        <w:t>autres c. </w:t>
      </w:r>
      <w:r w:rsidRPr="00C17484">
        <w:rPr>
          <w:rStyle w:val="Accentuation"/>
          <w:color w:val="000000" w:themeColor="text1"/>
          <w:sz w:val="17"/>
          <w:szCs w:val="17"/>
          <w:bdr w:val="none" w:sz="0" w:space="0" w:color="auto" w:frame="1"/>
          <w:shd w:val="clear" w:color="auto" w:fill="FFFFFF"/>
          <w:lang w:val="fr-FR"/>
        </w:rPr>
        <w:t>Guatemala</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 xml:space="preserve">arrêt), 9 mai 2008, par. 63 ; </w:t>
      </w:r>
      <w:r w:rsidRPr="00C17484">
        <w:rPr>
          <w:rStyle w:val="Accentuation"/>
          <w:color w:val="000000" w:themeColor="text1"/>
          <w:sz w:val="17"/>
          <w:szCs w:val="17"/>
          <w:bdr w:val="none" w:sz="0" w:space="0" w:color="auto" w:frame="1"/>
          <w:shd w:val="clear" w:color="auto" w:fill="FFFFFF"/>
          <w:lang w:val="fr-FR"/>
        </w:rPr>
        <w:t xml:space="preserve">« Five Pensioners » </w:t>
      </w:r>
      <w:r>
        <w:rPr>
          <w:rStyle w:val="Accentuation"/>
          <w:color w:val="000000" w:themeColor="text1"/>
          <w:sz w:val="17"/>
          <w:szCs w:val="17"/>
          <w:bdr w:val="none" w:sz="0" w:space="0" w:color="auto" w:frame="1"/>
          <w:shd w:val="clear" w:color="auto" w:fill="FFFFFF"/>
          <w:lang w:val="fr-FR"/>
        </w:rPr>
        <w:t>c. Pérou</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arrêt), 24 novembre 2009, par. 35 ; </w:t>
      </w:r>
      <w:r w:rsidRPr="00C17484">
        <w:rPr>
          <w:rStyle w:val="Accentuation"/>
          <w:color w:val="000000" w:themeColor="text1"/>
          <w:sz w:val="17"/>
          <w:szCs w:val="17"/>
          <w:bdr w:val="none" w:sz="0" w:space="0" w:color="auto" w:frame="1"/>
          <w:shd w:val="clear" w:color="auto" w:fill="FFFFFF"/>
          <w:lang w:val="fr-FR"/>
        </w:rPr>
        <w:t xml:space="preserve">Bámaca Velásquez </w:t>
      </w:r>
      <w:r>
        <w:rPr>
          <w:rStyle w:val="Accentuation"/>
          <w:color w:val="000000" w:themeColor="text1"/>
          <w:sz w:val="17"/>
          <w:szCs w:val="17"/>
          <w:bdr w:val="none" w:sz="0" w:space="0" w:color="auto" w:frame="1"/>
          <w:shd w:val="clear" w:color="auto" w:fill="FFFFFF"/>
          <w:lang w:val="fr-FR"/>
        </w:rPr>
        <w:t>c</w:t>
      </w:r>
      <w:r w:rsidRPr="00C17484">
        <w:rPr>
          <w:rStyle w:val="Accentuation"/>
          <w:color w:val="000000" w:themeColor="text1"/>
          <w:sz w:val="17"/>
          <w:szCs w:val="17"/>
          <w:bdr w:val="none" w:sz="0" w:space="0" w:color="auto" w:frame="1"/>
          <w:shd w:val="clear" w:color="auto" w:fill="FFFFFF"/>
          <w:lang w:val="fr-FR"/>
        </w:rPr>
        <w:t>. Guatemala</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arrêt), 18 novembre 2010, par. 33 ; </w:t>
      </w:r>
      <w:r w:rsidRPr="00C17484">
        <w:rPr>
          <w:rStyle w:val="Accentuation"/>
          <w:color w:val="000000" w:themeColor="text1"/>
          <w:sz w:val="17"/>
          <w:szCs w:val="17"/>
          <w:bdr w:val="none" w:sz="0" w:space="0" w:color="auto" w:frame="1"/>
          <w:shd w:val="clear" w:color="auto" w:fill="FFFFFF"/>
          <w:lang w:val="fr-FR"/>
        </w:rPr>
        <w:t xml:space="preserve">Loayza Tamayo </w:t>
      </w:r>
      <w:r>
        <w:rPr>
          <w:rStyle w:val="Accentuation"/>
          <w:color w:val="000000" w:themeColor="text1"/>
          <w:sz w:val="17"/>
          <w:szCs w:val="17"/>
          <w:bdr w:val="none" w:sz="0" w:space="0" w:color="auto" w:frame="1"/>
          <w:shd w:val="clear" w:color="auto" w:fill="FFFFFF"/>
          <w:lang w:val="fr-FR"/>
        </w:rPr>
        <w:t>c. Pérou</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arrêt), 1</w:t>
      </w:r>
      <w:r w:rsidRPr="00C17484">
        <w:rPr>
          <w:color w:val="000000" w:themeColor="text1"/>
          <w:shd w:val="clear" w:color="auto" w:fill="FFFFFF"/>
          <w:vertAlign w:val="superscript"/>
          <w:lang w:val="fr-FR"/>
        </w:rPr>
        <w:t>er</w:t>
      </w:r>
      <w:r w:rsidRPr="00C17484">
        <w:rPr>
          <w:color w:val="000000" w:themeColor="text1"/>
          <w:shd w:val="clear" w:color="auto" w:fill="FFFFFF"/>
          <w:lang w:val="fr-FR"/>
        </w:rPr>
        <w:t> juillet 2011, par. 35 ;</w:t>
      </w:r>
      <w:r>
        <w:rPr>
          <w:color w:val="000000" w:themeColor="text1"/>
          <w:shd w:val="clear" w:color="auto" w:fill="FFFFFF"/>
          <w:lang w:val="fr-FR"/>
        </w:rPr>
        <w:t xml:space="preserve"> </w:t>
      </w:r>
      <w:r w:rsidRPr="00C17484">
        <w:rPr>
          <w:rStyle w:val="Accentuation"/>
          <w:color w:val="000000" w:themeColor="text1"/>
          <w:sz w:val="17"/>
          <w:szCs w:val="17"/>
          <w:bdr w:val="none" w:sz="0" w:space="0" w:color="auto" w:frame="1"/>
          <w:shd w:val="clear" w:color="auto" w:fill="FFFFFF"/>
          <w:lang w:val="fr-FR"/>
        </w:rPr>
        <w:t xml:space="preserve">Castillo Petruzzi et </w:t>
      </w:r>
      <w:r>
        <w:rPr>
          <w:rStyle w:val="Accentuation"/>
          <w:color w:val="000000" w:themeColor="text1"/>
          <w:sz w:val="17"/>
          <w:szCs w:val="17"/>
          <w:bdr w:val="none" w:sz="0" w:space="0" w:color="auto" w:frame="1"/>
          <w:shd w:val="clear" w:color="auto" w:fill="FFFFFF"/>
          <w:lang w:val="fr-FR"/>
        </w:rPr>
        <w:t>autres c. Péro</w:t>
      </w:r>
      <w:r w:rsidRPr="00C17484">
        <w:rPr>
          <w:rStyle w:val="Accentuation"/>
          <w:color w:val="000000" w:themeColor="text1"/>
          <w:sz w:val="17"/>
          <w:szCs w:val="17"/>
          <w:bdr w:val="none" w:sz="0" w:space="0" w:color="auto" w:frame="1"/>
          <w:shd w:val="clear" w:color="auto" w:fill="FFFFFF"/>
          <w:lang w:val="fr-FR"/>
        </w:rPr>
        <w:t>u</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arrêt), 1</w:t>
      </w:r>
      <w:r w:rsidRPr="00C17484">
        <w:rPr>
          <w:color w:val="000000" w:themeColor="text1"/>
          <w:shd w:val="clear" w:color="auto" w:fill="FFFFFF"/>
          <w:vertAlign w:val="superscript"/>
          <w:lang w:val="fr-FR"/>
        </w:rPr>
        <w:t>er</w:t>
      </w:r>
      <w:r w:rsidRPr="00C17484">
        <w:rPr>
          <w:color w:val="000000" w:themeColor="text1"/>
          <w:shd w:val="clear" w:color="auto" w:fill="FFFFFF"/>
          <w:lang w:val="fr-FR"/>
        </w:rPr>
        <w:t> juillet 2011, par. 20</w:t>
      </w:r>
      <w:r>
        <w:rPr>
          <w:color w:val="000000" w:themeColor="text1"/>
          <w:shd w:val="clear" w:color="auto" w:fill="FFFFFF"/>
          <w:lang w:val="fr-FR"/>
        </w:rPr>
        <w:t> </w:t>
      </w:r>
      <w:r w:rsidRPr="00C17484">
        <w:rPr>
          <w:color w:val="000000" w:themeColor="text1"/>
          <w:shd w:val="clear" w:color="auto" w:fill="FFFFFF"/>
          <w:lang w:val="fr-FR"/>
        </w:rPr>
        <w:t xml:space="preserve">; </w:t>
      </w:r>
      <w:r w:rsidRPr="00C17484">
        <w:rPr>
          <w:rStyle w:val="Accentuation"/>
          <w:color w:val="000000" w:themeColor="text1"/>
          <w:sz w:val="17"/>
          <w:szCs w:val="17"/>
          <w:bdr w:val="none" w:sz="0" w:space="0" w:color="auto" w:frame="1"/>
          <w:shd w:val="clear" w:color="auto" w:fill="FFFFFF"/>
          <w:lang w:val="fr-FR"/>
        </w:rPr>
        <w:t xml:space="preserve">Lori Berenson Mejía </w:t>
      </w:r>
      <w:r>
        <w:rPr>
          <w:rStyle w:val="Accentuation"/>
          <w:color w:val="000000" w:themeColor="text1"/>
          <w:sz w:val="17"/>
          <w:szCs w:val="17"/>
          <w:bdr w:val="none" w:sz="0" w:space="0" w:color="auto" w:frame="1"/>
          <w:shd w:val="clear" w:color="auto" w:fill="FFFFFF"/>
          <w:lang w:val="fr-FR"/>
        </w:rPr>
        <w:t>c. Pérou</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 xml:space="preserve">arrêt), 20 juin 2012, par. 18 ; </w:t>
      </w:r>
      <w:r w:rsidRPr="00C17484">
        <w:rPr>
          <w:rStyle w:val="Accentuation"/>
          <w:color w:val="000000" w:themeColor="text1"/>
          <w:sz w:val="17"/>
          <w:szCs w:val="17"/>
          <w:bdr w:val="none" w:sz="0" w:space="0" w:color="auto" w:frame="1"/>
          <w:shd w:val="clear" w:color="auto" w:fill="FFFFFF"/>
          <w:lang w:val="fr-FR"/>
        </w:rPr>
        <w:t xml:space="preserve">Barrios Altos </w:t>
      </w:r>
      <w:r>
        <w:rPr>
          <w:rStyle w:val="Accentuation"/>
          <w:color w:val="000000" w:themeColor="text1"/>
          <w:sz w:val="17"/>
          <w:szCs w:val="17"/>
          <w:bdr w:val="none" w:sz="0" w:space="0" w:color="auto" w:frame="1"/>
          <w:shd w:val="clear" w:color="auto" w:fill="FFFFFF"/>
          <w:lang w:val="fr-FR"/>
        </w:rPr>
        <w:t>c. Pérou</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 xml:space="preserve">arrêt), 7 septembre 2012, par. 24 ; </w:t>
      </w:r>
      <w:r w:rsidRPr="00C17484">
        <w:rPr>
          <w:rStyle w:val="Accentuation"/>
          <w:color w:val="000000" w:themeColor="text1"/>
          <w:sz w:val="17"/>
          <w:szCs w:val="17"/>
          <w:bdr w:val="none" w:sz="0" w:space="0" w:color="auto" w:frame="1"/>
          <w:shd w:val="clear" w:color="auto" w:fill="FFFFFF"/>
          <w:lang w:val="fr-FR"/>
        </w:rPr>
        <w:t xml:space="preserve">Castañeda Gutman </w:t>
      </w:r>
      <w:r>
        <w:rPr>
          <w:rStyle w:val="Accentuation"/>
          <w:color w:val="000000" w:themeColor="text1"/>
          <w:sz w:val="17"/>
          <w:szCs w:val="17"/>
          <w:bdr w:val="none" w:sz="0" w:space="0" w:color="auto" w:frame="1"/>
          <w:shd w:val="clear" w:color="auto" w:fill="FFFFFF"/>
          <w:lang w:val="fr-FR"/>
        </w:rPr>
        <w:t>c. Mexique</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arrêt), 28 août 2013, par. 23 ; </w:t>
      </w:r>
      <w:r w:rsidRPr="00C17484">
        <w:rPr>
          <w:rStyle w:val="Accentuation"/>
          <w:color w:val="000000" w:themeColor="text1"/>
          <w:sz w:val="17"/>
          <w:szCs w:val="17"/>
          <w:bdr w:val="none" w:sz="0" w:space="0" w:color="auto" w:frame="1"/>
          <w:shd w:val="clear" w:color="auto" w:fill="FFFFFF"/>
          <w:lang w:val="fr-FR"/>
        </w:rPr>
        <w:t>11 affaires contre le Guatemala concernant l</w:t>
      </w:r>
      <w:r w:rsidR="004937A0">
        <w:rPr>
          <w:rStyle w:val="Accentuation"/>
          <w:color w:val="000000" w:themeColor="text1"/>
          <w:sz w:val="17"/>
          <w:szCs w:val="17"/>
          <w:bdr w:val="none" w:sz="0" w:space="0" w:color="auto" w:frame="1"/>
          <w:shd w:val="clear" w:color="auto" w:fill="FFFFFF"/>
          <w:lang w:val="fr-FR"/>
        </w:rPr>
        <w:t>’</w:t>
      </w:r>
      <w:r w:rsidRPr="00C17484">
        <w:rPr>
          <w:rStyle w:val="Accentuation"/>
          <w:color w:val="000000" w:themeColor="text1"/>
          <w:sz w:val="17"/>
          <w:szCs w:val="17"/>
          <w:bdr w:val="none" w:sz="0" w:space="0" w:color="auto" w:frame="1"/>
          <w:shd w:val="clear" w:color="auto" w:fill="FFFFFF"/>
          <w:lang w:val="fr-FR"/>
        </w:rPr>
        <w:t>obligation d</w:t>
      </w:r>
      <w:r w:rsidR="004937A0">
        <w:rPr>
          <w:rStyle w:val="Accentuation"/>
          <w:color w:val="000000" w:themeColor="text1"/>
          <w:sz w:val="17"/>
          <w:szCs w:val="17"/>
          <w:bdr w:val="none" w:sz="0" w:space="0" w:color="auto" w:frame="1"/>
          <w:shd w:val="clear" w:color="auto" w:fill="FFFFFF"/>
          <w:lang w:val="fr-FR"/>
        </w:rPr>
        <w:t>’</w:t>
      </w:r>
      <w:r w:rsidRPr="00C17484">
        <w:rPr>
          <w:rStyle w:val="Accentuation"/>
          <w:color w:val="000000" w:themeColor="text1"/>
          <w:sz w:val="17"/>
          <w:szCs w:val="17"/>
          <w:bdr w:val="none" w:sz="0" w:space="0" w:color="auto" w:frame="1"/>
          <w:shd w:val="clear" w:color="auto" w:fill="FFFFFF"/>
          <w:lang w:val="fr-FR"/>
        </w:rPr>
        <w:t>enquêter, de poursuivre et, le cas échéant, de punir les responsables de violations des droits de l</w:t>
      </w:r>
      <w:r w:rsidR="004937A0">
        <w:rPr>
          <w:rStyle w:val="Accentuation"/>
          <w:color w:val="000000" w:themeColor="text1"/>
          <w:sz w:val="17"/>
          <w:szCs w:val="17"/>
          <w:bdr w:val="none" w:sz="0" w:space="0" w:color="auto" w:frame="1"/>
          <w:shd w:val="clear" w:color="auto" w:fill="FFFFFF"/>
          <w:lang w:val="fr-FR"/>
        </w:rPr>
        <w:t>’</w:t>
      </w:r>
      <w:r w:rsidRPr="00C17484">
        <w:rPr>
          <w:rStyle w:val="Accentuation"/>
          <w:color w:val="000000" w:themeColor="text1"/>
          <w:sz w:val="17"/>
          <w:szCs w:val="17"/>
          <w:bdr w:val="none" w:sz="0" w:space="0" w:color="auto" w:frame="1"/>
          <w:shd w:val="clear" w:color="auto" w:fill="FFFFFF"/>
          <w:lang w:val="fr-FR"/>
        </w:rPr>
        <w:t>homme</w:t>
      </w:r>
      <w:r w:rsidRPr="00C17484">
        <w:rPr>
          <w:color w:val="000000" w:themeColor="text1"/>
          <w:shd w:val="clear" w:color="auto" w:fill="FFFFFF"/>
          <w:lang w:val="fr-FR"/>
        </w:rPr>
        <w:t>, ordonnance (supervision de l</w:t>
      </w:r>
      <w:r w:rsidR="004937A0">
        <w:rPr>
          <w:color w:val="000000" w:themeColor="text1"/>
          <w:shd w:val="clear" w:color="auto" w:fill="FFFFFF"/>
          <w:lang w:val="fr-FR"/>
        </w:rPr>
        <w:t>’</w:t>
      </w:r>
      <w:r w:rsidRPr="00C17484">
        <w:rPr>
          <w:color w:val="000000" w:themeColor="text1"/>
          <w:shd w:val="clear" w:color="auto" w:fill="FFFFFF"/>
          <w:lang w:val="fr-FR"/>
        </w:rPr>
        <w:t>exécution de l</w:t>
      </w:r>
      <w:r w:rsidR="004937A0">
        <w:rPr>
          <w:color w:val="000000" w:themeColor="text1"/>
          <w:shd w:val="clear" w:color="auto" w:fill="FFFFFF"/>
          <w:lang w:val="fr-FR"/>
        </w:rPr>
        <w:t>’</w:t>
      </w:r>
      <w:r w:rsidRPr="00C17484">
        <w:rPr>
          <w:color w:val="000000" w:themeColor="text1"/>
          <w:shd w:val="clear" w:color="auto" w:fill="FFFFFF"/>
          <w:lang w:val="fr-FR"/>
        </w:rPr>
        <w:t xml:space="preserve">arrêt), 21 août 2014. </w:t>
      </w:r>
    </w:p>
  </w:footnote>
  <w:footnote w:id="150">
    <w:p w14:paraId="737302A3" w14:textId="0484F6D6" w:rsidR="004C5E26" w:rsidRPr="0092733B" w:rsidRDefault="004C5E26" w:rsidP="004C5E26">
      <w:pPr>
        <w:pStyle w:val="Notedebasdepage"/>
        <w:rPr>
          <w:kern w:val="2"/>
          <w:lang w:val="en-US"/>
          <w14:ligatures w14:val="standardContextual"/>
        </w:rPr>
      </w:pPr>
      <w:r w:rsidRPr="007B1F71">
        <w:tab/>
      </w:r>
      <w:r w:rsidRPr="0053774D">
        <w:rPr>
          <w:rStyle w:val="Appelnotedebasdep"/>
        </w:rPr>
        <w:footnoteRef/>
      </w:r>
      <w:r>
        <w:rPr>
          <w:lang w:val="es-ES"/>
        </w:rPr>
        <w:tab/>
      </w:r>
      <w:r w:rsidRPr="0053774D">
        <w:rPr>
          <w:lang w:val="es-ES"/>
        </w:rPr>
        <w:t xml:space="preserve">Voir, par exemple, </w:t>
      </w:r>
      <w:r w:rsidRPr="0053774D">
        <w:rPr>
          <w:rFonts w:eastAsia="Times New Roman"/>
          <w:color w:val="000000" w:themeColor="text1"/>
          <w:lang w:val="es-ES"/>
        </w:rPr>
        <w:t>Laurence Burgorgue-Larsen, « </w:t>
      </w:r>
      <w:r w:rsidRPr="0053774D">
        <w:rPr>
          <w:rFonts w:eastAsia="Times New Roman"/>
          <w:color w:val="000000" w:themeColor="text1"/>
          <w:kern w:val="36"/>
          <w:lang w:val="es-ES"/>
        </w:rPr>
        <w:t>Conventionality control: Inter-American Court of Human Rights (IACtHR)</w:t>
      </w:r>
      <w:r w:rsidRPr="0053774D">
        <w:rPr>
          <w:rFonts w:eastAsia="Times New Roman"/>
          <w:color w:val="000000" w:themeColor="text1"/>
          <w:lang w:val="es-ES"/>
        </w:rPr>
        <w:t xml:space="preserve"> », </w:t>
      </w:r>
      <w:r w:rsidRPr="0043024B">
        <w:rPr>
          <w:rFonts w:eastAsia="Times New Roman"/>
          <w:i/>
          <w:iCs/>
          <w:color w:val="000000" w:themeColor="text1"/>
          <w:lang w:val="es-ES"/>
        </w:rPr>
        <w:t>Max Planck Encyclopedias of International Law</w:t>
      </w:r>
      <w:r w:rsidRPr="0053774D">
        <w:rPr>
          <w:rFonts w:eastAsia="Times New Roman"/>
          <w:color w:val="000000" w:themeColor="text1"/>
          <w:lang w:val="es-ES"/>
        </w:rPr>
        <w:t xml:space="preserve">, décembre 2018, disponible à </w:t>
      </w:r>
      <w:proofErr w:type="spellStart"/>
      <w:r w:rsidRPr="0053774D">
        <w:rPr>
          <w:rFonts w:eastAsia="Times New Roman"/>
          <w:color w:val="000000" w:themeColor="text1"/>
          <w:lang w:val="es-ES"/>
        </w:rPr>
        <w:t>l</w:t>
      </w:r>
      <w:r w:rsidR="004937A0">
        <w:rPr>
          <w:rFonts w:eastAsia="Times New Roman"/>
          <w:color w:val="000000" w:themeColor="text1"/>
          <w:lang w:val="es-ES"/>
        </w:rPr>
        <w:t>’</w:t>
      </w:r>
      <w:r w:rsidRPr="0053774D">
        <w:rPr>
          <w:rFonts w:eastAsia="Times New Roman"/>
          <w:color w:val="000000" w:themeColor="text1"/>
          <w:lang w:val="es-ES"/>
        </w:rPr>
        <w:t>adresse</w:t>
      </w:r>
      <w:proofErr w:type="spellEnd"/>
      <w:r>
        <w:rPr>
          <w:rFonts w:eastAsia="Times New Roman"/>
          <w:color w:val="000000" w:themeColor="text1"/>
          <w:lang w:val="es-ES"/>
        </w:rPr>
        <w:t xml:space="preserve"> </w:t>
      </w:r>
      <w:proofErr w:type="spellStart"/>
      <w:r>
        <w:rPr>
          <w:rFonts w:eastAsia="Times New Roman"/>
          <w:color w:val="000000" w:themeColor="text1"/>
          <w:lang w:val="es-ES"/>
        </w:rPr>
        <w:t>suivante</w:t>
      </w:r>
      <w:proofErr w:type="spellEnd"/>
      <w:r w:rsidR="0043024B">
        <w:rPr>
          <w:rFonts w:eastAsia="Times New Roman"/>
          <w:color w:val="000000" w:themeColor="text1"/>
          <w:lang w:val="es-ES"/>
        </w:rPr>
        <w:t> </w:t>
      </w:r>
      <w:r>
        <w:rPr>
          <w:rFonts w:eastAsia="Times New Roman"/>
          <w:color w:val="000000" w:themeColor="text1"/>
          <w:lang w:val="es-ES"/>
        </w:rPr>
        <w:t>:</w:t>
      </w:r>
      <w:r w:rsidRPr="0053774D">
        <w:rPr>
          <w:rFonts w:eastAsia="Times New Roman"/>
          <w:color w:val="000000" w:themeColor="text1"/>
          <w:lang w:val="es-ES"/>
        </w:rPr>
        <w:t xml:space="preserve"> </w:t>
      </w:r>
      <w:hyperlink r:id="rId88" w:history="1">
        <w:r w:rsidRPr="003E15AF">
          <w:rPr>
            <w:rStyle w:val="Lienhypertexte"/>
            <w:rFonts w:eastAsia="Times New Roman"/>
            <w:sz w:val="17"/>
            <w:szCs w:val="17"/>
            <w:lang w:val="es-ES"/>
          </w:rPr>
          <w:t>https://opil.ouplaw.com/display/10.1093/law-mpeipro/e3634.013.3634/law-mpeipro-e3634</w:t>
        </w:r>
      </w:hyperlink>
      <w:r w:rsidRPr="0053774D">
        <w:rPr>
          <w:rStyle w:val="Lienhypertexte"/>
          <w:rFonts w:eastAsia="Times New Roman"/>
          <w:sz w:val="17"/>
          <w:szCs w:val="17"/>
          <w:lang w:val="es-ES"/>
        </w:rPr>
        <w:t> </w:t>
      </w:r>
      <w:r w:rsidRPr="0053774D">
        <w:rPr>
          <w:lang w:val="es-ES"/>
        </w:rPr>
        <w:t xml:space="preserve">; Pablo González Domínguez, « La doctrina del control de convencionalidad a la luz del principio de subsidiaredad », </w:t>
      </w:r>
      <w:r w:rsidRPr="0043024B">
        <w:rPr>
          <w:i/>
          <w:iCs/>
          <w:lang w:val="es-ES"/>
        </w:rPr>
        <w:t>Estudos Constititucionales</w:t>
      </w:r>
      <w:r w:rsidRPr="0053774D">
        <w:rPr>
          <w:lang w:val="es-ES"/>
        </w:rPr>
        <w:t>, vol. 15 (2017), p. 55 à 98 ; et Paolo G.</w:t>
      </w:r>
      <w:r>
        <w:rPr>
          <w:lang w:val="es-ES"/>
        </w:rPr>
        <w:t> </w:t>
      </w:r>
      <w:r w:rsidRPr="0053774D">
        <w:rPr>
          <w:lang w:val="es-ES"/>
        </w:rPr>
        <w:t xml:space="preserve">Carozza et Pablo González, « The final word? </w:t>
      </w:r>
      <w:r w:rsidRPr="0092733B">
        <w:rPr>
          <w:lang w:val="en-US"/>
        </w:rPr>
        <w:t xml:space="preserve">Constitutional dialogue and the Inter-American Court of Human Rights: a reply to Jorge Contesse », </w:t>
      </w:r>
      <w:r w:rsidRPr="003E15AF">
        <w:rPr>
          <w:i/>
          <w:iCs/>
          <w:lang w:val="en-US"/>
        </w:rPr>
        <w:t>International Journal of Constitutional Law</w:t>
      </w:r>
      <w:r w:rsidRPr="0092733B">
        <w:rPr>
          <w:lang w:val="en-US"/>
        </w:rPr>
        <w:t>, vol.</w:t>
      </w:r>
      <w:r>
        <w:rPr>
          <w:lang w:val="en-US"/>
        </w:rPr>
        <w:t> </w:t>
      </w:r>
      <w:r w:rsidRPr="0092733B">
        <w:rPr>
          <w:lang w:val="en-US"/>
        </w:rPr>
        <w:t xml:space="preserve">15 (2017), p. 436 à 442. </w:t>
      </w:r>
    </w:p>
  </w:footnote>
  <w:footnote w:id="151">
    <w:p w14:paraId="1E39161C" w14:textId="62D93184" w:rsidR="004C5E26" w:rsidRPr="00C17484" w:rsidRDefault="004C5E26" w:rsidP="004C5E26">
      <w:pPr>
        <w:pStyle w:val="Notedebasdepage"/>
        <w:rPr>
          <w:rFonts w:eastAsia="Times New Roman"/>
          <w:color w:val="000000" w:themeColor="text1"/>
          <w:kern w:val="36"/>
          <w:lang w:val="fr-FR"/>
        </w:rPr>
      </w:pPr>
      <w:r w:rsidRPr="007B1F71">
        <w:rPr>
          <w:lang w:val="en-US"/>
        </w:rPr>
        <w:tab/>
      </w:r>
      <w:r w:rsidRPr="0053774D">
        <w:rPr>
          <w:rStyle w:val="Appelnotedebasdep"/>
        </w:rPr>
        <w:footnoteRef/>
      </w:r>
      <w:r>
        <w:rPr>
          <w:lang w:val="fr-FR"/>
        </w:rPr>
        <w:tab/>
      </w:r>
      <w:r w:rsidRPr="00C17484">
        <w:rPr>
          <w:rFonts w:eastAsia="Times New Roman"/>
          <w:color w:val="000000" w:themeColor="text1"/>
          <w:kern w:val="36"/>
          <w:lang w:val="fr-FR"/>
        </w:rPr>
        <w:t xml:space="preserve">Chili, communiqué de presse du Ministère des affaires étrangères </w:t>
      </w:r>
      <w:r>
        <w:rPr>
          <w:rFonts w:eastAsia="Times New Roman"/>
          <w:color w:val="000000" w:themeColor="text1"/>
          <w:kern w:val="36"/>
          <w:lang w:val="fr-FR"/>
        </w:rPr>
        <w:t xml:space="preserve">et du </w:t>
      </w:r>
      <w:r w:rsidRPr="00C17484">
        <w:rPr>
          <w:rFonts w:eastAsia="Times New Roman"/>
          <w:color w:val="000000" w:themeColor="text1"/>
          <w:kern w:val="36"/>
          <w:lang w:val="fr-FR"/>
        </w:rPr>
        <w:t>Ministère de la justice et des droits de l</w:t>
      </w:r>
      <w:r w:rsidR="004937A0">
        <w:rPr>
          <w:rFonts w:eastAsia="Times New Roman"/>
          <w:color w:val="000000" w:themeColor="text1"/>
          <w:kern w:val="36"/>
          <w:lang w:val="fr-FR"/>
        </w:rPr>
        <w:t>’</w:t>
      </w:r>
      <w:r w:rsidRPr="00C17484">
        <w:rPr>
          <w:rFonts w:eastAsia="Times New Roman"/>
          <w:color w:val="000000" w:themeColor="text1"/>
          <w:kern w:val="36"/>
          <w:lang w:val="fr-FR"/>
        </w:rPr>
        <w:t>homme sur le système interaméricain des droits de l</w:t>
      </w:r>
      <w:r w:rsidR="004937A0">
        <w:rPr>
          <w:rFonts w:eastAsia="Times New Roman"/>
          <w:color w:val="000000" w:themeColor="text1"/>
          <w:kern w:val="36"/>
          <w:lang w:val="fr-FR"/>
        </w:rPr>
        <w:t>’</w:t>
      </w:r>
      <w:r w:rsidRPr="00C17484">
        <w:rPr>
          <w:rFonts w:eastAsia="Times New Roman"/>
          <w:color w:val="000000" w:themeColor="text1"/>
          <w:kern w:val="36"/>
          <w:lang w:val="fr-FR"/>
        </w:rPr>
        <w:t>homme</w:t>
      </w:r>
      <w:r w:rsidRPr="00C17484">
        <w:rPr>
          <w:lang w:val="fr-FR"/>
        </w:rPr>
        <w:t xml:space="preserve">, </w:t>
      </w:r>
      <w:r w:rsidRPr="00C17484">
        <w:rPr>
          <w:color w:val="000000" w:themeColor="text1"/>
          <w:lang w:val="fr-FR"/>
        </w:rPr>
        <w:t>23 avril 2019 (voir déclaration des représentants permanents de l</w:t>
      </w:r>
      <w:r w:rsidR="004937A0">
        <w:rPr>
          <w:color w:val="000000" w:themeColor="text1"/>
          <w:lang w:val="fr-FR"/>
        </w:rPr>
        <w:t>’</w:t>
      </w:r>
      <w:r w:rsidRPr="00C17484">
        <w:rPr>
          <w:color w:val="000000" w:themeColor="text1"/>
          <w:lang w:val="fr-FR"/>
        </w:rPr>
        <w:t>Argentine, du Brésil, de la Colombie, du Paraguay et du Chili). Disponible à l</w:t>
      </w:r>
      <w:r w:rsidR="004937A0">
        <w:rPr>
          <w:color w:val="000000" w:themeColor="text1"/>
          <w:lang w:val="fr-FR"/>
        </w:rPr>
        <w:t>’</w:t>
      </w:r>
      <w:r w:rsidRPr="00C17484">
        <w:rPr>
          <w:color w:val="000000" w:themeColor="text1"/>
          <w:lang w:val="fr-FR"/>
        </w:rPr>
        <w:t xml:space="preserve">adresse </w:t>
      </w:r>
      <w:r>
        <w:rPr>
          <w:color w:val="000000" w:themeColor="text1"/>
          <w:lang w:val="fr-FR"/>
        </w:rPr>
        <w:t xml:space="preserve">suivante : </w:t>
      </w:r>
      <w:hyperlink r:id="rId89" w:history="1">
        <w:r w:rsidRPr="002A224C">
          <w:rPr>
            <w:rStyle w:val="Lienhypertexte"/>
            <w:sz w:val="17"/>
            <w:szCs w:val="17"/>
            <w:lang w:val="fr-FR"/>
          </w:rPr>
          <w:t>https://www.minrel.gob.cl/minrel/noticias-anteriores/comunicado-de-prensa-ministerio-de-relaciones-exteriores-ministerio-de</w:t>
        </w:r>
      </w:hyperlink>
      <w:r w:rsidRPr="00C17484">
        <w:rPr>
          <w:color w:val="000000" w:themeColor="text1"/>
          <w:lang w:val="fr-FR"/>
        </w:rPr>
        <w:t xml:space="preserve"> (espagnol seulement).</w:t>
      </w:r>
    </w:p>
  </w:footnote>
  <w:footnote w:id="152">
    <w:p w14:paraId="0F12036C" w14:textId="77777777" w:rsidR="004C5E26" w:rsidRPr="00F80FC3" w:rsidRDefault="004C5E26" w:rsidP="004C5E26">
      <w:pPr>
        <w:pStyle w:val="Notedebasdepage"/>
        <w:rPr>
          <w:lang w:val="fr-CA"/>
        </w:rPr>
      </w:pPr>
      <w:r>
        <w:tab/>
      </w:r>
      <w:r>
        <w:rPr>
          <w:rStyle w:val="Appelnotedebasdep"/>
        </w:rPr>
        <w:footnoteRef/>
      </w:r>
      <w:r>
        <w:tab/>
      </w:r>
      <w:r w:rsidRPr="00C17484">
        <w:rPr>
          <w:rFonts w:eastAsia="Times New Roman"/>
          <w:lang w:val="fr-FR"/>
        </w:rPr>
        <w:t>Par. 2</w:t>
      </w:r>
      <w:r>
        <w:rPr>
          <w:rFonts w:eastAsia="Times New Roman"/>
          <w:lang w:val="fr-FR"/>
        </w:rPr>
        <w:t xml:space="preserve"> </w:t>
      </w:r>
      <w:r w:rsidRPr="00C17484">
        <w:rPr>
          <w:rFonts w:eastAsia="Times New Roman"/>
          <w:lang w:val="fr-FR"/>
        </w:rPr>
        <w:t xml:space="preserve">et 3 du commentaire du projet de conclusion 3, </w:t>
      </w:r>
      <w:hyperlink r:id="rId90" w:history="1">
        <w:r w:rsidRPr="00F87E95">
          <w:rPr>
            <w:rStyle w:val="Lienhypertexte"/>
            <w:rFonts w:eastAsia="Times New Roman"/>
            <w:lang w:val="fr-FR"/>
          </w:rPr>
          <w:t>A/78/10</w:t>
        </w:r>
      </w:hyperlink>
      <w:r w:rsidRPr="00C17484">
        <w:rPr>
          <w:rFonts w:eastAsia="Times New Roman"/>
          <w:lang w:val="fr-FR"/>
        </w:rPr>
        <w:t>, par. 126, p. 91.</w:t>
      </w:r>
      <w:r>
        <w:t xml:space="preserve"> </w:t>
      </w:r>
    </w:p>
  </w:footnote>
  <w:footnote w:id="153">
    <w:p w14:paraId="4119F225"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Par. 3, ibid. </w:t>
      </w:r>
    </w:p>
  </w:footnote>
  <w:footnote w:id="154">
    <w:p w14:paraId="1B6B39DA"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Par. 12, ibid., p. 93. </w:t>
      </w:r>
    </w:p>
  </w:footnote>
  <w:footnote w:id="155">
    <w:p w14:paraId="7B9733D0"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Par. 13, ibid. </w:t>
      </w:r>
    </w:p>
  </w:footnote>
  <w:footnote w:id="156">
    <w:p w14:paraId="72ABA7AC"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Ibid.</w:t>
      </w:r>
    </w:p>
  </w:footnote>
  <w:footnote w:id="157">
    <w:p w14:paraId="3E4C6E17" w14:textId="666B6746"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sidRPr="00C17484">
        <w:rPr>
          <w:rFonts w:eastAsia="Times New Roman"/>
          <w:lang w:val="fr-FR"/>
        </w:rPr>
        <w:tab/>
        <w:t xml:space="preserve">Cour internationale de Justice : </w:t>
      </w:r>
      <w:r w:rsidRPr="00825D1A">
        <w:rPr>
          <w:rFonts w:eastAsia="Times New Roman"/>
          <w:i/>
          <w:iCs/>
          <w:lang w:val="fr-FR"/>
        </w:rPr>
        <w:t>Conséquences juridiques de l</w:t>
      </w:r>
      <w:r w:rsidR="004937A0">
        <w:rPr>
          <w:rFonts w:eastAsia="Times New Roman"/>
          <w:i/>
          <w:iCs/>
          <w:lang w:val="fr-FR"/>
        </w:rPr>
        <w:t>’</w:t>
      </w:r>
      <w:r w:rsidRPr="00825D1A">
        <w:rPr>
          <w:rFonts w:eastAsia="Times New Roman"/>
          <w:i/>
          <w:iCs/>
          <w:lang w:val="fr-FR"/>
        </w:rPr>
        <w:t>édification d</w:t>
      </w:r>
      <w:r w:rsidR="004937A0">
        <w:rPr>
          <w:rFonts w:eastAsia="Times New Roman"/>
          <w:i/>
          <w:iCs/>
          <w:lang w:val="fr-FR"/>
        </w:rPr>
        <w:t>’</w:t>
      </w:r>
      <w:r w:rsidRPr="00825D1A">
        <w:rPr>
          <w:rFonts w:eastAsia="Times New Roman"/>
          <w:i/>
          <w:iCs/>
          <w:lang w:val="fr-FR"/>
        </w:rPr>
        <w:t>un mur dans le territoire palestinien occupé, avis consultatif, C.I.J. Recueil 2004</w:t>
      </w:r>
      <w:r w:rsidRPr="00C17484">
        <w:rPr>
          <w:rFonts w:eastAsia="Times New Roman"/>
          <w:lang w:val="fr-FR"/>
        </w:rPr>
        <w:t xml:space="preserve">, p. 136 ; </w:t>
      </w:r>
      <w:r w:rsidRPr="00825D1A">
        <w:rPr>
          <w:rFonts w:eastAsia="Times New Roman"/>
          <w:i/>
          <w:iCs/>
          <w:lang w:val="fr-FR"/>
        </w:rPr>
        <w:t>Ahmadou Sadio Diallo (République de Guinée c. République démocratique du Congo), fond, arrêt, C.I.J. Recueil 2010</w:t>
      </w:r>
      <w:r w:rsidRPr="00C17484">
        <w:rPr>
          <w:rFonts w:eastAsia="Times New Roman"/>
          <w:lang w:val="fr-FR"/>
        </w:rPr>
        <w:t xml:space="preserve">, p. 639 ; </w:t>
      </w:r>
      <w:r w:rsidRPr="00825D1A">
        <w:rPr>
          <w:rFonts w:eastAsia="Times New Roman"/>
          <w:i/>
          <w:iCs/>
          <w:lang w:val="fr-FR"/>
        </w:rPr>
        <w:t>Ahmadou</w:t>
      </w:r>
      <w:r w:rsidR="00942F80">
        <w:rPr>
          <w:rFonts w:eastAsia="Times New Roman"/>
          <w:i/>
          <w:iCs/>
          <w:lang w:val="fr-FR"/>
        </w:rPr>
        <w:t> </w:t>
      </w:r>
      <w:r w:rsidRPr="00825D1A">
        <w:rPr>
          <w:rFonts w:eastAsia="Times New Roman"/>
          <w:i/>
          <w:iCs/>
          <w:lang w:val="fr-FR"/>
        </w:rPr>
        <w:t>Sadio Diallo (République de Guinée c. République démocratique du Congo), indemnisation, arrêt, C.I.J. Recueil 2012</w:t>
      </w:r>
      <w:r w:rsidRPr="00C17484">
        <w:rPr>
          <w:rFonts w:eastAsia="Times New Roman"/>
          <w:lang w:val="fr-FR"/>
        </w:rPr>
        <w:t xml:space="preserve">, p. 324 ; </w:t>
      </w:r>
      <w:r w:rsidRPr="00825D1A">
        <w:rPr>
          <w:rFonts w:eastAsia="Times New Roman"/>
          <w:i/>
          <w:iCs/>
          <w:lang w:val="fr-FR"/>
        </w:rPr>
        <w:t>Jugement n</w:t>
      </w:r>
      <w:r w:rsidRPr="00825D1A">
        <w:rPr>
          <w:rFonts w:eastAsia="Times New Roman"/>
          <w:i/>
          <w:iCs/>
          <w:vertAlign w:val="superscript"/>
          <w:lang w:val="fr-FR"/>
        </w:rPr>
        <w:t>o</w:t>
      </w:r>
      <w:r w:rsidRPr="00825D1A">
        <w:rPr>
          <w:rFonts w:eastAsia="Times New Roman"/>
          <w:i/>
          <w:iCs/>
          <w:lang w:val="fr-FR"/>
        </w:rPr>
        <w:t> 2867 du Tribunal administratif de l</w:t>
      </w:r>
      <w:r w:rsidR="004937A0">
        <w:rPr>
          <w:rFonts w:eastAsia="Times New Roman"/>
          <w:i/>
          <w:iCs/>
          <w:lang w:val="fr-FR"/>
        </w:rPr>
        <w:t>’</w:t>
      </w:r>
      <w:r w:rsidRPr="00825D1A">
        <w:rPr>
          <w:rFonts w:eastAsia="Times New Roman"/>
          <w:i/>
          <w:iCs/>
          <w:lang w:val="fr-FR"/>
        </w:rPr>
        <w:t>Organisation internationale du Travail sur requête contre le Fonds international de développement agricole, avis consultatif, C.I.J. Recueil 2012</w:t>
      </w:r>
      <w:r w:rsidRPr="00C17484">
        <w:rPr>
          <w:rFonts w:eastAsia="Times New Roman"/>
          <w:lang w:val="fr-FR"/>
        </w:rPr>
        <w:t xml:space="preserve">, p. 10 ; </w:t>
      </w:r>
      <w:r w:rsidRPr="00825D1A">
        <w:rPr>
          <w:rFonts w:eastAsia="Times New Roman"/>
          <w:i/>
          <w:iCs/>
          <w:lang w:val="fr-FR"/>
        </w:rPr>
        <w:t>Questions concernant l</w:t>
      </w:r>
      <w:r w:rsidR="004937A0">
        <w:rPr>
          <w:rFonts w:eastAsia="Times New Roman"/>
          <w:i/>
          <w:iCs/>
          <w:lang w:val="fr-FR"/>
        </w:rPr>
        <w:t>’</w:t>
      </w:r>
      <w:r w:rsidRPr="00825D1A">
        <w:rPr>
          <w:rFonts w:eastAsia="Times New Roman"/>
          <w:i/>
          <w:iCs/>
          <w:lang w:val="fr-FR"/>
        </w:rPr>
        <w:t>obligation de poursuivre et d</w:t>
      </w:r>
      <w:r w:rsidR="004937A0">
        <w:rPr>
          <w:rFonts w:eastAsia="Times New Roman"/>
          <w:i/>
          <w:iCs/>
          <w:lang w:val="fr-FR"/>
        </w:rPr>
        <w:t>’</w:t>
      </w:r>
      <w:r w:rsidRPr="00825D1A">
        <w:rPr>
          <w:rFonts w:eastAsia="Times New Roman"/>
          <w:i/>
          <w:iCs/>
          <w:lang w:val="fr-FR"/>
        </w:rPr>
        <w:t>extrader (Belgique c. Sénégal), arrêt, C.I.J. Recueil 2012</w:t>
      </w:r>
      <w:r w:rsidRPr="00C17484">
        <w:rPr>
          <w:rFonts w:eastAsia="Times New Roman"/>
          <w:lang w:val="fr-FR"/>
        </w:rPr>
        <w:t xml:space="preserve">, p. 422 ; </w:t>
      </w:r>
      <w:r w:rsidRPr="00825D1A">
        <w:rPr>
          <w:rFonts w:eastAsia="Times New Roman"/>
          <w:i/>
          <w:iCs/>
          <w:lang w:val="fr-FR"/>
        </w:rPr>
        <w:t xml:space="preserve">Application de la </w:t>
      </w:r>
      <w:r w:rsidR="003F311C" w:rsidRPr="00825D1A">
        <w:rPr>
          <w:rFonts w:eastAsia="Times New Roman"/>
          <w:i/>
          <w:iCs/>
          <w:lang w:val="fr-FR"/>
        </w:rPr>
        <w:t>c</w:t>
      </w:r>
      <w:r w:rsidRPr="00825D1A">
        <w:rPr>
          <w:rFonts w:eastAsia="Times New Roman"/>
          <w:i/>
          <w:iCs/>
          <w:lang w:val="fr-FR"/>
        </w:rPr>
        <w:t>onvention internationale sur l</w:t>
      </w:r>
      <w:r w:rsidR="004937A0">
        <w:rPr>
          <w:rFonts w:eastAsia="Times New Roman"/>
          <w:i/>
          <w:iCs/>
          <w:lang w:val="fr-FR"/>
        </w:rPr>
        <w:t>’</w:t>
      </w:r>
      <w:r w:rsidRPr="00825D1A">
        <w:rPr>
          <w:rFonts w:eastAsia="Times New Roman"/>
          <w:i/>
          <w:iCs/>
          <w:lang w:val="fr-FR"/>
        </w:rPr>
        <w:t>élimination de toutes les formes de discrimination raciale (Qatar c. Émirats arabes unis), exceptions préliminaires, arrêt, C.I.J. Recueil 2021</w:t>
      </w:r>
      <w:r w:rsidRPr="00C17484">
        <w:rPr>
          <w:rFonts w:eastAsia="Times New Roman"/>
          <w:lang w:val="fr-FR"/>
        </w:rPr>
        <w:t xml:space="preserve">, p. 71 ; </w:t>
      </w:r>
      <w:r w:rsidRPr="00825D1A">
        <w:rPr>
          <w:rFonts w:eastAsia="Times New Roman"/>
          <w:i/>
          <w:iCs/>
          <w:lang w:val="fr-FR"/>
        </w:rPr>
        <w:t>Activités armées sur le territoire du Congo (République démocratique du Congo c. Ouganda), réparations, arrêt, C.I.J. Recueil 2022</w:t>
      </w:r>
      <w:r w:rsidRPr="00C17484">
        <w:rPr>
          <w:rFonts w:eastAsia="Times New Roman"/>
          <w:lang w:val="fr-FR"/>
        </w:rPr>
        <w:t>, p. 13, par. 188.</w:t>
      </w:r>
    </w:p>
  </w:footnote>
  <w:footnote w:id="158">
    <w:p w14:paraId="152844E5" w14:textId="58F6F7F5"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Cour interaméricaine des droits de l</w:t>
      </w:r>
      <w:r w:rsidR="004937A0">
        <w:rPr>
          <w:rFonts w:eastAsia="Times New Roman"/>
          <w:lang w:val="fr-FR"/>
        </w:rPr>
        <w:t>’</w:t>
      </w:r>
      <w:r w:rsidRPr="00C17484">
        <w:rPr>
          <w:rFonts w:eastAsia="Times New Roman"/>
          <w:lang w:val="fr-FR"/>
        </w:rPr>
        <w:t xml:space="preserve">homme, </w:t>
      </w:r>
      <w:r w:rsidRPr="00825D1A">
        <w:rPr>
          <w:rFonts w:eastAsia="Times New Roman"/>
          <w:i/>
          <w:iCs/>
          <w:lang w:val="fr-FR"/>
        </w:rPr>
        <w:t>Affaire du Tribunal constitutionnel (Camba Campos et autres c. Équateur</w:t>
      </w:r>
      <w:r w:rsidRPr="00C17484">
        <w:rPr>
          <w:rFonts w:eastAsia="Times New Roman"/>
          <w:lang w:val="fr-FR"/>
        </w:rPr>
        <w:t xml:space="preserve">, arrêt (exceptions préliminaires, fond, réparations et dépens), 28 août 2013, </w:t>
      </w:r>
      <w:r w:rsidR="00A31388" w:rsidRPr="00C17484">
        <w:rPr>
          <w:rFonts w:eastAsia="Times New Roman"/>
          <w:lang w:val="fr-FR"/>
        </w:rPr>
        <w:t>s</w:t>
      </w:r>
      <w:r w:rsidRPr="00C17484">
        <w:rPr>
          <w:rFonts w:eastAsia="Times New Roman"/>
          <w:lang w:val="fr-FR"/>
        </w:rPr>
        <w:t>érie</w:t>
      </w:r>
      <w:r>
        <w:rPr>
          <w:rFonts w:eastAsia="Times New Roman"/>
          <w:lang w:val="fr-FR"/>
        </w:rPr>
        <w:t> </w:t>
      </w:r>
      <w:r w:rsidRPr="00C17484">
        <w:rPr>
          <w:rFonts w:eastAsia="Times New Roman"/>
          <w:lang w:val="fr-FR"/>
        </w:rPr>
        <w:t>C, n</w:t>
      </w:r>
      <w:r w:rsidRPr="00C17484">
        <w:rPr>
          <w:rFonts w:eastAsia="Times New Roman"/>
          <w:vertAlign w:val="superscript"/>
          <w:lang w:val="fr-FR"/>
        </w:rPr>
        <w:t>o</w:t>
      </w:r>
      <w:r w:rsidRPr="00C17484">
        <w:rPr>
          <w:rFonts w:eastAsia="Times New Roman"/>
          <w:lang w:val="fr-FR"/>
        </w:rPr>
        <w:t> 268, par. 189 et 191 ; Commission africaine des droits de l</w:t>
      </w:r>
      <w:r w:rsidR="004937A0">
        <w:rPr>
          <w:rFonts w:eastAsia="Times New Roman"/>
          <w:lang w:val="fr-FR"/>
        </w:rPr>
        <w:t>’</w:t>
      </w:r>
      <w:r w:rsidRPr="00C17484">
        <w:rPr>
          <w:rFonts w:eastAsia="Times New Roman"/>
          <w:lang w:val="fr-FR"/>
        </w:rPr>
        <w:t xml:space="preserve">homme et des peuples, </w:t>
      </w:r>
      <w:r w:rsidRPr="00825D1A">
        <w:rPr>
          <w:rFonts w:eastAsia="Times New Roman"/>
          <w:i/>
          <w:iCs/>
          <w:lang w:val="fr-FR"/>
        </w:rPr>
        <w:t>Civil Liberties Organisation et autres c. Nigéria</w:t>
      </w:r>
      <w:r w:rsidRPr="00C17484">
        <w:rPr>
          <w:rFonts w:eastAsia="Times New Roman"/>
          <w:lang w:val="fr-FR"/>
        </w:rPr>
        <w:t>, communication n</w:t>
      </w:r>
      <w:r w:rsidRPr="00C17484">
        <w:rPr>
          <w:rFonts w:eastAsia="Times New Roman"/>
          <w:vertAlign w:val="superscript"/>
          <w:lang w:val="fr-FR"/>
        </w:rPr>
        <w:t>o</w:t>
      </w:r>
      <w:r w:rsidRPr="00C17484">
        <w:rPr>
          <w:rFonts w:eastAsia="Times New Roman"/>
          <w:lang w:val="fr-FR"/>
        </w:rPr>
        <w:t> 218/98, décision, 7 mai 2001, par. 24 (« Lorsqu</w:t>
      </w:r>
      <w:r w:rsidR="004937A0">
        <w:rPr>
          <w:rFonts w:eastAsia="Times New Roman"/>
          <w:lang w:val="fr-FR"/>
        </w:rPr>
        <w:t>’</w:t>
      </w:r>
      <w:r w:rsidRPr="00C17484">
        <w:rPr>
          <w:rFonts w:eastAsia="Times New Roman"/>
          <w:lang w:val="fr-FR"/>
        </w:rPr>
        <w:t xml:space="preserve">elle interprète et applique la Charte, la Commission </w:t>
      </w:r>
      <w:r>
        <w:rPr>
          <w:rFonts w:eastAsia="Times New Roman"/>
          <w:lang w:val="fr-FR"/>
        </w:rPr>
        <w:t>[</w:t>
      </w:r>
      <w:r w:rsidRPr="00C17484">
        <w:rPr>
          <w:rFonts w:eastAsia="Times New Roman"/>
          <w:lang w:val="fr-FR"/>
        </w:rPr>
        <w:t>…</w:t>
      </w:r>
      <w:r>
        <w:rPr>
          <w:rFonts w:eastAsia="Times New Roman"/>
          <w:lang w:val="fr-FR"/>
        </w:rPr>
        <w:t>]</w:t>
      </w:r>
      <w:r w:rsidRPr="00C17484">
        <w:rPr>
          <w:rFonts w:eastAsia="Times New Roman"/>
          <w:lang w:val="fr-FR"/>
        </w:rPr>
        <w:t xml:space="preserve"> est également </w:t>
      </w:r>
      <w:r>
        <w:rPr>
          <w:rFonts w:eastAsia="Times New Roman"/>
          <w:lang w:val="fr-FR"/>
        </w:rPr>
        <w:t xml:space="preserve">liée par </w:t>
      </w:r>
      <w:r w:rsidRPr="00C17484">
        <w:rPr>
          <w:rFonts w:eastAsia="Times New Roman"/>
          <w:lang w:val="fr-FR"/>
        </w:rPr>
        <w:t xml:space="preserve">la Charte et les normes internationales </w:t>
      </w:r>
      <w:r>
        <w:rPr>
          <w:rFonts w:eastAsia="Times New Roman"/>
          <w:lang w:val="fr-FR"/>
        </w:rPr>
        <w:t xml:space="preserve">en matière </w:t>
      </w:r>
      <w:r w:rsidRPr="00C17484">
        <w:rPr>
          <w:rFonts w:eastAsia="Times New Roman"/>
          <w:lang w:val="fr-FR"/>
        </w:rPr>
        <w:t>de droits de l</w:t>
      </w:r>
      <w:r w:rsidR="004937A0">
        <w:rPr>
          <w:rFonts w:eastAsia="Times New Roman"/>
          <w:lang w:val="fr-FR"/>
        </w:rPr>
        <w:t>’</w:t>
      </w:r>
      <w:r w:rsidRPr="00C17484">
        <w:rPr>
          <w:rFonts w:eastAsia="Times New Roman"/>
          <w:lang w:val="fr-FR"/>
        </w:rPr>
        <w:t>homme, qui incluent les décisions et observations générales des organes conventionnels [des Nations Unies] ») ; Commission africaine des droits de l</w:t>
      </w:r>
      <w:r w:rsidR="004937A0">
        <w:rPr>
          <w:rFonts w:eastAsia="Times New Roman"/>
          <w:lang w:val="fr-FR"/>
        </w:rPr>
        <w:t>’</w:t>
      </w:r>
      <w:r w:rsidRPr="00C17484">
        <w:rPr>
          <w:rFonts w:eastAsia="Times New Roman"/>
          <w:lang w:val="fr-FR"/>
        </w:rPr>
        <w:t xml:space="preserve">homme et des peuples, </w:t>
      </w:r>
      <w:r w:rsidRPr="00825D1A">
        <w:rPr>
          <w:rFonts w:eastAsia="Times New Roman"/>
          <w:i/>
          <w:iCs/>
          <w:lang w:val="fr-FR"/>
        </w:rPr>
        <w:t>Social and Economic Rights Action Center and the Center for Economic and Social Rights v. Nigeria</w:t>
      </w:r>
      <w:r w:rsidRPr="00C17484">
        <w:rPr>
          <w:rFonts w:eastAsia="Times New Roman"/>
          <w:lang w:val="fr-FR"/>
        </w:rPr>
        <w:t>, communication n</w:t>
      </w:r>
      <w:r w:rsidRPr="00C17484">
        <w:rPr>
          <w:rFonts w:eastAsia="Times New Roman"/>
          <w:vertAlign w:val="superscript"/>
          <w:lang w:val="fr-FR"/>
        </w:rPr>
        <w:t>o</w:t>
      </w:r>
      <w:r w:rsidRPr="00C17484">
        <w:rPr>
          <w:rFonts w:eastAsia="Times New Roman"/>
          <w:lang w:val="fr-FR"/>
        </w:rPr>
        <w:t> 155/96, décision, 27 octobre 2001, par. 63 (« s</w:t>
      </w:r>
      <w:r w:rsidR="004937A0">
        <w:rPr>
          <w:rFonts w:eastAsia="Times New Roman"/>
          <w:lang w:val="fr-FR"/>
        </w:rPr>
        <w:t>’</w:t>
      </w:r>
      <w:r w:rsidRPr="00C17484">
        <w:rPr>
          <w:rFonts w:eastAsia="Times New Roman"/>
          <w:lang w:val="fr-FR"/>
        </w:rPr>
        <w:t>inspire de la définition de l</w:t>
      </w:r>
      <w:r w:rsidR="004937A0">
        <w:rPr>
          <w:rFonts w:eastAsia="Times New Roman"/>
          <w:lang w:val="fr-FR"/>
        </w:rPr>
        <w:t>’</w:t>
      </w:r>
      <w:r w:rsidRPr="00C17484">
        <w:rPr>
          <w:rFonts w:eastAsia="Times New Roman"/>
          <w:lang w:val="fr-FR"/>
        </w:rPr>
        <w:t xml:space="preserve">expression </w:t>
      </w:r>
      <w:r>
        <w:rPr>
          <w:rFonts w:eastAsia="Times New Roman"/>
          <w:lang w:val="fr-FR"/>
        </w:rPr>
        <w:t>“</w:t>
      </w:r>
      <w:r w:rsidRPr="00C17484">
        <w:rPr>
          <w:rFonts w:eastAsia="Times New Roman"/>
          <w:lang w:val="fr-FR"/>
        </w:rPr>
        <w:t>expulsions forcées</w:t>
      </w:r>
      <w:r>
        <w:rPr>
          <w:rFonts w:eastAsia="Times New Roman"/>
          <w:lang w:val="fr-FR"/>
        </w:rPr>
        <w:t>”</w:t>
      </w:r>
      <w:r w:rsidRPr="00C17484">
        <w:rPr>
          <w:rFonts w:eastAsia="Times New Roman"/>
          <w:lang w:val="fr-FR"/>
        </w:rPr>
        <w:t xml:space="preserve"> donnée par le Comité des droits économiques, sociaux et culturels ») ; Cour européenne des droits de l</w:t>
      </w:r>
      <w:r w:rsidR="004937A0">
        <w:rPr>
          <w:rFonts w:eastAsia="Times New Roman"/>
          <w:lang w:val="fr-FR"/>
        </w:rPr>
        <w:t>’</w:t>
      </w:r>
      <w:r w:rsidRPr="00C17484">
        <w:rPr>
          <w:rFonts w:eastAsia="Times New Roman"/>
          <w:lang w:val="fr-FR"/>
        </w:rPr>
        <w:t xml:space="preserve">homme : </w:t>
      </w:r>
      <w:r w:rsidRPr="00825D1A">
        <w:rPr>
          <w:rFonts w:eastAsia="Times New Roman"/>
          <w:i/>
          <w:iCs/>
          <w:lang w:val="fr-FR"/>
        </w:rPr>
        <w:t>Magyar Helsinki Bizottság c. Hongrie</w:t>
      </w:r>
      <w:r w:rsidRPr="00C17484">
        <w:rPr>
          <w:rFonts w:eastAsia="Times New Roman"/>
          <w:lang w:val="fr-FR"/>
        </w:rPr>
        <w:t xml:space="preserve"> [GC], n</w:t>
      </w:r>
      <w:r w:rsidRPr="00C17484">
        <w:rPr>
          <w:rFonts w:eastAsia="Times New Roman"/>
          <w:vertAlign w:val="superscript"/>
          <w:lang w:val="fr-FR"/>
        </w:rPr>
        <w:t>o</w:t>
      </w:r>
      <w:r w:rsidRPr="00C17484">
        <w:rPr>
          <w:rFonts w:eastAsia="Times New Roman"/>
          <w:lang w:val="fr-FR"/>
        </w:rPr>
        <w:t xml:space="preserve"> 18030/11, 8 novembre 2016, par. 141 ; </w:t>
      </w:r>
      <w:r w:rsidRPr="00825D1A">
        <w:rPr>
          <w:rFonts w:eastAsia="Times New Roman"/>
          <w:i/>
          <w:iCs/>
          <w:lang w:val="fr-FR"/>
        </w:rPr>
        <w:t>Marguš c. Croatie</w:t>
      </w:r>
      <w:r w:rsidRPr="00C17484">
        <w:rPr>
          <w:rFonts w:eastAsia="Times New Roman"/>
          <w:lang w:val="fr-FR"/>
        </w:rPr>
        <w:t xml:space="preserve"> [GC], n</w:t>
      </w:r>
      <w:r w:rsidRPr="00C17484">
        <w:rPr>
          <w:rFonts w:eastAsia="Times New Roman"/>
          <w:vertAlign w:val="superscript"/>
          <w:lang w:val="fr-FR"/>
        </w:rPr>
        <w:t>o</w:t>
      </w:r>
      <w:r w:rsidRPr="00C17484">
        <w:rPr>
          <w:rFonts w:eastAsia="Times New Roman"/>
          <w:lang w:val="fr-FR"/>
        </w:rPr>
        <w:t xml:space="preserve"> 4455/10, CEDH 2014 (extraits), par. 48 à 50 ; </w:t>
      </w:r>
      <w:r w:rsidRPr="00825D1A">
        <w:rPr>
          <w:rFonts w:eastAsia="Times New Roman"/>
          <w:i/>
          <w:iCs/>
          <w:lang w:val="fr-FR"/>
        </w:rPr>
        <w:t>Baka c. Hongrie</w:t>
      </w:r>
      <w:r w:rsidRPr="00C17484">
        <w:rPr>
          <w:rFonts w:eastAsia="Times New Roman"/>
          <w:lang w:val="fr-FR"/>
        </w:rPr>
        <w:t>, n</w:t>
      </w:r>
      <w:r w:rsidRPr="00C17484">
        <w:rPr>
          <w:rFonts w:eastAsia="Times New Roman"/>
          <w:vertAlign w:val="superscript"/>
          <w:lang w:val="fr-FR"/>
        </w:rPr>
        <w:t>o</w:t>
      </w:r>
      <w:r w:rsidRPr="00C17484">
        <w:rPr>
          <w:rFonts w:eastAsia="Times New Roman"/>
          <w:lang w:val="fr-FR"/>
        </w:rPr>
        <w:t xml:space="preserve"> 20261/12, 27 mai 2014, par. 58 ; </w:t>
      </w:r>
      <w:r w:rsidRPr="00825D1A">
        <w:rPr>
          <w:rFonts w:eastAsia="Times New Roman"/>
          <w:i/>
          <w:iCs/>
          <w:lang w:val="fr-FR"/>
        </w:rPr>
        <w:t>Othman (Abu Qatada) c. Royaume-Uni</w:t>
      </w:r>
      <w:r w:rsidRPr="00C17484">
        <w:rPr>
          <w:rFonts w:eastAsia="Times New Roman"/>
          <w:lang w:val="fr-FR"/>
        </w:rPr>
        <w:t>, n</w:t>
      </w:r>
      <w:r w:rsidRPr="00C17484">
        <w:rPr>
          <w:rFonts w:eastAsia="Times New Roman"/>
          <w:vertAlign w:val="superscript"/>
          <w:lang w:val="fr-FR"/>
        </w:rPr>
        <w:t>o</w:t>
      </w:r>
      <w:r w:rsidRPr="00C17484">
        <w:rPr>
          <w:rFonts w:eastAsia="Times New Roman"/>
          <w:lang w:val="fr-FR"/>
        </w:rPr>
        <w:t xml:space="preserve"> 8139/09, CEDH 2012 (extraits), par. 107 et 108, 147 à 151, 155 et 158 ; </w:t>
      </w:r>
      <w:r w:rsidRPr="00825D1A">
        <w:rPr>
          <w:rFonts w:eastAsia="Times New Roman"/>
          <w:i/>
          <w:iCs/>
          <w:lang w:val="fr-FR"/>
        </w:rPr>
        <w:t>Gäfgen c. Allemagne</w:t>
      </w:r>
      <w:r w:rsidRPr="00C17484">
        <w:rPr>
          <w:rFonts w:eastAsia="Times New Roman"/>
          <w:lang w:val="fr-FR"/>
        </w:rPr>
        <w:t xml:space="preserve"> [GC], n</w:t>
      </w:r>
      <w:r w:rsidRPr="00C17484">
        <w:rPr>
          <w:rFonts w:eastAsia="Times New Roman"/>
          <w:vertAlign w:val="superscript"/>
          <w:lang w:val="fr-FR"/>
        </w:rPr>
        <w:t>o</w:t>
      </w:r>
      <w:r w:rsidRPr="00C17484">
        <w:rPr>
          <w:rFonts w:eastAsia="Times New Roman"/>
          <w:lang w:val="fr-FR"/>
        </w:rPr>
        <w:t xml:space="preserve"> 22978/05, CEDH 2010, par. 68 et 70 à 72 ; voir </w:t>
      </w:r>
      <w:r>
        <w:rPr>
          <w:rFonts w:eastAsia="Times New Roman"/>
          <w:lang w:val="fr-FR"/>
        </w:rPr>
        <w:t xml:space="preserve">aussi </w:t>
      </w:r>
      <w:r w:rsidRPr="00C17484">
        <w:rPr>
          <w:rFonts w:eastAsia="Times New Roman"/>
          <w:lang w:val="fr-FR"/>
        </w:rPr>
        <w:t>Association de droit international, Final report on the impact of findings of the United Nations Human Rights Treaty Bodies (Rapport final sur l</w:t>
      </w:r>
      <w:r w:rsidR="004937A0">
        <w:rPr>
          <w:rFonts w:eastAsia="Times New Roman"/>
          <w:lang w:val="fr-FR"/>
        </w:rPr>
        <w:t>’</w:t>
      </w:r>
      <w:r w:rsidRPr="00C17484">
        <w:rPr>
          <w:rFonts w:eastAsia="Times New Roman"/>
          <w:lang w:val="fr-FR"/>
        </w:rPr>
        <w:t>effet des conclusions des organes conventionnels des droits de l</w:t>
      </w:r>
      <w:r w:rsidR="004937A0">
        <w:rPr>
          <w:rFonts w:eastAsia="Times New Roman"/>
          <w:lang w:val="fr-FR"/>
        </w:rPr>
        <w:t>’</w:t>
      </w:r>
      <w:r w:rsidRPr="00C17484">
        <w:rPr>
          <w:rFonts w:eastAsia="Times New Roman"/>
          <w:lang w:val="fr-FR"/>
        </w:rPr>
        <w:t xml:space="preserve">homme des Nations Unies), </w:t>
      </w:r>
      <w:r w:rsidRPr="00825D1A">
        <w:rPr>
          <w:rFonts w:eastAsia="Times New Roman"/>
          <w:i/>
          <w:iCs/>
          <w:lang w:val="fr-FR"/>
        </w:rPr>
        <w:t>Rapport de la soixante et onzième conférence, Conférence de Berlin (2004)</w:t>
      </w:r>
      <w:r w:rsidRPr="00C17484">
        <w:rPr>
          <w:rFonts w:eastAsia="Times New Roman"/>
          <w:lang w:val="fr-FR"/>
        </w:rPr>
        <w:t>, p. 29 à 38, par. 116 à 155.</w:t>
      </w:r>
    </w:p>
  </w:footnote>
  <w:footnote w:id="159">
    <w:p w14:paraId="44E7C52E"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Association de droit international, </w:t>
      </w:r>
      <w:r w:rsidRPr="00825D1A">
        <w:rPr>
          <w:rFonts w:eastAsia="Times New Roman"/>
          <w:i/>
          <w:iCs/>
          <w:lang w:val="fr-FR"/>
        </w:rPr>
        <w:t>Report of the Seventy-first Conference</w:t>
      </w:r>
      <w:r w:rsidRPr="00C17484">
        <w:rPr>
          <w:rFonts w:eastAsia="Times New Roman"/>
          <w:lang w:val="fr-FR"/>
        </w:rPr>
        <w:t xml:space="preserve"> (voir note précédente), p.</w:t>
      </w:r>
      <w:r>
        <w:rPr>
          <w:rFonts w:eastAsia="Times New Roman"/>
          <w:lang w:val="fr-FR"/>
        </w:rPr>
        <w:t> </w:t>
      </w:r>
      <w:r w:rsidRPr="00C17484">
        <w:rPr>
          <w:rFonts w:eastAsia="Times New Roman"/>
          <w:lang w:val="fr-FR"/>
        </w:rPr>
        <w:t xml:space="preserve">43, par. 175 ; voir, par exemple, Allemagne, Cour fédérale administrative, </w:t>
      </w:r>
      <w:r w:rsidRPr="005666A9">
        <w:rPr>
          <w:rFonts w:eastAsia="Times New Roman"/>
          <w:i/>
          <w:iCs/>
          <w:lang w:val="fr-FR"/>
        </w:rPr>
        <w:t>Bundesverwaltungsgericht</w:t>
      </w:r>
      <w:r w:rsidRPr="00C17484">
        <w:rPr>
          <w:rFonts w:eastAsia="Times New Roman"/>
          <w:lang w:val="fr-FR"/>
        </w:rPr>
        <w:t xml:space="preserve">, vol. 134, p. 1, à la page 22, par. 48 ; Colombie, Cour constitutionnelle, arrêt T-077/13 (2013), 14 février 2013 ; Inde, Haute Cour de Delhi, </w:t>
      </w:r>
      <w:r w:rsidRPr="005666A9">
        <w:rPr>
          <w:rFonts w:eastAsia="Times New Roman"/>
          <w:i/>
          <w:iCs/>
          <w:lang w:val="fr-FR"/>
        </w:rPr>
        <w:t>Laxmi Mandal v. Deen Dayal Harinagar Hospital &amp; Ors</w:t>
      </w:r>
      <w:r w:rsidRPr="00C17484">
        <w:rPr>
          <w:rFonts w:eastAsia="Times New Roman"/>
          <w:lang w:val="fr-FR"/>
        </w:rPr>
        <w:t>, WP(C) n</w:t>
      </w:r>
      <w:r w:rsidRPr="00C17484">
        <w:rPr>
          <w:rFonts w:eastAsia="Times New Roman"/>
          <w:vertAlign w:val="superscript"/>
          <w:lang w:val="fr-FR"/>
        </w:rPr>
        <w:t>o</w:t>
      </w:r>
      <w:r>
        <w:rPr>
          <w:rFonts w:eastAsia="Times New Roman"/>
          <w:vertAlign w:val="superscript"/>
          <w:lang w:val="fr-FR"/>
        </w:rPr>
        <w:t>s</w:t>
      </w:r>
      <w:r w:rsidRPr="00C17484">
        <w:rPr>
          <w:rFonts w:eastAsia="Times New Roman"/>
          <w:lang w:val="fr-FR"/>
        </w:rPr>
        <w:t> 8853 de 2008, et 10700 de 2009 (2010), arrêt, 4 juin 2010, par</w:t>
      </w:r>
      <w:r>
        <w:rPr>
          <w:rFonts w:eastAsia="Times New Roman"/>
          <w:lang w:val="fr-FR"/>
        </w:rPr>
        <w:t>. </w:t>
      </w:r>
      <w:r w:rsidRPr="00C17484">
        <w:rPr>
          <w:rFonts w:eastAsia="Times New Roman"/>
          <w:lang w:val="fr-FR"/>
        </w:rPr>
        <w:t xml:space="preserve">23 ; Bangladesh, Division de la Haute Cour de la Cour suprême, </w:t>
      </w:r>
      <w:r w:rsidRPr="005666A9">
        <w:rPr>
          <w:rFonts w:eastAsia="Times New Roman"/>
          <w:i/>
          <w:iCs/>
          <w:lang w:val="fr-FR"/>
        </w:rPr>
        <w:t>Bangladesh Legal Aid and Services Trust and ors v. Government of Bangladesh</w:t>
      </w:r>
      <w:r w:rsidRPr="00C17484">
        <w:rPr>
          <w:rFonts w:eastAsia="Times New Roman"/>
          <w:lang w:val="fr-FR"/>
        </w:rPr>
        <w:t>, requêtes n</w:t>
      </w:r>
      <w:r w:rsidRPr="00C17484">
        <w:rPr>
          <w:rFonts w:eastAsia="Times New Roman"/>
          <w:vertAlign w:val="superscript"/>
          <w:lang w:val="fr-FR"/>
        </w:rPr>
        <w:t>o</w:t>
      </w:r>
      <w:r w:rsidRPr="00C17484">
        <w:rPr>
          <w:rFonts w:eastAsia="Times New Roman"/>
          <w:lang w:val="fr-FR"/>
        </w:rPr>
        <w:t> 5863 de 2009, n</w:t>
      </w:r>
      <w:r w:rsidRPr="00C17484">
        <w:rPr>
          <w:rFonts w:eastAsia="Times New Roman"/>
          <w:vertAlign w:val="superscript"/>
          <w:lang w:val="fr-FR"/>
        </w:rPr>
        <w:t>o</w:t>
      </w:r>
      <w:r w:rsidRPr="00C17484">
        <w:rPr>
          <w:rFonts w:eastAsia="Times New Roman"/>
          <w:lang w:val="fr-FR"/>
        </w:rPr>
        <w:t> 754 de 2010, n</w:t>
      </w:r>
      <w:r w:rsidRPr="00C17484">
        <w:rPr>
          <w:rFonts w:eastAsia="Times New Roman"/>
          <w:vertAlign w:val="superscript"/>
          <w:lang w:val="fr-FR"/>
        </w:rPr>
        <w:t>o</w:t>
      </w:r>
      <w:r w:rsidRPr="00C17484">
        <w:rPr>
          <w:rFonts w:eastAsia="Times New Roman"/>
          <w:lang w:val="fr-FR"/>
        </w:rPr>
        <w:t xml:space="preserve"> 4275 de 2010, ILDC 1916 (BD 2010), 8 juillet 2010, par. 45 ; Espagne, Cour suprême </w:t>
      </w:r>
      <w:r>
        <w:rPr>
          <w:rFonts w:eastAsia="Times New Roman"/>
          <w:lang w:val="fr-FR"/>
        </w:rPr>
        <w:t>espagnole</w:t>
      </w:r>
      <w:r w:rsidRPr="00C17484">
        <w:rPr>
          <w:rFonts w:eastAsia="Times New Roman"/>
          <w:lang w:val="fr-FR"/>
        </w:rPr>
        <w:t>, arrêt n</w:t>
      </w:r>
      <w:r w:rsidRPr="00C17484">
        <w:rPr>
          <w:rFonts w:eastAsia="Times New Roman"/>
          <w:vertAlign w:val="superscript"/>
          <w:lang w:val="fr-FR"/>
        </w:rPr>
        <w:t>o</w:t>
      </w:r>
      <w:r w:rsidRPr="00C17484">
        <w:rPr>
          <w:rFonts w:eastAsia="Times New Roman"/>
          <w:lang w:val="fr-FR"/>
        </w:rPr>
        <w:t> 1263/2018, 17 juillet 2018 (</w:t>
      </w:r>
      <w:r w:rsidRPr="006B65B0">
        <w:rPr>
          <w:rFonts w:eastAsia="Times New Roman"/>
          <w:lang w:val="fr-FR"/>
        </w:rPr>
        <w:t>fundamento de derecho séptimo</w:t>
      </w:r>
      <w:r w:rsidRPr="00C17484">
        <w:rPr>
          <w:rFonts w:eastAsia="Times New Roman"/>
          <w:lang w:val="fr-FR"/>
        </w:rPr>
        <w:t>), p. 23 et 24.</w:t>
      </w:r>
    </w:p>
  </w:footnote>
  <w:footnote w:id="160">
    <w:p w14:paraId="0A845433" w14:textId="5AD77851"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Voir l</w:t>
      </w:r>
      <w:r w:rsidR="004937A0">
        <w:rPr>
          <w:rFonts w:eastAsia="Times New Roman"/>
          <w:lang w:val="fr-FR"/>
        </w:rPr>
        <w:t>’</w:t>
      </w:r>
      <w:r w:rsidRPr="00C17484">
        <w:rPr>
          <w:rFonts w:eastAsia="Times New Roman"/>
          <w:lang w:val="fr-FR"/>
        </w:rPr>
        <w:t>étude du Secrétariat sur les moyens auxiliaires de détermination des règles de droit international (</w:t>
      </w:r>
      <w:hyperlink r:id="rId91" w:history="1">
        <w:r w:rsidRPr="005666A9">
          <w:rPr>
            <w:rStyle w:val="Lienhypertexte"/>
            <w:rFonts w:eastAsia="Times New Roman"/>
            <w:lang w:val="fr-FR"/>
          </w:rPr>
          <w:t>A/CN.4/765</w:t>
        </w:r>
      </w:hyperlink>
      <w:r w:rsidRPr="00C17484">
        <w:rPr>
          <w:rFonts w:eastAsia="Times New Roman"/>
          <w:lang w:val="fr-FR"/>
        </w:rPr>
        <w:t>), par. 151.</w:t>
      </w:r>
    </w:p>
  </w:footnote>
  <w:footnote w:id="161">
    <w:p w14:paraId="119EDDE1" w14:textId="46B2DF8B" w:rsidR="004C5E26" w:rsidRPr="00C92339" w:rsidRDefault="004C5E26" w:rsidP="004C5E26">
      <w:pPr>
        <w:pStyle w:val="Notedebasdepage"/>
        <w:rPr>
          <w:color w:val="000000" w:themeColor="text1"/>
          <w:lang w:val="fr-FR"/>
        </w:rPr>
      </w:pPr>
      <w:r>
        <w:rPr>
          <w:color w:val="000000" w:themeColor="text1"/>
          <w:lang w:val="fr-FR"/>
        </w:rPr>
        <w:tab/>
      </w:r>
      <w:r w:rsidRPr="0053774D">
        <w:rPr>
          <w:rStyle w:val="Appelnotedebasdep"/>
        </w:rPr>
        <w:footnoteRef/>
      </w:r>
      <w:r>
        <w:rPr>
          <w:color w:val="000000" w:themeColor="text1"/>
          <w:lang w:val="fr-FR"/>
        </w:rPr>
        <w:tab/>
      </w:r>
      <w:r w:rsidRPr="00C17484">
        <w:rPr>
          <w:color w:val="000000" w:themeColor="text1"/>
          <w:lang w:val="fr-FR"/>
        </w:rPr>
        <w:t>La pratique indique que le fondement d</w:t>
      </w:r>
      <w:r w:rsidR="004937A0">
        <w:rPr>
          <w:color w:val="000000" w:themeColor="text1"/>
          <w:lang w:val="fr-FR"/>
        </w:rPr>
        <w:t>’</w:t>
      </w:r>
      <w:r w:rsidRPr="00C17484">
        <w:rPr>
          <w:color w:val="000000" w:themeColor="text1"/>
          <w:lang w:val="fr-FR"/>
        </w:rPr>
        <w:t>une telle compétence spécifique conférée à une juridiction particulière peut n</w:t>
      </w:r>
      <w:r w:rsidR="004937A0">
        <w:rPr>
          <w:color w:val="000000" w:themeColor="text1"/>
          <w:lang w:val="fr-FR"/>
        </w:rPr>
        <w:t>’</w:t>
      </w:r>
      <w:r w:rsidRPr="00C17484">
        <w:rPr>
          <w:color w:val="000000" w:themeColor="text1"/>
          <w:lang w:val="fr-FR"/>
        </w:rPr>
        <w:t>être pas toujours immédiatement apparente. Ainsi, des recherches plus poussées sur l</w:t>
      </w:r>
      <w:r w:rsidR="004937A0">
        <w:rPr>
          <w:color w:val="000000" w:themeColor="text1"/>
          <w:lang w:val="fr-FR"/>
        </w:rPr>
        <w:t>’</w:t>
      </w:r>
      <w:r w:rsidRPr="00C17484">
        <w:rPr>
          <w:color w:val="000000" w:themeColor="text1"/>
          <w:lang w:val="fr-FR"/>
        </w:rPr>
        <w:t xml:space="preserve">application éventuelle de la règle en question peuvent être justifiées. Par exemple, la Cour de </w:t>
      </w:r>
      <w:r w:rsidR="002C2BCB" w:rsidRPr="00C17484">
        <w:rPr>
          <w:color w:val="000000" w:themeColor="text1"/>
          <w:lang w:val="fr-FR"/>
        </w:rPr>
        <w:t>j</w:t>
      </w:r>
      <w:r w:rsidRPr="00C17484">
        <w:rPr>
          <w:color w:val="000000" w:themeColor="text1"/>
          <w:lang w:val="fr-FR"/>
        </w:rPr>
        <w:t>ustice de l</w:t>
      </w:r>
      <w:r w:rsidR="004937A0">
        <w:rPr>
          <w:color w:val="000000" w:themeColor="text1"/>
          <w:lang w:val="fr-FR"/>
        </w:rPr>
        <w:t>’</w:t>
      </w:r>
      <w:r w:rsidRPr="00C17484">
        <w:rPr>
          <w:color w:val="000000" w:themeColor="text1"/>
          <w:lang w:val="fr-FR"/>
        </w:rPr>
        <w:t>Afrique de l</w:t>
      </w:r>
      <w:r w:rsidR="004937A0">
        <w:rPr>
          <w:color w:val="000000" w:themeColor="text1"/>
          <w:lang w:val="fr-FR"/>
        </w:rPr>
        <w:t>’</w:t>
      </w:r>
      <w:r w:rsidRPr="00C17484">
        <w:rPr>
          <w:color w:val="000000" w:themeColor="text1"/>
          <w:lang w:val="fr-FR"/>
        </w:rPr>
        <w:t>Est a déterminé, dans une série de décisions judiciaires, qu</w:t>
      </w:r>
      <w:r w:rsidR="004937A0">
        <w:rPr>
          <w:color w:val="000000" w:themeColor="text1"/>
          <w:lang w:val="fr-FR"/>
        </w:rPr>
        <w:t>’</w:t>
      </w:r>
      <w:r w:rsidRPr="00C17484">
        <w:rPr>
          <w:color w:val="000000" w:themeColor="text1"/>
          <w:lang w:val="fr-FR"/>
        </w:rPr>
        <w:t>elle était compétente pour connaître de questions touchant les plaintes en matière de droits de l</w:t>
      </w:r>
      <w:r w:rsidR="004937A0">
        <w:rPr>
          <w:color w:val="000000" w:themeColor="text1"/>
          <w:lang w:val="fr-FR"/>
        </w:rPr>
        <w:t>’</w:t>
      </w:r>
      <w:r w:rsidRPr="00C17484">
        <w:rPr>
          <w:color w:val="000000" w:themeColor="text1"/>
          <w:lang w:val="fr-FR"/>
        </w:rPr>
        <w:t>homme émanant d</w:t>
      </w:r>
      <w:r w:rsidR="004937A0">
        <w:rPr>
          <w:color w:val="000000" w:themeColor="text1"/>
          <w:lang w:val="fr-FR"/>
        </w:rPr>
        <w:t>’</w:t>
      </w:r>
      <w:r w:rsidRPr="00C17484">
        <w:rPr>
          <w:color w:val="000000" w:themeColor="text1"/>
          <w:lang w:val="fr-FR"/>
        </w:rPr>
        <w:t xml:space="preserve">individus </w:t>
      </w:r>
      <w:r w:rsidRPr="00C92339">
        <w:rPr>
          <w:color w:val="000000" w:themeColor="text1"/>
          <w:lang w:val="fr-FR"/>
        </w:rPr>
        <w:t>même en l</w:t>
      </w:r>
      <w:r w:rsidR="004937A0" w:rsidRPr="00C92339">
        <w:rPr>
          <w:color w:val="000000" w:themeColor="text1"/>
          <w:lang w:val="fr-FR"/>
        </w:rPr>
        <w:t>’</w:t>
      </w:r>
      <w:r w:rsidRPr="00C92339">
        <w:rPr>
          <w:color w:val="000000" w:themeColor="text1"/>
          <w:lang w:val="fr-FR"/>
        </w:rPr>
        <w:t xml:space="preserve">absence dans son traité fondateur de dispositions expresses à cet effet. De même, la Cour de </w:t>
      </w:r>
      <w:r w:rsidR="002C2BCB" w:rsidRPr="00C92339">
        <w:rPr>
          <w:color w:val="000000" w:themeColor="text1"/>
          <w:lang w:val="fr-FR"/>
        </w:rPr>
        <w:t>j</w:t>
      </w:r>
      <w:r w:rsidRPr="00C92339">
        <w:rPr>
          <w:color w:val="000000" w:themeColor="text1"/>
          <w:lang w:val="fr-FR"/>
        </w:rPr>
        <w:t>ustice de la Communauté économique des États de l</w:t>
      </w:r>
      <w:r w:rsidR="004937A0" w:rsidRPr="00C92339">
        <w:rPr>
          <w:color w:val="000000" w:themeColor="text1"/>
          <w:lang w:val="fr-FR"/>
        </w:rPr>
        <w:t>’</w:t>
      </w:r>
      <w:r w:rsidRPr="00C92339">
        <w:rPr>
          <w:color w:val="000000" w:themeColor="text1"/>
          <w:lang w:val="fr-FR"/>
        </w:rPr>
        <w:t>Afrique de l</w:t>
      </w:r>
      <w:r w:rsidR="004937A0" w:rsidRPr="00C92339">
        <w:rPr>
          <w:color w:val="000000" w:themeColor="text1"/>
          <w:lang w:val="fr-FR"/>
        </w:rPr>
        <w:t>’</w:t>
      </w:r>
      <w:r w:rsidRPr="00C92339">
        <w:rPr>
          <w:color w:val="000000" w:themeColor="text1"/>
          <w:lang w:val="fr-FR"/>
        </w:rPr>
        <w:t>Ouest a initialement établi cette compétence dans sa jurisprudence avant que les États concernés n</w:t>
      </w:r>
      <w:r w:rsidR="004937A0" w:rsidRPr="00C92339">
        <w:rPr>
          <w:color w:val="000000" w:themeColor="text1"/>
          <w:lang w:val="fr-FR"/>
        </w:rPr>
        <w:t>’</w:t>
      </w:r>
      <w:r w:rsidRPr="00C92339">
        <w:rPr>
          <w:color w:val="000000" w:themeColor="text1"/>
          <w:lang w:val="fr-FR"/>
        </w:rPr>
        <w:t xml:space="preserve">adoptent un protocole la lui conférant. Pour un examen de cette question dans le contexte de la Cour de </w:t>
      </w:r>
      <w:r w:rsidR="002C2BCB" w:rsidRPr="00C92339">
        <w:rPr>
          <w:color w:val="000000" w:themeColor="text1"/>
          <w:lang w:val="fr-FR"/>
        </w:rPr>
        <w:t>j</w:t>
      </w:r>
      <w:r w:rsidRPr="00C92339">
        <w:rPr>
          <w:color w:val="000000" w:themeColor="text1"/>
          <w:lang w:val="fr-FR"/>
        </w:rPr>
        <w:t>ustice de l</w:t>
      </w:r>
      <w:r w:rsidR="004937A0" w:rsidRPr="00C92339">
        <w:rPr>
          <w:color w:val="000000" w:themeColor="text1"/>
          <w:lang w:val="fr-FR"/>
        </w:rPr>
        <w:t>’</w:t>
      </w:r>
      <w:r w:rsidRPr="00C92339">
        <w:rPr>
          <w:color w:val="000000" w:themeColor="text1"/>
          <w:lang w:val="fr-FR"/>
        </w:rPr>
        <w:t>Afrique de l</w:t>
      </w:r>
      <w:r w:rsidR="004937A0" w:rsidRPr="00C92339">
        <w:rPr>
          <w:color w:val="000000" w:themeColor="text1"/>
          <w:lang w:val="fr-FR"/>
        </w:rPr>
        <w:t>’</w:t>
      </w:r>
      <w:r w:rsidRPr="00C92339">
        <w:rPr>
          <w:color w:val="000000" w:themeColor="text1"/>
          <w:lang w:val="fr-FR"/>
        </w:rPr>
        <w:t>Est et l</w:t>
      </w:r>
      <w:r w:rsidR="004937A0" w:rsidRPr="00C92339">
        <w:rPr>
          <w:color w:val="000000" w:themeColor="text1"/>
          <w:lang w:val="fr-FR"/>
        </w:rPr>
        <w:t>’</w:t>
      </w:r>
      <w:r w:rsidRPr="00C92339">
        <w:rPr>
          <w:color w:val="000000" w:themeColor="text1"/>
          <w:lang w:val="fr-FR"/>
        </w:rPr>
        <w:t xml:space="preserve">évolution de la doctrine </w:t>
      </w:r>
      <w:r w:rsidRPr="00C92339">
        <w:rPr>
          <w:i/>
          <w:iCs/>
          <w:color w:val="000000" w:themeColor="text1"/>
          <w:lang w:val="fr-FR"/>
        </w:rPr>
        <w:t>Katabazi</w:t>
      </w:r>
      <w:r w:rsidRPr="00C92339">
        <w:rPr>
          <w:color w:val="000000" w:themeColor="text1"/>
          <w:lang w:val="fr-FR"/>
        </w:rPr>
        <w:t xml:space="preserve">, voir </w:t>
      </w:r>
      <w:r w:rsidRPr="00C92339">
        <w:rPr>
          <w:rFonts w:eastAsia="Times New Roman"/>
          <w:color w:val="000000" w:themeColor="text1"/>
          <w:lang w:val="fr-FR"/>
        </w:rPr>
        <w:t xml:space="preserve">James Thuo Gathii, </w:t>
      </w:r>
      <w:r w:rsidRPr="00C92339">
        <w:rPr>
          <w:color w:val="000000" w:themeColor="text1"/>
          <w:shd w:val="clear" w:color="auto" w:fill="FFFFFF"/>
          <w:lang w:val="fr-FR"/>
        </w:rPr>
        <w:t>« Mission creep or a search for relevance: the East African Court of Justice</w:t>
      </w:r>
      <w:r w:rsidR="004937A0" w:rsidRPr="00C92339">
        <w:rPr>
          <w:color w:val="000000" w:themeColor="text1"/>
          <w:shd w:val="clear" w:color="auto" w:fill="FFFFFF"/>
          <w:lang w:val="fr-FR"/>
        </w:rPr>
        <w:t>’</w:t>
      </w:r>
      <w:r w:rsidRPr="00C92339">
        <w:rPr>
          <w:color w:val="000000" w:themeColor="text1"/>
          <w:shd w:val="clear" w:color="auto" w:fill="FFFFFF"/>
          <w:lang w:val="fr-FR"/>
        </w:rPr>
        <w:t xml:space="preserve">s human rights strategy », </w:t>
      </w:r>
      <w:r w:rsidRPr="00C92339">
        <w:rPr>
          <w:i/>
          <w:iCs/>
          <w:color w:val="000000" w:themeColor="text1"/>
          <w:shd w:val="clear" w:color="auto" w:fill="FFFFFF"/>
          <w:lang w:val="fr-FR"/>
        </w:rPr>
        <w:t>Duke Journal of Comparative and International Law</w:t>
      </w:r>
      <w:r w:rsidRPr="00C92339">
        <w:rPr>
          <w:color w:val="000000" w:themeColor="text1"/>
          <w:shd w:val="clear" w:color="auto" w:fill="FFFFFF"/>
          <w:lang w:val="fr-FR"/>
        </w:rPr>
        <w:t>, vol. 24 (2013), p. 249 à 296.</w:t>
      </w:r>
    </w:p>
  </w:footnote>
  <w:footnote w:id="162">
    <w:p w14:paraId="711AFD13" w14:textId="15C41130" w:rsidR="00A10FB9" w:rsidRPr="00C92339" w:rsidRDefault="00A10FB9">
      <w:pPr>
        <w:pStyle w:val="Notedebasdepage"/>
      </w:pPr>
      <w:r w:rsidRPr="00C92339">
        <w:tab/>
      </w:r>
      <w:r w:rsidRPr="00C92339">
        <w:rPr>
          <w:rStyle w:val="Appelnotedebasdep"/>
        </w:rPr>
        <w:footnoteRef/>
      </w:r>
      <w:r w:rsidRPr="00C92339">
        <w:tab/>
      </w:r>
      <w:r w:rsidRPr="00C92339">
        <w:rPr>
          <w:rFonts w:eastAsia="Times New Roman"/>
          <w:i/>
          <w:iCs/>
          <w:lang w:val="fr-FR"/>
        </w:rPr>
        <w:t>Diallo, fond</w:t>
      </w:r>
      <w:r w:rsidRPr="00C92339">
        <w:rPr>
          <w:rFonts w:eastAsia="Times New Roman"/>
          <w:lang w:val="fr-FR"/>
        </w:rPr>
        <w:t xml:space="preserve"> (voir </w:t>
      </w:r>
      <w:r w:rsidRPr="00C92339">
        <w:rPr>
          <w:rFonts w:eastAsia="Times New Roman"/>
          <w:i/>
          <w:iCs/>
          <w:lang w:val="fr-FR"/>
        </w:rPr>
        <w:t>supra</w:t>
      </w:r>
      <w:r w:rsidRPr="00C92339">
        <w:rPr>
          <w:rFonts w:eastAsia="Times New Roman"/>
          <w:lang w:val="fr-FR"/>
        </w:rPr>
        <w:t xml:space="preserve"> la note </w:t>
      </w:r>
      <w:r w:rsidR="005A478D" w:rsidRPr="00C92339">
        <w:rPr>
          <w:rFonts w:eastAsia="Times New Roman"/>
          <w:lang w:val="fr-FR"/>
        </w:rPr>
        <w:fldChar w:fldCharType="begin"/>
      </w:r>
      <w:r w:rsidR="005A478D" w:rsidRPr="00C92339">
        <w:rPr>
          <w:rFonts w:eastAsia="Times New Roman"/>
          <w:lang w:val="fr-FR"/>
        </w:rPr>
        <w:instrText xml:space="preserve"> NOTEREF _Ref175313869 \h </w:instrText>
      </w:r>
      <w:r w:rsidR="00C92339">
        <w:rPr>
          <w:rFonts w:eastAsia="Times New Roman"/>
          <w:lang w:val="fr-FR"/>
        </w:rPr>
        <w:instrText xml:space="preserve"> \* MERGEFORMAT </w:instrText>
      </w:r>
      <w:r w:rsidR="005A478D" w:rsidRPr="00C92339">
        <w:rPr>
          <w:rFonts w:eastAsia="Times New Roman"/>
          <w:lang w:val="fr-FR"/>
        </w:rPr>
      </w:r>
      <w:r w:rsidR="005A478D" w:rsidRPr="00C92339">
        <w:rPr>
          <w:rFonts w:eastAsia="Times New Roman"/>
          <w:lang w:val="fr-FR"/>
        </w:rPr>
        <w:fldChar w:fldCharType="separate"/>
      </w:r>
      <w:r w:rsidR="00EC4FDE">
        <w:rPr>
          <w:rFonts w:eastAsia="Times New Roman"/>
          <w:lang w:val="fr-FR"/>
        </w:rPr>
        <w:t>156</w:t>
      </w:r>
      <w:r w:rsidR="005A478D" w:rsidRPr="00C92339">
        <w:rPr>
          <w:rFonts w:eastAsia="Times New Roman"/>
          <w:lang w:val="fr-FR"/>
        </w:rPr>
        <w:fldChar w:fldCharType="end"/>
      </w:r>
      <w:r w:rsidRPr="00C92339">
        <w:rPr>
          <w:rFonts w:eastAsia="Times New Roman"/>
          <w:lang w:val="fr-FR"/>
        </w:rPr>
        <w:t>), par. 66</w:t>
      </w:r>
    </w:p>
  </w:footnote>
  <w:footnote w:id="163">
    <w:p w14:paraId="629B5DEC" w14:textId="77777777" w:rsidR="004C5E26" w:rsidRPr="00C92339" w:rsidRDefault="004C5E26" w:rsidP="004C5E26">
      <w:pPr>
        <w:pStyle w:val="Notedebasdepage"/>
        <w:rPr>
          <w:rFonts w:eastAsia="Times New Roman"/>
          <w:lang w:val="fr-FR"/>
        </w:rPr>
      </w:pPr>
      <w:r w:rsidRPr="00C92339">
        <w:rPr>
          <w:rFonts w:eastAsia="Times New Roman"/>
          <w:lang w:val="fr-FR"/>
        </w:rPr>
        <w:tab/>
      </w:r>
      <w:r w:rsidRPr="00C92339">
        <w:rPr>
          <w:rStyle w:val="Appelnotedebasdep"/>
        </w:rPr>
        <w:footnoteRef/>
      </w:r>
      <w:r w:rsidRPr="00C92339">
        <w:rPr>
          <w:rFonts w:eastAsia="Times New Roman"/>
          <w:lang w:val="fr-FR"/>
        </w:rPr>
        <w:tab/>
        <w:t>Ibid.</w:t>
      </w:r>
    </w:p>
  </w:footnote>
  <w:footnote w:id="164">
    <w:p w14:paraId="7D6F24AF" w14:textId="2EED1FD2" w:rsidR="004C5E26" w:rsidRPr="00C17484" w:rsidRDefault="004C5E26" w:rsidP="004C5E26">
      <w:pPr>
        <w:pStyle w:val="Notedebasdepage"/>
        <w:rPr>
          <w:lang w:val="fr-FR"/>
        </w:rPr>
      </w:pPr>
      <w:r w:rsidRPr="00C92339">
        <w:rPr>
          <w:lang w:val="fr-FR"/>
        </w:rPr>
        <w:tab/>
      </w:r>
      <w:r w:rsidRPr="00C92339">
        <w:rPr>
          <w:rStyle w:val="Appelnotedebasdep"/>
        </w:rPr>
        <w:footnoteRef/>
      </w:r>
      <w:r w:rsidRPr="00C92339">
        <w:rPr>
          <w:lang w:val="fr-FR"/>
        </w:rPr>
        <w:tab/>
        <w:t xml:space="preserve">Pacte international relatif aux droits civils et politiques (New York, 16 décembre 1966), Nations Unies, </w:t>
      </w:r>
      <w:r w:rsidRPr="00C92339">
        <w:rPr>
          <w:i/>
          <w:iCs/>
          <w:lang w:val="fr-FR"/>
        </w:rPr>
        <w:t xml:space="preserve">Recueil des </w:t>
      </w:r>
      <w:r w:rsidR="005A478D" w:rsidRPr="00C92339">
        <w:rPr>
          <w:i/>
          <w:iCs/>
          <w:lang w:val="fr-FR"/>
        </w:rPr>
        <w:t>T</w:t>
      </w:r>
      <w:r w:rsidRPr="00C92339">
        <w:rPr>
          <w:i/>
          <w:iCs/>
          <w:lang w:val="fr-FR"/>
        </w:rPr>
        <w:t>raités</w:t>
      </w:r>
      <w:r w:rsidRPr="00C17484">
        <w:rPr>
          <w:lang w:val="fr-FR"/>
        </w:rPr>
        <w:t xml:space="preserve">, vol. 999, </w:t>
      </w:r>
      <w:r w:rsidRPr="00C17484">
        <w:rPr>
          <w:rFonts w:eastAsia="Times New Roman"/>
          <w:lang w:val="fr-FR"/>
        </w:rPr>
        <w:t>n</w:t>
      </w:r>
      <w:r w:rsidRPr="00C17484">
        <w:rPr>
          <w:rFonts w:eastAsia="Times New Roman"/>
          <w:vertAlign w:val="superscript"/>
          <w:lang w:val="fr-FR"/>
        </w:rPr>
        <w:t>o</w:t>
      </w:r>
      <w:r w:rsidRPr="00C17484">
        <w:rPr>
          <w:rFonts w:eastAsia="Times New Roman"/>
          <w:lang w:val="fr-FR"/>
        </w:rPr>
        <w:t> </w:t>
      </w:r>
      <w:r w:rsidRPr="00C17484">
        <w:rPr>
          <w:lang w:val="fr-FR"/>
        </w:rPr>
        <w:t xml:space="preserve">14668, p. 171. </w:t>
      </w:r>
    </w:p>
  </w:footnote>
  <w:footnote w:id="165">
    <w:p w14:paraId="2BDF5ABE" w14:textId="6CC2C40A"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5666A9">
        <w:rPr>
          <w:rFonts w:eastAsia="Times New Roman"/>
          <w:i/>
          <w:iCs/>
          <w:lang w:val="fr-FR"/>
        </w:rPr>
        <w:t>Diallo, fond</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5A478D">
        <w:rPr>
          <w:rFonts w:eastAsia="Times New Roman"/>
          <w:lang w:val="fr-FR"/>
        </w:rPr>
        <w:fldChar w:fldCharType="begin"/>
      </w:r>
      <w:r w:rsidR="005A478D">
        <w:rPr>
          <w:rFonts w:eastAsia="Times New Roman"/>
          <w:lang w:val="fr-FR"/>
        </w:rPr>
        <w:instrText xml:space="preserve"> NOTEREF _Ref175313869 \h </w:instrText>
      </w:r>
      <w:r w:rsidR="005A478D">
        <w:rPr>
          <w:rFonts w:eastAsia="Times New Roman"/>
          <w:lang w:val="fr-FR"/>
        </w:rPr>
      </w:r>
      <w:r w:rsidR="005A478D">
        <w:rPr>
          <w:rFonts w:eastAsia="Times New Roman"/>
          <w:lang w:val="fr-FR"/>
        </w:rPr>
        <w:fldChar w:fldCharType="separate"/>
      </w:r>
      <w:r w:rsidR="00EC4FDE">
        <w:rPr>
          <w:rFonts w:eastAsia="Times New Roman"/>
          <w:lang w:val="fr-FR"/>
        </w:rPr>
        <w:t>156</w:t>
      </w:r>
      <w:r w:rsidR="005A478D">
        <w:rPr>
          <w:rFonts w:eastAsia="Times New Roman"/>
          <w:lang w:val="fr-FR"/>
        </w:rPr>
        <w:fldChar w:fldCharType="end"/>
      </w:r>
      <w:r w:rsidRPr="00C17484">
        <w:rPr>
          <w:rFonts w:eastAsia="Times New Roman"/>
          <w:lang w:val="fr-FR"/>
        </w:rPr>
        <w:t>), par. 66 (non souligné dans l</w:t>
      </w:r>
      <w:r w:rsidR="004937A0">
        <w:rPr>
          <w:rFonts w:eastAsia="Times New Roman"/>
          <w:lang w:val="fr-FR"/>
        </w:rPr>
        <w:t>’</w:t>
      </w:r>
      <w:r w:rsidRPr="00C17484">
        <w:rPr>
          <w:rFonts w:eastAsia="Times New Roman"/>
          <w:lang w:val="fr-FR"/>
        </w:rPr>
        <w:t>original).</w:t>
      </w:r>
    </w:p>
  </w:footnote>
  <w:footnote w:id="166">
    <w:p w14:paraId="32A8E698" w14:textId="29522E1F" w:rsidR="004C5E26" w:rsidRPr="00CB1E3B"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B1E3B">
        <w:rPr>
          <w:rFonts w:eastAsia="Times New Roman"/>
          <w:lang w:val="fr-FR"/>
        </w:rPr>
        <w:t>Ibid., par. 67 (</w:t>
      </w:r>
      <w:r>
        <w:rPr>
          <w:rFonts w:eastAsia="Times New Roman"/>
          <w:lang w:val="fr-FR"/>
        </w:rPr>
        <w:t>L</w:t>
      </w:r>
      <w:r w:rsidRPr="00CB1E3B">
        <w:rPr>
          <w:rFonts w:eastAsia="Times New Roman"/>
          <w:lang w:val="fr-FR"/>
        </w:rPr>
        <w:t>a Cour internationale de Justice a déclaré ce qui suit : « lorsque la Cour est appelée […] à faire application d</w:t>
      </w:r>
      <w:r w:rsidR="004937A0">
        <w:rPr>
          <w:rFonts w:eastAsia="Times New Roman"/>
          <w:lang w:val="fr-FR"/>
        </w:rPr>
        <w:t>’</w:t>
      </w:r>
      <w:r w:rsidRPr="00CB1E3B">
        <w:rPr>
          <w:rFonts w:eastAsia="Times New Roman"/>
          <w:lang w:val="fr-FR"/>
        </w:rPr>
        <w:t>un instrument régional de protection des droits de l</w:t>
      </w:r>
      <w:r w:rsidR="004937A0">
        <w:rPr>
          <w:rFonts w:eastAsia="Times New Roman"/>
          <w:lang w:val="fr-FR"/>
        </w:rPr>
        <w:t>’</w:t>
      </w:r>
      <w:r w:rsidRPr="00CB1E3B">
        <w:rPr>
          <w:rFonts w:eastAsia="Times New Roman"/>
          <w:lang w:val="fr-FR"/>
        </w:rPr>
        <w:t>homme, elle doit tenir dûment compte d</w:t>
      </w:r>
      <w:r>
        <w:rPr>
          <w:rFonts w:eastAsia="Times New Roman"/>
          <w:lang w:val="fr-FR"/>
        </w:rPr>
        <w:t>e l</w:t>
      </w:r>
      <w:r w:rsidR="004937A0">
        <w:rPr>
          <w:rFonts w:eastAsia="Times New Roman"/>
          <w:lang w:val="fr-FR"/>
        </w:rPr>
        <w:t>’</w:t>
      </w:r>
      <w:r>
        <w:rPr>
          <w:rFonts w:eastAsia="Times New Roman"/>
          <w:lang w:val="fr-FR"/>
        </w:rPr>
        <w:t>interprétation dudit instrument adoptée par les organes indépendants qui ont été spécialement créés, si tel a été le cas, en vue de contrôler la bonne application du traité en cause.</w:t>
      </w:r>
      <w:r w:rsidRPr="00CB1E3B">
        <w:rPr>
          <w:rFonts w:eastAsia="Times New Roman"/>
          <w:lang w:val="fr-FR"/>
        </w:rPr>
        <w:t> »).</w:t>
      </w:r>
    </w:p>
  </w:footnote>
  <w:footnote w:id="167">
    <w:p w14:paraId="14A31835" w14:textId="49921876"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sidRPr="00C17484">
        <w:rPr>
          <w:rFonts w:eastAsia="Times New Roman"/>
          <w:lang w:val="fr-FR"/>
        </w:rPr>
        <w:tab/>
        <w:t>Ibid., par. 67 (non souligné dans l</w:t>
      </w:r>
      <w:r w:rsidR="004937A0">
        <w:rPr>
          <w:rFonts w:eastAsia="Times New Roman"/>
          <w:lang w:val="fr-FR"/>
        </w:rPr>
        <w:t>’</w:t>
      </w:r>
      <w:r w:rsidRPr="00C17484">
        <w:rPr>
          <w:rFonts w:eastAsia="Times New Roman"/>
          <w:lang w:val="fr-FR"/>
        </w:rPr>
        <w:t>original), citant Commission africaine des droits de l</w:t>
      </w:r>
      <w:r w:rsidR="004937A0">
        <w:rPr>
          <w:rFonts w:eastAsia="Times New Roman"/>
          <w:lang w:val="fr-FR"/>
        </w:rPr>
        <w:t>’</w:t>
      </w:r>
      <w:r w:rsidRPr="00C17484">
        <w:rPr>
          <w:rFonts w:eastAsia="Times New Roman"/>
          <w:lang w:val="fr-FR"/>
        </w:rPr>
        <w:t xml:space="preserve">homme et des peuples, </w:t>
      </w:r>
      <w:r w:rsidRPr="005666A9">
        <w:rPr>
          <w:rFonts w:eastAsia="Times New Roman"/>
          <w:i/>
          <w:iCs/>
          <w:lang w:val="fr-FR"/>
        </w:rPr>
        <w:t>Kenneth Good c. République du Botswana</w:t>
      </w:r>
      <w:r w:rsidRPr="00C17484">
        <w:rPr>
          <w:rFonts w:eastAsia="Times New Roman"/>
          <w:lang w:val="fr-FR"/>
        </w:rPr>
        <w:t>, communication n</w:t>
      </w:r>
      <w:r w:rsidRPr="00C17484">
        <w:rPr>
          <w:rFonts w:eastAsia="Times New Roman"/>
          <w:vertAlign w:val="superscript"/>
          <w:lang w:val="fr-FR"/>
        </w:rPr>
        <w:t>o</w:t>
      </w:r>
      <w:r w:rsidRPr="00C17484">
        <w:rPr>
          <w:rFonts w:eastAsia="Times New Roman"/>
          <w:lang w:val="fr-FR"/>
        </w:rPr>
        <w:t xml:space="preserve"> 313/05, décision, 26 mai 2010, par. 204, et </w:t>
      </w:r>
      <w:r w:rsidRPr="005666A9">
        <w:rPr>
          <w:rFonts w:eastAsia="Times New Roman"/>
          <w:i/>
          <w:iCs/>
          <w:lang w:val="fr-FR"/>
        </w:rPr>
        <w:t>Organisation mondiale contre la torture et Association internationale des juristes démocrates, Commission internationale des juristes, Union interafricaine des droits de l</w:t>
      </w:r>
      <w:r w:rsidR="004937A0">
        <w:rPr>
          <w:rFonts w:eastAsia="Times New Roman"/>
          <w:i/>
          <w:iCs/>
          <w:lang w:val="fr-FR"/>
        </w:rPr>
        <w:t>’</w:t>
      </w:r>
      <w:r w:rsidRPr="005666A9">
        <w:rPr>
          <w:rFonts w:eastAsia="Times New Roman"/>
          <w:i/>
          <w:iCs/>
          <w:lang w:val="fr-FR"/>
        </w:rPr>
        <w:t>homme c. Rwanda</w:t>
      </w:r>
      <w:r w:rsidRPr="00C17484">
        <w:rPr>
          <w:rFonts w:eastAsia="Times New Roman"/>
          <w:lang w:val="fr-FR"/>
        </w:rPr>
        <w:t>, communications n</w:t>
      </w:r>
      <w:r w:rsidRPr="00C17484">
        <w:rPr>
          <w:rFonts w:eastAsia="Times New Roman"/>
          <w:vertAlign w:val="superscript"/>
          <w:lang w:val="fr-FR"/>
        </w:rPr>
        <w:t>o</w:t>
      </w:r>
      <w:r w:rsidRPr="00C17484">
        <w:rPr>
          <w:rFonts w:eastAsia="Times New Roman"/>
          <w:lang w:val="fr-FR"/>
        </w:rPr>
        <w:t xml:space="preserve"> 27/89-46/91, 49/91 et 99/93, décision, 31 octobre 1996. Voir </w:t>
      </w:r>
      <w:r>
        <w:rPr>
          <w:rFonts w:eastAsia="Times New Roman"/>
          <w:lang w:val="fr-FR"/>
        </w:rPr>
        <w:t xml:space="preserve">aussi </w:t>
      </w:r>
      <w:r w:rsidRPr="00C17484">
        <w:rPr>
          <w:rFonts w:eastAsia="Times New Roman"/>
          <w:lang w:val="fr-FR"/>
        </w:rPr>
        <w:t xml:space="preserve">Mads Andenas et Johann R. Leiss, « The systemic relevance of </w:t>
      </w:r>
      <w:r>
        <w:rPr>
          <w:rFonts w:eastAsia="Times New Roman"/>
          <w:lang w:val="fr-FR"/>
        </w:rPr>
        <w:t>“</w:t>
      </w:r>
      <w:r w:rsidRPr="00C17484">
        <w:rPr>
          <w:rFonts w:eastAsia="Times New Roman"/>
          <w:lang w:val="fr-FR"/>
        </w:rPr>
        <w:t>judicial decisions</w:t>
      </w:r>
      <w:r>
        <w:rPr>
          <w:rFonts w:eastAsia="Times New Roman"/>
          <w:lang w:val="fr-FR"/>
        </w:rPr>
        <w:t>”</w:t>
      </w:r>
      <w:r w:rsidRPr="00C17484">
        <w:rPr>
          <w:rFonts w:eastAsia="Times New Roman"/>
          <w:lang w:val="fr-FR"/>
        </w:rPr>
        <w:t xml:space="preserve"> in Article 38 of the ICJ Statute », </w:t>
      </w:r>
      <w:r w:rsidRPr="005666A9">
        <w:rPr>
          <w:rFonts w:eastAsia="Times New Roman"/>
          <w:i/>
          <w:iCs/>
          <w:lang w:val="fr-FR"/>
        </w:rPr>
        <w:t>Heidelberg Journal of International Law</w:t>
      </w:r>
      <w:r w:rsidRPr="00C17484">
        <w:rPr>
          <w:rFonts w:eastAsia="Times New Roman"/>
          <w:lang w:val="fr-FR"/>
        </w:rPr>
        <w:t>, vol. 77 (2017), p. 907 à 972, pour un examen de l</w:t>
      </w:r>
      <w:r w:rsidR="004937A0">
        <w:rPr>
          <w:rFonts w:eastAsia="Times New Roman"/>
          <w:lang w:val="fr-FR"/>
        </w:rPr>
        <w:t>’</w:t>
      </w:r>
      <w:r w:rsidRPr="00C17484">
        <w:rPr>
          <w:rFonts w:eastAsia="Times New Roman"/>
          <w:lang w:val="fr-FR"/>
        </w:rPr>
        <w:t>Article 38 et l</w:t>
      </w:r>
      <w:r w:rsidR="004937A0">
        <w:rPr>
          <w:rFonts w:eastAsia="Times New Roman"/>
          <w:lang w:val="fr-FR"/>
        </w:rPr>
        <w:t>’</w:t>
      </w:r>
      <w:r w:rsidRPr="00C17484">
        <w:rPr>
          <w:rFonts w:eastAsia="Times New Roman"/>
          <w:lang w:val="fr-FR"/>
        </w:rPr>
        <w:t>approche de la Cour internationale de Justice en ce qui concerne les décisions judiciaires.</w:t>
      </w:r>
    </w:p>
  </w:footnote>
  <w:footnote w:id="168">
    <w:p w14:paraId="4FE46B91" w14:textId="22095EED"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5666A9">
        <w:rPr>
          <w:rFonts w:eastAsia="Times New Roman"/>
          <w:i/>
          <w:iCs/>
          <w:lang w:val="fr-FR"/>
        </w:rPr>
        <w:t>Application de la convention internationale … (Qatar c. Émirats arabes unis)</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w:t>
      </w:r>
      <w:r>
        <w:rPr>
          <w:rFonts w:eastAsia="Times New Roman"/>
          <w:lang w:val="fr-FR"/>
        </w:rPr>
        <w:t xml:space="preserve">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xml:space="preserve">), par. 77, citant </w:t>
      </w:r>
      <w:r w:rsidRPr="005666A9">
        <w:rPr>
          <w:rFonts w:eastAsia="Times New Roman"/>
          <w:i/>
          <w:iCs/>
          <w:lang w:val="fr-FR"/>
        </w:rPr>
        <w:t>Diallo, indemnisation</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sidRPr="0053774D">
        <w:rPr>
          <w:rFonts w:eastAsia="Times New Roman"/>
          <w:lang w:val="fr-FR"/>
        </w:rPr>
        <w:t xml:space="preserve">la </w:t>
      </w:r>
      <w:r w:rsidRPr="00C17484">
        <w:rPr>
          <w:rFonts w:eastAsia="Times New Roman"/>
          <w:lang w:val="fr-FR"/>
        </w:rPr>
        <w:t xml:space="preserve">note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xml:space="preserve">), par. 13 et 24 ; </w:t>
      </w:r>
      <w:r w:rsidRPr="005666A9">
        <w:rPr>
          <w:rFonts w:eastAsia="Times New Roman"/>
          <w:i/>
          <w:iCs/>
          <w:lang w:val="fr-FR"/>
        </w:rPr>
        <w:t>Obligation de poursuivre ou d</w:t>
      </w:r>
      <w:r w:rsidR="004937A0">
        <w:rPr>
          <w:rFonts w:eastAsia="Times New Roman"/>
          <w:i/>
          <w:iCs/>
          <w:lang w:val="fr-FR"/>
        </w:rPr>
        <w:t>’</w:t>
      </w:r>
      <w:r w:rsidRPr="005666A9">
        <w:rPr>
          <w:rFonts w:eastAsia="Times New Roman"/>
          <w:i/>
          <w:iCs/>
          <w:lang w:val="fr-FR"/>
        </w:rPr>
        <w:t>extrader (Belgique c. Sénégal)</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xml:space="preserve">), par. 101 ; </w:t>
      </w:r>
      <w:r w:rsidRPr="005666A9">
        <w:rPr>
          <w:rFonts w:eastAsia="Times New Roman"/>
          <w:i/>
          <w:iCs/>
          <w:lang w:val="fr-FR"/>
        </w:rPr>
        <w:t>Diallo, fond</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w:t>
      </w:r>
      <w:r>
        <w:rPr>
          <w:rFonts w:eastAsia="Times New Roman"/>
          <w:lang w:val="fr-FR"/>
        </w:rPr>
        <w:t>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xml:space="preserve">), par. 66 ; </w:t>
      </w:r>
      <w:r w:rsidRPr="005666A9">
        <w:rPr>
          <w:rFonts w:eastAsia="Times New Roman"/>
          <w:i/>
          <w:iCs/>
          <w:lang w:val="fr-FR"/>
        </w:rPr>
        <w:t>Conséquences juridiques de l</w:t>
      </w:r>
      <w:r w:rsidR="004937A0">
        <w:rPr>
          <w:rFonts w:eastAsia="Times New Roman"/>
          <w:i/>
          <w:iCs/>
          <w:lang w:val="fr-FR"/>
        </w:rPr>
        <w:t>’</w:t>
      </w:r>
      <w:r w:rsidRPr="005666A9">
        <w:rPr>
          <w:rFonts w:eastAsia="Times New Roman"/>
          <w:i/>
          <w:iCs/>
          <w:lang w:val="fr-FR"/>
        </w:rPr>
        <w:t>édification d</w:t>
      </w:r>
      <w:r w:rsidR="004937A0">
        <w:rPr>
          <w:rFonts w:eastAsia="Times New Roman"/>
          <w:i/>
          <w:iCs/>
          <w:lang w:val="fr-FR"/>
        </w:rPr>
        <w:t>’</w:t>
      </w:r>
      <w:r w:rsidRPr="005666A9">
        <w:rPr>
          <w:rFonts w:eastAsia="Times New Roman"/>
          <w:i/>
          <w:iCs/>
          <w:lang w:val="fr-FR"/>
        </w:rPr>
        <w:t>un mur</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par.</w:t>
      </w:r>
      <w:r>
        <w:rPr>
          <w:rFonts w:eastAsia="Times New Roman"/>
          <w:lang w:val="fr-FR"/>
        </w:rPr>
        <w:t> </w:t>
      </w:r>
      <w:r w:rsidRPr="00C17484">
        <w:rPr>
          <w:rFonts w:eastAsia="Times New Roman"/>
          <w:lang w:val="fr-FR"/>
        </w:rPr>
        <w:t>109 et 136.</w:t>
      </w:r>
    </w:p>
  </w:footnote>
  <w:footnote w:id="169">
    <w:p w14:paraId="08FF6A01" w14:textId="6EA207BF"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sidRPr="00C17484">
        <w:rPr>
          <w:rFonts w:eastAsia="Times New Roman"/>
          <w:lang w:val="fr-FR"/>
        </w:rPr>
        <w:tab/>
      </w:r>
      <w:r w:rsidRPr="005666A9">
        <w:rPr>
          <w:rFonts w:eastAsia="Times New Roman"/>
          <w:i/>
          <w:iCs/>
          <w:lang w:val="fr-FR"/>
        </w:rPr>
        <w:t>Application de la convention internationale … (Qatar c. Émirats arabes unis)</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15805">
        <w:rPr>
          <w:rFonts w:eastAsia="Times New Roman"/>
          <w:lang w:val="fr-FR"/>
        </w:rPr>
        <w:fldChar w:fldCharType="begin"/>
      </w:r>
      <w:r w:rsidR="00415805">
        <w:rPr>
          <w:rFonts w:eastAsia="Times New Roman"/>
          <w:lang w:val="fr-FR"/>
        </w:rPr>
        <w:instrText xml:space="preserve"> NOTEREF _Ref175313869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156</w:t>
      </w:r>
      <w:r w:rsidR="00415805">
        <w:rPr>
          <w:rFonts w:eastAsia="Times New Roman"/>
          <w:lang w:val="fr-FR"/>
        </w:rPr>
        <w:fldChar w:fldCharType="end"/>
      </w:r>
      <w:r w:rsidRPr="00C17484">
        <w:rPr>
          <w:rFonts w:eastAsia="Times New Roman"/>
          <w:lang w:val="fr-FR"/>
        </w:rPr>
        <w:t>), par. 101.</w:t>
      </w:r>
    </w:p>
  </w:footnote>
  <w:footnote w:id="170">
    <w:p w14:paraId="4992510D" w14:textId="408D52E3"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Cour perman</w:t>
      </w:r>
      <w:r>
        <w:rPr>
          <w:rFonts w:eastAsia="Times New Roman"/>
          <w:lang w:val="fr-FR"/>
        </w:rPr>
        <w:t>en</w:t>
      </w:r>
      <w:r w:rsidRPr="00C17484">
        <w:rPr>
          <w:rFonts w:eastAsia="Times New Roman"/>
          <w:lang w:val="fr-FR"/>
        </w:rPr>
        <w:t xml:space="preserve">te de Justice internationale, </w:t>
      </w:r>
      <w:r w:rsidRPr="00E00D3B">
        <w:rPr>
          <w:rFonts w:eastAsia="Times New Roman"/>
          <w:i/>
          <w:iCs/>
          <w:lang w:val="fr-FR"/>
        </w:rPr>
        <w:t xml:space="preserve">Concessions Mavrommatis en Palestine, compétence, </w:t>
      </w:r>
      <w:r w:rsidR="00A31388" w:rsidRPr="00E00D3B">
        <w:rPr>
          <w:rFonts w:eastAsia="Times New Roman"/>
          <w:i/>
          <w:iCs/>
          <w:lang w:val="fr-FR"/>
        </w:rPr>
        <w:t>s</w:t>
      </w:r>
      <w:r w:rsidRPr="00E00D3B">
        <w:rPr>
          <w:rFonts w:eastAsia="Times New Roman"/>
          <w:i/>
          <w:iCs/>
          <w:lang w:val="fr-FR"/>
        </w:rPr>
        <w:t>érie A</w:t>
      </w:r>
      <w:r w:rsidRPr="00C17484">
        <w:rPr>
          <w:rFonts w:eastAsia="Times New Roman"/>
          <w:lang w:val="fr-FR"/>
        </w:rPr>
        <w:t>, n</w:t>
      </w:r>
      <w:r w:rsidRPr="00C17484">
        <w:rPr>
          <w:rFonts w:eastAsia="Times New Roman"/>
          <w:vertAlign w:val="superscript"/>
          <w:lang w:val="fr-FR"/>
        </w:rPr>
        <w:t>o</w:t>
      </w:r>
      <w:r w:rsidRPr="00C17484">
        <w:rPr>
          <w:rFonts w:eastAsia="Times New Roman"/>
          <w:lang w:val="fr-FR"/>
        </w:rPr>
        <w:t xml:space="preserve"> 2, 30 août 1924, p. 6, à la </w:t>
      </w:r>
      <w:r>
        <w:rPr>
          <w:rFonts w:eastAsia="Times New Roman"/>
          <w:lang w:val="fr-FR"/>
        </w:rPr>
        <w:t>page</w:t>
      </w:r>
      <w:r w:rsidRPr="00C17484">
        <w:rPr>
          <w:rFonts w:eastAsia="Times New Roman"/>
          <w:lang w:val="fr-FR"/>
        </w:rPr>
        <w:t xml:space="preserve"> 11.</w:t>
      </w:r>
    </w:p>
  </w:footnote>
  <w:footnote w:id="171">
    <w:p w14:paraId="0D3C2B67" w14:textId="7B7B8E04"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Affaire de l</w:t>
      </w:r>
      <w:r w:rsidR="004937A0">
        <w:rPr>
          <w:rFonts w:eastAsia="Times New Roman"/>
          <w:i/>
          <w:iCs/>
          <w:lang w:val="fr-FR"/>
        </w:rPr>
        <w:t>’</w:t>
      </w:r>
      <w:r w:rsidRPr="00E00D3B">
        <w:rPr>
          <w:rFonts w:eastAsia="Times New Roman"/>
          <w:i/>
          <w:iCs/>
          <w:lang w:val="fr-FR"/>
        </w:rPr>
        <w:t>or monétaire pris à Rome en 1943 (question préliminaire), arrêt du 15 juin 1954 : C.I.J. Recueil 1954</w:t>
      </w:r>
      <w:r w:rsidRPr="00C17484">
        <w:rPr>
          <w:rFonts w:eastAsia="Times New Roman"/>
          <w:lang w:val="fr-FR"/>
        </w:rPr>
        <w:t>, p. 19, aux pages 32 et 33.</w:t>
      </w:r>
    </w:p>
  </w:footnote>
  <w:footnote w:id="172">
    <w:p w14:paraId="5859D36D" w14:textId="599B32EB"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LaGrand</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 xml:space="preserve">note </w:t>
      </w:r>
      <w:r w:rsidR="00415805">
        <w:rPr>
          <w:rFonts w:eastAsia="Times New Roman"/>
          <w:lang w:val="fr-FR"/>
        </w:rPr>
        <w:fldChar w:fldCharType="begin"/>
      </w:r>
      <w:r w:rsidR="00415805">
        <w:rPr>
          <w:rFonts w:eastAsia="Times New Roman"/>
          <w:lang w:val="fr-FR"/>
        </w:rPr>
        <w:instrText xml:space="preserve"> NOTEREF _Ref175314391 \h </w:instrText>
      </w:r>
      <w:r w:rsidR="00415805">
        <w:rPr>
          <w:rFonts w:eastAsia="Times New Roman"/>
          <w:lang w:val="fr-FR"/>
        </w:rPr>
      </w:r>
      <w:r w:rsidR="00415805">
        <w:rPr>
          <w:rFonts w:eastAsia="Times New Roman"/>
          <w:lang w:val="fr-FR"/>
        </w:rPr>
        <w:fldChar w:fldCharType="separate"/>
      </w:r>
      <w:r w:rsidR="00EC4FDE">
        <w:rPr>
          <w:rFonts w:eastAsia="Times New Roman"/>
          <w:lang w:val="fr-FR"/>
        </w:rPr>
        <w:t>98</w:t>
      </w:r>
      <w:r w:rsidR="00415805">
        <w:rPr>
          <w:rFonts w:eastAsia="Times New Roman"/>
          <w:lang w:val="fr-FR"/>
        </w:rPr>
        <w:fldChar w:fldCharType="end"/>
      </w:r>
      <w:r w:rsidRPr="00C17484">
        <w:rPr>
          <w:rFonts w:eastAsia="Times New Roman"/>
          <w:lang w:val="fr-FR"/>
        </w:rPr>
        <w:t>), par. 109.</w:t>
      </w:r>
    </w:p>
  </w:footnote>
  <w:footnote w:id="173">
    <w:p w14:paraId="0910E19B" w14:textId="0147D840"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3F311C">
        <w:rPr>
          <w:rFonts w:eastAsia="Times New Roman"/>
          <w:i/>
          <w:iCs/>
          <w:lang w:val="fr-FR"/>
        </w:rPr>
        <w:t>Application de la convention pour la prévention et la répression du crime de génocide (Bosnie</w:t>
      </w:r>
      <w:r w:rsidR="00415805" w:rsidRPr="003F311C">
        <w:rPr>
          <w:rFonts w:eastAsia="Times New Roman"/>
          <w:i/>
          <w:iCs/>
          <w:lang w:val="fr-FR"/>
        </w:rPr>
        <w:noBreakHyphen/>
      </w:r>
      <w:r w:rsidRPr="003F311C">
        <w:rPr>
          <w:rFonts w:eastAsia="Times New Roman"/>
          <w:i/>
          <w:iCs/>
          <w:lang w:val="fr-FR"/>
        </w:rPr>
        <w:t>Herzégovine c. Serbie-et-Monténégro, arrêt, C.I.J. Recueil 2007</w:t>
      </w:r>
      <w:r w:rsidRPr="003F311C">
        <w:rPr>
          <w:rFonts w:eastAsia="Times New Roman"/>
          <w:lang w:val="fr-FR"/>
        </w:rPr>
        <w:t>, p. 43, par. 407.</w:t>
      </w:r>
    </w:p>
  </w:footnote>
  <w:footnote w:id="174">
    <w:p w14:paraId="67ABA516" w14:textId="77777777"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Certains biens (Liechtenstein c. Allemagne), exceptions préliminaires, arrêt, C.I.J. Recueil 2005</w:t>
      </w:r>
      <w:r w:rsidRPr="00C17484">
        <w:rPr>
          <w:rFonts w:eastAsia="Times New Roman"/>
          <w:lang w:val="fr-FR"/>
        </w:rPr>
        <w:t>, p.</w:t>
      </w:r>
      <w:r>
        <w:rPr>
          <w:rFonts w:eastAsia="Times New Roman"/>
          <w:lang w:val="fr-FR"/>
        </w:rPr>
        <w:t> </w:t>
      </w:r>
      <w:r w:rsidRPr="00C17484">
        <w:rPr>
          <w:rFonts w:eastAsia="Times New Roman"/>
          <w:lang w:val="fr-FR"/>
        </w:rPr>
        <w:t>6, par. 24.</w:t>
      </w:r>
    </w:p>
  </w:footnote>
  <w:footnote w:id="175">
    <w:p w14:paraId="3EE93C85" w14:textId="1165D4A0"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w:t>
      </w:r>
      <w:r w:rsidRPr="00E00D3B">
        <w:rPr>
          <w:rFonts w:eastAsia="Times New Roman"/>
          <w:i/>
          <w:iCs/>
          <w:lang w:val="fr-FR"/>
        </w:rPr>
        <w:t>Obligations relatives à des négociations concernant la cessation de la course aux armes nucléaires et le désarmement nucléaire (Îles Marshall c. Royaume-Uni), exceptions préliminaires, arrêt, C.I.J. Recueil 2</w:t>
      </w:r>
      <w:r>
        <w:rPr>
          <w:rFonts w:eastAsia="Times New Roman"/>
          <w:i/>
          <w:iCs/>
          <w:lang w:val="fr-FR"/>
        </w:rPr>
        <w:t>0</w:t>
      </w:r>
      <w:r w:rsidRPr="00E00D3B">
        <w:rPr>
          <w:rFonts w:eastAsia="Times New Roman"/>
          <w:i/>
          <w:iCs/>
          <w:lang w:val="fr-FR"/>
        </w:rPr>
        <w:t>16</w:t>
      </w:r>
      <w:r w:rsidRPr="00C17484">
        <w:rPr>
          <w:rFonts w:eastAsia="Times New Roman"/>
          <w:lang w:val="fr-FR"/>
        </w:rPr>
        <w:t xml:space="preserve">, p. 833, par. 37 ; </w:t>
      </w:r>
      <w:r w:rsidRPr="00E00D3B">
        <w:rPr>
          <w:rFonts w:eastAsia="Times New Roman"/>
          <w:i/>
          <w:iCs/>
          <w:lang w:val="fr-FR"/>
        </w:rPr>
        <w:t>Application de la convention internationale sur l</w:t>
      </w:r>
      <w:r w:rsidR="004937A0">
        <w:rPr>
          <w:rFonts w:eastAsia="Times New Roman"/>
          <w:i/>
          <w:iCs/>
          <w:lang w:val="fr-FR"/>
        </w:rPr>
        <w:t>’</w:t>
      </w:r>
      <w:r w:rsidRPr="00E00D3B">
        <w:rPr>
          <w:rFonts w:eastAsia="Times New Roman"/>
          <w:i/>
          <w:iCs/>
          <w:lang w:val="fr-FR"/>
        </w:rPr>
        <w:t>élimination de toutes les formes de discrimination raciale (Géorgie c. Fédération de Russie), exceptions préliminaires, arrêt, C.I.J. Recueil 2011</w:t>
      </w:r>
      <w:r w:rsidRPr="00C17484">
        <w:rPr>
          <w:rFonts w:eastAsia="Times New Roman"/>
          <w:lang w:val="fr-FR"/>
        </w:rPr>
        <w:t>, p. 70, par. 30.</w:t>
      </w:r>
    </w:p>
  </w:footnote>
  <w:footnote w:id="176">
    <w:p w14:paraId="14C39A01" w14:textId="5C2B68E6"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Effets juridiques de la séparation de l</w:t>
      </w:r>
      <w:r w:rsidR="004937A0">
        <w:rPr>
          <w:rFonts w:eastAsia="Times New Roman"/>
          <w:i/>
          <w:iCs/>
          <w:lang w:val="fr-FR"/>
        </w:rPr>
        <w:t>’</w:t>
      </w:r>
      <w:r w:rsidRPr="00E00D3B">
        <w:rPr>
          <w:rFonts w:eastAsia="Times New Roman"/>
          <w:i/>
          <w:iCs/>
          <w:lang w:val="fr-FR"/>
        </w:rPr>
        <w:t>archipel des Chagos de Maurice en 1965, avis consultatif, C.I.J. Recueil 2019</w:t>
      </w:r>
      <w:r w:rsidRPr="00C17484">
        <w:rPr>
          <w:rFonts w:eastAsia="Times New Roman"/>
          <w:lang w:val="fr-FR"/>
        </w:rPr>
        <w:t xml:space="preserve">, p. 95, par. 65, citant </w:t>
      </w:r>
      <w:r w:rsidRPr="00E00D3B">
        <w:rPr>
          <w:rFonts w:eastAsia="Times New Roman"/>
          <w:i/>
          <w:iCs/>
          <w:lang w:val="fr-FR"/>
        </w:rPr>
        <w:t>Conséquences juridiques de l</w:t>
      </w:r>
      <w:r w:rsidR="004937A0">
        <w:rPr>
          <w:rFonts w:eastAsia="Times New Roman"/>
          <w:i/>
          <w:iCs/>
          <w:lang w:val="fr-FR"/>
        </w:rPr>
        <w:t>’</w:t>
      </w:r>
      <w:r w:rsidRPr="00E00D3B">
        <w:rPr>
          <w:rFonts w:eastAsia="Times New Roman"/>
          <w:i/>
          <w:iCs/>
          <w:lang w:val="fr-FR"/>
        </w:rPr>
        <w:t>édification d</w:t>
      </w:r>
      <w:r w:rsidR="004937A0">
        <w:rPr>
          <w:rFonts w:eastAsia="Times New Roman"/>
          <w:i/>
          <w:iCs/>
          <w:lang w:val="fr-FR"/>
        </w:rPr>
        <w:t>’</w:t>
      </w:r>
      <w:r w:rsidRPr="00E00D3B">
        <w:rPr>
          <w:rFonts w:eastAsia="Times New Roman"/>
          <w:i/>
          <w:iCs/>
          <w:lang w:val="fr-FR"/>
        </w:rPr>
        <w:t>un mur</w:t>
      </w:r>
      <w:r w:rsidRPr="00C17484">
        <w:rPr>
          <w:rFonts w:eastAsia="Times New Roman"/>
          <w:lang w:val="fr-FR"/>
        </w:rPr>
        <w:t xml:space="preserve"> (voir </w:t>
      </w:r>
      <w:r w:rsidRPr="003F311C">
        <w:rPr>
          <w:rFonts w:eastAsia="Times New Roman"/>
          <w:i/>
          <w:iCs/>
          <w:lang w:val="fr-FR"/>
        </w:rPr>
        <w:t>sup</w:t>
      </w:r>
      <w:r w:rsidR="003F311C" w:rsidRPr="003F311C">
        <w:rPr>
          <w:rFonts w:eastAsia="Times New Roman"/>
          <w:i/>
          <w:iCs/>
          <w:lang w:val="fr-FR"/>
        </w:rPr>
        <w:t>r</w:t>
      </w:r>
      <w:r w:rsidRPr="003F311C">
        <w:rPr>
          <w:rFonts w:eastAsia="Times New Roman"/>
          <w:i/>
          <w:iCs/>
          <w:lang w:val="fr-FR"/>
        </w:rPr>
        <w:t>a</w:t>
      </w:r>
      <w:r w:rsidRPr="00C17484">
        <w:rPr>
          <w:rFonts w:eastAsia="Times New Roman"/>
          <w:lang w:val="fr-FR"/>
        </w:rPr>
        <w:t xml:space="preserve"> </w:t>
      </w:r>
      <w:r w:rsidR="003F311C">
        <w:rPr>
          <w:rFonts w:eastAsia="Times New Roman"/>
          <w:lang w:val="fr-FR"/>
        </w:rPr>
        <w:t xml:space="preserve">la </w:t>
      </w:r>
      <w:r w:rsidRPr="00C17484">
        <w:rPr>
          <w:rFonts w:eastAsia="Times New Roman"/>
          <w:lang w:val="fr-FR"/>
        </w:rPr>
        <w:t xml:space="preserve">note </w:t>
      </w:r>
      <w:r w:rsidR="003F311C">
        <w:rPr>
          <w:rFonts w:eastAsia="Times New Roman"/>
          <w:lang w:val="fr-FR"/>
        </w:rPr>
        <w:fldChar w:fldCharType="begin"/>
      </w:r>
      <w:r w:rsidR="003F311C">
        <w:rPr>
          <w:rFonts w:eastAsia="Times New Roman"/>
          <w:lang w:val="fr-FR"/>
        </w:rPr>
        <w:instrText xml:space="preserve"> NOTEREF _Ref175313869 \h </w:instrText>
      </w:r>
      <w:r w:rsidR="003F311C">
        <w:rPr>
          <w:rFonts w:eastAsia="Times New Roman"/>
          <w:lang w:val="fr-FR"/>
        </w:rPr>
      </w:r>
      <w:r w:rsidR="003F311C">
        <w:rPr>
          <w:rFonts w:eastAsia="Times New Roman"/>
          <w:lang w:val="fr-FR"/>
        </w:rPr>
        <w:fldChar w:fldCharType="separate"/>
      </w:r>
      <w:r w:rsidR="00EC4FDE">
        <w:rPr>
          <w:rFonts w:eastAsia="Times New Roman"/>
          <w:lang w:val="fr-FR"/>
        </w:rPr>
        <w:t>156</w:t>
      </w:r>
      <w:r w:rsidR="003F311C">
        <w:rPr>
          <w:rFonts w:eastAsia="Times New Roman"/>
          <w:lang w:val="fr-FR"/>
        </w:rPr>
        <w:fldChar w:fldCharType="end"/>
      </w:r>
      <w:r w:rsidRPr="00C17484">
        <w:rPr>
          <w:rFonts w:eastAsia="Times New Roman"/>
          <w:lang w:val="fr-FR"/>
        </w:rPr>
        <w:t xml:space="preserve">), par. 44 ; </w:t>
      </w:r>
      <w:r w:rsidRPr="00E00D3B">
        <w:rPr>
          <w:rFonts w:eastAsia="Times New Roman"/>
          <w:i/>
          <w:iCs/>
          <w:lang w:val="fr-FR"/>
        </w:rPr>
        <w:t>Conformité au droit international de la déclaration unilatérale d</w:t>
      </w:r>
      <w:r w:rsidR="004937A0">
        <w:rPr>
          <w:rFonts w:eastAsia="Times New Roman"/>
          <w:i/>
          <w:iCs/>
          <w:lang w:val="fr-FR"/>
        </w:rPr>
        <w:t>’</w:t>
      </w:r>
      <w:r w:rsidRPr="00E00D3B">
        <w:rPr>
          <w:rFonts w:eastAsia="Times New Roman"/>
          <w:i/>
          <w:iCs/>
          <w:lang w:val="fr-FR"/>
        </w:rPr>
        <w:t>indépendance relative au Kosovo, avis consultatif, C.I.J. Recueil 2</w:t>
      </w:r>
      <w:r>
        <w:rPr>
          <w:rFonts w:eastAsia="Times New Roman"/>
          <w:i/>
          <w:iCs/>
          <w:lang w:val="fr-FR"/>
        </w:rPr>
        <w:t>0</w:t>
      </w:r>
      <w:r w:rsidRPr="00E00D3B">
        <w:rPr>
          <w:rFonts w:eastAsia="Times New Roman"/>
          <w:i/>
          <w:iCs/>
          <w:lang w:val="fr-FR"/>
        </w:rPr>
        <w:t>10</w:t>
      </w:r>
      <w:r w:rsidRPr="00C17484">
        <w:rPr>
          <w:rFonts w:eastAsia="Times New Roman"/>
          <w:lang w:val="fr-FR"/>
        </w:rPr>
        <w:t xml:space="preserve">, p. 403, par. 30 ; </w:t>
      </w:r>
      <w:r w:rsidRPr="00E00D3B">
        <w:rPr>
          <w:rFonts w:eastAsia="Times New Roman"/>
          <w:i/>
          <w:iCs/>
          <w:lang w:val="fr-FR"/>
        </w:rPr>
        <w:t>Licéité de la menace ou de l</w:t>
      </w:r>
      <w:r w:rsidR="004937A0">
        <w:rPr>
          <w:rFonts w:eastAsia="Times New Roman"/>
          <w:i/>
          <w:iCs/>
          <w:lang w:val="fr-FR"/>
        </w:rPr>
        <w:t>’</w:t>
      </w:r>
      <w:r w:rsidRPr="00E00D3B">
        <w:rPr>
          <w:rFonts w:eastAsia="Times New Roman"/>
          <w:i/>
          <w:iCs/>
          <w:lang w:val="fr-FR"/>
        </w:rPr>
        <w:t>emploi d</w:t>
      </w:r>
      <w:r w:rsidR="004937A0">
        <w:rPr>
          <w:rFonts w:eastAsia="Times New Roman"/>
          <w:i/>
          <w:iCs/>
          <w:lang w:val="fr-FR"/>
        </w:rPr>
        <w:t>’</w:t>
      </w:r>
      <w:r w:rsidRPr="00E00D3B">
        <w:rPr>
          <w:rFonts w:eastAsia="Times New Roman"/>
          <w:i/>
          <w:iCs/>
          <w:lang w:val="fr-FR"/>
        </w:rPr>
        <w:t>armes nucléaires, avis consultatif, C.I.J. Recueil 1996</w:t>
      </w:r>
      <w:r w:rsidRPr="00C17484">
        <w:rPr>
          <w:rFonts w:eastAsia="Times New Roman"/>
          <w:lang w:val="fr-FR"/>
        </w:rPr>
        <w:t>, p. 226, par. 14.</w:t>
      </w:r>
    </w:p>
  </w:footnote>
  <w:footnote w:id="177">
    <w:p w14:paraId="2EF7CA1E" w14:textId="045CDBCA"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Certains biens</w:t>
      </w:r>
      <w:r w:rsidRPr="00C17484">
        <w:rPr>
          <w:rFonts w:eastAsia="Times New Roman"/>
          <w:lang w:val="fr-FR"/>
        </w:rPr>
        <w:t xml:space="preserve"> (</w:t>
      </w:r>
      <w:r>
        <w:rPr>
          <w:rFonts w:eastAsia="Times New Roman"/>
          <w:lang w:val="fr-FR"/>
        </w:rPr>
        <w:t xml:space="preserve">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w:t>
      </w:r>
      <w:r>
        <w:rPr>
          <w:rFonts w:eastAsia="Times New Roman"/>
          <w:lang w:val="fr-FR"/>
        </w:rPr>
        <w:t xml:space="preserve"> </w:t>
      </w:r>
      <w:r w:rsidR="003F311C">
        <w:rPr>
          <w:rFonts w:eastAsia="Times New Roman"/>
          <w:lang w:val="fr-FR"/>
        </w:rPr>
        <w:fldChar w:fldCharType="begin"/>
      </w:r>
      <w:r w:rsidR="003F311C">
        <w:rPr>
          <w:rFonts w:eastAsia="Times New Roman"/>
          <w:lang w:val="fr-FR"/>
        </w:rPr>
        <w:instrText xml:space="preserve"> NOTEREF _Ref175314964 \h </w:instrText>
      </w:r>
      <w:r w:rsidR="003F311C">
        <w:rPr>
          <w:rFonts w:eastAsia="Times New Roman"/>
          <w:lang w:val="fr-FR"/>
        </w:rPr>
      </w:r>
      <w:r w:rsidR="003F311C">
        <w:rPr>
          <w:rFonts w:eastAsia="Times New Roman"/>
          <w:lang w:val="fr-FR"/>
        </w:rPr>
        <w:fldChar w:fldCharType="separate"/>
      </w:r>
      <w:r w:rsidR="00EC4FDE">
        <w:rPr>
          <w:rFonts w:eastAsia="Times New Roman"/>
          <w:lang w:val="fr-FR"/>
        </w:rPr>
        <w:t>173</w:t>
      </w:r>
      <w:r w:rsidR="003F311C">
        <w:rPr>
          <w:rFonts w:eastAsia="Times New Roman"/>
          <w:lang w:val="fr-FR"/>
        </w:rPr>
        <w:fldChar w:fldCharType="end"/>
      </w:r>
      <w:r w:rsidRPr="00C17484">
        <w:rPr>
          <w:rFonts w:eastAsia="Times New Roman"/>
          <w:lang w:val="fr-FR"/>
        </w:rPr>
        <w:t>), par. 24.</w:t>
      </w:r>
    </w:p>
  </w:footnote>
  <w:footnote w:id="178">
    <w:p w14:paraId="7311ABC0" w14:textId="3E47F48E"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 xml:space="preserve">Voir </w:t>
      </w:r>
      <w:r w:rsidRPr="00E00D3B">
        <w:rPr>
          <w:rFonts w:eastAsia="Times New Roman"/>
          <w:i/>
          <w:iCs/>
          <w:lang w:val="fr-FR"/>
        </w:rPr>
        <w:t>Obligations concernant des négociations</w:t>
      </w:r>
      <w:r w:rsidRPr="00C17484">
        <w:rPr>
          <w:rFonts w:eastAsia="Times New Roman"/>
          <w:lang w:val="fr-FR"/>
        </w:rPr>
        <w:t xml:space="preserve"> (note</w:t>
      </w:r>
      <w:r>
        <w:rPr>
          <w:rFonts w:eastAsia="Times New Roman"/>
          <w:lang w:val="fr-FR"/>
        </w:rPr>
        <w:t xml:space="preserve"> </w:t>
      </w:r>
      <w:r w:rsidR="003F311C">
        <w:rPr>
          <w:rFonts w:eastAsia="Times New Roman"/>
          <w:lang w:val="fr-FR"/>
        </w:rPr>
        <w:fldChar w:fldCharType="begin"/>
      </w:r>
      <w:r w:rsidR="003F311C">
        <w:rPr>
          <w:rFonts w:eastAsia="Times New Roman"/>
          <w:lang w:val="fr-FR"/>
        </w:rPr>
        <w:instrText xml:space="preserve"> NOTEREF _Ref175315019 \h </w:instrText>
      </w:r>
      <w:r w:rsidR="003F311C">
        <w:rPr>
          <w:rFonts w:eastAsia="Times New Roman"/>
          <w:lang w:val="fr-FR"/>
        </w:rPr>
      </w:r>
      <w:r w:rsidR="003F311C">
        <w:rPr>
          <w:rFonts w:eastAsia="Times New Roman"/>
          <w:lang w:val="fr-FR"/>
        </w:rPr>
        <w:fldChar w:fldCharType="separate"/>
      </w:r>
      <w:r w:rsidR="00EC4FDE">
        <w:rPr>
          <w:rFonts w:eastAsia="Times New Roman"/>
          <w:lang w:val="fr-FR"/>
        </w:rPr>
        <w:t>174</w:t>
      </w:r>
      <w:r w:rsidR="003F311C">
        <w:rPr>
          <w:rFonts w:eastAsia="Times New Roman"/>
          <w:lang w:val="fr-FR"/>
        </w:rPr>
        <w:fldChar w:fldCharType="end"/>
      </w:r>
      <w:r w:rsidRPr="009D2483">
        <w:rPr>
          <w:rFonts w:eastAsia="Times New Roman"/>
          <w:lang w:val="fr-FR"/>
        </w:rPr>
        <w:t xml:space="preserve"> </w:t>
      </w:r>
      <w:r w:rsidRPr="003B432F">
        <w:rPr>
          <w:rFonts w:eastAsia="Times New Roman"/>
          <w:i/>
          <w:iCs/>
          <w:lang w:val="fr-FR"/>
        </w:rPr>
        <w:t>supra</w:t>
      </w:r>
      <w:r w:rsidRPr="00C17484">
        <w:rPr>
          <w:rFonts w:eastAsia="Times New Roman"/>
          <w:lang w:val="fr-FR"/>
        </w:rPr>
        <w:t xml:space="preserve">), par. 37 ; </w:t>
      </w:r>
      <w:r w:rsidRPr="00E00D3B">
        <w:rPr>
          <w:rFonts w:eastAsia="Times New Roman"/>
          <w:i/>
          <w:iCs/>
          <w:lang w:val="fr-FR"/>
        </w:rPr>
        <w:t>Application de la convention internationale sur l</w:t>
      </w:r>
      <w:r w:rsidR="004937A0">
        <w:rPr>
          <w:rFonts w:eastAsia="Times New Roman"/>
          <w:i/>
          <w:iCs/>
          <w:lang w:val="fr-FR"/>
        </w:rPr>
        <w:t>’</w:t>
      </w:r>
      <w:r w:rsidRPr="00E00D3B">
        <w:rPr>
          <w:rFonts w:eastAsia="Times New Roman"/>
          <w:i/>
          <w:iCs/>
          <w:lang w:val="fr-FR"/>
        </w:rPr>
        <w:t>élimination de toutes les formes de discrimination raciale (Géorgie c. Fédération de Russie)</w:t>
      </w:r>
      <w:r w:rsidRPr="00C17484">
        <w:rPr>
          <w:rFonts w:eastAsia="Times New Roman"/>
          <w:lang w:val="fr-FR"/>
        </w:rPr>
        <w:t xml:space="preserve"> (note</w:t>
      </w:r>
      <w:r>
        <w:rPr>
          <w:rFonts w:eastAsia="Times New Roman"/>
          <w:lang w:val="fr-FR"/>
        </w:rPr>
        <w:t xml:space="preserve"> </w:t>
      </w:r>
      <w:r w:rsidR="003F311C">
        <w:rPr>
          <w:rFonts w:eastAsia="Times New Roman"/>
          <w:lang w:val="fr-FR"/>
        </w:rPr>
        <w:fldChar w:fldCharType="begin"/>
      </w:r>
      <w:r w:rsidR="003F311C">
        <w:rPr>
          <w:rFonts w:eastAsia="Times New Roman"/>
          <w:lang w:val="fr-FR"/>
        </w:rPr>
        <w:instrText xml:space="preserve"> NOTEREF _Ref175315019 \h </w:instrText>
      </w:r>
      <w:r w:rsidR="003F311C">
        <w:rPr>
          <w:rFonts w:eastAsia="Times New Roman"/>
          <w:lang w:val="fr-FR"/>
        </w:rPr>
      </w:r>
      <w:r w:rsidR="003F311C">
        <w:rPr>
          <w:rFonts w:eastAsia="Times New Roman"/>
          <w:lang w:val="fr-FR"/>
        </w:rPr>
        <w:fldChar w:fldCharType="separate"/>
      </w:r>
      <w:r w:rsidR="00EC4FDE">
        <w:rPr>
          <w:rFonts w:eastAsia="Times New Roman"/>
          <w:lang w:val="fr-FR"/>
        </w:rPr>
        <w:t>174</w:t>
      </w:r>
      <w:r w:rsidR="003F311C">
        <w:rPr>
          <w:rFonts w:eastAsia="Times New Roman"/>
          <w:lang w:val="fr-FR"/>
        </w:rPr>
        <w:fldChar w:fldCharType="end"/>
      </w:r>
      <w:r w:rsidRPr="009D2483">
        <w:rPr>
          <w:rFonts w:eastAsia="Times New Roman"/>
          <w:lang w:val="fr-FR"/>
        </w:rPr>
        <w:t xml:space="preserve"> </w:t>
      </w:r>
      <w:r w:rsidRPr="003B432F">
        <w:rPr>
          <w:rFonts w:eastAsia="Times New Roman"/>
          <w:i/>
          <w:iCs/>
          <w:lang w:val="fr-FR"/>
        </w:rPr>
        <w:t>supra</w:t>
      </w:r>
      <w:r w:rsidRPr="00C17484">
        <w:rPr>
          <w:rFonts w:eastAsia="Times New Roman"/>
          <w:lang w:val="fr-FR"/>
        </w:rPr>
        <w:t>), par. 30.</w:t>
      </w:r>
    </w:p>
  </w:footnote>
  <w:footnote w:id="179">
    <w:p w14:paraId="07F6D033" w14:textId="5AE953D6"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E00D3B">
        <w:rPr>
          <w:rFonts w:eastAsia="Times New Roman"/>
          <w:i/>
          <w:iCs/>
          <w:lang w:val="fr-FR"/>
        </w:rPr>
        <w:t>Violations alléguées de droits souverains et d</w:t>
      </w:r>
      <w:r w:rsidR="004937A0">
        <w:rPr>
          <w:rFonts w:eastAsia="Times New Roman"/>
          <w:i/>
          <w:iCs/>
          <w:lang w:val="fr-FR"/>
        </w:rPr>
        <w:t>’</w:t>
      </w:r>
      <w:r w:rsidRPr="00E00D3B">
        <w:rPr>
          <w:rFonts w:eastAsia="Times New Roman"/>
          <w:i/>
          <w:iCs/>
          <w:lang w:val="fr-FR"/>
        </w:rPr>
        <w:t>espaces maritimes dans la mer des Caraïbes (Nicaragua c.</w:t>
      </w:r>
      <w:r>
        <w:rPr>
          <w:rFonts w:eastAsia="Times New Roman"/>
          <w:i/>
          <w:iCs/>
          <w:lang w:val="fr-FR"/>
        </w:rPr>
        <w:t> </w:t>
      </w:r>
      <w:r w:rsidRPr="00E00D3B">
        <w:rPr>
          <w:rFonts w:eastAsia="Times New Roman"/>
          <w:i/>
          <w:iCs/>
          <w:lang w:val="fr-FR"/>
        </w:rPr>
        <w:t>Colombie), arrêt, C.I.J. Recueil 2022</w:t>
      </w:r>
      <w:r w:rsidRPr="00C17484">
        <w:rPr>
          <w:rFonts w:eastAsia="Times New Roman"/>
          <w:lang w:val="fr-FR"/>
        </w:rPr>
        <w:t xml:space="preserve">, p. 266, par. 41 ; </w:t>
      </w:r>
      <w:r w:rsidRPr="00E00D3B">
        <w:rPr>
          <w:rFonts w:eastAsia="Times New Roman"/>
          <w:i/>
          <w:iCs/>
          <w:lang w:val="fr-FR"/>
        </w:rPr>
        <w:t>Mandat d</w:t>
      </w:r>
      <w:r w:rsidR="004937A0">
        <w:rPr>
          <w:rFonts w:eastAsia="Times New Roman"/>
          <w:i/>
          <w:iCs/>
          <w:lang w:val="fr-FR"/>
        </w:rPr>
        <w:t>’</w:t>
      </w:r>
      <w:r w:rsidRPr="00E00D3B">
        <w:rPr>
          <w:rFonts w:eastAsia="Times New Roman"/>
          <w:i/>
          <w:iCs/>
          <w:lang w:val="fr-FR"/>
        </w:rPr>
        <w:t>arrêt du 11 avril 2000 (République démocratique du Congo c. Belgique), arrêt, C.I.J. Recueil 2002</w:t>
      </w:r>
      <w:r w:rsidRPr="00C17484">
        <w:rPr>
          <w:rFonts w:eastAsia="Times New Roman"/>
          <w:lang w:val="fr-FR"/>
        </w:rPr>
        <w:t>, p. 3, par. 26.</w:t>
      </w:r>
    </w:p>
  </w:footnote>
  <w:footnote w:id="180">
    <w:p w14:paraId="229DFA4A" w14:textId="03A3217F"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6967CA">
        <w:rPr>
          <w:rFonts w:eastAsia="Times New Roman"/>
          <w:i/>
          <w:iCs/>
          <w:lang w:val="fr-FR"/>
        </w:rPr>
        <w:t>Délimitation maritime en mer Noire (Roumanie c. Ukraine) arrêt, C.I.J. Recueil 2009</w:t>
      </w:r>
      <w:r w:rsidRPr="00C17484">
        <w:rPr>
          <w:rFonts w:eastAsia="Times New Roman"/>
          <w:lang w:val="fr-FR"/>
        </w:rPr>
        <w:t xml:space="preserve">, p. 61, par. 118. Voir </w:t>
      </w:r>
      <w:r>
        <w:rPr>
          <w:rFonts w:eastAsia="Times New Roman"/>
          <w:lang w:val="fr-FR"/>
        </w:rPr>
        <w:t xml:space="preserve">aussi </w:t>
      </w:r>
      <w:r w:rsidRPr="006967CA">
        <w:rPr>
          <w:rFonts w:eastAsia="Times New Roman"/>
          <w:i/>
          <w:iCs/>
          <w:lang w:val="fr-FR"/>
        </w:rPr>
        <w:t>Délimitation maritime dans la mer des Caraïbes et l</w:t>
      </w:r>
      <w:r w:rsidR="004937A0">
        <w:rPr>
          <w:rFonts w:eastAsia="Times New Roman"/>
          <w:i/>
          <w:iCs/>
          <w:lang w:val="fr-FR"/>
        </w:rPr>
        <w:t>’</w:t>
      </w:r>
      <w:r w:rsidRPr="006967CA">
        <w:rPr>
          <w:rFonts w:eastAsia="Times New Roman"/>
          <w:i/>
          <w:iCs/>
          <w:lang w:val="fr-FR"/>
        </w:rPr>
        <w:t>océan Pacifique (Costa Rica c.</w:t>
      </w:r>
      <w:r>
        <w:rPr>
          <w:rFonts w:eastAsia="Times New Roman"/>
          <w:i/>
          <w:iCs/>
          <w:lang w:val="fr-FR"/>
        </w:rPr>
        <w:t> </w:t>
      </w:r>
      <w:r w:rsidRPr="006967CA">
        <w:rPr>
          <w:rFonts w:eastAsia="Times New Roman"/>
          <w:i/>
          <w:iCs/>
          <w:lang w:val="fr-FR"/>
        </w:rPr>
        <w:t>Nicaragua)</w:t>
      </w:r>
      <w:r w:rsidRPr="00C17484">
        <w:rPr>
          <w:rFonts w:eastAsia="Times New Roman"/>
          <w:lang w:val="fr-FR"/>
        </w:rPr>
        <w:t xml:space="preserve"> et </w:t>
      </w:r>
      <w:r w:rsidRPr="006967CA">
        <w:rPr>
          <w:rFonts w:eastAsia="Times New Roman"/>
          <w:i/>
          <w:iCs/>
          <w:lang w:val="fr-FR"/>
        </w:rPr>
        <w:t>Frontière terrestre dans la partie septentrionale d</w:t>
      </w:r>
      <w:r w:rsidR="004937A0">
        <w:rPr>
          <w:rFonts w:eastAsia="Times New Roman"/>
          <w:i/>
          <w:iCs/>
          <w:lang w:val="fr-FR"/>
        </w:rPr>
        <w:t>’</w:t>
      </w:r>
      <w:r w:rsidRPr="006967CA">
        <w:rPr>
          <w:rFonts w:eastAsia="Times New Roman"/>
          <w:i/>
          <w:iCs/>
          <w:lang w:val="fr-FR"/>
        </w:rPr>
        <w:t>Isla Portillos (Costa Rica c.</w:t>
      </w:r>
      <w:r>
        <w:rPr>
          <w:rFonts w:eastAsia="Times New Roman"/>
          <w:i/>
          <w:iCs/>
          <w:lang w:val="fr-FR"/>
        </w:rPr>
        <w:t> </w:t>
      </w:r>
      <w:r w:rsidRPr="006967CA">
        <w:rPr>
          <w:rFonts w:eastAsia="Times New Roman"/>
          <w:i/>
          <w:iCs/>
          <w:lang w:val="fr-FR"/>
        </w:rPr>
        <w:t>Nicaragua), arrêt, C.I.J. Recueil 2018</w:t>
      </w:r>
      <w:r w:rsidRPr="00C17484">
        <w:rPr>
          <w:rFonts w:eastAsia="Times New Roman"/>
          <w:lang w:val="fr-FR"/>
        </w:rPr>
        <w:t>, p. 139, par. 98 (« Conformément à sa jurisprudence établie, la Cour procédera en deux étapes : premièrement, elle tracera une ligne médiane provisoire et, deuxièmement, elle examinera s</w:t>
      </w:r>
      <w:r w:rsidR="004937A0">
        <w:rPr>
          <w:rFonts w:eastAsia="Times New Roman"/>
          <w:lang w:val="fr-FR"/>
        </w:rPr>
        <w:t>’</w:t>
      </w:r>
      <w:r w:rsidRPr="00C17484">
        <w:rPr>
          <w:rFonts w:eastAsia="Times New Roman"/>
          <w:lang w:val="fr-FR"/>
        </w:rPr>
        <w:t>il existe quelque circonstance spéciale justifiant d</w:t>
      </w:r>
      <w:r w:rsidR="004937A0">
        <w:rPr>
          <w:rFonts w:eastAsia="Times New Roman"/>
          <w:lang w:val="fr-FR"/>
        </w:rPr>
        <w:t>’</w:t>
      </w:r>
      <w:r w:rsidRPr="00C17484">
        <w:rPr>
          <w:rFonts w:eastAsia="Times New Roman"/>
          <w:lang w:val="fr-FR"/>
        </w:rPr>
        <w:t xml:space="preserve">ajuster cette ligne »), citant </w:t>
      </w:r>
      <w:r w:rsidRPr="006967CA">
        <w:rPr>
          <w:rFonts w:eastAsia="Times New Roman"/>
          <w:i/>
          <w:iCs/>
          <w:lang w:val="fr-FR"/>
        </w:rPr>
        <w:t>Délimitation maritime et questions territoriales entre Qatar et Bahreïn (Qatar c.</w:t>
      </w:r>
      <w:r>
        <w:rPr>
          <w:rFonts w:eastAsia="Times New Roman"/>
          <w:i/>
          <w:iCs/>
          <w:lang w:val="fr-FR"/>
        </w:rPr>
        <w:t> </w:t>
      </w:r>
      <w:r w:rsidRPr="006967CA">
        <w:rPr>
          <w:rFonts w:eastAsia="Times New Roman"/>
          <w:i/>
          <w:iCs/>
          <w:lang w:val="fr-FR"/>
        </w:rPr>
        <w:t>Bahreïn), fond, arrêt, C.I.J. Recueil 2001</w:t>
      </w:r>
      <w:r w:rsidRPr="00C17484">
        <w:rPr>
          <w:rFonts w:eastAsia="Times New Roman"/>
          <w:lang w:val="fr-FR"/>
        </w:rPr>
        <w:t xml:space="preserve">, p. 40, par. 176 ; </w:t>
      </w:r>
      <w:r w:rsidRPr="006967CA">
        <w:rPr>
          <w:rFonts w:eastAsia="Times New Roman"/>
          <w:i/>
          <w:iCs/>
          <w:lang w:val="fr-FR"/>
        </w:rPr>
        <w:t>Différend territorial et maritime entre le Nicaragua et le Honduras dans la mer des Caraïbes (Nicaragua c. Honduras), arrêt, C.I.J. Recueil 2007</w:t>
      </w:r>
      <w:r w:rsidRPr="00C17484">
        <w:rPr>
          <w:rFonts w:eastAsia="Times New Roman"/>
          <w:lang w:val="fr-FR"/>
        </w:rPr>
        <w:t>, p. 659, par. 268.</w:t>
      </w:r>
    </w:p>
  </w:footnote>
  <w:footnote w:id="181">
    <w:p w14:paraId="2197A07B" w14:textId="1A36AAD2"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6967CA">
        <w:rPr>
          <w:rFonts w:eastAsia="Times New Roman"/>
          <w:i/>
          <w:iCs/>
          <w:lang w:val="fr-FR"/>
        </w:rPr>
        <w:t>Demande en interprétation de l</w:t>
      </w:r>
      <w:r w:rsidR="004937A0">
        <w:rPr>
          <w:rFonts w:eastAsia="Times New Roman"/>
          <w:i/>
          <w:iCs/>
          <w:lang w:val="fr-FR"/>
        </w:rPr>
        <w:t>’</w:t>
      </w:r>
      <w:r w:rsidRPr="006967CA">
        <w:rPr>
          <w:rFonts w:eastAsia="Times New Roman"/>
          <w:i/>
          <w:iCs/>
          <w:lang w:val="fr-FR"/>
        </w:rPr>
        <w:t>arrêt du 31 mars 2004 en l</w:t>
      </w:r>
      <w:r w:rsidR="004937A0">
        <w:rPr>
          <w:rFonts w:eastAsia="Times New Roman"/>
          <w:i/>
          <w:iCs/>
          <w:lang w:val="fr-FR"/>
        </w:rPr>
        <w:t>’</w:t>
      </w:r>
      <w:r w:rsidRPr="006967CA">
        <w:rPr>
          <w:rFonts w:eastAsia="Times New Roman"/>
          <w:i/>
          <w:iCs/>
          <w:lang w:val="fr-FR"/>
        </w:rPr>
        <w:t>affaire</w:t>
      </w:r>
      <w:r w:rsidRPr="00C17484">
        <w:rPr>
          <w:rFonts w:eastAsia="Times New Roman"/>
          <w:lang w:val="fr-FR"/>
        </w:rPr>
        <w:t xml:space="preserve"> </w:t>
      </w:r>
      <w:r w:rsidRPr="004937A0">
        <w:rPr>
          <w:rFonts w:eastAsia="Times New Roman"/>
          <w:i/>
          <w:iCs/>
          <w:lang w:val="fr-FR"/>
        </w:rPr>
        <w:t>Avena et autres ressortissants mexicains (Mexique c. États-Unis d</w:t>
      </w:r>
      <w:r w:rsidR="004937A0">
        <w:rPr>
          <w:rFonts w:eastAsia="Times New Roman"/>
          <w:i/>
          <w:iCs/>
          <w:lang w:val="fr-FR"/>
        </w:rPr>
        <w:t>’</w:t>
      </w:r>
      <w:r w:rsidRPr="004937A0">
        <w:rPr>
          <w:rFonts w:eastAsia="Times New Roman"/>
          <w:i/>
          <w:iCs/>
          <w:lang w:val="fr-FR"/>
        </w:rPr>
        <w:t>Amérique)</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 xml:space="preserve">note </w:t>
      </w:r>
      <w:r w:rsidR="003F311C">
        <w:rPr>
          <w:rFonts w:eastAsia="Times New Roman"/>
          <w:lang w:val="fr-FR"/>
        </w:rPr>
        <w:fldChar w:fldCharType="begin"/>
      </w:r>
      <w:r w:rsidR="003F311C">
        <w:rPr>
          <w:rFonts w:eastAsia="Times New Roman"/>
          <w:lang w:val="fr-FR"/>
        </w:rPr>
        <w:instrText xml:space="preserve"> NOTEREF _Ref175314391 \h </w:instrText>
      </w:r>
      <w:r w:rsidR="003F311C">
        <w:rPr>
          <w:rFonts w:eastAsia="Times New Roman"/>
          <w:lang w:val="fr-FR"/>
        </w:rPr>
      </w:r>
      <w:r w:rsidR="003F311C">
        <w:rPr>
          <w:rFonts w:eastAsia="Times New Roman"/>
          <w:lang w:val="fr-FR"/>
        </w:rPr>
        <w:fldChar w:fldCharType="separate"/>
      </w:r>
      <w:r w:rsidR="00EC4FDE">
        <w:rPr>
          <w:rFonts w:eastAsia="Times New Roman"/>
          <w:lang w:val="fr-FR"/>
        </w:rPr>
        <w:t>98</w:t>
      </w:r>
      <w:r w:rsidR="003F311C">
        <w:rPr>
          <w:rFonts w:eastAsia="Times New Roman"/>
          <w:lang w:val="fr-FR"/>
        </w:rPr>
        <w:fldChar w:fldCharType="end"/>
      </w:r>
      <w:r w:rsidRPr="00C17484">
        <w:rPr>
          <w:rFonts w:eastAsia="Times New Roman"/>
          <w:lang w:val="fr-FR"/>
        </w:rPr>
        <w:t xml:space="preserve">), par. 21, citant </w:t>
      </w:r>
      <w:r w:rsidRPr="006967CA">
        <w:rPr>
          <w:rFonts w:eastAsia="Times New Roman"/>
          <w:i/>
          <w:iCs/>
          <w:lang w:val="fr-FR"/>
        </w:rPr>
        <w:t>Demande d</w:t>
      </w:r>
      <w:r w:rsidR="004937A0">
        <w:rPr>
          <w:rFonts w:eastAsia="Times New Roman"/>
          <w:i/>
          <w:iCs/>
          <w:lang w:val="fr-FR"/>
        </w:rPr>
        <w:t>’</w:t>
      </w:r>
      <w:r w:rsidRPr="006967CA">
        <w:rPr>
          <w:rFonts w:eastAsia="Times New Roman"/>
          <w:i/>
          <w:iCs/>
          <w:lang w:val="fr-FR"/>
        </w:rPr>
        <w:t>interprétation de l</w:t>
      </w:r>
      <w:r w:rsidR="004937A0">
        <w:rPr>
          <w:rFonts w:eastAsia="Times New Roman"/>
          <w:i/>
          <w:iCs/>
          <w:lang w:val="fr-FR"/>
        </w:rPr>
        <w:t>’</w:t>
      </w:r>
      <w:r w:rsidRPr="006967CA">
        <w:rPr>
          <w:rFonts w:eastAsia="Times New Roman"/>
          <w:i/>
          <w:iCs/>
          <w:lang w:val="fr-FR"/>
        </w:rPr>
        <w:t>arrêt du 20 novembre 1950 en l</w:t>
      </w:r>
      <w:r w:rsidR="004937A0">
        <w:rPr>
          <w:rFonts w:eastAsia="Times New Roman"/>
          <w:i/>
          <w:iCs/>
          <w:lang w:val="fr-FR"/>
        </w:rPr>
        <w:t>’</w:t>
      </w:r>
      <w:r w:rsidRPr="006967CA">
        <w:rPr>
          <w:rFonts w:eastAsia="Times New Roman"/>
          <w:i/>
          <w:iCs/>
          <w:lang w:val="fr-FR"/>
        </w:rPr>
        <w:t>affaire du droit d</w:t>
      </w:r>
      <w:r w:rsidR="004937A0">
        <w:rPr>
          <w:rFonts w:eastAsia="Times New Roman"/>
          <w:i/>
          <w:iCs/>
          <w:lang w:val="fr-FR"/>
        </w:rPr>
        <w:t>’</w:t>
      </w:r>
      <w:r w:rsidRPr="006967CA">
        <w:rPr>
          <w:rFonts w:eastAsia="Times New Roman"/>
          <w:i/>
          <w:iCs/>
          <w:lang w:val="fr-FR"/>
        </w:rPr>
        <w:t>asile, arrêt du 27 novembre 1950</w:t>
      </w:r>
      <w:r w:rsidR="00827FD1">
        <w:rPr>
          <w:rFonts w:eastAsia="Times New Roman"/>
          <w:i/>
          <w:iCs/>
          <w:lang w:val="fr-FR"/>
        </w:rPr>
        <w:t> </w:t>
      </w:r>
      <w:r w:rsidRPr="006967CA">
        <w:rPr>
          <w:rFonts w:eastAsia="Times New Roman"/>
          <w:i/>
          <w:iCs/>
          <w:lang w:val="fr-FR"/>
        </w:rPr>
        <w:t>: C.I.J. Recueil 1950</w:t>
      </w:r>
      <w:r w:rsidRPr="00C17484">
        <w:rPr>
          <w:rFonts w:eastAsia="Times New Roman"/>
          <w:lang w:val="fr-FR"/>
        </w:rPr>
        <w:t xml:space="preserve">, p. 395, à la </w:t>
      </w:r>
      <w:r>
        <w:rPr>
          <w:rFonts w:eastAsia="Times New Roman"/>
          <w:lang w:val="fr-FR"/>
        </w:rPr>
        <w:t>page</w:t>
      </w:r>
      <w:r w:rsidRPr="00C17484">
        <w:rPr>
          <w:rFonts w:eastAsia="Times New Roman"/>
          <w:lang w:val="fr-FR"/>
        </w:rPr>
        <w:t xml:space="preserve"> 402 ; </w:t>
      </w:r>
      <w:r w:rsidRPr="006967CA">
        <w:rPr>
          <w:rFonts w:eastAsia="Times New Roman"/>
          <w:i/>
          <w:iCs/>
          <w:lang w:val="fr-FR"/>
        </w:rPr>
        <w:t>Demande en révision et en interprétation de l</w:t>
      </w:r>
      <w:r w:rsidR="004937A0">
        <w:rPr>
          <w:rFonts w:eastAsia="Times New Roman"/>
          <w:i/>
          <w:iCs/>
          <w:lang w:val="fr-FR"/>
        </w:rPr>
        <w:t>’</w:t>
      </w:r>
      <w:r w:rsidRPr="006967CA">
        <w:rPr>
          <w:rFonts w:eastAsia="Times New Roman"/>
          <w:i/>
          <w:iCs/>
          <w:lang w:val="fr-FR"/>
        </w:rPr>
        <w:t>arrêt du 24 février 1982 en l</w:t>
      </w:r>
      <w:r w:rsidR="004937A0">
        <w:rPr>
          <w:rFonts w:eastAsia="Times New Roman"/>
          <w:i/>
          <w:iCs/>
          <w:lang w:val="fr-FR"/>
        </w:rPr>
        <w:t>’</w:t>
      </w:r>
      <w:r w:rsidRPr="006967CA">
        <w:rPr>
          <w:rFonts w:eastAsia="Times New Roman"/>
          <w:i/>
          <w:iCs/>
          <w:lang w:val="fr-FR"/>
        </w:rPr>
        <w:t>affaire du Plateau continental (Tunisie/Jamahiriya arabe libyenne) (Tunisie c. Jamahiriya arabe libyenne), arrêt, C.I.J. Recueil 1985</w:t>
      </w:r>
      <w:r w:rsidRPr="00C17484">
        <w:rPr>
          <w:rFonts w:eastAsia="Times New Roman"/>
          <w:lang w:val="fr-FR"/>
        </w:rPr>
        <w:t xml:space="preserve">, p. 192, par. 56. Voir </w:t>
      </w:r>
      <w:r>
        <w:rPr>
          <w:rFonts w:eastAsia="Times New Roman"/>
          <w:lang w:val="fr-FR"/>
        </w:rPr>
        <w:t>aussi</w:t>
      </w:r>
      <w:r w:rsidRPr="00C17484">
        <w:rPr>
          <w:rFonts w:eastAsia="Times New Roman"/>
          <w:lang w:val="fr-FR"/>
        </w:rPr>
        <w:t xml:space="preserve"> </w:t>
      </w:r>
      <w:r w:rsidRPr="006967CA">
        <w:rPr>
          <w:rFonts w:eastAsia="Times New Roman"/>
          <w:i/>
          <w:iCs/>
          <w:lang w:val="fr-FR"/>
        </w:rPr>
        <w:t>Demande en interprétation de l</w:t>
      </w:r>
      <w:r w:rsidR="004937A0">
        <w:rPr>
          <w:rFonts w:eastAsia="Times New Roman"/>
          <w:i/>
          <w:iCs/>
          <w:lang w:val="fr-FR"/>
        </w:rPr>
        <w:t>’</w:t>
      </w:r>
      <w:r w:rsidRPr="006967CA">
        <w:rPr>
          <w:rFonts w:eastAsia="Times New Roman"/>
          <w:i/>
          <w:iCs/>
          <w:lang w:val="fr-FR"/>
        </w:rPr>
        <w:t>arrêt du 11 juin 1998 en l</w:t>
      </w:r>
      <w:r w:rsidR="004937A0">
        <w:rPr>
          <w:rFonts w:eastAsia="Times New Roman"/>
          <w:i/>
          <w:iCs/>
          <w:lang w:val="fr-FR"/>
        </w:rPr>
        <w:t>’</w:t>
      </w:r>
      <w:r w:rsidRPr="006967CA">
        <w:rPr>
          <w:rFonts w:eastAsia="Times New Roman"/>
          <w:i/>
          <w:iCs/>
          <w:lang w:val="fr-FR"/>
        </w:rPr>
        <w:t>affaire de la</w:t>
      </w:r>
      <w:r w:rsidRPr="00C17484">
        <w:rPr>
          <w:rFonts w:eastAsia="Times New Roman"/>
          <w:lang w:val="fr-FR"/>
        </w:rPr>
        <w:t xml:space="preserve"> </w:t>
      </w:r>
      <w:r w:rsidRPr="004937A0">
        <w:rPr>
          <w:rFonts w:eastAsia="Times New Roman"/>
          <w:i/>
          <w:iCs/>
          <w:lang w:val="fr-FR"/>
        </w:rPr>
        <w:t>Frontière terrestre et maritime entre le Cameroun et le Nigéria (Cameroun c. Nigéria)</w:t>
      </w:r>
      <w:r w:rsidRPr="00C17484">
        <w:rPr>
          <w:rFonts w:eastAsia="Times New Roman"/>
          <w:lang w:val="fr-FR"/>
        </w:rPr>
        <w:t xml:space="preserve">, exceptions préliminaires </w:t>
      </w:r>
      <w:r w:rsidRPr="006967CA">
        <w:rPr>
          <w:rFonts w:eastAsia="Times New Roman"/>
          <w:i/>
          <w:iCs/>
          <w:lang w:val="fr-FR"/>
        </w:rPr>
        <w:t>(Nigéria c. Cameroun), arrêt, C.I.J. Recueil 1999</w:t>
      </w:r>
      <w:r w:rsidRPr="00C17484">
        <w:rPr>
          <w:rFonts w:eastAsia="Times New Roman"/>
          <w:lang w:val="fr-FR"/>
        </w:rPr>
        <w:t>, p. 31, par. 12.</w:t>
      </w:r>
    </w:p>
  </w:footnote>
  <w:footnote w:id="182">
    <w:p w14:paraId="50F45FFB" w14:textId="19D3DCD5"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6967CA">
        <w:rPr>
          <w:rFonts w:eastAsia="Times New Roman"/>
          <w:i/>
          <w:iCs/>
          <w:lang w:val="fr-FR"/>
        </w:rPr>
        <w:t>Compétence en matière de pêcheries (République fédérale d</w:t>
      </w:r>
      <w:r w:rsidR="004937A0">
        <w:rPr>
          <w:rFonts w:eastAsia="Times New Roman"/>
          <w:i/>
          <w:iCs/>
          <w:lang w:val="fr-FR"/>
        </w:rPr>
        <w:t>’</w:t>
      </w:r>
      <w:r w:rsidRPr="006967CA">
        <w:rPr>
          <w:rFonts w:eastAsia="Times New Roman"/>
          <w:i/>
          <w:iCs/>
          <w:lang w:val="fr-FR"/>
        </w:rPr>
        <w:t>Allemagne c. Islande)</w:t>
      </w:r>
      <w:r w:rsidRPr="00C17484">
        <w:rPr>
          <w:rFonts w:eastAsia="Times New Roman"/>
          <w:lang w:val="fr-FR"/>
        </w:rPr>
        <w:t>, décision, 2 février 1973, Rôle général n</w:t>
      </w:r>
      <w:r w:rsidRPr="00C17484">
        <w:rPr>
          <w:rFonts w:eastAsia="Times New Roman"/>
          <w:vertAlign w:val="superscript"/>
          <w:lang w:val="fr-FR"/>
        </w:rPr>
        <w:t>o</w:t>
      </w:r>
      <w:r w:rsidRPr="00C17484">
        <w:rPr>
          <w:rFonts w:eastAsia="Times New Roman"/>
          <w:lang w:val="fr-FR"/>
        </w:rPr>
        <w:t xml:space="preserve"> 56, p. 49, par. 13. Voir </w:t>
      </w:r>
      <w:r>
        <w:rPr>
          <w:rFonts w:eastAsia="Times New Roman"/>
          <w:lang w:val="fr-FR"/>
        </w:rPr>
        <w:t>aussi</w:t>
      </w:r>
      <w:r w:rsidRPr="00C17484">
        <w:rPr>
          <w:rFonts w:eastAsia="Times New Roman"/>
          <w:lang w:val="fr-FR"/>
        </w:rPr>
        <w:t xml:space="preserve"> </w:t>
      </w:r>
      <w:r w:rsidRPr="006967CA">
        <w:rPr>
          <w:rFonts w:eastAsia="Times New Roman"/>
          <w:i/>
          <w:iCs/>
          <w:lang w:val="fr-FR"/>
        </w:rPr>
        <w:t>Compétence en matière de pêcheries (Royaume-Uni c. Islande), arrêt, C.I.J. Recueil 1973</w:t>
      </w:r>
      <w:r w:rsidRPr="00C17484">
        <w:rPr>
          <w:rFonts w:eastAsia="Times New Roman"/>
          <w:lang w:val="fr-FR"/>
        </w:rPr>
        <w:t xml:space="preserve">, p. 3, </w:t>
      </w:r>
      <w:r w:rsidRPr="006967CA">
        <w:rPr>
          <w:rFonts w:eastAsia="Times New Roman"/>
          <w:lang w:val="fr-FR"/>
        </w:rPr>
        <w:t xml:space="preserve">par. 12 ; </w:t>
      </w:r>
      <w:r w:rsidRPr="000C2B94">
        <w:t>affaire du</w:t>
      </w:r>
      <w:r w:rsidRPr="004F2FC8">
        <w:rPr>
          <w:i/>
        </w:rPr>
        <w:t xml:space="preserve"> Plateau continental de la mer </w:t>
      </w:r>
      <w:r w:rsidRPr="004937A0">
        <w:rPr>
          <w:i/>
        </w:rPr>
        <w:t>Égée</w:t>
      </w:r>
      <w:r>
        <w:rPr>
          <w:i/>
        </w:rPr>
        <w:t>, arrêt, C.I.J. Recueil 1978</w:t>
      </w:r>
      <w:r w:rsidRPr="00F80FC3">
        <w:rPr>
          <w:iCs/>
        </w:rPr>
        <w:t>, p. 3</w:t>
      </w:r>
      <w:r w:rsidRPr="004F2FC8">
        <w:rPr>
          <w:i/>
        </w:rPr>
        <w:t xml:space="preserve"> </w:t>
      </w:r>
      <w:r w:rsidRPr="00C17484">
        <w:rPr>
          <w:rFonts w:eastAsia="Times New Roman"/>
          <w:lang w:val="fr-FR"/>
        </w:rPr>
        <w:t>, par. 15.</w:t>
      </w:r>
    </w:p>
  </w:footnote>
  <w:footnote w:id="183">
    <w:p w14:paraId="4A12FD18" w14:textId="53B6D3D1"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C17484">
        <w:rPr>
          <w:rFonts w:eastAsia="Times New Roman"/>
          <w:lang w:val="fr-FR"/>
        </w:rPr>
        <w:t>Cour permanente d</w:t>
      </w:r>
      <w:r w:rsidR="004937A0">
        <w:rPr>
          <w:rFonts w:eastAsia="Times New Roman"/>
          <w:lang w:val="fr-FR"/>
        </w:rPr>
        <w:t>’</w:t>
      </w:r>
      <w:r w:rsidRPr="00C17484">
        <w:rPr>
          <w:rFonts w:eastAsia="Times New Roman"/>
          <w:lang w:val="fr-FR"/>
        </w:rPr>
        <w:t xml:space="preserve">arbitrage, </w:t>
      </w:r>
      <w:r w:rsidRPr="006967CA">
        <w:rPr>
          <w:rFonts w:eastAsia="Times New Roman"/>
          <w:i/>
          <w:iCs/>
          <w:lang w:val="fr-FR"/>
        </w:rPr>
        <w:t>Indus Waters Treaty Arbitration (Pakistan v. India)</w:t>
      </w:r>
      <w:r w:rsidRPr="00C17484">
        <w:rPr>
          <w:rFonts w:eastAsia="Times New Roman"/>
          <w:lang w:val="fr-FR"/>
        </w:rPr>
        <w:t>, PCA affaire n</w:t>
      </w:r>
      <w:r w:rsidRPr="00C17484">
        <w:rPr>
          <w:rFonts w:eastAsia="Times New Roman"/>
          <w:vertAlign w:val="superscript"/>
          <w:lang w:val="fr-FR"/>
        </w:rPr>
        <w:t>o</w:t>
      </w:r>
      <w:r w:rsidRPr="00C17484">
        <w:rPr>
          <w:rFonts w:eastAsia="Times New Roman"/>
          <w:lang w:val="fr-FR"/>
        </w:rPr>
        <w:t> 2023-01, sentence relative à la compétence d</w:t>
      </w:r>
      <w:r>
        <w:rPr>
          <w:rFonts w:eastAsia="Times New Roman"/>
          <w:lang w:val="fr-FR"/>
        </w:rPr>
        <w:t>u Tribunal</w:t>
      </w:r>
      <w:r w:rsidRPr="00C17484">
        <w:rPr>
          <w:rFonts w:eastAsia="Times New Roman"/>
          <w:lang w:val="fr-FR"/>
        </w:rPr>
        <w:t xml:space="preserve">, 6 juillet 2023, par. 126, citant </w:t>
      </w:r>
      <w:r w:rsidRPr="006967CA">
        <w:rPr>
          <w:rFonts w:eastAsia="Times New Roman"/>
          <w:i/>
          <w:iCs/>
          <w:lang w:val="fr-FR"/>
        </w:rPr>
        <w:t>Activités militaires et paramilitaires au Nicaragua et contre celui-ci</w:t>
      </w:r>
      <w:r w:rsidRPr="00C17484">
        <w:rPr>
          <w:rFonts w:eastAsia="Times New Roman"/>
          <w:lang w:val="fr-FR"/>
        </w:rPr>
        <w:t xml:space="preserve"> (voir </w:t>
      </w:r>
      <w:r w:rsidRPr="003B432F">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937A0">
        <w:rPr>
          <w:rFonts w:eastAsia="Times New Roman"/>
          <w:lang w:val="fr-FR"/>
        </w:rPr>
        <w:fldChar w:fldCharType="begin"/>
      </w:r>
      <w:r w:rsidR="004937A0">
        <w:rPr>
          <w:rFonts w:eastAsia="Times New Roman"/>
          <w:lang w:val="fr-FR"/>
        </w:rPr>
        <w:instrText xml:space="preserve"> NOTEREF _Ref175314391 \h </w:instrText>
      </w:r>
      <w:r w:rsidR="004937A0">
        <w:rPr>
          <w:rFonts w:eastAsia="Times New Roman"/>
          <w:lang w:val="fr-FR"/>
        </w:rPr>
      </w:r>
      <w:r w:rsidR="004937A0">
        <w:rPr>
          <w:rFonts w:eastAsia="Times New Roman"/>
          <w:lang w:val="fr-FR"/>
        </w:rPr>
        <w:fldChar w:fldCharType="separate"/>
      </w:r>
      <w:r w:rsidR="00EC4FDE">
        <w:rPr>
          <w:rFonts w:eastAsia="Times New Roman"/>
          <w:lang w:val="fr-FR"/>
        </w:rPr>
        <w:t>98</w:t>
      </w:r>
      <w:r w:rsidR="004937A0">
        <w:rPr>
          <w:rFonts w:eastAsia="Times New Roman"/>
          <w:lang w:val="fr-FR"/>
        </w:rPr>
        <w:fldChar w:fldCharType="end"/>
      </w:r>
      <w:r w:rsidRPr="00C17484">
        <w:rPr>
          <w:rFonts w:eastAsia="Times New Roman"/>
          <w:lang w:val="fr-FR"/>
        </w:rPr>
        <w:t xml:space="preserve">) ; </w:t>
      </w:r>
      <w:r w:rsidRPr="006967CA">
        <w:rPr>
          <w:rFonts w:eastAsia="Times New Roman"/>
          <w:i/>
          <w:iCs/>
          <w:lang w:val="fr-FR"/>
        </w:rPr>
        <w:t>Arbitrage relatif à la mer de Chine méridionale entre la République des Philippines et la République populaire de Chine</w:t>
      </w:r>
      <w:r w:rsidRPr="00C17484">
        <w:rPr>
          <w:rFonts w:eastAsia="Times New Roman"/>
          <w:lang w:val="fr-FR"/>
        </w:rPr>
        <w:t xml:space="preserve">, sentence relative à la compétence et la recevabilité, 29 octobre 2015, </w:t>
      </w:r>
      <w:r w:rsidRPr="006967CA">
        <w:rPr>
          <w:rFonts w:eastAsia="Times New Roman"/>
          <w:i/>
          <w:iCs/>
          <w:lang w:val="fr-FR"/>
        </w:rPr>
        <w:t>Recueil des sentences arbitrales</w:t>
      </w:r>
      <w:r w:rsidRPr="00C17484">
        <w:rPr>
          <w:rFonts w:eastAsia="Times New Roman"/>
          <w:lang w:val="fr-FR"/>
        </w:rPr>
        <w:t xml:space="preserve">, vol. XXXIII, p. 1 à 152 ; </w:t>
      </w:r>
      <w:r w:rsidRPr="006967CA">
        <w:rPr>
          <w:rFonts w:eastAsia="Times New Roman"/>
          <w:i/>
          <w:iCs/>
          <w:lang w:val="fr-FR"/>
        </w:rPr>
        <w:t>Arctic Sunrise (Royaume des Pays-Bas c. Fédération de Russie)</w:t>
      </w:r>
      <w:r w:rsidRPr="00C17484">
        <w:rPr>
          <w:rFonts w:eastAsia="Times New Roman"/>
          <w:lang w:val="fr-FR"/>
        </w:rPr>
        <w:t>, sentence relative à la compétence, 26 novembre 2014, Recueil des sentences arbitrales, vol. XXXII, p.</w:t>
      </w:r>
      <w:r>
        <w:rPr>
          <w:rFonts w:eastAsia="Times New Roman"/>
          <w:lang w:val="fr-FR"/>
        </w:rPr>
        <w:t> </w:t>
      </w:r>
      <w:r w:rsidRPr="00C17484">
        <w:rPr>
          <w:rFonts w:eastAsia="Times New Roman"/>
          <w:lang w:val="fr-FR"/>
        </w:rPr>
        <w:t>183</w:t>
      </w:r>
      <w:r>
        <w:rPr>
          <w:rFonts w:eastAsia="Times New Roman"/>
          <w:lang w:val="fr-FR"/>
        </w:rPr>
        <w:t> </w:t>
      </w:r>
      <w:r w:rsidRPr="00C17484">
        <w:rPr>
          <w:rFonts w:eastAsia="Times New Roman"/>
          <w:lang w:val="fr-FR"/>
        </w:rPr>
        <w:t>à</w:t>
      </w:r>
      <w:r>
        <w:rPr>
          <w:rFonts w:eastAsia="Times New Roman"/>
          <w:lang w:val="fr-FR"/>
        </w:rPr>
        <w:t> </w:t>
      </w:r>
      <w:r w:rsidRPr="00C17484">
        <w:rPr>
          <w:rFonts w:eastAsia="Times New Roman"/>
          <w:lang w:val="fr-FR"/>
        </w:rPr>
        <w:t>353.</w:t>
      </w:r>
    </w:p>
  </w:footnote>
  <w:footnote w:id="184">
    <w:p w14:paraId="5584648C" w14:textId="7B0C4259" w:rsidR="004C5E26" w:rsidRPr="00C17484" w:rsidRDefault="004C5E26" w:rsidP="004C5E26">
      <w:pPr>
        <w:pStyle w:val="Notedebasdepage"/>
        <w:rPr>
          <w:rFonts w:eastAsia="Times New Roman"/>
          <w:lang w:val="fr-FR"/>
        </w:rPr>
      </w:pPr>
      <w:r>
        <w:rPr>
          <w:rFonts w:eastAsia="Times New Roman"/>
          <w:lang w:val="fr-FR"/>
        </w:rPr>
        <w:tab/>
      </w:r>
      <w:r w:rsidRPr="0053774D">
        <w:rPr>
          <w:rStyle w:val="Appelnotedebasdep"/>
        </w:rPr>
        <w:footnoteRef/>
      </w:r>
      <w:r>
        <w:rPr>
          <w:rFonts w:eastAsia="Times New Roman"/>
          <w:lang w:val="fr-FR"/>
        </w:rPr>
        <w:tab/>
      </w:r>
      <w:r w:rsidRPr="001464B4">
        <w:rPr>
          <w:rFonts w:eastAsia="Times New Roman"/>
          <w:i/>
          <w:iCs/>
          <w:lang w:val="fr-FR"/>
        </w:rPr>
        <w:t>Indus Waters</w:t>
      </w:r>
      <w:r w:rsidRPr="00C17484">
        <w:rPr>
          <w:rFonts w:eastAsia="Times New Roman"/>
          <w:lang w:val="fr-FR"/>
        </w:rPr>
        <w:t xml:space="preserve"> (voir note précédente), par. 135, citant </w:t>
      </w:r>
      <w:r w:rsidRPr="001464B4">
        <w:rPr>
          <w:rFonts w:eastAsia="Times New Roman"/>
          <w:i/>
          <w:iCs/>
          <w:lang w:val="fr-FR"/>
        </w:rPr>
        <w:t>Activités militaires et paramilitaires au Nicaragua et contre celui-ci</w:t>
      </w:r>
      <w:r w:rsidRPr="00C17484">
        <w:rPr>
          <w:rFonts w:eastAsia="Times New Roman"/>
          <w:lang w:val="fr-FR"/>
        </w:rPr>
        <w:t xml:space="preserve"> (voir </w:t>
      </w:r>
      <w:r w:rsidRPr="0069529C">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937A0">
        <w:rPr>
          <w:rFonts w:eastAsia="Times New Roman"/>
          <w:lang w:val="fr-FR"/>
        </w:rPr>
        <w:fldChar w:fldCharType="begin"/>
      </w:r>
      <w:r w:rsidR="004937A0">
        <w:rPr>
          <w:rFonts w:eastAsia="Times New Roman"/>
          <w:lang w:val="fr-FR"/>
        </w:rPr>
        <w:instrText xml:space="preserve"> NOTEREF _Ref175314391 \h </w:instrText>
      </w:r>
      <w:r w:rsidR="004937A0">
        <w:rPr>
          <w:rFonts w:eastAsia="Times New Roman"/>
          <w:lang w:val="fr-FR"/>
        </w:rPr>
      </w:r>
      <w:r w:rsidR="004937A0">
        <w:rPr>
          <w:rFonts w:eastAsia="Times New Roman"/>
          <w:lang w:val="fr-FR"/>
        </w:rPr>
        <w:fldChar w:fldCharType="separate"/>
      </w:r>
      <w:r w:rsidR="00EC4FDE">
        <w:rPr>
          <w:rFonts w:eastAsia="Times New Roman"/>
          <w:lang w:val="fr-FR"/>
        </w:rPr>
        <w:t>98</w:t>
      </w:r>
      <w:r w:rsidR="004937A0">
        <w:rPr>
          <w:rFonts w:eastAsia="Times New Roman"/>
          <w:lang w:val="fr-FR"/>
        </w:rPr>
        <w:fldChar w:fldCharType="end"/>
      </w:r>
      <w:r w:rsidRPr="00C17484">
        <w:rPr>
          <w:rFonts w:eastAsia="Times New Roman"/>
          <w:lang w:val="fr-FR"/>
        </w:rPr>
        <w:t xml:space="preserve">) ; </w:t>
      </w:r>
      <w:r w:rsidRPr="001464B4">
        <w:rPr>
          <w:rFonts w:eastAsia="Times New Roman"/>
          <w:i/>
          <w:iCs/>
          <w:lang w:val="fr-FR"/>
        </w:rPr>
        <w:t>Mer de Chine méridionale</w:t>
      </w:r>
      <w:r w:rsidRPr="00C17484">
        <w:rPr>
          <w:rFonts w:eastAsia="Times New Roman"/>
          <w:lang w:val="fr-FR"/>
        </w:rPr>
        <w:t xml:space="preserve"> (voir note précédente) ; </w:t>
      </w:r>
      <w:r w:rsidRPr="001464B4">
        <w:rPr>
          <w:rFonts w:eastAsia="Times New Roman"/>
          <w:i/>
          <w:iCs/>
          <w:lang w:val="fr-FR"/>
        </w:rPr>
        <w:t>Arctic Sunrise</w:t>
      </w:r>
      <w:r w:rsidRPr="00C17484">
        <w:rPr>
          <w:rFonts w:eastAsia="Times New Roman"/>
          <w:lang w:val="fr-FR"/>
        </w:rPr>
        <w:t xml:space="preserve"> (voir note précédente) ; </w:t>
      </w:r>
      <w:r w:rsidRPr="001464B4">
        <w:rPr>
          <w:rFonts w:eastAsia="Times New Roman"/>
          <w:i/>
          <w:iCs/>
          <w:lang w:val="fr-FR"/>
        </w:rPr>
        <w:t>Mer Égée</w:t>
      </w:r>
      <w:r w:rsidRPr="00C17484">
        <w:rPr>
          <w:rFonts w:eastAsia="Times New Roman"/>
          <w:lang w:val="fr-FR"/>
        </w:rPr>
        <w:t xml:space="preserve"> (voir </w:t>
      </w:r>
      <w:r w:rsidRPr="0069529C">
        <w:rPr>
          <w:rFonts w:eastAsia="Times New Roman"/>
          <w:i/>
          <w:iCs/>
          <w:lang w:val="fr-FR"/>
        </w:rPr>
        <w:t>supra</w:t>
      </w:r>
      <w:r w:rsidRPr="00C17484">
        <w:rPr>
          <w:rFonts w:eastAsia="Times New Roman"/>
          <w:lang w:val="fr-FR"/>
        </w:rPr>
        <w:t xml:space="preserve"> </w:t>
      </w:r>
      <w:r>
        <w:rPr>
          <w:rFonts w:eastAsia="Times New Roman"/>
          <w:lang w:val="fr-FR"/>
        </w:rPr>
        <w:t xml:space="preserve">la </w:t>
      </w:r>
      <w:r w:rsidRPr="00C17484">
        <w:rPr>
          <w:rFonts w:eastAsia="Times New Roman"/>
          <w:lang w:val="fr-FR"/>
        </w:rPr>
        <w:t>note </w:t>
      </w:r>
      <w:r w:rsidR="004937A0">
        <w:rPr>
          <w:rFonts w:eastAsia="Times New Roman"/>
          <w:lang w:val="fr-FR"/>
        </w:rPr>
        <w:fldChar w:fldCharType="begin"/>
      </w:r>
      <w:r w:rsidR="004937A0">
        <w:rPr>
          <w:rFonts w:eastAsia="Times New Roman"/>
          <w:lang w:val="fr-FR"/>
        </w:rPr>
        <w:instrText xml:space="preserve"> NOTEREF _Ref175315725 \h </w:instrText>
      </w:r>
      <w:r w:rsidR="004937A0">
        <w:rPr>
          <w:rFonts w:eastAsia="Times New Roman"/>
          <w:lang w:val="fr-FR"/>
        </w:rPr>
      </w:r>
      <w:r w:rsidR="004937A0">
        <w:rPr>
          <w:rFonts w:eastAsia="Times New Roman"/>
          <w:lang w:val="fr-FR"/>
        </w:rPr>
        <w:fldChar w:fldCharType="separate"/>
      </w:r>
      <w:r w:rsidR="00EC4FDE">
        <w:rPr>
          <w:rFonts w:eastAsia="Times New Roman"/>
          <w:lang w:val="fr-FR"/>
        </w:rPr>
        <w:t>181</w:t>
      </w:r>
      <w:r w:rsidR="004937A0">
        <w:rPr>
          <w:rFonts w:eastAsia="Times New Roman"/>
          <w:lang w:val="fr-FR"/>
        </w:rPr>
        <w:fldChar w:fldCharType="end"/>
      </w:r>
      <w:r w:rsidRPr="00C17484">
        <w:rPr>
          <w:rFonts w:eastAsia="Times New Roman"/>
          <w:lang w:val="fr-FR"/>
        </w:rPr>
        <w:t>), par. 15.</w:t>
      </w:r>
    </w:p>
  </w:footnote>
  <w:footnote w:id="185">
    <w:p w14:paraId="53123F1A" w14:textId="417A846B" w:rsidR="004C5E26" w:rsidRPr="00F80FC3" w:rsidRDefault="004C5E26" w:rsidP="004C5E26">
      <w:pPr>
        <w:pStyle w:val="Notedebasdepage"/>
        <w:rPr>
          <w:lang w:val="fr-CA"/>
        </w:rPr>
      </w:pPr>
      <w:r>
        <w:tab/>
      </w:r>
      <w:r>
        <w:rPr>
          <w:rStyle w:val="Appelnotedebasdep"/>
        </w:rPr>
        <w:footnoteRef/>
      </w:r>
      <w:r>
        <w:tab/>
        <w:t xml:space="preserve">Un exemple </w:t>
      </w:r>
      <w:r w:rsidR="004937A0">
        <w:t>−</w:t>
      </w:r>
      <w:r>
        <w:t xml:space="preserve"> également pertinent pour le projet de conclusion 3 </w:t>
      </w:r>
      <w:r w:rsidR="004937A0">
        <w:t>−</w:t>
      </w:r>
      <w:r>
        <w:t xml:space="preserve"> est le rejet par des États de certaines parties du raisonnement suivi par la Cour permanente de Justice internationale dans l</w:t>
      </w:r>
      <w:r w:rsidR="004937A0">
        <w:t>’</w:t>
      </w:r>
      <w:r>
        <w:t xml:space="preserve">affaire du </w:t>
      </w:r>
      <w:r w:rsidRPr="00F80FC3">
        <w:rPr>
          <w:i/>
          <w:iCs/>
        </w:rPr>
        <w:t>Lotus</w:t>
      </w:r>
      <w:r>
        <w:rPr>
          <w:i/>
          <w:iCs/>
        </w:rPr>
        <w:t xml:space="preserve"> </w:t>
      </w:r>
      <w:r>
        <w:t xml:space="preserve">(voir </w:t>
      </w:r>
      <w:r w:rsidRPr="00F80FC3">
        <w:rPr>
          <w:i/>
          <w:iCs/>
        </w:rPr>
        <w:t>supra</w:t>
      </w:r>
      <w:r>
        <w:t xml:space="preserve"> la note </w:t>
      </w:r>
      <w:r w:rsidR="004937A0">
        <w:fldChar w:fldCharType="begin"/>
      </w:r>
      <w:r w:rsidR="004937A0">
        <w:instrText xml:space="preserve"> NOTEREF _Ref175315761 \h </w:instrText>
      </w:r>
      <w:r w:rsidR="004937A0">
        <w:fldChar w:fldCharType="separate"/>
      </w:r>
      <w:r w:rsidR="00EC4FDE">
        <w:t>141</w:t>
      </w:r>
      <w:r w:rsidR="004937A0">
        <w:fldChar w:fldCharType="end"/>
      </w:r>
      <w:r>
        <w:t xml:space="preserve">), dans laquelle la Cour a identifié le droit international coutumier relatif à la compétence pénale des États en cas de collision entre deux navires en haute mer. Le raisonnement de la Cour a par la suite été infirmé par la </w:t>
      </w:r>
      <w:r w:rsidRPr="00F80FC3">
        <w:t>Convention internationale pour l</w:t>
      </w:r>
      <w:r w:rsidR="004937A0">
        <w:t>’</w:t>
      </w:r>
      <w:r w:rsidRPr="00F80FC3">
        <w:t xml:space="preserve">unification de certaines règles sur la </w:t>
      </w:r>
      <w:r>
        <w:t>s</w:t>
      </w:r>
      <w:r w:rsidRPr="00F80FC3">
        <w:t>aisie conservatoire des navires de mer</w:t>
      </w:r>
      <w:r>
        <w:t xml:space="preserve"> (Bruxelles, 10 mai 1952, Nations</w:t>
      </w:r>
      <w:r w:rsidR="004937A0">
        <w:t> </w:t>
      </w:r>
      <w:r>
        <w:t xml:space="preserve">Unies, </w:t>
      </w:r>
      <w:r w:rsidRPr="00F80FC3">
        <w:rPr>
          <w:i/>
          <w:iCs/>
        </w:rPr>
        <w:t>Recueil des Traités</w:t>
      </w:r>
      <w:r>
        <w:t xml:space="preserve">, vol. 439, </w:t>
      </w:r>
      <w:r w:rsidR="004937A0">
        <w:rPr>
          <w:rFonts w:eastAsia="MS Mincho"/>
        </w:rPr>
        <w:t>n</w:t>
      </w:r>
      <w:r w:rsidR="004937A0">
        <w:rPr>
          <w:rFonts w:eastAsia="MS Mincho"/>
          <w:vertAlign w:val="superscript"/>
        </w:rPr>
        <w:t>o</w:t>
      </w:r>
      <w:r>
        <w:t xml:space="preserve"> 6330, p. 193), par la Commission, dans son projet d</w:t>
      </w:r>
      <w:r w:rsidR="004937A0">
        <w:t>’</w:t>
      </w:r>
      <w:r>
        <w:t>articles relatif au droit de la mer (voir par. 1 du projet d</w:t>
      </w:r>
      <w:r w:rsidR="004937A0">
        <w:t>’</w:t>
      </w:r>
      <w:r>
        <w:t>article 35 du projet d</w:t>
      </w:r>
      <w:r w:rsidR="004937A0">
        <w:t>’</w:t>
      </w:r>
      <w:r>
        <w:t xml:space="preserve">articles relatif au droit de la mer, </w:t>
      </w:r>
      <w:r w:rsidRPr="00F80FC3">
        <w:rPr>
          <w:i/>
          <w:iCs/>
        </w:rPr>
        <w:t>Annuaire</w:t>
      </w:r>
      <w:r w:rsidR="008D6C4B">
        <w:rPr>
          <w:i/>
          <w:iCs/>
        </w:rPr>
        <w:t xml:space="preserve"> </w:t>
      </w:r>
      <w:r w:rsidRPr="00F80FC3">
        <w:rPr>
          <w:i/>
          <w:iCs/>
        </w:rPr>
        <w:t>…</w:t>
      </w:r>
      <w:r w:rsidR="008D6C4B">
        <w:rPr>
          <w:i/>
          <w:iCs/>
        </w:rPr>
        <w:t xml:space="preserve"> </w:t>
      </w:r>
      <w:r w:rsidRPr="00F80FC3">
        <w:rPr>
          <w:i/>
          <w:iCs/>
        </w:rPr>
        <w:t>1956</w:t>
      </w:r>
      <w:r>
        <w:t xml:space="preserve">, vol. II, p. 264, à la page 281), </w:t>
      </w:r>
      <w:r w:rsidRPr="0092727A">
        <w:t xml:space="preserve">puis par les </w:t>
      </w:r>
      <w:r w:rsidR="0092727A" w:rsidRPr="0092727A">
        <w:t>C</w:t>
      </w:r>
      <w:r w:rsidRPr="0092727A">
        <w:t>onventions des Nations</w:t>
      </w:r>
      <w:r w:rsidR="008D6C4B">
        <w:t> </w:t>
      </w:r>
      <w:r w:rsidRPr="0092727A">
        <w:t>Unies sur le droit de la mer, de 1958 et 1982. Dans le commentaire du projet d</w:t>
      </w:r>
      <w:r w:rsidR="004937A0" w:rsidRPr="0092727A">
        <w:t>’</w:t>
      </w:r>
      <w:r w:rsidRPr="0092727A">
        <w:t xml:space="preserve">article 35 en question, la Commission a dit ce qui suit : </w:t>
      </w:r>
      <w:r w:rsidRPr="0092727A">
        <w:rPr>
          <w:lang w:val="fr-CA"/>
        </w:rPr>
        <w:t>« [L</w:t>
      </w:r>
      <w:r w:rsidR="004937A0" w:rsidRPr="0092727A">
        <w:rPr>
          <w:lang w:val="fr-CA"/>
        </w:rPr>
        <w:t>’</w:t>
      </w:r>
      <w:r w:rsidRPr="0092727A">
        <w:rPr>
          <w:lang w:val="fr-CA"/>
        </w:rPr>
        <w:t>]arrêt [</w:t>
      </w:r>
      <w:r w:rsidRPr="0092727A">
        <w:rPr>
          <w:i/>
          <w:iCs/>
          <w:lang w:val="fr-CA"/>
        </w:rPr>
        <w:t>Lotus</w:t>
      </w:r>
      <w:r w:rsidRPr="0092727A">
        <w:rPr>
          <w:lang w:val="fr-CA"/>
        </w:rPr>
        <w:t>], rendu par 6 voix contre 6, la voix du Président étant prépondérante, a été l</w:t>
      </w:r>
      <w:r w:rsidR="004937A0" w:rsidRPr="0092727A">
        <w:rPr>
          <w:lang w:val="fr-CA"/>
        </w:rPr>
        <w:t>’</w:t>
      </w:r>
      <w:r w:rsidRPr="0092727A">
        <w:rPr>
          <w:lang w:val="fr-CA"/>
        </w:rPr>
        <w:t>objet de très vives critiques et a causé de graves inquiétudes dans les cercles maritimes internationaux. La conférence diplomatique réunie à Bruxelles en 1952 ne s</w:t>
      </w:r>
      <w:r w:rsidR="004937A0" w:rsidRPr="0092727A">
        <w:rPr>
          <w:lang w:val="fr-CA"/>
        </w:rPr>
        <w:t>’</w:t>
      </w:r>
      <w:r w:rsidRPr="0092727A">
        <w:rPr>
          <w:lang w:val="fr-CA"/>
        </w:rPr>
        <w:t>est pas</w:t>
      </w:r>
      <w:r w:rsidRPr="006959BB">
        <w:rPr>
          <w:lang w:val="fr-CA"/>
        </w:rPr>
        <w:t xml:space="preserve"> conformée aux conclusions de cet arrêt. La Commission a fait siennes les décisions de la conférence </w:t>
      </w:r>
      <w:r>
        <w:rPr>
          <w:lang w:val="fr-CA"/>
        </w:rPr>
        <w:t>[…]</w:t>
      </w:r>
      <w:r w:rsidRPr="006959BB">
        <w:rPr>
          <w:lang w:val="fr-CA"/>
        </w:rPr>
        <w:t>.</w:t>
      </w:r>
      <w:r>
        <w:rPr>
          <w:lang w:val="fr-CA"/>
        </w:rPr>
        <w:t> »</w:t>
      </w:r>
      <w:r w:rsidR="0092727A">
        <w:rPr>
          <w:lang w:val="fr-CA"/>
        </w:rPr>
        <w:t>.</w:t>
      </w:r>
      <w:r>
        <w:t xml:space="preserve"> En 2020, dans l</w:t>
      </w:r>
      <w:r w:rsidR="004937A0">
        <w:t>’</w:t>
      </w:r>
      <w:r>
        <w:t xml:space="preserve">affaire </w:t>
      </w:r>
      <w:r w:rsidRPr="00F80FC3">
        <w:rPr>
          <w:i/>
          <w:iCs/>
        </w:rPr>
        <w:t>Enrica Lexie</w:t>
      </w:r>
      <w:r>
        <w:t>, le tribunal arbitral a dit que « dans son commentaire de l</w:t>
      </w:r>
      <w:r w:rsidR="004937A0">
        <w:t>’</w:t>
      </w:r>
      <w:r>
        <w:t>article 35 du projet d</w:t>
      </w:r>
      <w:r w:rsidR="004937A0">
        <w:t>’</w:t>
      </w:r>
      <w:r>
        <w:t>articles de la Commission du droit international relatif au droit de la mer », qui était « le précurseur de l</w:t>
      </w:r>
      <w:r w:rsidR="004937A0">
        <w:t>’</w:t>
      </w:r>
      <w:r>
        <w:t>article 97 de la Convention des Nations Unies sur le droit de la mer, de 1982, la Commission du droit international avait expliqué qu</w:t>
      </w:r>
      <w:r w:rsidR="004937A0">
        <w:t>’</w:t>
      </w:r>
      <w:r>
        <w:t>elle visait par cette disposition à revenir sur l</w:t>
      </w:r>
      <w:r w:rsidR="004937A0">
        <w:t>’</w:t>
      </w:r>
      <w:r>
        <w:t>arrêt rendu par la Cour permanente de Justice internationale dans l</w:t>
      </w:r>
      <w:r w:rsidR="004937A0">
        <w:t>’</w:t>
      </w:r>
      <w:r>
        <w:t>affaire du</w:t>
      </w:r>
      <w:r w:rsidRPr="00F80FC3">
        <w:rPr>
          <w:i/>
          <w:iCs/>
        </w:rPr>
        <w:t xml:space="preserve"> Lotus</w:t>
      </w:r>
      <w:r>
        <w:t> » (Cour permanente d</w:t>
      </w:r>
      <w:r w:rsidR="004937A0">
        <w:t>’</w:t>
      </w:r>
      <w:r>
        <w:t>arbitrage, affaire relative à l</w:t>
      </w:r>
      <w:r w:rsidR="004937A0">
        <w:t>’</w:t>
      </w:r>
      <w:r>
        <w:t>incident de l</w:t>
      </w:r>
      <w:r w:rsidR="004937A0">
        <w:t>’</w:t>
      </w:r>
      <w:r>
        <w:t xml:space="preserve">« Enrica Lexie », affaire </w:t>
      </w:r>
      <w:r w:rsidR="0092727A">
        <w:rPr>
          <w:rFonts w:eastAsia="MS Mincho"/>
        </w:rPr>
        <w:t>n</w:t>
      </w:r>
      <w:r w:rsidR="0092727A">
        <w:rPr>
          <w:rFonts w:eastAsia="MS Mincho"/>
          <w:vertAlign w:val="superscript"/>
        </w:rPr>
        <w:t>o</w:t>
      </w:r>
      <w:r>
        <w:t xml:space="preserve"> 2015-28, sentence, 21 mai 2020, par. 644 et 645).</w:t>
      </w:r>
    </w:p>
  </w:footnote>
  <w:footnote w:id="186">
    <w:p w14:paraId="42CCE618" w14:textId="50BC6436"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À la 3582</w:t>
      </w:r>
      <w:r w:rsidRPr="00E31FBF">
        <w:rPr>
          <w:vertAlign w:val="superscript"/>
          <w:lang w:val="fr-FR"/>
        </w:rPr>
        <w:t>e</w:t>
      </w:r>
      <w:r>
        <w:rPr>
          <w:lang w:val="fr-FR"/>
        </w:rPr>
        <w:t xml:space="preserve"> séance, le 17 mai 2022 (</w:t>
      </w:r>
      <w:r>
        <w:rPr>
          <w:i/>
          <w:iCs/>
          <w:lang w:val="fr-FR"/>
        </w:rPr>
        <w:t>Documents officiels de l</w:t>
      </w:r>
      <w:r w:rsidR="004937A0">
        <w:rPr>
          <w:i/>
          <w:iCs/>
          <w:lang w:val="fr-FR"/>
        </w:rPr>
        <w:t>’</w:t>
      </w:r>
      <w:r>
        <w:rPr>
          <w:i/>
          <w:iCs/>
          <w:lang w:val="fr-FR"/>
        </w:rPr>
        <w:t>Assemblée générale, soixante</w:t>
      </w:r>
      <w:r>
        <w:rPr>
          <w:i/>
          <w:iCs/>
          <w:lang w:val="fr-FR"/>
        </w:rPr>
        <w:noBreakHyphen/>
        <w:t>dix</w:t>
      </w:r>
      <w:r>
        <w:rPr>
          <w:i/>
          <w:iCs/>
          <w:lang w:val="fr-FR"/>
        </w:rPr>
        <w:noBreakHyphen/>
        <w:t xml:space="preserve">septième session, Supplément </w:t>
      </w:r>
      <w:r w:rsidRPr="00E31FBF">
        <w:rPr>
          <w:rFonts w:eastAsia="MS Mincho"/>
          <w:i/>
          <w:iCs/>
          <w:szCs w:val="22"/>
          <w:lang w:val="fr-FR"/>
        </w:rPr>
        <w:t>n</w:t>
      </w:r>
      <w:r w:rsidRPr="00E31FBF">
        <w:rPr>
          <w:rFonts w:eastAsia="MS Mincho"/>
          <w:i/>
          <w:iCs/>
          <w:szCs w:val="22"/>
          <w:vertAlign w:val="superscript"/>
          <w:lang w:val="fr-FR"/>
        </w:rPr>
        <w:t>o</w:t>
      </w:r>
      <w:r>
        <w:rPr>
          <w:i/>
          <w:iCs/>
          <w:lang w:val="fr-FR"/>
        </w:rPr>
        <w:t> 10</w:t>
      </w:r>
      <w:r>
        <w:rPr>
          <w:lang w:val="fr-FR"/>
        </w:rPr>
        <w:t xml:space="preserve"> (</w:t>
      </w:r>
      <w:hyperlink r:id="rId92" w:history="1">
        <w:r w:rsidRPr="00E31FBF">
          <w:rPr>
            <w:rStyle w:val="Lienhypertexte"/>
            <w:lang w:val="fr-FR"/>
          </w:rPr>
          <w:t>A/77/10</w:t>
        </w:r>
      </w:hyperlink>
      <w:r>
        <w:rPr>
          <w:lang w:val="fr-FR"/>
        </w:rPr>
        <w:t>), par. 239). Le sujet a été inscrit au programme de travail à long terme de la Commission à sa soixante et onzième session (2019) sur la base de la proposition formulée à l</w:t>
      </w:r>
      <w:r w:rsidR="004937A0">
        <w:rPr>
          <w:lang w:val="fr-FR"/>
        </w:rPr>
        <w:t>’</w:t>
      </w:r>
      <w:r>
        <w:rPr>
          <w:lang w:val="fr-FR"/>
        </w:rPr>
        <w:t>annexe C du rapport de la Commission (</w:t>
      </w:r>
      <w:r>
        <w:rPr>
          <w:i/>
          <w:iCs/>
          <w:lang w:val="fr-FR"/>
        </w:rPr>
        <w:t>Documents officiels de l</w:t>
      </w:r>
      <w:r w:rsidR="004937A0">
        <w:rPr>
          <w:i/>
          <w:iCs/>
          <w:lang w:val="fr-FR"/>
        </w:rPr>
        <w:t>’</w:t>
      </w:r>
      <w:r>
        <w:rPr>
          <w:i/>
          <w:iCs/>
          <w:lang w:val="fr-FR"/>
        </w:rPr>
        <w:t xml:space="preserve">Assemblée générale, soixante-quatorzième session, Supplément </w:t>
      </w:r>
      <w:r w:rsidRPr="00E31FBF">
        <w:rPr>
          <w:rFonts w:eastAsia="MS Mincho"/>
          <w:i/>
          <w:iCs/>
          <w:szCs w:val="22"/>
          <w:lang w:val="fr-FR"/>
        </w:rPr>
        <w:t>n</w:t>
      </w:r>
      <w:r w:rsidRPr="00E31FBF">
        <w:rPr>
          <w:rFonts w:eastAsia="MS Mincho"/>
          <w:i/>
          <w:iCs/>
          <w:szCs w:val="22"/>
          <w:vertAlign w:val="superscript"/>
          <w:lang w:val="fr-FR"/>
        </w:rPr>
        <w:t>o</w:t>
      </w:r>
      <w:r>
        <w:rPr>
          <w:i/>
          <w:iCs/>
          <w:lang w:val="fr-FR"/>
        </w:rPr>
        <w:t xml:space="preserve"> 10 </w:t>
      </w:r>
      <w:r>
        <w:rPr>
          <w:lang w:val="fr-FR"/>
        </w:rPr>
        <w:t>(</w:t>
      </w:r>
      <w:hyperlink r:id="rId93" w:history="1">
        <w:r w:rsidRPr="00E31FBF">
          <w:rPr>
            <w:rStyle w:val="Lienhypertexte"/>
            <w:lang w:val="fr-FR"/>
          </w:rPr>
          <w:t>A/74/10</w:t>
        </w:r>
      </w:hyperlink>
      <w:r>
        <w:rPr>
          <w:lang w:val="fr-FR"/>
        </w:rPr>
        <w:t>), par. 290 (al. b)).</w:t>
      </w:r>
    </w:p>
  </w:footnote>
  <w:footnote w:id="187">
    <w:p w14:paraId="49A3F4F2" w14:textId="77777777" w:rsidR="007A322E" w:rsidRPr="00487487" w:rsidRDefault="007A322E" w:rsidP="007A322E">
      <w:pPr>
        <w:pStyle w:val="Notedebasdepage"/>
        <w:rPr>
          <w:lang w:val="fr-CA"/>
        </w:rPr>
      </w:pPr>
      <w:r>
        <w:rPr>
          <w:lang w:val="fr-FR"/>
        </w:rPr>
        <w:tab/>
      </w:r>
      <w:r w:rsidRPr="00E04BF7">
        <w:rPr>
          <w:rStyle w:val="Appelnotedebasdep"/>
        </w:rPr>
        <w:footnoteRef/>
      </w:r>
      <w:r>
        <w:rPr>
          <w:lang w:val="fr-FR"/>
        </w:rPr>
        <w:tab/>
        <w:t>À la 3612</w:t>
      </w:r>
      <w:r w:rsidRPr="00E31FBF">
        <w:rPr>
          <w:vertAlign w:val="superscript"/>
          <w:lang w:val="fr-FR"/>
        </w:rPr>
        <w:t>e</w:t>
      </w:r>
      <w:r>
        <w:rPr>
          <w:lang w:val="fr-FR"/>
        </w:rPr>
        <w:t xml:space="preserve"> séance, le 5 août 2022 (</w:t>
      </w:r>
      <w:hyperlink r:id="rId94" w:history="1">
        <w:r w:rsidRPr="00E31FBF">
          <w:rPr>
            <w:rStyle w:val="Lienhypertexte"/>
            <w:lang w:val="fr-FR"/>
          </w:rPr>
          <w:t>A/77/10</w:t>
        </w:r>
      </w:hyperlink>
      <w:r>
        <w:rPr>
          <w:lang w:val="fr-FR"/>
        </w:rPr>
        <w:t>, par. 243).</w:t>
      </w:r>
    </w:p>
  </w:footnote>
  <w:footnote w:id="188">
    <w:p w14:paraId="31F8B3AB" w14:textId="77777777"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À la 3612</w:t>
      </w:r>
      <w:r w:rsidRPr="00E31FBF">
        <w:rPr>
          <w:vertAlign w:val="superscript"/>
          <w:lang w:val="fr-FR"/>
        </w:rPr>
        <w:t>e</w:t>
      </w:r>
      <w:r>
        <w:rPr>
          <w:lang w:val="fr-FR"/>
        </w:rPr>
        <w:t xml:space="preserve"> séance, le 5 août 2022 (ibid., par. 244).</w:t>
      </w:r>
    </w:p>
  </w:footnote>
  <w:footnote w:id="189">
    <w:p w14:paraId="2D11731A" w14:textId="2944A04D"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À la 3625</w:t>
      </w:r>
      <w:r w:rsidRPr="00E31FBF">
        <w:rPr>
          <w:vertAlign w:val="superscript"/>
          <w:lang w:val="fr-FR"/>
        </w:rPr>
        <w:t>e</w:t>
      </w:r>
      <w:r>
        <w:rPr>
          <w:lang w:val="fr-FR"/>
        </w:rPr>
        <w:t xml:space="preserve"> séance, le 16 mai 2023 (</w:t>
      </w:r>
      <w:hyperlink r:id="rId95" w:history="1">
        <w:r w:rsidRPr="00E31FBF">
          <w:rPr>
            <w:rStyle w:val="Lienhypertexte"/>
            <w:lang w:val="fr-FR"/>
          </w:rPr>
          <w:t>A/78/10</w:t>
        </w:r>
      </w:hyperlink>
      <w:r>
        <w:rPr>
          <w:lang w:val="fr-FR"/>
        </w:rPr>
        <w:t>, par. 54).</w:t>
      </w:r>
    </w:p>
  </w:footnote>
  <w:footnote w:id="190">
    <w:p w14:paraId="117966F8" w14:textId="3D420849"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À ses 3634</w:t>
      </w:r>
      <w:r w:rsidRPr="00E31FBF">
        <w:rPr>
          <w:vertAlign w:val="superscript"/>
          <w:lang w:val="fr-FR"/>
        </w:rPr>
        <w:t>e</w:t>
      </w:r>
      <w:r>
        <w:rPr>
          <w:lang w:val="fr-FR"/>
        </w:rPr>
        <w:t>, 3649</w:t>
      </w:r>
      <w:r w:rsidRPr="00E31FBF">
        <w:rPr>
          <w:vertAlign w:val="superscript"/>
          <w:lang w:val="fr-FR"/>
        </w:rPr>
        <w:t>e</w:t>
      </w:r>
      <w:r>
        <w:rPr>
          <w:lang w:val="fr-FR"/>
        </w:rPr>
        <w:t xml:space="preserve"> et 3651</w:t>
      </w:r>
      <w:r w:rsidRPr="00E31FBF">
        <w:rPr>
          <w:vertAlign w:val="superscript"/>
          <w:lang w:val="fr-FR"/>
        </w:rPr>
        <w:t>e</w:t>
      </w:r>
      <w:r>
        <w:rPr>
          <w:lang w:val="fr-FR"/>
        </w:rPr>
        <w:t xml:space="preserve"> séances, les 2 juin, 27 juillet et 31 juillet 2023, respectivement (ibid., par. 55 et 56).</w:t>
      </w:r>
    </w:p>
  </w:footnote>
  <w:footnote w:id="191">
    <w:p w14:paraId="796FE63F" w14:textId="4C8FA1E1"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 xml:space="preserve">Convention sur la haute mer (Genève, 29 avril 1958), Nations Unies, </w:t>
      </w:r>
      <w:r>
        <w:rPr>
          <w:i/>
          <w:iCs/>
          <w:lang w:val="fr-FR"/>
        </w:rPr>
        <w:t>Recueil des Traités</w:t>
      </w:r>
      <w:r>
        <w:rPr>
          <w:lang w:val="fr-FR"/>
        </w:rPr>
        <w:t xml:space="preserve">, vol. 450, </w:t>
      </w:r>
      <w:r w:rsidRPr="00E31FBF">
        <w:rPr>
          <w:rFonts w:eastAsia="MS Mincho"/>
          <w:szCs w:val="22"/>
          <w:lang w:val="fr-FR"/>
        </w:rPr>
        <w:t>n</w:t>
      </w:r>
      <w:r w:rsidRPr="00E31FBF">
        <w:rPr>
          <w:rFonts w:eastAsia="MS Mincho"/>
          <w:szCs w:val="22"/>
          <w:vertAlign w:val="superscript"/>
          <w:lang w:val="fr-FR"/>
        </w:rPr>
        <w:t>o</w:t>
      </w:r>
      <w:r>
        <w:rPr>
          <w:lang w:val="fr-FR"/>
        </w:rPr>
        <w:t> 6465, p. 11.</w:t>
      </w:r>
    </w:p>
  </w:footnote>
  <w:footnote w:id="192">
    <w:p w14:paraId="54E0FAE4" w14:textId="48C68443"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 xml:space="preserve">Convention des Nations Unies sur le droit de la mer (Montego Bay, 10 décembre 1982), ibid., vol. 1833, </w:t>
      </w:r>
      <w:r w:rsidRPr="0057253D">
        <w:rPr>
          <w:rFonts w:eastAsia="MS Mincho"/>
          <w:szCs w:val="22"/>
          <w:lang w:val="fr-FR"/>
        </w:rPr>
        <w:t>n</w:t>
      </w:r>
      <w:r w:rsidRPr="0057253D">
        <w:rPr>
          <w:rFonts w:eastAsia="MS Mincho"/>
          <w:szCs w:val="22"/>
          <w:vertAlign w:val="superscript"/>
          <w:lang w:val="fr-FR"/>
        </w:rPr>
        <w:t>o</w:t>
      </w:r>
      <w:r>
        <w:rPr>
          <w:lang w:val="fr-FR"/>
        </w:rPr>
        <w:t> 31363, p. 3.</w:t>
      </w:r>
    </w:p>
  </w:footnote>
  <w:footnote w:id="193">
    <w:p w14:paraId="5605EE58" w14:textId="77777777" w:rsidR="007A322E" w:rsidRPr="0095783F" w:rsidRDefault="007A322E" w:rsidP="007A322E">
      <w:pPr>
        <w:pStyle w:val="Notedebasdepage"/>
        <w:rPr>
          <w:lang w:val="fr-FR"/>
        </w:rPr>
      </w:pPr>
      <w:r>
        <w:rPr>
          <w:lang w:val="fr-FR"/>
        </w:rPr>
        <w:tab/>
      </w:r>
      <w:r w:rsidRPr="00E04BF7">
        <w:rPr>
          <w:rStyle w:val="Appelnotedebasdep"/>
        </w:rPr>
        <w:footnoteRef/>
      </w:r>
      <w:r>
        <w:rPr>
          <w:lang w:val="fr-FR"/>
        </w:rPr>
        <w:tab/>
      </w:r>
      <w:hyperlink r:id="rId96" w:history="1">
        <w:r w:rsidRPr="00E31FBF">
          <w:rPr>
            <w:rStyle w:val="Lienhypertexte"/>
            <w:lang w:val="fr-FR"/>
          </w:rPr>
          <w:t>https://legal.un.org/ilc/guide/7_8.shtml</w:t>
        </w:r>
      </w:hyperlink>
      <w:r>
        <w:rPr>
          <w:lang w:val="fr-FR"/>
        </w:rPr>
        <w:t>.</w:t>
      </w:r>
    </w:p>
  </w:footnote>
  <w:footnote w:id="194">
    <w:p w14:paraId="3C9586ED" w14:textId="02CCD376"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Accord de coopération sur la sécurité de l</w:t>
      </w:r>
      <w:r w:rsidR="004937A0">
        <w:rPr>
          <w:lang w:val="fr-FR"/>
        </w:rPr>
        <w:t>’</w:t>
      </w:r>
      <w:r>
        <w:rPr>
          <w:lang w:val="fr-FR"/>
        </w:rPr>
        <w:t>espace aérien et maritime de la CARICOM (4 juillet 2008),</w:t>
      </w:r>
      <w:r>
        <w:rPr>
          <w:lang w:val="fr-FR"/>
        </w:rPr>
        <w:tab/>
      </w:r>
      <w:r>
        <w:rPr>
          <w:i/>
          <w:iCs/>
          <w:lang w:val="fr-FR"/>
        </w:rPr>
        <w:t>Bulletin du droit de la mer</w:t>
      </w:r>
      <w:r w:rsidRPr="00E31FBF">
        <w:rPr>
          <w:lang w:val="fr-FR"/>
        </w:rPr>
        <w:t>,</w:t>
      </w:r>
      <w:r>
        <w:rPr>
          <w:lang w:val="fr-FR"/>
        </w:rPr>
        <w:t xml:space="preserve"> </w:t>
      </w:r>
      <w:r w:rsidRPr="00E31FBF">
        <w:rPr>
          <w:rFonts w:eastAsia="MS Mincho"/>
          <w:szCs w:val="22"/>
          <w:lang w:val="fr-FR"/>
        </w:rPr>
        <w:t>n</w:t>
      </w:r>
      <w:r w:rsidRPr="00E31FBF">
        <w:rPr>
          <w:rFonts w:eastAsia="MS Mincho"/>
          <w:szCs w:val="22"/>
          <w:vertAlign w:val="superscript"/>
          <w:lang w:val="fr-FR"/>
        </w:rPr>
        <w:t>o</w:t>
      </w:r>
      <w:r>
        <w:rPr>
          <w:lang w:val="fr-FR"/>
        </w:rPr>
        <w:t> 68 (</w:t>
      </w:r>
      <w:r w:rsidRPr="008455E1">
        <w:rPr>
          <w:lang w:val="fr-FR"/>
        </w:rPr>
        <w:t>2008), p. 22.</w:t>
      </w:r>
    </w:p>
  </w:footnote>
  <w:footnote w:id="195">
    <w:p w14:paraId="4F660D96" w14:textId="06D91689"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Accord de coopération régionale contre la piraterie et les vols à main armée à l</w:t>
      </w:r>
      <w:r w:rsidR="004937A0">
        <w:rPr>
          <w:lang w:val="fr-FR"/>
        </w:rPr>
        <w:t>’</w:t>
      </w:r>
      <w:r>
        <w:rPr>
          <w:lang w:val="fr-FR"/>
        </w:rPr>
        <w:t xml:space="preserve">encontre des navires en Asie (Tokyo, 11 novembre 2004), Nations Unies, </w:t>
      </w:r>
      <w:r>
        <w:rPr>
          <w:i/>
          <w:iCs/>
          <w:lang w:val="fr-FR"/>
        </w:rPr>
        <w:t>Recueil des Traité</w:t>
      </w:r>
      <w:r>
        <w:rPr>
          <w:lang w:val="fr-FR"/>
        </w:rPr>
        <w:t xml:space="preserve">s, vol. 2398, </w:t>
      </w:r>
      <w:r w:rsidRPr="00E31FBF">
        <w:rPr>
          <w:rFonts w:eastAsia="MS Mincho"/>
          <w:szCs w:val="22"/>
          <w:lang w:val="fr-FR"/>
        </w:rPr>
        <w:t>n</w:t>
      </w:r>
      <w:r w:rsidRPr="00E31FBF">
        <w:rPr>
          <w:rFonts w:eastAsia="MS Mincho"/>
          <w:szCs w:val="22"/>
          <w:vertAlign w:val="superscript"/>
          <w:lang w:val="fr-FR"/>
        </w:rPr>
        <w:t>o</w:t>
      </w:r>
      <w:r>
        <w:rPr>
          <w:lang w:val="fr-FR"/>
        </w:rPr>
        <w:t> 43302, p. 199.</w:t>
      </w:r>
    </w:p>
  </w:footnote>
  <w:footnote w:id="196">
    <w:p w14:paraId="19240504" w14:textId="23286A4B"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Mémorandum d</w:t>
      </w:r>
      <w:r w:rsidR="004937A0">
        <w:rPr>
          <w:lang w:val="fr-FR"/>
        </w:rPr>
        <w:t>’</w:t>
      </w:r>
      <w:r>
        <w:rPr>
          <w:lang w:val="fr-FR"/>
        </w:rPr>
        <w:t>entente du Réseau sous-régional intégré de garde-côtes des États d</w:t>
      </w:r>
      <w:r w:rsidR="004937A0">
        <w:rPr>
          <w:lang w:val="fr-FR"/>
        </w:rPr>
        <w:t>’</w:t>
      </w:r>
      <w:r>
        <w:rPr>
          <w:lang w:val="fr-FR"/>
        </w:rPr>
        <w:t>Afrique de l</w:t>
      </w:r>
      <w:r w:rsidR="004937A0">
        <w:rPr>
          <w:lang w:val="fr-FR"/>
        </w:rPr>
        <w:t>’</w:t>
      </w:r>
      <w:r>
        <w:rPr>
          <w:lang w:val="fr-FR"/>
        </w:rPr>
        <w:t xml:space="preserve">Ouest et du Centre (Dakar, 31 juillet 2008), </w:t>
      </w:r>
      <w:r>
        <w:rPr>
          <w:i/>
          <w:iCs/>
          <w:lang w:val="fr-FR"/>
        </w:rPr>
        <w:t>Bulletin du droit de la mer</w:t>
      </w:r>
      <w:r>
        <w:rPr>
          <w:lang w:val="fr-FR"/>
        </w:rPr>
        <w:t xml:space="preserve">, </w:t>
      </w:r>
      <w:r w:rsidRPr="00E31FBF">
        <w:rPr>
          <w:rFonts w:eastAsia="MS Mincho"/>
          <w:szCs w:val="22"/>
          <w:lang w:val="fr-FR"/>
        </w:rPr>
        <w:t>n</w:t>
      </w:r>
      <w:r w:rsidRPr="00E31FBF">
        <w:rPr>
          <w:rFonts w:eastAsia="MS Mincho"/>
          <w:szCs w:val="22"/>
          <w:vertAlign w:val="superscript"/>
          <w:lang w:val="fr-FR"/>
        </w:rPr>
        <w:t>o</w:t>
      </w:r>
      <w:r>
        <w:rPr>
          <w:lang w:val="fr-FR"/>
        </w:rPr>
        <w:t> 68 (2008), p.</w:t>
      </w:r>
      <w:r w:rsidR="0092727A">
        <w:rPr>
          <w:lang w:val="fr-FR"/>
        </w:rPr>
        <w:t> </w:t>
      </w:r>
      <w:r>
        <w:rPr>
          <w:lang w:val="fr-FR"/>
        </w:rPr>
        <w:t>50 (Organisation maritime de l</w:t>
      </w:r>
      <w:r w:rsidR="004937A0">
        <w:rPr>
          <w:lang w:val="fr-FR"/>
        </w:rPr>
        <w:t>’</w:t>
      </w:r>
      <w:r>
        <w:rPr>
          <w:lang w:val="fr-FR"/>
        </w:rPr>
        <w:t>Afrique de l</w:t>
      </w:r>
      <w:r w:rsidR="004937A0">
        <w:rPr>
          <w:lang w:val="fr-FR"/>
        </w:rPr>
        <w:t>’</w:t>
      </w:r>
      <w:r>
        <w:rPr>
          <w:lang w:val="fr-FR"/>
        </w:rPr>
        <w:t>Ouest et du Centre, document MOWCA/XIII GA.08/8).</w:t>
      </w:r>
    </w:p>
  </w:footnote>
  <w:footnote w:id="197">
    <w:p w14:paraId="15E135E9" w14:textId="1E81A7D6"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Code de conduite relatif à la prévention et à la répression des actes de piraterie, des vols à main armée à l</w:t>
      </w:r>
      <w:r w:rsidR="004937A0">
        <w:rPr>
          <w:lang w:val="fr-FR"/>
        </w:rPr>
        <w:t>’</w:t>
      </w:r>
      <w:r>
        <w:rPr>
          <w:lang w:val="fr-FR"/>
        </w:rPr>
        <w:t>encontre des navires et des activités maritimes illicites en Afrique de l</w:t>
      </w:r>
      <w:r w:rsidR="004937A0">
        <w:rPr>
          <w:lang w:val="fr-FR"/>
        </w:rPr>
        <w:t>’</w:t>
      </w:r>
      <w:r>
        <w:rPr>
          <w:lang w:val="fr-FR"/>
        </w:rPr>
        <w:t>Ouest et du Centre (Yaoundé, 25 juin 2013). Disponible à l</w:t>
      </w:r>
      <w:r w:rsidR="004937A0">
        <w:rPr>
          <w:lang w:val="fr-FR"/>
        </w:rPr>
        <w:t>’</w:t>
      </w:r>
      <w:r>
        <w:rPr>
          <w:lang w:val="fr-FR"/>
        </w:rPr>
        <w:t>adresse suivante</w:t>
      </w:r>
      <w:r w:rsidR="0092727A">
        <w:rPr>
          <w:lang w:val="fr-FR"/>
        </w:rPr>
        <w:t> </w:t>
      </w:r>
      <w:r>
        <w:rPr>
          <w:lang w:val="fr-FR"/>
        </w:rPr>
        <w:t xml:space="preserve">: </w:t>
      </w:r>
      <w:hyperlink r:id="rId97" w:history="1">
        <w:r w:rsidR="0092727A" w:rsidRPr="008C11ED">
          <w:rPr>
            <w:rStyle w:val="Lienhypertexte"/>
            <w:lang w:val="fr-FR"/>
          </w:rPr>
          <w:t>https://au.int/sites/default/files/newsevents/</w:t>
        </w:r>
        <w:r w:rsidR="0092727A" w:rsidRPr="008C11ED">
          <w:rPr>
            <w:rStyle w:val="Lienhypertexte"/>
            <w:lang w:val="fr-FR"/>
          </w:rPr>
          <w:br/>
          <w:t>workingdocuments/27463-wd-code_de_conduite.pdf</w:t>
        </w:r>
      </w:hyperlink>
      <w:r>
        <w:rPr>
          <w:lang w:val="fr-FR"/>
        </w:rPr>
        <w:t>.</w:t>
      </w:r>
    </w:p>
  </w:footnote>
  <w:footnote w:id="198">
    <w:p w14:paraId="7BDDDBBF" w14:textId="65A7D411" w:rsidR="007A322E" w:rsidRPr="003C526C" w:rsidRDefault="007A322E" w:rsidP="007A322E">
      <w:pPr>
        <w:pStyle w:val="Notedebasdepage"/>
        <w:rPr>
          <w:lang w:val="fr-CA"/>
        </w:rPr>
      </w:pPr>
      <w:r>
        <w:rPr>
          <w:lang w:val="fr-FR"/>
        </w:rPr>
        <w:tab/>
      </w:r>
      <w:r w:rsidRPr="00E04BF7">
        <w:rPr>
          <w:rStyle w:val="Appelnotedebasdep"/>
        </w:rPr>
        <w:footnoteRef/>
      </w:r>
      <w:r>
        <w:rPr>
          <w:lang w:val="fr-FR"/>
        </w:rPr>
        <w:tab/>
        <w:t>Code de conduite concernant la répression des actes de piraterie et des vols à main armée à l</w:t>
      </w:r>
      <w:r w:rsidR="004937A0">
        <w:rPr>
          <w:lang w:val="fr-FR"/>
        </w:rPr>
        <w:t>’</w:t>
      </w:r>
      <w:r>
        <w:rPr>
          <w:lang w:val="fr-FR"/>
        </w:rPr>
        <w:t>encontre des navires dans l</w:t>
      </w:r>
      <w:r w:rsidR="004937A0">
        <w:rPr>
          <w:lang w:val="fr-FR"/>
        </w:rPr>
        <w:t>’</w:t>
      </w:r>
      <w:r>
        <w:rPr>
          <w:lang w:val="fr-FR"/>
        </w:rPr>
        <w:t xml:space="preserve">océan Indien occidental et le golfe </w:t>
      </w:r>
      <w:r w:rsidRPr="00D11E8C">
        <w:rPr>
          <w:lang w:val="fr-FR"/>
        </w:rPr>
        <w:t>d</w:t>
      </w:r>
      <w:r w:rsidR="004937A0">
        <w:rPr>
          <w:lang w:val="fr-FR"/>
        </w:rPr>
        <w:t>’</w:t>
      </w:r>
      <w:r w:rsidRPr="00D11E8C">
        <w:rPr>
          <w:lang w:val="fr-FR"/>
        </w:rPr>
        <w:t xml:space="preserve">Aden </w:t>
      </w:r>
      <w:r>
        <w:rPr>
          <w:lang w:val="fr-FR"/>
        </w:rPr>
        <w:t xml:space="preserve">(Djibouti, 29 janvier 2009), OMI, document C102/14, annexe, pièce jointe 1, annexe de la résolution 1. </w:t>
      </w:r>
      <w:r w:rsidRPr="00E55226">
        <w:t xml:space="preserve">Voir aussi </w:t>
      </w:r>
      <w:hyperlink r:id="rId98" w:history="1">
        <w:r w:rsidR="00DE585C" w:rsidRPr="008C11ED">
          <w:rPr>
            <w:rStyle w:val="Lienhypertexte"/>
          </w:rPr>
          <w:t>https://www.imo.org/fr/OurWork/Security/Pages/DCoC.aspx</w:t>
        </w:r>
      </w:hyperlink>
      <w:r w:rsidRPr="00E55226">
        <w:t xml:space="preserve">. </w:t>
      </w:r>
      <w:r w:rsidRPr="00E55226">
        <w:rPr>
          <w:lang w:val="fr-CA"/>
        </w:rPr>
        <w:t xml:space="preserve">Ce </w:t>
      </w:r>
      <w:r w:rsidR="00DE585C" w:rsidRPr="00E55226">
        <w:rPr>
          <w:lang w:val="fr-CA"/>
        </w:rPr>
        <w:t>C</w:t>
      </w:r>
      <w:r w:rsidRPr="00E55226">
        <w:rPr>
          <w:lang w:val="fr-CA"/>
        </w:rPr>
        <w:t>ode</w:t>
      </w:r>
      <w:r>
        <w:rPr>
          <w:lang w:val="fr-CA"/>
        </w:rPr>
        <w:t xml:space="preserve"> de conduite</w:t>
      </w:r>
      <w:r w:rsidRPr="00E55226">
        <w:rPr>
          <w:lang w:val="fr-CA"/>
        </w:rPr>
        <w:t xml:space="preserve"> a été modifié à une réunion de haut niveau tenue à </w:t>
      </w:r>
      <w:r>
        <w:rPr>
          <w:lang w:val="fr-CA"/>
        </w:rPr>
        <w:t xml:space="preserve">Djedda du </w:t>
      </w:r>
      <w:r w:rsidRPr="00E55226">
        <w:rPr>
          <w:lang w:val="fr-CA"/>
        </w:rPr>
        <w:t>10</w:t>
      </w:r>
      <w:r>
        <w:rPr>
          <w:lang w:val="fr-CA"/>
        </w:rPr>
        <w:t xml:space="preserve"> au </w:t>
      </w:r>
      <w:r w:rsidRPr="00E55226">
        <w:rPr>
          <w:lang w:val="fr-CA"/>
        </w:rPr>
        <w:t xml:space="preserve">12 </w:t>
      </w:r>
      <w:r>
        <w:rPr>
          <w:lang w:val="fr-CA"/>
        </w:rPr>
        <w:t>janvier</w:t>
      </w:r>
      <w:r w:rsidRPr="00E55226">
        <w:rPr>
          <w:lang w:val="fr-CA"/>
        </w:rPr>
        <w:t xml:space="preserve"> 2017. La version modifiée s</w:t>
      </w:r>
      <w:r w:rsidR="004937A0">
        <w:rPr>
          <w:lang w:val="fr-CA"/>
        </w:rPr>
        <w:t>’</w:t>
      </w:r>
      <w:r w:rsidRPr="00E55226">
        <w:rPr>
          <w:lang w:val="fr-CA"/>
        </w:rPr>
        <w:t xml:space="preserve">intitule </w:t>
      </w:r>
      <w:r w:rsidR="00DE585C">
        <w:rPr>
          <w:lang w:val="fr-CA"/>
        </w:rPr>
        <w:t>« </w:t>
      </w:r>
      <w:r w:rsidRPr="00E55226">
        <w:rPr>
          <w:lang w:val="fr-CA"/>
        </w:rPr>
        <w:t>Amendement de Djedda au Co</w:t>
      </w:r>
      <w:r>
        <w:rPr>
          <w:lang w:val="fr-CA"/>
        </w:rPr>
        <w:t>de de conduite de Djibouti,</w:t>
      </w:r>
      <w:r w:rsidRPr="00E55226">
        <w:rPr>
          <w:lang w:val="fr-CA"/>
        </w:rPr>
        <w:t xml:space="preserve"> 2017</w:t>
      </w:r>
      <w:r w:rsidR="00DE585C">
        <w:rPr>
          <w:lang w:val="fr-CA"/>
        </w:rPr>
        <w:t> »</w:t>
      </w:r>
      <w:r w:rsidRPr="00E55226">
        <w:rPr>
          <w:lang w:val="fr-CA"/>
        </w:rPr>
        <w:t>.</w:t>
      </w:r>
    </w:p>
  </w:footnote>
  <w:footnote w:id="199">
    <w:p w14:paraId="09441FC2" w14:textId="3EA2BE1C" w:rsidR="007A322E" w:rsidRPr="0095783F" w:rsidRDefault="007A322E" w:rsidP="007A322E">
      <w:pPr>
        <w:pStyle w:val="Notedebasdepage"/>
        <w:rPr>
          <w:lang w:val="fr-CA"/>
        </w:rPr>
      </w:pPr>
      <w:r w:rsidRPr="00E55226">
        <w:rPr>
          <w:lang w:val="fr-CA"/>
        </w:rPr>
        <w:tab/>
      </w:r>
      <w:r w:rsidRPr="00E04BF7">
        <w:rPr>
          <w:rStyle w:val="Appelnotedebasdep"/>
        </w:rPr>
        <w:footnoteRef/>
      </w:r>
      <w:r>
        <w:rPr>
          <w:lang w:val="fr-FR"/>
        </w:rPr>
        <w:tab/>
        <w:t>Charte africaine sur la sûreté et la sécurité maritimes et le développement en Afrique (Lomé, 15 octobre 2016). Disponible à l</w:t>
      </w:r>
      <w:r w:rsidR="004937A0">
        <w:rPr>
          <w:lang w:val="fr-FR"/>
        </w:rPr>
        <w:t>’</w:t>
      </w:r>
      <w:r>
        <w:rPr>
          <w:lang w:val="fr-FR"/>
        </w:rPr>
        <w:t>adresse suivante</w:t>
      </w:r>
      <w:r w:rsidR="00DE585C">
        <w:rPr>
          <w:lang w:val="fr-FR"/>
        </w:rPr>
        <w:t> </w:t>
      </w:r>
      <w:r>
        <w:rPr>
          <w:lang w:val="fr-FR"/>
        </w:rPr>
        <w:t xml:space="preserve">: </w:t>
      </w:r>
      <w:hyperlink r:id="rId99" w:history="1">
        <w:r w:rsidR="00DE585C" w:rsidRPr="008C11ED">
          <w:rPr>
            <w:rStyle w:val="Lienhypertexte"/>
            <w:lang w:val="fr-FR"/>
          </w:rPr>
          <w:t>https://au.int/fr/treaties/african-charter-maritime-security-and-safety-anddevelopment-africa-lome-charter</w:t>
        </w:r>
      </w:hyperlink>
      <w:r>
        <w:rPr>
          <w:lang w:val="fr-FR"/>
        </w:rPr>
        <w:t>.</w:t>
      </w:r>
    </w:p>
  </w:footnote>
  <w:footnote w:id="200">
    <w:p w14:paraId="15830236" w14:textId="0F4760ED" w:rsidR="007A322E" w:rsidRPr="00E55226" w:rsidRDefault="007A322E" w:rsidP="007A322E">
      <w:pPr>
        <w:pStyle w:val="Notedebasdepage"/>
        <w:rPr>
          <w:lang w:val="fr-CA"/>
        </w:rPr>
      </w:pPr>
      <w:r>
        <w:tab/>
      </w:r>
      <w:r>
        <w:rPr>
          <w:rStyle w:val="Appelnotedebasdep"/>
        </w:rPr>
        <w:footnoteRef/>
      </w:r>
      <w:r>
        <w:tab/>
      </w:r>
      <w:r>
        <w:rPr>
          <w:lang w:val="fr-FR"/>
        </w:rPr>
        <w:t>Disponible à l</w:t>
      </w:r>
      <w:r w:rsidR="004937A0">
        <w:rPr>
          <w:lang w:val="fr-FR"/>
        </w:rPr>
        <w:t>’</w:t>
      </w:r>
      <w:r>
        <w:rPr>
          <w:lang w:val="fr-FR"/>
        </w:rPr>
        <w:t>adresse suivante</w:t>
      </w:r>
      <w:r w:rsidR="00DE585C">
        <w:rPr>
          <w:lang w:val="fr-FR"/>
        </w:rPr>
        <w:t> </w:t>
      </w:r>
      <w:r>
        <w:rPr>
          <w:lang w:val="fr-FR"/>
        </w:rPr>
        <w:t xml:space="preserve">: </w:t>
      </w:r>
      <w:hyperlink r:id="rId100" w:history="1">
        <w:r w:rsidRPr="00E31FBF">
          <w:rPr>
            <w:rStyle w:val="Lienhypertexte"/>
            <w:lang w:val="fr-FR"/>
          </w:rPr>
          <w:t>https://www.idi-iil.org/fr/publications-par-categorie/resolutions/</w:t>
        </w:r>
      </w:hyperlink>
      <w:r>
        <w:rPr>
          <w:lang w:val="fr-FR"/>
        </w:rPr>
        <w:t>.</w:t>
      </w:r>
    </w:p>
  </w:footnote>
  <w:footnote w:id="201">
    <w:p w14:paraId="5DF895F3" w14:textId="405E2A88"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Convention internationale contre la prise d</w:t>
      </w:r>
      <w:r w:rsidR="004937A0">
        <w:rPr>
          <w:lang w:val="fr-FR"/>
        </w:rPr>
        <w:t>’</w:t>
      </w:r>
      <w:r>
        <w:rPr>
          <w:lang w:val="fr-FR"/>
        </w:rPr>
        <w:t xml:space="preserve">otages (New York, 17 décembre 1979), Nations Unies, </w:t>
      </w:r>
      <w:r>
        <w:rPr>
          <w:i/>
          <w:iCs/>
          <w:lang w:val="fr-FR"/>
        </w:rPr>
        <w:t>Recueil des Traités</w:t>
      </w:r>
      <w:r>
        <w:rPr>
          <w:lang w:val="fr-FR"/>
        </w:rPr>
        <w:t xml:space="preserve">, vol. 1316, </w:t>
      </w:r>
      <w:r w:rsidRPr="00E31FBF">
        <w:rPr>
          <w:rFonts w:eastAsia="MS Mincho"/>
          <w:szCs w:val="22"/>
          <w:lang w:val="fr-FR"/>
        </w:rPr>
        <w:t>n</w:t>
      </w:r>
      <w:r w:rsidRPr="00E31FBF">
        <w:rPr>
          <w:rFonts w:eastAsia="MS Mincho"/>
          <w:szCs w:val="22"/>
          <w:vertAlign w:val="superscript"/>
          <w:lang w:val="fr-FR"/>
        </w:rPr>
        <w:t>o</w:t>
      </w:r>
      <w:r>
        <w:rPr>
          <w:lang w:val="fr-FR"/>
        </w:rPr>
        <w:t> 21931, p. 205.</w:t>
      </w:r>
    </w:p>
  </w:footnote>
  <w:footnote w:id="202">
    <w:p w14:paraId="249D7E4B" w14:textId="48603CA1"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Convention pour la répression d</w:t>
      </w:r>
      <w:r w:rsidR="004937A0">
        <w:rPr>
          <w:lang w:val="fr-FR"/>
        </w:rPr>
        <w:t>’</w:t>
      </w:r>
      <w:r>
        <w:rPr>
          <w:lang w:val="fr-FR"/>
        </w:rPr>
        <w:t>actes illicites contre la sécurité de la navigation maritime et Protocole pour la répression d</w:t>
      </w:r>
      <w:r w:rsidR="004937A0">
        <w:rPr>
          <w:lang w:val="fr-FR"/>
        </w:rPr>
        <w:t>’</w:t>
      </w:r>
      <w:r>
        <w:rPr>
          <w:lang w:val="fr-FR"/>
        </w:rPr>
        <w:t>actes illicites contre la sécurité des plateformes fixes situées sur le plateau continental (Rome, 10 mars 1988), ibid., vol</w:t>
      </w:r>
      <w:r w:rsidR="00DE585C">
        <w:rPr>
          <w:lang w:val="fr-FR"/>
        </w:rPr>
        <w:t>.</w:t>
      </w:r>
      <w:r>
        <w:rPr>
          <w:lang w:val="fr-FR"/>
        </w:rPr>
        <w:t xml:space="preserve"> 1678, </w:t>
      </w:r>
      <w:r w:rsidRPr="00E31FBF">
        <w:rPr>
          <w:rFonts w:eastAsia="MS Mincho"/>
          <w:szCs w:val="22"/>
          <w:lang w:val="fr-FR"/>
        </w:rPr>
        <w:t>n</w:t>
      </w:r>
      <w:r w:rsidRPr="00E31FBF">
        <w:rPr>
          <w:rFonts w:eastAsia="MS Mincho"/>
          <w:szCs w:val="22"/>
          <w:vertAlign w:val="superscript"/>
          <w:lang w:val="fr-FR"/>
        </w:rPr>
        <w:t>o</w:t>
      </w:r>
      <w:r>
        <w:rPr>
          <w:lang w:val="fr-FR"/>
        </w:rPr>
        <w:t> 29004, p. 201.</w:t>
      </w:r>
    </w:p>
  </w:footnote>
  <w:footnote w:id="203">
    <w:p w14:paraId="4902D61E" w14:textId="5A9931D9"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 xml:space="preserve">Convention des Nations Unies contre la criminalité transnationale organisée (New York, 15 novembre 2000), ibid., vol. 2225, </w:t>
      </w:r>
      <w:r w:rsidRPr="00E31FBF">
        <w:rPr>
          <w:rFonts w:eastAsia="MS Mincho"/>
          <w:szCs w:val="22"/>
          <w:lang w:val="fr-FR"/>
        </w:rPr>
        <w:t>n</w:t>
      </w:r>
      <w:r w:rsidRPr="00E31FBF">
        <w:rPr>
          <w:rFonts w:eastAsia="MS Mincho"/>
          <w:szCs w:val="22"/>
          <w:vertAlign w:val="superscript"/>
          <w:lang w:val="fr-FR"/>
        </w:rPr>
        <w:t>o</w:t>
      </w:r>
      <w:r>
        <w:rPr>
          <w:lang w:val="fr-FR"/>
        </w:rPr>
        <w:t> 39574, p. 208</w:t>
      </w:r>
      <w:r w:rsidR="00DE585C">
        <w:rPr>
          <w:lang w:val="fr-FR"/>
        </w:rPr>
        <w:t> </w:t>
      </w:r>
      <w:r>
        <w:rPr>
          <w:lang w:val="fr-FR"/>
        </w:rPr>
        <w:t>; Protocole additionnel à la Convention des Nations</w:t>
      </w:r>
      <w:r w:rsidR="00DE585C">
        <w:rPr>
          <w:lang w:val="fr-FR"/>
        </w:rPr>
        <w:t> </w:t>
      </w:r>
      <w:r>
        <w:rPr>
          <w:lang w:val="fr-FR"/>
        </w:rPr>
        <w:t>Unies contre la criminalité transnationale organisée, visant à prévenir, réprimer et punir la traite des personnes, en particulier des femmes et des enfants (New York, 15 novembre 2000), ibid., vol.</w:t>
      </w:r>
      <w:r w:rsidR="00DE585C">
        <w:rPr>
          <w:lang w:val="fr-FR"/>
        </w:rPr>
        <w:t> </w:t>
      </w:r>
      <w:r>
        <w:rPr>
          <w:lang w:val="fr-FR"/>
        </w:rPr>
        <w:t xml:space="preserve">2237, </w:t>
      </w:r>
      <w:r w:rsidRPr="00E31FBF">
        <w:rPr>
          <w:rFonts w:eastAsia="MS Mincho"/>
          <w:szCs w:val="22"/>
          <w:lang w:val="fr-FR"/>
        </w:rPr>
        <w:t>n</w:t>
      </w:r>
      <w:r w:rsidRPr="00E31FBF">
        <w:rPr>
          <w:rFonts w:eastAsia="MS Mincho"/>
          <w:szCs w:val="22"/>
          <w:vertAlign w:val="superscript"/>
          <w:lang w:val="fr-FR"/>
        </w:rPr>
        <w:t>o</w:t>
      </w:r>
      <w:r>
        <w:rPr>
          <w:lang w:val="fr-FR"/>
        </w:rPr>
        <w:t> 39574, p. 319</w:t>
      </w:r>
      <w:r w:rsidR="00DE585C">
        <w:rPr>
          <w:lang w:val="fr-FR"/>
        </w:rPr>
        <w:t> </w:t>
      </w:r>
      <w:r>
        <w:rPr>
          <w:lang w:val="fr-FR"/>
        </w:rPr>
        <w:t xml:space="preserve">; Protocole contre le trafic illicite de migrants par terre, air et mer, additionnel à la Convention des Nations Unies contre la criminalité transnationale organisée (New York, 15 novembre 2000), </w:t>
      </w:r>
      <w:r w:rsidR="00DE585C">
        <w:rPr>
          <w:lang w:val="fr-FR"/>
        </w:rPr>
        <w:t xml:space="preserve">ibid., </w:t>
      </w:r>
      <w:r>
        <w:rPr>
          <w:lang w:val="fr-FR"/>
        </w:rPr>
        <w:t xml:space="preserve">vol. 2241, </w:t>
      </w:r>
      <w:r w:rsidRPr="00E31FBF">
        <w:rPr>
          <w:rFonts w:eastAsia="MS Mincho"/>
          <w:szCs w:val="22"/>
          <w:lang w:val="fr-FR"/>
        </w:rPr>
        <w:t>n</w:t>
      </w:r>
      <w:r w:rsidRPr="00E31FBF">
        <w:rPr>
          <w:rFonts w:eastAsia="MS Mincho"/>
          <w:szCs w:val="22"/>
          <w:vertAlign w:val="superscript"/>
          <w:lang w:val="fr-FR"/>
        </w:rPr>
        <w:t>o</w:t>
      </w:r>
      <w:r>
        <w:rPr>
          <w:lang w:val="fr-FR"/>
        </w:rPr>
        <w:t> 39574, p. 480 ; Protocole contre la fabrication et le trafic illicites d</w:t>
      </w:r>
      <w:r w:rsidR="004937A0">
        <w:rPr>
          <w:lang w:val="fr-FR"/>
        </w:rPr>
        <w:t>’</w:t>
      </w:r>
      <w:r>
        <w:rPr>
          <w:lang w:val="fr-FR"/>
        </w:rPr>
        <w:t>armes à feu, de leurs pièces, éléments et munitions, additionnel à la Convention des Nations</w:t>
      </w:r>
      <w:r w:rsidR="00DE585C">
        <w:rPr>
          <w:lang w:val="fr-FR"/>
        </w:rPr>
        <w:t> </w:t>
      </w:r>
      <w:r>
        <w:rPr>
          <w:lang w:val="fr-FR"/>
        </w:rPr>
        <w:t xml:space="preserve">Unies contre la criminalité transnationale organisée (New York, 31 mai 2001), ibid., vol. 2326, </w:t>
      </w:r>
      <w:r w:rsidRPr="00E31FBF">
        <w:rPr>
          <w:rFonts w:eastAsia="MS Mincho"/>
          <w:szCs w:val="22"/>
          <w:lang w:val="fr-FR"/>
        </w:rPr>
        <w:t>n</w:t>
      </w:r>
      <w:r w:rsidRPr="00E31FBF">
        <w:rPr>
          <w:rFonts w:eastAsia="MS Mincho"/>
          <w:szCs w:val="22"/>
          <w:vertAlign w:val="superscript"/>
          <w:lang w:val="fr-FR"/>
        </w:rPr>
        <w:t>o</w:t>
      </w:r>
      <w:r>
        <w:rPr>
          <w:lang w:val="fr-FR"/>
        </w:rPr>
        <w:t> 39574</w:t>
      </w:r>
      <w:r w:rsidRPr="0078052B">
        <w:rPr>
          <w:lang w:val="fr-FR"/>
        </w:rPr>
        <w:t>, p. 208.</w:t>
      </w:r>
    </w:p>
  </w:footnote>
  <w:footnote w:id="204">
    <w:p w14:paraId="0CDD12B2" w14:textId="140C15FF" w:rsidR="007A322E" w:rsidRPr="0095783F" w:rsidRDefault="007A322E" w:rsidP="007A322E">
      <w:pPr>
        <w:pStyle w:val="Notedebasdepage"/>
        <w:rPr>
          <w:lang w:val="fr-CA"/>
        </w:rPr>
      </w:pPr>
      <w:r>
        <w:rPr>
          <w:lang w:val="fr-FR"/>
        </w:rPr>
        <w:tab/>
      </w:r>
      <w:r w:rsidRPr="00E04BF7">
        <w:rPr>
          <w:rStyle w:val="Appelnotedebasdep"/>
        </w:rPr>
        <w:footnoteRef/>
      </w:r>
      <w:r>
        <w:rPr>
          <w:lang w:val="fr-FR"/>
        </w:rPr>
        <w:t xml:space="preserve"> </w:t>
      </w:r>
      <w:r>
        <w:rPr>
          <w:lang w:val="fr-FR"/>
        </w:rPr>
        <w:tab/>
      </w:r>
      <w:r w:rsidRPr="00DE585C">
        <w:rPr>
          <w:lang w:val="fr-FR"/>
        </w:rPr>
        <w:t>Voir</w:t>
      </w:r>
      <w:r>
        <w:rPr>
          <w:lang w:val="fr-FR"/>
        </w:rPr>
        <w:t xml:space="preserve"> </w:t>
      </w:r>
      <w:r w:rsidRPr="00E55226">
        <w:rPr>
          <w:i/>
          <w:iCs/>
          <w:lang w:val="fr-FR"/>
        </w:rPr>
        <w:t>supra</w:t>
      </w:r>
      <w:r>
        <w:rPr>
          <w:lang w:val="fr-FR"/>
        </w:rPr>
        <w:t xml:space="preserve"> la note </w:t>
      </w:r>
      <w:r w:rsidR="00DE585C">
        <w:rPr>
          <w:lang w:val="fr-FR"/>
        </w:rPr>
        <w:fldChar w:fldCharType="begin"/>
      </w:r>
      <w:r w:rsidR="00DE585C">
        <w:rPr>
          <w:lang w:val="fr-FR"/>
        </w:rPr>
        <w:instrText xml:space="preserve"> NOTEREF _Ref175316836 \h </w:instrText>
      </w:r>
      <w:r w:rsidR="00DE585C">
        <w:rPr>
          <w:lang w:val="fr-FR"/>
        </w:rPr>
      </w:r>
      <w:r w:rsidR="00DE585C">
        <w:rPr>
          <w:lang w:val="fr-FR"/>
        </w:rPr>
        <w:fldChar w:fldCharType="separate"/>
      </w:r>
      <w:r w:rsidR="00EC4FDE">
        <w:rPr>
          <w:lang w:val="fr-FR"/>
        </w:rPr>
        <w:t>199</w:t>
      </w:r>
      <w:r w:rsidR="00DE585C">
        <w:rPr>
          <w:lang w:val="fr-FR"/>
        </w:rPr>
        <w:fldChar w:fldCharType="end"/>
      </w:r>
      <w:r>
        <w:rPr>
          <w:lang w:val="fr-FR"/>
        </w:rPr>
        <w:t>.</w:t>
      </w:r>
    </w:p>
  </w:footnote>
  <w:footnote w:id="205">
    <w:p w14:paraId="1822E951" w14:textId="53CF4749"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Protocole de 2005 relatif au Protocole pour la répression d</w:t>
      </w:r>
      <w:r w:rsidR="004937A0">
        <w:rPr>
          <w:lang w:val="fr-FR"/>
        </w:rPr>
        <w:t>’</w:t>
      </w:r>
      <w:r>
        <w:rPr>
          <w:lang w:val="fr-FR"/>
        </w:rPr>
        <w:t>actes illicites contre la sécurité des plateformes fixes situées sur le plateau continental (Londres, 14 octobre 2005), OMI, document</w:t>
      </w:r>
      <w:r w:rsidR="00DE585C">
        <w:rPr>
          <w:lang w:val="fr-FR"/>
        </w:rPr>
        <w:t xml:space="preserve"> </w:t>
      </w:r>
      <w:r>
        <w:rPr>
          <w:lang w:val="fr-FR"/>
        </w:rPr>
        <w:t>LEG/CONF.15/22 du 1</w:t>
      </w:r>
      <w:r w:rsidRPr="00E31FBF">
        <w:rPr>
          <w:vertAlign w:val="superscript"/>
          <w:lang w:val="fr-FR"/>
        </w:rPr>
        <w:t>er</w:t>
      </w:r>
      <w:r>
        <w:rPr>
          <w:lang w:val="fr-FR"/>
        </w:rPr>
        <w:t xml:space="preserve"> novembre 2005.</w:t>
      </w:r>
    </w:p>
  </w:footnote>
  <w:footnote w:id="206">
    <w:p w14:paraId="0E5D9A2D" w14:textId="4B689F20"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Disponible à l</w:t>
      </w:r>
      <w:r w:rsidR="004937A0">
        <w:rPr>
          <w:lang w:val="fr-FR"/>
        </w:rPr>
        <w:t>’</w:t>
      </w:r>
      <w:r>
        <w:rPr>
          <w:lang w:val="fr-FR"/>
        </w:rPr>
        <w:t>adresse suivante</w:t>
      </w:r>
      <w:r w:rsidR="00DE585C">
        <w:rPr>
          <w:lang w:val="fr-FR"/>
        </w:rPr>
        <w:t> </w:t>
      </w:r>
      <w:r>
        <w:rPr>
          <w:lang w:val="fr-FR"/>
        </w:rPr>
        <w:t xml:space="preserve">: </w:t>
      </w:r>
      <w:hyperlink r:id="rId101" w:history="1">
        <w:r w:rsidRPr="00E31FBF">
          <w:rPr>
            <w:rStyle w:val="Lienhypertexte"/>
            <w:lang w:val="fr-FR"/>
          </w:rPr>
          <w:t>https://www.idi-iil.org/fr/publications-par-categorie/resolutions/</w:t>
        </w:r>
      </w:hyperlink>
      <w:r>
        <w:rPr>
          <w:lang w:val="fr-FR"/>
        </w:rPr>
        <w:t>.</w:t>
      </w:r>
    </w:p>
  </w:footnote>
  <w:footnote w:id="207">
    <w:p w14:paraId="37F06A58" w14:textId="0D015864" w:rsidR="007A322E" w:rsidRPr="0095783F" w:rsidRDefault="007A322E" w:rsidP="007A322E">
      <w:pPr>
        <w:pStyle w:val="Notedebasdepage"/>
        <w:rPr>
          <w:lang w:val="fr-CA"/>
        </w:rPr>
      </w:pPr>
      <w:r>
        <w:rPr>
          <w:lang w:val="fr-FR"/>
        </w:rPr>
        <w:tab/>
      </w:r>
      <w:r w:rsidRPr="00E04BF7">
        <w:rPr>
          <w:rStyle w:val="Appelnotedebasdep"/>
        </w:rPr>
        <w:footnoteRef/>
      </w:r>
      <w:r>
        <w:rPr>
          <w:lang w:val="fr-FR"/>
        </w:rPr>
        <w:tab/>
        <w:t>Disponible à l</w:t>
      </w:r>
      <w:r w:rsidR="004937A0">
        <w:rPr>
          <w:lang w:val="fr-FR"/>
        </w:rPr>
        <w:t>’</w:t>
      </w:r>
      <w:r>
        <w:rPr>
          <w:lang w:val="fr-FR"/>
        </w:rPr>
        <w:t>adresse suivante</w:t>
      </w:r>
      <w:r w:rsidR="00DE585C">
        <w:rPr>
          <w:lang w:val="fr-FR"/>
        </w:rPr>
        <w:t> </w:t>
      </w:r>
      <w:r>
        <w:rPr>
          <w:lang w:val="fr-FR"/>
        </w:rPr>
        <w:t xml:space="preserve">: </w:t>
      </w:r>
      <w:hyperlink r:id="rId102" w:history="1">
        <w:r w:rsidRPr="00E31FBF">
          <w:rPr>
            <w:rStyle w:val="Lienhypertexte"/>
            <w:lang w:val="fr-FR"/>
          </w:rPr>
          <w:t>https://www.idi-iil.org/fr/publications-par-categorie/resolutions/</w:t>
        </w:r>
      </w:hyperlink>
      <w:r>
        <w:rPr>
          <w:lang w:val="fr-FR"/>
        </w:rPr>
        <w:t>.</w:t>
      </w:r>
    </w:p>
  </w:footnote>
  <w:footnote w:id="208">
    <w:p w14:paraId="6FF3EDC2" w14:textId="2B39503B"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t>À sa 2940</w:t>
      </w:r>
      <w:r>
        <w:rPr>
          <w:vertAlign w:val="superscript"/>
          <w:lang w:val="fr-FR"/>
        </w:rPr>
        <w:t>e </w:t>
      </w:r>
      <w:r>
        <w:rPr>
          <w:lang w:val="fr-FR"/>
        </w:rPr>
        <w:t>séance, le 20 juillet 2007 (</w:t>
      </w:r>
      <w:r>
        <w:rPr>
          <w:i/>
          <w:iCs/>
          <w:lang w:val="fr-FR"/>
        </w:rPr>
        <w:t>Documents officiels de l</w:t>
      </w:r>
      <w:r w:rsidR="004937A0">
        <w:rPr>
          <w:i/>
          <w:iCs/>
          <w:lang w:val="fr-FR"/>
        </w:rPr>
        <w:t>’</w:t>
      </w:r>
      <w:r>
        <w:rPr>
          <w:i/>
          <w:iCs/>
          <w:lang w:val="fr-FR"/>
        </w:rPr>
        <w:t>Assemblée générale, soixante</w:t>
      </w:r>
      <w:r>
        <w:rPr>
          <w:i/>
          <w:iCs/>
          <w:lang w:val="fr-FR"/>
        </w:rPr>
        <w:noBreakHyphen/>
        <w:t>deuxième session, Supplément n</w:t>
      </w:r>
      <w:r>
        <w:rPr>
          <w:i/>
          <w:iCs/>
          <w:vertAlign w:val="superscript"/>
          <w:lang w:val="fr-FR"/>
        </w:rPr>
        <w:t>o</w:t>
      </w:r>
      <w:r>
        <w:rPr>
          <w:i/>
          <w:iCs/>
          <w:lang w:val="fr-FR"/>
        </w:rPr>
        <w:t> 10</w:t>
      </w:r>
      <w:r>
        <w:rPr>
          <w:lang w:val="fr-FR"/>
        </w:rPr>
        <w:t xml:space="preserve"> (</w:t>
      </w:r>
      <w:hyperlink r:id="rId103" w:history="1">
        <w:r w:rsidRPr="009054A5">
          <w:rPr>
            <w:rStyle w:val="Lienhypertexte"/>
            <w:lang w:val="fr-FR"/>
          </w:rPr>
          <w:t>A/62/10</w:t>
        </w:r>
      </w:hyperlink>
      <w:r>
        <w:rPr>
          <w:lang w:val="fr-FR"/>
        </w:rPr>
        <w:t>), par. 376). Au paragraphe 7 de sa résolution </w:t>
      </w:r>
      <w:hyperlink r:id="rId104" w:history="1">
        <w:r w:rsidRPr="00F31D51">
          <w:rPr>
            <w:rStyle w:val="Lienhypertexte"/>
            <w:lang w:val="fr-FR"/>
          </w:rPr>
          <w:t>62/66</w:t>
        </w:r>
      </w:hyperlink>
      <w:r>
        <w:rPr>
          <w:lang w:val="fr-FR"/>
        </w:rPr>
        <w:t>, du 6 décembre 2007, l</w:t>
      </w:r>
      <w:r w:rsidR="004937A0">
        <w:rPr>
          <w:lang w:val="fr-FR"/>
        </w:rPr>
        <w:t>’</w:t>
      </w:r>
      <w:r>
        <w:rPr>
          <w:lang w:val="fr-FR"/>
        </w:rPr>
        <w:t>Assemblée générale a pris note de la décision de la Commission d</w:t>
      </w:r>
      <w:r w:rsidR="004937A0">
        <w:rPr>
          <w:lang w:val="fr-FR"/>
        </w:rPr>
        <w:t>’</w:t>
      </w:r>
      <w:r>
        <w:rPr>
          <w:lang w:val="fr-FR"/>
        </w:rPr>
        <w:t>inscrire le sujet à son programme de travail. La Commission avait décidé d</w:t>
      </w:r>
      <w:r w:rsidR="004937A0">
        <w:rPr>
          <w:lang w:val="fr-FR"/>
        </w:rPr>
        <w:t>’</w:t>
      </w:r>
      <w:r>
        <w:rPr>
          <w:lang w:val="fr-FR"/>
        </w:rPr>
        <w:t>inscrire le sujet à son programme de travail à long terme à sa cinquante-huitième session (2006), sur la base d</w:t>
      </w:r>
      <w:r w:rsidR="004937A0">
        <w:rPr>
          <w:lang w:val="fr-FR"/>
        </w:rPr>
        <w:t>’</w:t>
      </w:r>
      <w:r>
        <w:rPr>
          <w:lang w:val="fr-FR"/>
        </w:rPr>
        <w:t>une proposition figurant à l</w:t>
      </w:r>
      <w:r w:rsidR="004937A0">
        <w:rPr>
          <w:lang w:val="fr-FR"/>
        </w:rPr>
        <w:t>’</w:t>
      </w:r>
      <w:r>
        <w:rPr>
          <w:lang w:val="fr-FR"/>
        </w:rPr>
        <w:t>annexe</w:t>
      </w:r>
      <w:r w:rsidR="00F31D51">
        <w:rPr>
          <w:lang w:val="fr-FR"/>
        </w:rPr>
        <w:t> </w:t>
      </w:r>
      <w:r>
        <w:rPr>
          <w:lang w:val="fr-FR"/>
        </w:rPr>
        <w:t>A de son rapport (</w:t>
      </w:r>
      <w:r>
        <w:rPr>
          <w:i/>
          <w:iCs/>
          <w:lang w:val="fr-FR"/>
        </w:rPr>
        <w:t>Documents officiels de l</w:t>
      </w:r>
      <w:r w:rsidR="004937A0">
        <w:rPr>
          <w:i/>
          <w:iCs/>
          <w:lang w:val="fr-FR"/>
        </w:rPr>
        <w:t>’</w:t>
      </w:r>
      <w:r>
        <w:rPr>
          <w:i/>
          <w:iCs/>
          <w:lang w:val="fr-FR"/>
        </w:rPr>
        <w:t>Assemblée générale, soixante et unième session, Supplément n</w:t>
      </w:r>
      <w:r>
        <w:rPr>
          <w:i/>
          <w:iCs/>
          <w:vertAlign w:val="superscript"/>
          <w:lang w:val="fr-FR"/>
        </w:rPr>
        <w:t>o</w:t>
      </w:r>
      <w:r>
        <w:rPr>
          <w:i/>
          <w:iCs/>
          <w:lang w:val="fr-FR"/>
        </w:rPr>
        <w:t> 10</w:t>
      </w:r>
      <w:r>
        <w:rPr>
          <w:lang w:val="fr-FR"/>
        </w:rPr>
        <w:t xml:space="preserve"> (</w:t>
      </w:r>
      <w:hyperlink r:id="rId105" w:history="1">
        <w:r w:rsidRPr="009054A5">
          <w:rPr>
            <w:rStyle w:val="Lienhypertexte"/>
            <w:lang w:val="fr-FR"/>
          </w:rPr>
          <w:t>A/61/10</w:t>
        </w:r>
      </w:hyperlink>
      <w:r>
        <w:rPr>
          <w:lang w:val="fr-FR"/>
        </w:rPr>
        <w:t>), par. 257).</w:t>
      </w:r>
    </w:p>
  </w:footnote>
  <w:footnote w:id="209">
    <w:p w14:paraId="7BF50F81" w14:textId="4F82FB8F"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r>
      <w:r>
        <w:rPr>
          <w:i/>
          <w:iCs/>
          <w:lang w:val="fr-FR"/>
        </w:rPr>
        <w:t>Documents officiels de l</w:t>
      </w:r>
      <w:r w:rsidR="004937A0">
        <w:rPr>
          <w:i/>
          <w:iCs/>
          <w:lang w:val="fr-FR"/>
        </w:rPr>
        <w:t>’</w:t>
      </w:r>
      <w:r>
        <w:rPr>
          <w:i/>
          <w:iCs/>
          <w:lang w:val="fr-FR"/>
        </w:rPr>
        <w:t>Assemblée générale, soixante-deuxième session, Supplément n</w:t>
      </w:r>
      <w:r>
        <w:rPr>
          <w:i/>
          <w:iCs/>
          <w:vertAlign w:val="superscript"/>
          <w:lang w:val="fr-FR"/>
        </w:rPr>
        <w:t>o</w:t>
      </w:r>
      <w:r>
        <w:rPr>
          <w:i/>
          <w:iCs/>
          <w:lang w:val="fr-FR"/>
        </w:rPr>
        <w:t> 10</w:t>
      </w:r>
      <w:r>
        <w:rPr>
          <w:lang w:val="fr-FR"/>
        </w:rPr>
        <w:t xml:space="preserve"> (</w:t>
      </w:r>
      <w:hyperlink r:id="rId106" w:history="1">
        <w:r w:rsidRPr="009054A5">
          <w:rPr>
            <w:rStyle w:val="Lienhypertexte"/>
            <w:lang w:val="fr-FR"/>
          </w:rPr>
          <w:t>A/62/10</w:t>
        </w:r>
      </w:hyperlink>
      <w:r>
        <w:rPr>
          <w:lang w:val="fr-FR"/>
        </w:rPr>
        <w:t>), par. 386. Pour l</w:t>
      </w:r>
      <w:r w:rsidR="004937A0">
        <w:rPr>
          <w:lang w:val="fr-FR"/>
        </w:rPr>
        <w:t>’</w:t>
      </w:r>
      <w:r>
        <w:rPr>
          <w:lang w:val="fr-FR"/>
        </w:rPr>
        <w:t xml:space="preserve">étude du Secrétariat, voir </w:t>
      </w:r>
      <w:hyperlink r:id="rId107" w:history="1">
        <w:r w:rsidRPr="009054A5">
          <w:rPr>
            <w:rStyle w:val="Lienhypertexte"/>
            <w:lang w:val="fr-FR"/>
          </w:rPr>
          <w:t>A/CN.4/596</w:t>
        </w:r>
      </w:hyperlink>
      <w:r>
        <w:rPr>
          <w:lang w:val="fr-FR"/>
        </w:rPr>
        <w:t xml:space="preserve"> et </w:t>
      </w:r>
      <w:hyperlink r:id="rId108" w:history="1">
        <w:r w:rsidRPr="009054A5">
          <w:rPr>
            <w:rStyle w:val="Lienhypertexte"/>
            <w:lang w:val="fr-FR"/>
          </w:rPr>
          <w:t>Corr.1</w:t>
        </w:r>
      </w:hyperlink>
      <w:r>
        <w:rPr>
          <w:lang w:val="fr-FR"/>
        </w:rPr>
        <w:t>.</w:t>
      </w:r>
    </w:p>
  </w:footnote>
  <w:footnote w:id="210">
    <w:p w14:paraId="0360B497" w14:textId="77777777"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r>
      <w:hyperlink r:id="rId109" w:history="1">
        <w:r w:rsidRPr="009054A5">
          <w:rPr>
            <w:rStyle w:val="Lienhypertexte"/>
            <w:lang w:val="fr-FR"/>
          </w:rPr>
          <w:t>A/CN.4/601</w:t>
        </w:r>
      </w:hyperlink>
      <w:r>
        <w:rPr>
          <w:lang w:val="fr-FR"/>
        </w:rPr>
        <w:t xml:space="preserve">, </w:t>
      </w:r>
      <w:hyperlink r:id="rId110" w:history="1">
        <w:r w:rsidRPr="009054A5">
          <w:rPr>
            <w:rStyle w:val="Lienhypertexte"/>
            <w:lang w:val="fr-FR"/>
          </w:rPr>
          <w:t>A/CN.4/631</w:t>
        </w:r>
      </w:hyperlink>
      <w:r>
        <w:rPr>
          <w:lang w:val="fr-FR"/>
        </w:rPr>
        <w:t xml:space="preserve"> et </w:t>
      </w:r>
      <w:hyperlink r:id="rId111" w:history="1">
        <w:r w:rsidRPr="009054A5">
          <w:rPr>
            <w:rStyle w:val="Lienhypertexte"/>
            <w:lang w:val="fr-FR"/>
          </w:rPr>
          <w:t>A/CN.4/646</w:t>
        </w:r>
      </w:hyperlink>
      <w:r>
        <w:rPr>
          <w:lang w:val="fr-FR"/>
        </w:rPr>
        <w:t>, respectivement.</w:t>
      </w:r>
    </w:p>
  </w:footnote>
  <w:footnote w:id="211">
    <w:p w14:paraId="2FFCA78C" w14:textId="75EF96CA"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t xml:space="preserve">Voir </w:t>
      </w:r>
      <w:r>
        <w:rPr>
          <w:i/>
          <w:iCs/>
          <w:lang w:val="fr-FR"/>
        </w:rPr>
        <w:t>Documents officiels de l</w:t>
      </w:r>
      <w:r w:rsidR="004937A0">
        <w:rPr>
          <w:i/>
          <w:iCs/>
          <w:lang w:val="fr-FR"/>
        </w:rPr>
        <w:t>’</w:t>
      </w:r>
      <w:r>
        <w:rPr>
          <w:i/>
          <w:iCs/>
          <w:lang w:val="fr-FR"/>
        </w:rPr>
        <w:t>Assemblée générale, soixante-quatrième session, Supplément n</w:t>
      </w:r>
      <w:r>
        <w:rPr>
          <w:i/>
          <w:iCs/>
          <w:vertAlign w:val="superscript"/>
          <w:lang w:val="fr-FR"/>
        </w:rPr>
        <w:t>o</w:t>
      </w:r>
      <w:r>
        <w:rPr>
          <w:i/>
          <w:iCs/>
          <w:lang w:val="fr-FR"/>
        </w:rPr>
        <w:t> 10</w:t>
      </w:r>
      <w:r>
        <w:rPr>
          <w:lang w:val="fr-FR"/>
        </w:rPr>
        <w:t xml:space="preserve"> (</w:t>
      </w:r>
      <w:hyperlink r:id="rId112" w:history="1">
        <w:r w:rsidRPr="00AC6FAE">
          <w:rPr>
            <w:rStyle w:val="Lienhypertexte"/>
            <w:lang w:val="fr-FR"/>
          </w:rPr>
          <w:t>A/64/10</w:t>
        </w:r>
      </w:hyperlink>
      <w:r>
        <w:rPr>
          <w:lang w:val="fr-FR"/>
        </w:rPr>
        <w:t xml:space="preserve">), par. 207 ; </w:t>
      </w:r>
      <w:r w:rsidRPr="00A8346B">
        <w:rPr>
          <w:lang w:val="fr-FR"/>
        </w:rPr>
        <w:t>ibid.,</w:t>
      </w:r>
      <w:r>
        <w:rPr>
          <w:i/>
          <w:iCs/>
          <w:lang w:val="fr-FR"/>
        </w:rPr>
        <w:t xml:space="preserve"> soixante-cinquième session, Supplément n</w:t>
      </w:r>
      <w:r w:rsidRPr="00F24123">
        <w:rPr>
          <w:i/>
          <w:iCs/>
          <w:vertAlign w:val="superscript"/>
          <w:lang w:val="fr-FR"/>
        </w:rPr>
        <w:t>o</w:t>
      </w:r>
      <w:r>
        <w:rPr>
          <w:i/>
          <w:iCs/>
          <w:lang w:val="fr-FR"/>
        </w:rPr>
        <w:t> 10</w:t>
      </w:r>
      <w:r>
        <w:rPr>
          <w:lang w:val="fr-FR"/>
        </w:rPr>
        <w:t xml:space="preserve"> (</w:t>
      </w:r>
      <w:hyperlink r:id="rId113" w:history="1">
        <w:r w:rsidRPr="00AC6FAE">
          <w:rPr>
            <w:rStyle w:val="Lienhypertexte"/>
            <w:lang w:val="fr-FR"/>
          </w:rPr>
          <w:t>A/65/10</w:t>
        </w:r>
      </w:hyperlink>
      <w:r>
        <w:rPr>
          <w:lang w:val="fr-FR"/>
        </w:rPr>
        <w:t>), par. 343.</w:t>
      </w:r>
    </w:p>
  </w:footnote>
  <w:footnote w:id="212">
    <w:p w14:paraId="0AB48386" w14:textId="77777777"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r>
      <w:r w:rsidRPr="00A8346B">
        <w:rPr>
          <w:lang w:val="fr-FR"/>
        </w:rPr>
        <w:t>Ibid.,</w:t>
      </w:r>
      <w:r>
        <w:rPr>
          <w:i/>
          <w:iCs/>
          <w:lang w:val="fr-FR"/>
        </w:rPr>
        <w:t xml:space="preserve"> soixante-septième session, Supplément n</w:t>
      </w:r>
      <w:r>
        <w:rPr>
          <w:i/>
          <w:iCs/>
          <w:vertAlign w:val="superscript"/>
          <w:lang w:val="fr-FR"/>
        </w:rPr>
        <w:t>o</w:t>
      </w:r>
      <w:r>
        <w:rPr>
          <w:i/>
          <w:iCs/>
          <w:lang w:val="fr-FR"/>
        </w:rPr>
        <w:t xml:space="preserve"> 10</w:t>
      </w:r>
      <w:r>
        <w:rPr>
          <w:lang w:val="fr-FR"/>
        </w:rPr>
        <w:t xml:space="preserve"> (</w:t>
      </w:r>
      <w:hyperlink r:id="rId114" w:history="1">
        <w:r w:rsidRPr="009054A5">
          <w:rPr>
            <w:rStyle w:val="Lienhypertexte"/>
            <w:lang w:val="fr-FR"/>
          </w:rPr>
          <w:t>A/67/10</w:t>
        </w:r>
      </w:hyperlink>
      <w:r>
        <w:rPr>
          <w:lang w:val="fr-FR"/>
        </w:rPr>
        <w:t>), par. 266.</w:t>
      </w:r>
    </w:p>
  </w:footnote>
  <w:footnote w:id="213">
    <w:p w14:paraId="4A26611A" w14:textId="77777777"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r>
      <w:hyperlink r:id="rId115" w:history="1">
        <w:r w:rsidRPr="009054A5">
          <w:rPr>
            <w:rStyle w:val="Lienhypertexte"/>
            <w:lang w:val="fr-FR"/>
          </w:rPr>
          <w:t>A/CN.4/654</w:t>
        </w:r>
      </w:hyperlink>
      <w:r>
        <w:rPr>
          <w:lang w:val="fr-FR"/>
        </w:rPr>
        <w:t xml:space="preserve">, </w:t>
      </w:r>
      <w:hyperlink r:id="rId116" w:history="1">
        <w:r w:rsidRPr="009054A5">
          <w:rPr>
            <w:rStyle w:val="Lienhypertexte"/>
            <w:lang w:val="fr-FR"/>
          </w:rPr>
          <w:t>A/CN.4/661</w:t>
        </w:r>
      </w:hyperlink>
      <w:r>
        <w:rPr>
          <w:lang w:val="fr-FR"/>
        </w:rPr>
        <w:t xml:space="preserve">, </w:t>
      </w:r>
      <w:hyperlink r:id="rId117" w:history="1">
        <w:r w:rsidRPr="009054A5">
          <w:rPr>
            <w:rStyle w:val="Lienhypertexte"/>
            <w:lang w:val="fr-FR"/>
          </w:rPr>
          <w:t>A/CN.4/673</w:t>
        </w:r>
      </w:hyperlink>
      <w:r>
        <w:rPr>
          <w:lang w:val="fr-FR"/>
        </w:rPr>
        <w:t xml:space="preserve">, </w:t>
      </w:r>
      <w:hyperlink r:id="rId118" w:history="1">
        <w:r w:rsidRPr="009054A5">
          <w:rPr>
            <w:rStyle w:val="Lienhypertexte"/>
            <w:lang w:val="fr-FR"/>
          </w:rPr>
          <w:t>A/CN.4/686</w:t>
        </w:r>
      </w:hyperlink>
      <w:r>
        <w:rPr>
          <w:lang w:val="fr-FR"/>
        </w:rPr>
        <w:t xml:space="preserve">, </w:t>
      </w:r>
      <w:hyperlink r:id="rId119" w:history="1">
        <w:r w:rsidRPr="009054A5">
          <w:rPr>
            <w:rStyle w:val="Lienhypertexte"/>
            <w:lang w:val="fr-FR"/>
          </w:rPr>
          <w:t>A/CN.4/701</w:t>
        </w:r>
      </w:hyperlink>
      <w:r>
        <w:rPr>
          <w:lang w:val="fr-FR"/>
        </w:rPr>
        <w:t xml:space="preserve">, </w:t>
      </w:r>
      <w:hyperlink r:id="rId120" w:history="1">
        <w:r w:rsidRPr="009054A5">
          <w:rPr>
            <w:rStyle w:val="Lienhypertexte"/>
            <w:lang w:val="fr-FR"/>
          </w:rPr>
          <w:t>A/CN.4/722</w:t>
        </w:r>
      </w:hyperlink>
      <w:r>
        <w:rPr>
          <w:lang w:val="fr-FR"/>
        </w:rPr>
        <w:t xml:space="preserve">, </w:t>
      </w:r>
      <w:hyperlink r:id="rId121" w:history="1">
        <w:r w:rsidRPr="009054A5">
          <w:rPr>
            <w:rStyle w:val="Lienhypertexte"/>
            <w:lang w:val="fr-FR"/>
          </w:rPr>
          <w:t>A/CN.4/729</w:t>
        </w:r>
      </w:hyperlink>
      <w:r>
        <w:rPr>
          <w:lang w:val="fr-FR"/>
        </w:rPr>
        <w:t xml:space="preserve"> et </w:t>
      </w:r>
      <w:hyperlink r:id="rId122" w:history="1">
        <w:r w:rsidRPr="009054A5">
          <w:rPr>
            <w:rStyle w:val="Lienhypertexte"/>
            <w:lang w:val="fr-FR"/>
          </w:rPr>
          <w:t>A/CN.4/739</w:t>
        </w:r>
      </w:hyperlink>
      <w:r>
        <w:rPr>
          <w:lang w:val="fr-FR"/>
        </w:rPr>
        <w:t>, respectivement.</w:t>
      </w:r>
    </w:p>
  </w:footnote>
  <w:footnote w:id="214">
    <w:p w14:paraId="3D680FD7" w14:textId="4A19AD11" w:rsidR="003F7DA4" w:rsidRPr="002D575F" w:rsidRDefault="003F7DA4" w:rsidP="003F7DA4">
      <w:pPr>
        <w:pStyle w:val="Notedebasdepage"/>
        <w:rPr>
          <w:lang w:val="fr-FR"/>
        </w:rPr>
      </w:pPr>
      <w:r>
        <w:rPr>
          <w:lang w:val="fr-FR"/>
        </w:rPr>
        <w:tab/>
      </w:r>
      <w:r w:rsidRPr="004E5805">
        <w:rPr>
          <w:rStyle w:val="Appelnotedebasdep"/>
        </w:rPr>
        <w:footnoteRef/>
      </w:r>
      <w:r>
        <w:rPr>
          <w:lang w:val="fr-FR"/>
        </w:rPr>
        <w:tab/>
      </w:r>
      <w:r>
        <w:rPr>
          <w:i/>
          <w:iCs/>
          <w:lang w:val="fr-FR"/>
        </w:rPr>
        <w:t>Documents officiels de l</w:t>
      </w:r>
      <w:r w:rsidR="004937A0">
        <w:rPr>
          <w:i/>
          <w:iCs/>
          <w:lang w:val="fr-FR"/>
        </w:rPr>
        <w:t>’</w:t>
      </w:r>
      <w:r>
        <w:rPr>
          <w:i/>
          <w:iCs/>
          <w:lang w:val="fr-FR"/>
        </w:rPr>
        <w:t>Assemblée générale, soixante-dix-septième session, Supplément n</w:t>
      </w:r>
      <w:r>
        <w:rPr>
          <w:i/>
          <w:iCs/>
          <w:vertAlign w:val="superscript"/>
          <w:lang w:val="fr-FR"/>
        </w:rPr>
        <w:t>o</w:t>
      </w:r>
      <w:r>
        <w:rPr>
          <w:i/>
          <w:iCs/>
          <w:lang w:val="fr-FR"/>
        </w:rPr>
        <w:t> 10</w:t>
      </w:r>
      <w:r>
        <w:rPr>
          <w:lang w:val="fr-FR"/>
        </w:rPr>
        <w:t xml:space="preserve"> (</w:t>
      </w:r>
      <w:hyperlink r:id="rId123" w:history="1">
        <w:r w:rsidRPr="009054A5">
          <w:rPr>
            <w:rStyle w:val="Lienhypertexte"/>
            <w:lang w:val="fr-FR"/>
          </w:rPr>
          <w:t>A/77/10</w:t>
        </w:r>
      </w:hyperlink>
      <w:r>
        <w:rPr>
          <w:lang w:val="fr-FR"/>
        </w:rPr>
        <w:t>), par. 64 et 65.</w:t>
      </w:r>
    </w:p>
  </w:footnote>
  <w:footnote w:id="215">
    <w:p w14:paraId="5C348C70" w14:textId="77777777"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Ibid., par. 66.</w:t>
      </w:r>
    </w:p>
  </w:footnote>
  <w:footnote w:id="216">
    <w:p w14:paraId="66FC7CA7" w14:textId="77777777" w:rsidR="003F7DA4" w:rsidRPr="002D575F" w:rsidRDefault="003F7DA4" w:rsidP="003F7DA4">
      <w:pPr>
        <w:pStyle w:val="Notedebasdepage"/>
        <w:rPr>
          <w:szCs w:val="18"/>
          <w:lang w:val="fr-FR"/>
        </w:rPr>
      </w:pPr>
      <w:r>
        <w:rPr>
          <w:szCs w:val="18"/>
          <w:lang w:val="fr-FR"/>
        </w:rPr>
        <w:tab/>
      </w:r>
      <w:r w:rsidRPr="004E5805">
        <w:rPr>
          <w:rStyle w:val="Appelnotedebasdep"/>
        </w:rPr>
        <w:footnoteRef/>
      </w:r>
      <w:r>
        <w:rPr>
          <w:lang w:val="fr-FR"/>
        </w:rPr>
        <w:tab/>
        <w:t xml:space="preserve">Ibid., </w:t>
      </w:r>
      <w:r>
        <w:rPr>
          <w:i/>
          <w:iCs/>
          <w:lang w:val="fr-FR"/>
        </w:rPr>
        <w:t>soixante-dix-huitième session, Supplément n</w:t>
      </w:r>
      <w:r>
        <w:rPr>
          <w:i/>
          <w:iCs/>
          <w:vertAlign w:val="superscript"/>
          <w:lang w:val="fr-FR"/>
        </w:rPr>
        <w:t>o</w:t>
      </w:r>
      <w:r>
        <w:rPr>
          <w:i/>
          <w:iCs/>
          <w:lang w:val="fr-FR"/>
        </w:rPr>
        <w:t> 10</w:t>
      </w:r>
      <w:r>
        <w:rPr>
          <w:lang w:val="fr-FR"/>
        </w:rPr>
        <w:t xml:space="preserve"> (</w:t>
      </w:r>
      <w:hyperlink r:id="rId124" w:history="1">
        <w:r w:rsidRPr="009054A5">
          <w:rPr>
            <w:rStyle w:val="Lienhypertexte"/>
            <w:lang w:val="fr-FR"/>
          </w:rPr>
          <w:t>A/78/10</w:t>
        </w:r>
      </w:hyperlink>
      <w:r>
        <w:rPr>
          <w:lang w:val="fr-FR"/>
        </w:rPr>
        <w:t>), par. 250.</w:t>
      </w:r>
    </w:p>
  </w:footnote>
  <w:footnote w:id="217">
    <w:p w14:paraId="7F46F5F2" w14:textId="3AD9E39F"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La déclaration de la Présidente peut être consultée sur le site Web de la Commission à l</w:t>
      </w:r>
      <w:r w:rsidR="004937A0">
        <w:rPr>
          <w:lang w:val="fr-FR"/>
        </w:rPr>
        <w:t>’</w:t>
      </w:r>
      <w:r>
        <w:rPr>
          <w:lang w:val="fr-FR"/>
        </w:rPr>
        <w:t xml:space="preserve">adresse suivante : </w:t>
      </w:r>
      <w:hyperlink r:id="rId125" w:history="1">
        <w:r w:rsidRPr="00AC6FAE">
          <w:rPr>
            <w:rStyle w:val="Lienhypertexte"/>
            <w:lang w:val="fr-FR"/>
          </w:rPr>
          <w:t>https://legal.un.org/ilc/guide/4_2.shtml</w:t>
        </w:r>
      </w:hyperlink>
      <w:r>
        <w:rPr>
          <w:lang w:val="fr-FR"/>
        </w:rPr>
        <w:t>.</w:t>
      </w:r>
    </w:p>
  </w:footnote>
  <w:footnote w:id="218">
    <w:p w14:paraId="6056389A" w14:textId="3C6B9A0C" w:rsidR="003F7DA4" w:rsidRPr="002D575F" w:rsidRDefault="003F7DA4" w:rsidP="003F7DA4">
      <w:pPr>
        <w:pStyle w:val="Notedebasdepage"/>
        <w:rPr>
          <w:lang w:val="fr-FR"/>
        </w:rPr>
      </w:pPr>
      <w:r>
        <w:rPr>
          <w:lang w:val="fr-FR"/>
        </w:rPr>
        <w:tab/>
      </w:r>
      <w:r w:rsidRPr="004E5805">
        <w:rPr>
          <w:rStyle w:val="Appelnotedebasdep"/>
        </w:rPr>
        <w:footnoteRef/>
      </w:r>
      <w:r>
        <w:rPr>
          <w:lang w:val="fr-FR"/>
        </w:rPr>
        <w:tab/>
      </w:r>
      <w:r>
        <w:rPr>
          <w:i/>
          <w:iCs/>
          <w:lang w:val="fr-FR"/>
        </w:rPr>
        <w:t>Annuaire</w:t>
      </w:r>
      <w:r w:rsidR="008D6C4B">
        <w:rPr>
          <w:i/>
          <w:iCs/>
          <w:lang w:val="fr-FR"/>
        </w:rPr>
        <w:t xml:space="preserve"> </w:t>
      </w:r>
      <w:r>
        <w:rPr>
          <w:i/>
          <w:iCs/>
          <w:lang w:val="fr-FR"/>
        </w:rPr>
        <w:t>…</w:t>
      </w:r>
      <w:r w:rsidR="008D6C4B">
        <w:rPr>
          <w:i/>
          <w:iCs/>
          <w:lang w:val="fr-FR"/>
        </w:rPr>
        <w:t xml:space="preserve"> </w:t>
      </w:r>
      <w:r>
        <w:rPr>
          <w:i/>
          <w:iCs/>
          <w:lang w:val="fr-FR"/>
        </w:rPr>
        <w:t>1949</w:t>
      </w:r>
      <w:r>
        <w:rPr>
          <w:lang w:val="fr-FR"/>
        </w:rPr>
        <w:t xml:space="preserve">, document </w:t>
      </w:r>
      <w:hyperlink r:id="rId126" w:history="1">
        <w:r w:rsidRPr="009054A5">
          <w:rPr>
            <w:rStyle w:val="Lienhypertexte"/>
            <w:lang w:val="fr-FR"/>
          </w:rPr>
          <w:t>A/925</w:t>
        </w:r>
      </w:hyperlink>
      <w:r>
        <w:rPr>
          <w:lang w:val="fr-FR"/>
        </w:rPr>
        <w:t>, part. II, art. II.</w:t>
      </w:r>
    </w:p>
  </w:footnote>
  <w:footnote w:id="219">
    <w:p w14:paraId="66C6572A" w14:textId="5FB216CE" w:rsidR="003F7DA4" w:rsidRPr="002D575F" w:rsidRDefault="003F7DA4" w:rsidP="003F7DA4">
      <w:pPr>
        <w:pStyle w:val="Notedebasdepage"/>
        <w:rPr>
          <w:lang w:val="fr-FR"/>
        </w:rPr>
      </w:pPr>
      <w:r>
        <w:rPr>
          <w:lang w:val="fr-FR"/>
        </w:rPr>
        <w:tab/>
      </w:r>
      <w:r w:rsidRPr="00C92339">
        <w:rPr>
          <w:rStyle w:val="Appelnotedebasdep"/>
        </w:rPr>
        <w:footnoteRef/>
      </w:r>
      <w:r w:rsidRPr="00C92339">
        <w:rPr>
          <w:lang w:val="fr-FR"/>
        </w:rPr>
        <w:tab/>
      </w:r>
      <w:r w:rsidRPr="00C92339">
        <w:rPr>
          <w:i/>
          <w:iCs/>
          <w:lang w:val="fr-FR"/>
        </w:rPr>
        <w:t>Annuaire</w:t>
      </w:r>
      <w:r w:rsidR="008D6C4B" w:rsidRPr="00C92339">
        <w:rPr>
          <w:i/>
          <w:iCs/>
          <w:lang w:val="fr-FR"/>
        </w:rPr>
        <w:t xml:space="preserve"> </w:t>
      </w:r>
      <w:r w:rsidRPr="00C92339">
        <w:rPr>
          <w:i/>
          <w:iCs/>
          <w:lang w:val="fr-FR"/>
        </w:rPr>
        <w:t>…</w:t>
      </w:r>
      <w:r w:rsidR="008D6C4B" w:rsidRPr="00C92339">
        <w:rPr>
          <w:i/>
          <w:iCs/>
          <w:lang w:val="fr-FR"/>
        </w:rPr>
        <w:t xml:space="preserve"> </w:t>
      </w:r>
      <w:r w:rsidRPr="00C92339">
        <w:rPr>
          <w:i/>
          <w:iCs/>
          <w:lang w:val="fr-FR"/>
        </w:rPr>
        <w:t>2011</w:t>
      </w:r>
      <w:r w:rsidRPr="00C92339">
        <w:rPr>
          <w:lang w:val="fr-FR"/>
        </w:rPr>
        <w:t>, vol. I, 3115</w:t>
      </w:r>
      <w:r w:rsidRPr="00C92339">
        <w:rPr>
          <w:vertAlign w:val="superscript"/>
          <w:lang w:val="fr-FR"/>
        </w:rPr>
        <w:t>e</w:t>
      </w:r>
      <w:r w:rsidRPr="008D6C4B">
        <w:rPr>
          <w:lang w:val="fr-FR"/>
        </w:rPr>
        <w:t> séance, par. 44.</w:t>
      </w:r>
    </w:p>
  </w:footnote>
  <w:footnote w:id="220">
    <w:p w14:paraId="620AE3B0" w14:textId="172E1FFE" w:rsidR="003F7DA4" w:rsidRPr="002D575F" w:rsidRDefault="003F7DA4" w:rsidP="003F7DA4">
      <w:pPr>
        <w:pStyle w:val="Notedebasdepage"/>
        <w:rPr>
          <w:rFonts w:asciiTheme="majorBidi" w:hAnsiTheme="majorBidi" w:cstheme="majorBidi"/>
          <w:szCs w:val="18"/>
          <w:lang w:val="fr-FR"/>
        </w:rPr>
      </w:pPr>
      <w:r>
        <w:rPr>
          <w:rFonts w:asciiTheme="majorBidi" w:hAnsiTheme="majorBidi" w:cstheme="majorBidi"/>
          <w:szCs w:val="18"/>
          <w:lang w:val="fr-FR"/>
        </w:rPr>
        <w:tab/>
      </w:r>
      <w:r w:rsidRPr="004E5805">
        <w:rPr>
          <w:rStyle w:val="Appelnotedebasdep"/>
        </w:rPr>
        <w:footnoteRef/>
      </w:r>
      <w:r>
        <w:rPr>
          <w:lang w:val="fr-FR"/>
        </w:rPr>
        <w:tab/>
      </w:r>
      <w:r>
        <w:rPr>
          <w:lang w:val="fr-FR"/>
        </w:rPr>
        <w:tab/>
      </w:r>
      <w:r>
        <w:rPr>
          <w:i/>
          <w:iCs/>
          <w:lang w:val="fr-FR"/>
        </w:rPr>
        <w:t>Mandat d</w:t>
      </w:r>
      <w:r w:rsidR="004937A0">
        <w:rPr>
          <w:i/>
          <w:iCs/>
          <w:lang w:val="fr-FR"/>
        </w:rPr>
        <w:t>’</w:t>
      </w:r>
      <w:r>
        <w:rPr>
          <w:i/>
          <w:iCs/>
          <w:lang w:val="fr-FR"/>
        </w:rPr>
        <w:t>arrêt du 11 avril 2000 (République démocratique du Congo c. Belgique), arrêt, C.I.J. Recueil 2002</w:t>
      </w:r>
      <w:r>
        <w:rPr>
          <w:lang w:val="fr-FR"/>
        </w:rPr>
        <w:t>, p. 3.</w:t>
      </w:r>
    </w:p>
  </w:footnote>
  <w:footnote w:id="221">
    <w:p w14:paraId="56CDB353" w14:textId="05451697" w:rsidR="003F7DA4" w:rsidRPr="002D575F" w:rsidRDefault="003F7DA4" w:rsidP="003F7DA4">
      <w:pPr>
        <w:pStyle w:val="Notedebasdepage"/>
        <w:rPr>
          <w:lang w:val="fr-FR"/>
        </w:rPr>
      </w:pPr>
      <w:r>
        <w:rPr>
          <w:lang w:val="fr-FR"/>
        </w:rPr>
        <w:tab/>
      </w:r>
      <w:r w:rsidRPr="004E5805">
        <w:rPr>
          <w:rStyle w:val="Appelnotedebasdep"/>
        </w:rPr>
        <w:footnoteRef/>
      </w:r>
      <w:r>
        <w:rPr>
          <w:lang w:val="fr-FR"/>
        </w:rPr>
        <w:tab/>
      </w:r>
      <w:r>
        <w:rPr>
          <w:i/>
          <w:iCs/>
          <w:lang w:val="fr-FR"/>
        </w:rPr>
        <w:t>Personnel diplomatique et consulaire des États-Unis à Téhéran (États-Unis d</w:t>
      </w:r>
      <w:r w:rsidR="004937A0">
        <w:rPr>
          <w:i/>
          <w:iCs/>
          <w:lang w:val="fr-FR"/>
        </w:rPr>
        <w:t>’</w:t>
      </w:r>
      <w:r>
        <w:rPr>
          <w:i/>
          <w:iCs/>
          <w:lang w:val="fr-FR"/>
        </w:rPr>
        <w:t>Amérique c. République islamique d</w:t>
      </w:r>
      <w:r w:rsidR="004937A0">
        <w:rPr>
          <w:i/>
          <w:iCs/>
          <w:lang w:val="fr-FR"/>
        </w:rPr>
        <w:t>’</w:t>
      </w:r>
      <w:r>
        <w:rPr>
          <w:i/>
          <w:iCs/>
          <w:lang w:val="fr-FR"/>
        </w:rPr>
        <w:t>Iran), arrêt, C.I.J. Recueil 1980</w:t>
      </w:r>
      <w:r>
        <w:rPr>
          <w:lang w:val="fr-FR"/>
        </w:rPr>
        <w:t>, p. 3.</w:t>
      </w:r>
    </w:p>
  </w:footnote>
  <w:footnote w:id="222">
    <w:p w14:paraId="2C654F92" w14:textId="5F8E2159"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 xml:space="preserve">Convention de Vienne sur les relations diplomatiques (Vienne, 18 avril 1961), Nations Unies, </w:t>
      </w:r>
      <w:r w:rsidRPr="006A590F">
        <w:rPr>
          <w:i/>
          <w:iCs/>
          <w:lang w:val="fr-FR"/>
        </w:rPr>
        <w:t>Recueil des Traités</w:t>
      </w:r>
      <w:r>
        <w:rPr>
          <w:lang w:val="fr-FR"/>
        </w:rPr>
        <w:t>, vol. 500, n</w:t>
      </w:r>
      <w:r>
        <w:rPr>
          <w:vertAlign w:val="superscript"/>
          <w:lang w:val="fr-FR"/>
        </w:rPr>
        <w:t>o</w:t>
      </w:r>
      <w:r>
        <w:rPr>
          <w:lang w:val="fr-FR"/>
        </w:rPr>
        <w:t> 7310, p. 95.</w:t>
      </w:r>
    </w:p>
  </w:footnote>
  <w:footnote w:id="223">
    <w:p w14:paraId="45AA5467" w14:textId="6AA23782"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 xml:space="preserve">Convention de Vienne sur le droit des traités (Vienne, 23 mai 1969), Nations Unies, </w:t>
      </w:r>
      <w:r w:rsidRPr="006A590F">
        <w:rPr>
          <w:i/>
          <w:iCs/>
          <w:lang w:val="fr-FR"/>
        </w:rPr>
        <w:t>Recueil des Traités</w:t>
      </w:r>
      <w:r>
        <w:rPr>
          <w:lang w:val="fr-FR"/>
        </w:rPr>
        <w:t>, vol. 1155, n</w:t>
      </w:r>
      <w:r>
        <w:rPr>
          <w:vertAlign w:val="superscript"/>
          <w:lang w:val="fr-FR"/>
        </w:rPr>
        <w:t>o</w:t>
      </w:r>
      <w:r>
        <w:rPr>
          <w:lang w:val="fr-FR"/>
        </w:rPr>
        <w:t xml:space="preserve"> 18232, p. 331. </w:t>
      </w:r>
    </w:p>
  </w:footnote>
  <w:footnote w:id="224">
    <w:p w14:paraId="3274CE62" w14:textId="41F20EED"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Voir Tribunal spécial pour la Sierra Leone, Chambre d</w:t>
      </w:r>
      <w:r w:rsidR="004937A0">
        <w:rPr>
          <w:lang w:val="fr-FR"/>
        </w:rPr>
        <w:t>’</w:t>
      </w:r>
      <w:r>
        <w:rPr>
          <w:lang w:val="fr-FR"/>
        </w:rPr>
        <w:t xml:space="preserve">appel, </w:t>
      </w:r>
      <w:r>
        <w:rPr>
          <w:i/>
          <w:iCs/>
          <w:lang w:val="fr-FR"/>
        </w:rPr>
        <w:t xml:space="preserve">Prosecutor v. Charles Ghankay Taylor </w:t>
      </w:r>
      <w:r>
        <w:rPr>
          <w:lang w:val="fr-FR"/>
        </w:rPr>
        <w:t>(affaire n</w:t>
      </w:r>
      <w:r>
        <w:rPr>
          <w:vertAlign w:val="superscript"/>
          <w:lang w:val="fr-FR"/>
        </w:rPr>
        <w:t>o</w:t>
      </w:r>
      <w:r>
        <w:rPr>
          <w:lang w:val="fr-FR"/>
        </w:rPr>
        <w:t xml:space="preserve"> SCSL-2003-01-I), </w:t>
      </w:r>
      <w:r w:rsidRPr="00102D83">
        <w:rPr>
          <w:i/>
          <w:iCs/>
          <w:lang w:val="fr-FR"/>
        </w:rPr>
        <w:t>Decision on Immunity from Jurisdiction</w:t>
      </w:r>
      <w:r>
        <w:rPr>
          <w:lang w:val="fr-FR"/>
        </w:rPr>
        <w:t>, 31 mai 2004, par. 37 à 42.</w:t>
      </w:r>
    </w:p>
  </w:footnote>
  <w:footnote w:id="225">
    <w:p w14:paraId="461E4CB5" w14:textId="46EC701A" w:rsidR="003F7DA4" w:rsidRPr="002D575F" w:rsidRDefault="003F7DA4" w:rsidP="003F7DA4">
      <w:pPr>
        <w:pStyle w:val="Notedebasdepage"/>
        <w:rPr>
          <w:lang w:val="fr-FR"/>
        </w:rPr>
      </w:pPr>
      <w:r>
        <w:rPr>
          <w:lang w:val="fr-FR"/>
        </w:rPr>
        <w:tab/>
      </w:r>
      <w:r w:rsidRPr="004E5805">
        <w:rPr>
          <w:rStyle w:val="Appelnotedebasdep"/>
        </w:rPr>
        <w:footnoteRef/>
      </w:r>
      <w:r>
        <w:rPr>
          <w:lang w:val="fr-FR"/>
        </w:rPr>
        <w:tab/>
        <w:t xml:space="preserve">Statut de Rome de la Cour pénale internationale (Rome, 17 juillet 1998), Nations Unies, </w:t>
      </w:r>
      <w:r w:rsidRPr="00566462">
        <w:rPr>
          <w:i/>
          <w:iCs/>
          <w:lang w:val="fr-FR"/>
        </w:rPr>
        <w:t xml:space="preserve">Recueil des </w:t>
      </w:r>
      <w:r>
        <w:rPr>
          <w:i/>
          <w:iCs/>
          <w:lang w:val="fr-FR"/>
        </w:rPr>
        <w:t>T</w:t>
      </w:r>
      <w:r w:rsidRPr="00566462">
        <w:rPr>
          <w:i/>
          <w:iCs/>
          <w:lang w:val="fr-FR"/>
        </w:rPr>
        <w:t>raités</w:t>
      </w:r>
      <w:r>
        <w:rPr>
          <w:lang w:val="fr-FR"/>
        </w:rPr>
        <w:t>, vol. 2187, n</w:t>
      </w:r>
      <w:r>
        <w:rPr>
          <w:vertAlign w:val="superscript"/>
          <w:lang w:val="fr-FR"/>
        </w:rPr>
        <w:t>o</w:t>
      </w:r>
      <w:r>
        <w:rPr>
          <w:lang w:val="fr-FR"/>
        </w:rPr>
        <w:t xml:space="preserve"> 38544, p. 3. </w:t>
      </w:r>
    </w:p>
  </w:footnote>
  <w:footnote w:id="226">
    <w:p w14:paraId="1371A40F" w14:textId="77957CEB" w:rsidR="003F7DA4" w:rsidRPr="00893793" w:rsidRDefault="003F7DA4" w:rsidP="003F7DA4">
      <w:pPr>
        <w:pStyle w:val="Notedebasdepage"/>
        <w:rPr>
          <w:lang w:val="fr-CA"/>
        </w:rPr>
      </w:pPr>
      <w:r>
        <w:rPr>
          <w:rFonts w:asciiTheme="majorBidi" w:hAnsiTheme="majorBidi" w:cstheme="majorBidi"/>
          <w:lang w:val="fr-FR"/>
        </w:rPr>
        <w:tab/>
      </w:r>
      <w:r w:rsidRPr="00C66B51">
        <w:rPr>
          <w:rStyle w:val="Appelnotedebasdep"/>
        </w:rPr>
        <w:footnoteRef/>
      </w:r>
      <w:r>
        <w:rPr>
          <w:lang w:val="fr-FR"/>
        </w:rPr>
        <w:tab/>
      </w:r>
      <w:r w:rsidRPr="00AC6FAE">
        <w:rPr>
          <w:i/>
          <w:iCs/>
          <w:lang w:val="fr-FR"/>
        </w:rPr>
        <w:tab/>
        <w:t>Certaines questions concernant l</w:t>
      </w:r>
      <w:r w:rsidR="004937A0">
        <w:rPr>
          <w:i/>
          <w:iCs/>
          <w:lang w:val="fr-FR"/>
        </w:rPr>
        <w:t>’</w:t>
      </w:r>
      <w:r w:rsidRPr="00AC6FAE">
        <w:rPr>
          <w:i/>
          <w:iCs/>
          <w:lang w:val="fr-FR"/>
        </w:rPr>
        <w:t>entraide judiciaire en matière pénale (Djibouti c. France), arrêt, C.I.J. Recueil 2008</w:t>
      </w:r>
      <w:r>
        <w:rPr>
          <w:lang w:val="fr-FR"/>
        </w:rPr>
        <w:t>, p. 177.</w:t>
      </w:r>
    </w:p>
  </w:footnote>
  <w:footnote w:id="227">
    <w:p w14:paraId="09AF80EF" w14:textId="3CE63DA8" w:rsidR="003F7DA4" w:rsidRPr="00893793" w:rsidRDefault="003F7DA4" w:rsidP="003F7DA4">
      <w:pPr>
        <w:pStyle w:val="Notedebasdepage"/>
        <w:rPr>
          <w:lang w:val="fr-CA"/>
        </w:rPr>
      </w:pPr>
      <w:r>
        <w:rPr>
          <w:lang w:val="fr-FR"/>
        </w:rPr>
        <w:tab/>
      </w:r>
      <w:r w:rsidRPr="00C66B51">
        <w:rPr>
          <w:rStyle w:val="Appelnotedebasdep"/>
        </w:rPr>
        <w:footnoteRef/>
      </w:r>
      <w:r>
        <w:rPr>
          <w:lang w:val="fr-FR"/>
        </w:rPr>
        <w:tab/>
        <w:t xml:space="preserve">Ibid., par. 196. </w:t>
      </w:r>
    </w:p>
  </w:footnote>
  <w:footnote w:id="228">
    <w:p w14:paraId="2CF20E1E" w14:textId="5DC59AAA" w:rsidR="003F7DA4" w:rsidRPr="00893793" w:rsidRDefault="003F7DA4" w:rsidP="003F7DA4">
      <w:pPr>
        <w:pStyle w:val="Notedebasdepage"/>
        <w:rPr>
          <w:rFonts w:asciiTheme="majorBidi" w:hAnsiTheme="majorBidi" w:cstheme="majorBidi"/>
          <w:szCs w:val="18"/>
          <w:lang w:val="fr-CA"/>
        </w:rPr>
      </w:pPr>
      <w:r>
        <w:rPr>
          <w:rFonts w:asciiTheme="majorBidi" w:hAnsiTheme="majorBidi" w:cstheme="majorBidi"/>
          <w:szCs w:val="18"/>
          <w:lang w:val="fr-FR"/>
        </w:rPr>
        <w:tab/>
      </w:r>
      <w:r w:rsidRPr="00C66B51">
        <w:rPr>
          <w:rStyle w:val="Appelnotedebasdep"/>
        </w:rPr>
        <w:footnoteRef/>
      </w:r>
      <w:r>
        <w:rPr>
          <w:lang w:val="fr-FR"/>
        </w:rPr>
        <w:tab/>
      </w:r>
      <w:r>
        <w:rPr>
          <w:lang w:val="fr-FR"/>
        </w:rPr>
        <w:tab/>
        <w:t xml:space="preserve">Voir </w:t>
      </w:r>
      <w:r w:rsidRPr="0076084F">
        <w:rPr>
          <w:i/>
          <w:iCs/>
          <w:lang w:val="fr-FR"/>
        </w:rPr>
        <w:t>supra</w:t>
      </w:r>
      <w:r>
        <w:rPr>
          <w:lang w:val="fr-FR"/>
        </w:rPr>
        <w:t xml:space="preserve"> la note </w:t>
      </w:r>
      <w:r w:rsidR="00B44441">
        <w:rPr>
          <w:lang w:val="fr-FR"/>
        </w:rPr>
        <w:fldChar w:fldCharType="begin"/>
      </w:r>
      <w:r w:rsidR="00B44441">
        <w:rPr>
          <w:lang w:val="fr-FR"/>
        </w:rPr>
        <w:instrText xml:space="preserve"> NOTEREF _Ref172881324 \h </w:instrText>
      </w:r>
      <w:r w:rsidR="00B44441">
        <w:rPr>
          <w:lang w:val="fr-FR"/>
        </w:rPr>
      </w:r>
      <w:r w:rsidR="00B44441">
        <w:rPr>
          <w:lang w:val="fr-FR"/>
        </w:rPr>
        <w:fldChar w:fldCharType="separate"/>
      </w:r>
      <w:r w:rsidR="00EC4FDE">
        <w:rPr>
          <w:lang w:val="fr-FR"/>
        </w:rPr>
        <w:t>219</w:t>
      </w:r>
      <w:r w:rsidR="00B44441">
        <w:rPr>
          <w:lang w:val="fr-FR"/>
        </w:rPr>
        <w:fldChar w:fldCharType="end"/>
      </w:r>
      <w:r>
        <w:rPr>
          <w:lang w:val="fr-FR"/>
        </w:rPr>
        <w:t>.</w:t>
      </w:r>
    </w:p>
  </w:footnote>
  <w:footnote w:id="229">
    <w:p w14:paraId="5D145EB4" w14:textId="140B4FCC" w:rsidR="003F7DA4" w:rsidRPr="00893793" w:rsidRDefault="003F7DA4" w:rsidP="003F7DA4">
      <w:pPr>
        <w:pStyle w:val="Notedebasdepage"/>
        <w:rPr>
          <w:rFonts w:asciiTheme="majorBidi" w:hAnsiTheme="majorBidi" w:cstheme="majorBidi"/>
          <w:szCs w:val="18"/>
          <w:lang w:val="fr-CA"/>
        </w:rPr>
      </w:pPr>
      <w:r>
        <w:rPr>
          <w:lang w:val="fr-FR"/>
        </w:rPr>
        <w:tab/>
      </w:r>
      <w:r w:rsidRPr="00C66B51">
        <w:rPr>
          <w:rStyle w:val="Appelnotedebasdep"/>
        </w:rPr>
        <w:footnoteRef/>
      </w:r>
      <w:r>
        <w:rPr>
          <w:lang w:val="fr-FR"/>
        </w:rPr>
        <w:tab/>
      </w:r>
      <w:r>
        <w:rPr>
          <w:lang w:val="fr-FR"/>
        </w:rPr>
        <w:tab/>
      </w:r>
      <w:r w:rsidRPr="00AC6FAE">
        <w:rPr>
          <w:i/>
          <w:iCs/>
          <w:lang w:val="fr-FR"/>
        </w:rPr>
        <w:t>Certaines questions concernant l</w:t>
      </w:r>
      <w:r w:rsidR="004937A0">
        <w:rPr>
          <w:i/>
          <w:iCs/>
          <w:lang w:val="fr-FR"/>
        </w:rPr>
        <w:t>’</w:t>
      </w:r>
      <w:r w:rsidRPr="00AC6FAE">
        <w:rPr>
          <w:i/>
          <w:iCs/>
          <w:lang w:val="fr-FR"/>
        </w:rPr>
        <w:t>entraide judiciaire en matière pénale (Djibouti c. France)</w:t>
      </w:r>
      <w:r>
        <w:rPr>
          <w:lang w:val="fr-FR"/>
        </w:rPr>
        <w:t xml:space="preserve"> (voir </w:t>
      </w:r>
      <w:r w:rsidRPr="0076084F">
        <w:rPr>
          <w:i/>
          <w:iCs/>
          <w:lang w:val="fr-FR"/>
        </w:rPr>
        <w:t>supra</w:t>
      </w:r>
      <w:r>
        <w:rPr>
          <w:lang w:val="fr-FR"/>
        </w:rPr>
        <w:t xml:space="preserve"> la note </w:t>
      </w:r>
      <w:r w:rsidR="00865A3F">
        <w:rPr>
          <w:lang w:val="fr-FR"/>
        </w:rPr>
        <w:fldChar w:fldCharType="begin"/>
      </w:r>
      <w:r w:rsidR="00865A3F">
        <w:rPr>
          <w:lang w:val="fr-FR"/>
        </w:rPr>
        <w:instrText xml:space="preserve"> NOTEREF _Ref172881370 \h </w:instrText>
      </w:r>
      <w:r w:rsidR="00865A3F">
        <w:rPr>
          <w:lang w:val="fr-FR"/>
        </w:rPr>
      </w:r>
      <w:r w:rsidR="00865A3F">
        <w:rPr>
          <w:lang w:val="fr-FR"/>
        </w:rPr>
        <w:fldChar w:fldCharType="separate"/>
      </w:r>
      <w:r w:rsidR="00EC4FDE">
        <w:rPr>
          <w:lang w:val="fr-FR"/>
        </w:rPr>
        <w:t>225</w:t>
      </w:r>
      <w:r w:rsidR="00865A3F">
        <w:rPr>
          <w:lang w:val="fr-FR"/>
        </w:rPr>
        <w:fldChar w:fldCharType="end"/>
      </w:r>
      <w:r>
        <w:rPr>
          <w:lang w:val="fr-FR"/>
        </w:rPr>
        <w:t>) par. 194 : « La Cour constate tout d</w:t>
      </w:r>
      <w:r w:rsidR="004937A0">
        <w:rPr>
          <w:lang w:val="fr-FR"/>
        </w:rPr>
        <w:t>’</w:t>
      </w:r>
      <w:r>
        <w:rPr>
          <w:lang w:val="fr-FR"/>
        </w:rPr>
        <w:t>abord qu</w:t>
      </w:r>
      <w:r w:rsidR="004937A0">
        <w:rPr>
          <w:lang w:val="fr-FR"/>
        </w:rPr>
        <w:t>’</w:t>
      </w:r>
      <w:r>
        <w:rPr>
          <w:lang w:val="fr-FR"/>
        </w:rPr>
        <w:t>il n</w:t>
      </w:r>
      <w:r w:rsidR="004937A0">
        <w:rPr>
          <w:lang w:val="fr-FR"/>
        </w:rPr>
        <w:t>’</w:t>
      </w:r>
      <w:r>
        <w:rPr>
          <w:lang w:val="fr-FR"/>
        </w:rPr>
        <w:t>existe en droit international aucune base permettant d</w:t>
      </w:r>
      <w:r w:rsidR="004937A0">
        <w:rPr>
          <w:lang w:val="fr-FR"/>
        </w:rPr>
        <w:t>’</w:t>
      </w:r>
      <w:r>
        <w:rPr>
          <w:lang w:val="fr-FR"/>
        </w:rPr>
        <w:t>affirmer que les fonctionnaires concernés [le procureur de la République et le chef de la sécurité nationale] étaient admis à bénéficier d</w:t>
      </w:r>
      <w:r w:rsidR="004937A0">
        <w:rPr>
          <w:lang w:val="fr-FR"/>
        </w:rPr>
        <w:t>’</w:t>
      </w:r>
      <w:r>
        <w:rPr>
          <w:lang w:val="fr-FR"/>
        </w:rPr>
        <w:t>immunités personnelles, étant donné qu</w:t>
      </w:r>
      <w:r w:rsidR="004937A0">
        <w:rPr>
          <w:lang w:val="fr-FR"/>
        </w:rPr>
        <w:t>’</w:t>
      </w:r>
      <w:r>
        <w:rPr>
          <w:lang w:val="fr-FR"/>
        </w:rPr>
        <w:t>il ne s</w:t>
      </w:r>
      <w:r w:rsidR="004937A0">
        <w:rPr>
          <w:lang w:val="fr-FR"/>
        </w:rPr>
        <w:t>’</w:t>
      </w:r>
      <w:r>
        <w:rPr>
          <w:lang w:val="fr-FR"/>
        </w:rPr>
        <w:t>agissait pas de diplomates au sens de la Convention de Vienne de 1961 sur les relations diplomatiques et que la Convention de 1969 sur les missions spéciales n</w:t>
      </w:r>
      <w:r w:rsidR="004937A0">
        <w:rPr>
          <w:lang w:val="fr-FR"/>
        </w:rPr>
        <w:t>’</w:t>
      </w:r>
      <w:r>
        <w:rPr>
          <w:lang w:val="fr-FR"/>
        </w:rPr>
        <w:t>est pas applicable en l</w:t>
      </w:r>
      <w:r w:rsidR="004937A0">
        <w:rPr>
          <w:lang w:val="fr-FR"/>
        </w:rPr>
        <w:t>’</w:t>
      </w:r>
      <w:r>
        <w:rPr>
          <w:lang w:val="fr-FR"/>
        </w:rPr>
        <w:t>espèce. ».</w:t>
      </w:r>
    </w:p>
  </w:footnote>
  <w:footnote w:id="230">
    <w:p w14:paraId="7181F601" w14:textId="6D72CDFB" w:rsidR="003F7DA4" w:rsidRPr="00893793" w:rsidRDefault="003F7DA4" w:rsidP="003F7DA4">
      <w:pPr>
        <w:pStyle w:val="Notedebasdepage"/>
        <w:rPr>
          <w:rFonts w:asciiTheme="majorBidi" w:hAnsiTheme="majorBidi" w:cstheme="majorBidi"/>
          <w:szCs w:val="18"/>
          <w:lang w:val="fr-CA"/>
        </w:rPr>
      </w:pPr>
      <w:r>
        <w:rPr>
          <w:lang w:val="fr-FR"/>
        </w:rPr>
        <w:tab/>
      </w:r>
      <w:r w:rsidRPr="00C66B51">
        <w:rPr>
          <w:rStyle w:val="Appelnotedebasdep"/>
        </w:rPr>
        <w:footnoteRef/>
      </w:r>
      <w:r>
        <w:rPr>
          <w:lang w:val="fr-FR"/>
        </w:rPr>
        <w:tab/>
      </w:r>
      <w:r w:rsidRPr="00AC6FAE">
        <w:rPr>
          <w:i/>
          <w:iCs/>
          <w:lang w:val="fr-FR"/>
        </w:rPr>
        <w:t>Mandat d</w:t>
      </w:r>
      <w:r w:rsidR="004937A0">
        <w:rPr>
          <w:i/>
          <w:iCs/>
          <w:lang w:val="fr-FR"/>
        </w:rPr>
        <w:t>’</w:t>
      </w:r>
      <w:r w:rsidRPr="00AC6FAE">
        <w:rPr>
          <w:i/>
          <w:iCs/>
          <w:lang w:val="fr-FR"/>
        </w:rPr>
        <w:t>arrêt</w:t>
      </w:r>
      <w:r>
        <w:rPr>
          <w:lang w:val="fr-FR"/>
        </w:rPr>
        <w:t xml:space="preserve"> (voir </w:t>
      </w:r>
      <w:r w:rsidRPr="0076084F">
        <w:rPr>
          <w:i/>
          <w:iCs/>
          <w:lang w:val="fr-FR"/>
        </w:rPr>
        <w:t>supra</w:t>
      </w:r>
      <w:r>
        <w:rPr>
          <w:lang w:val="fr-FR"/>
        </w:rPr>
        <w:t xml:space="preserve"> la note </w:t>
      </w:r>
      <w:r w:rsidR="00865A3F">
        <w:rPr>
          <w:lang w:val="fr-FR"/>
        </w:rPr>
        <w:fldChar w:fldCharType="begin"/>
      </w:r>
      <w:r w:rsidR="00865A3F">
        <w:rPr>
          <w:lang w:val="fr-FR"/>
        </w:rPr>
        <w:instrText xml:space="preserve"> NOTEREF _Ref172881324 \h </w:instrText>
      </w:r>
      <w:r w:rsidR="00865A3F">
        <w:rPr>
          <w:lang w:val="fr-FR"/>
        </w:rPr>
      </w:r>
      <w:r w:rsidR="00865A3F">
        <w:rPr>
          <w:lang w:val="fr-FR"/>
        </w:rPr>
        <w:fldChar w:fldCharType="separate"/>
      </w:r>
      <w:r w:rsidR="00EC4FDE">
        <w:rPr>
          <w:lang w:val="fr-FR"/>
        </w:rPr>
        <w:t>219</w:t>
      </w:r>
      <w:r w:rsidR="00865A3F">
        <w:rPr>
          <w:lang w:val="fr-FR"/>
        </w:rPr>
        <w:fldChar w:fldCharType="end"/>
      </w:r>
      <w:r>
        <w:rPr>
          <w:lang w:val="fr-FR"/>
        </w:rPr>
        <w:t>), par. 51 : « La Cour observera tout d</w:t>
      </w:r>
      <w:r w:rsidR="004937A0">
        <w:rPr>
          <w:lang w:val="fr-FR"/>
        </w:rPr>
        <w:t>’</w:t>
      </w:r>
      <w:r>
        <w:rPr>
          <w:lang w:val="fr-FR"/>
        </w:rPr>
        <w:t>abord qu</w:t>
      </w:r>
      <w:r w:rsidR="004937A0">
        <w:rPr>
          <w:lang w:val="fr-FR"/>
        </w:rPr>
        <w:t>’</w:t>
      </w:r>
      <w:r>
        <w:rPr>
          <w:lang w:val="fr-FR"/>
        </w:rPr>
        <w:t>il est clairement établi en droit international que, de même que les agents diplomatiques et consulaires, certaines personnes occupant un rang élevé dans l</w:t>
      </w:r>
      <w:r w:rsidR="004937A0">
        <w:rPr>
          <w:lang w:val="fr-FR"/>
        </w:rPr>
        <w:t>’</w:t>
      </w:r>
      <w:r>
        <w:rPr>
          <w:lang w:val="fr-FR"/>
        </w:rPr>
        <w:t>État, telles que le chef de l</w:t>
      </w:r>
      <w:r w:rsidR="004937A0">
        <w:rPr>
          <w:lang w:val="fr-FR"/>
        </w:rPr>
        <w:t>’</w:t>
      </w:r>
      <w:r>
        <w:rPr>
          <w:lang w:val="fr-FR"/>
        </w:rPr>
        <w:t>État, le chef du gouvernement ou le ministre des affaires étrangères, jouissent dans les autres États d</w:t>
      </w:r>
      <w:r w:rsidR="004937A0">
        <w:rPr>
          <w:lang w:val="fr-FR"/>
        </w:rPr>
        <w:t>’</w:t>
      </w:r>
      <w:r>
        <w:rPr>
          <w:lang w:val="fr-FR"/>
        </w:rPr>
        <w:t>immunités de juridiction, tant civiles que pénales</w:t>
      </w:r>
      <w:r w:rsidR="00865A3F">
        <w:rPr>
          <w:lang w:val="fr-FR"/>
        </w:rPr>
        <w:t>.</w:t>
      </w:r>
      <w:r>
        <w:rPr>
          <w:lang w:val="fr-FR"/>
        </w:rPr>
        <w:t xml:space="preserve"> ». </w:t>
      </w:r>
    </w:p>
  </w:footnote>
  <w:footnote w:id="231">
    <w:p w14:paraId="21C783AB" w14:textId="463BC472" w:rsidR="003F7DA4" w:rsidRPr="00893793" w:rsidRDefault="003F7DA4" w:rsidP="003F7DA4">
      <w:pPr>
        <w:pStyle w:val="Notedebasdepage"/>
        <w:rPr>
          <w:rFonts w:asciiTheme="majorBidi" w:hAnsiTheme="majorBidi" w:cstheme="majorBidi"/>
          <w:szCs w:val="18"/>
          <w:lang w:val="fr-CA"/>
        </w:rPr>
      </w:pPr>
      <w:r>
        <w:rPr>
          <w:rFonts w:asciiTheme="majorBidi" w:hAnsiTheme="majorBidi" w:cstheme="majorBidi"/>
          <w:szCs w:val="18"/>
          <w:lang w:val="fr-FR"/>
        </w:rPr>
        <w:tab/>
      </w:r>
      <w:r w:rsidRPr="00C66B51">
        <w:rPr>
          <w:rStyle w:val="Appelnotedebasdep"/>
        </w:rPr>
        <w:footnoteRef/>
      </w:r>
      <w:r>
        <w:rPr>
          <w:lang w:val="fr-FR"/>
        </w:rPr>
        <w:tab/>
      </w:r>
      <w:r>
        <w:rPr>
          <w:lang w:val="fr-FR"/>
        </w:rPr>
        <w:tab/>
      </w:r>
      <w:r w:rsidRPr="0076084F">
        <w:rPr>
          <w:lang w:val="fr-FR"/>
        </w:rPr>
        <w:t>Ibid.</w:t>
      </w:r>
    </w:p>
  </w:footnote>
  <w:footnote w:id="232">
    <w:p w14:paraId="7E1301F9" w14:textId="7DEC2772" w:rsidR="003F7DA4" w:rsidRPr="00893793" w:rsidRDefault="003F7DA4" w:rsidP="003F7DA4">
      <w:pPr>
        <w:pStyle w:val="Notedebasdepage"/>
        <w:rPr>
          <w:rFonts w:asciiTheme="majorBidi" w:hAnsiTheme="majorBidi" w:cstheme="majorBidi"/>
          <w:szCs w:val="18"/>
          <w:lang w:val="fr-CA"/>
        </w:rPr>
      </w:pPr>
      <w:r>
        <w:rPr>
          <w:rFonts w:asciiTheme="majorBidi" w:hAnsiTheme="majorBidi" w:cstheme="majorBidi"/>
          <w:szCs w:val="18"/>
          <w:lang w:val="fr-FR"/>
        </w:rPr>
        <w:tab/>
      </w:r>
      <w:r w:rsidRPr="00C66B51">
        <w:rPr>
          <w:rStyle w:val="Appelnotedebasdep"/>
        </w:rPr>
        <w:footnoteRef/>
      </w:r>
      <w:r>
        <w:rPr>
          <w:lang w:val="fr-FR"/>
        </w:rPr>
        <w:tab/>
      </w:r>
      <w:r>
        <w:rPr>
          <w:lang w:val="fr-FR"/>
        </w:rPr>
        <w:tab/>
        <w:t xml:space="preserve">Convention sur les missions spéciales (New York, 8 décembre 1969), Nations Unies, </w:t>
      </w:r>
      <w:r w:rsidRPr="00AC6FAE">
        <w:rPr>
          <w:i/>
          <w:iCs/>
          <w:lang w:val="fr-FR"/>
        </w:rPr>
        <w:t>Recueil des Traités</w:t>
      </w:r>
      <w:r>
        <w:rPr>
          <w:lang w:val="fr-FR"/>
        </w:rPr>
        <w:t>, vol. 1400, n</w:t>
      </w:r>
      <w:r w:rsidRPr="00AC6FAE">
        <w:rPr>
          <w:vertAlign w:val="superscript"/>
          <w:lang w:val="fr-FR"/>
        </w:rPr>
        <w:t>o</w:t>
      </w:r>
      <w:r>
        <w:t> </w:t>
      </w:r>
      <w:r>
        <w:rPr>
          <w:lang w:val="fr-FR"/>
        </w:rPr>
        <w:t xml:space="preserve">23431, p. 231. </w:t>
      </w:r>
    </w:p>
  </w:footnote>
  <w:footnote w:id="233">
    <w:p w14:paraId="3A3F98E8" w14:textId="5A5288E2" w:rsidR="003F7DA4" w:rsidRPr="00893793" w:rsidRDefault="003F7DA4" w:rsidP="003F7DA4">
      <w:pPr>
        <w:pStyle w:val="Notedebasdepage"/>
        <w:rPr>
          <w:rFonts w:asciiTheme="majorBidi" w:hAnsiTheme="majorBidi" w:cstheme="majorBidi"/>
          <w:szCs w:val="18"/>
          <w:lang w:val="fr-CA"/>
        </w:rPr>
      </w:pPr>
      <w:r>
        <w:rPr>
          <w:rFonts w:asciiTheme="majorBidi" w:hAnsiTheme="majorBidi" w:cstheme="majorBidi"/>
          <w:szCs w:val="18"/>
          <w:lang w:val="fr-FR"/>
        </w:rPr>
        <w:tab/>
      </w:r>
      <w:r w:rsidRPr="00C66B51">
        <w:rPr>
          <w:rStyle w:val="Appelnotedebasdep"/>
        </w:rPr>
        <w:footnoteRef/>
      </w:r>
      <w:r>
        <w:rPr>
          <w:lang w:val="fr-FR"/>
        </w:rPr>
        <w:tab/>
      </w:r>
      <w:r>
        <w:rPr>
          <w:lang w:val="fr-FR"/>
        </w:rPr>
        <w:tab/>
        <w:t>Cour interaméricaine des droits de l</w:t>
      </w:r>
      <w:r w:rsidR="004937A0">
        <w:rPr>
          <w:lang w:val="fr-FR"/>
        </w:rPr>
        <w:t>’</w:t>
      </w:r>
      <w:r>
        <w:rPr>
          <w:lang w:val="fr-FR"/>
        </w:rPr>
        <w:t xml:space="preserve">homme, avis </w:t>
      </w:r>
      <w:r w:rsidRPr="00865A3F">
        <w:rPr>
          <w:lang w:val="fr-FR"/>
        </w:rPr>
        <w:t>consultatif OC-2</w:t>
      </w:r>
      <w:r w:rsidR="00865A3F" w:rsidRPr="00865A3F">
        <w:rPr>
          <w:lang w:val="fr-FR"/>
        </w:rPr>
        <w:t>8</w:t>
      </w:r>
      <w:r w:rsidRPr="00865A3F">
        <w:rPr>
          <w:lang w:val="fr-FR"/>
        </w:rPr>
        <w:t>/</w:t>
      </w:r>
      <w:r w:rsidR="00865A3F" w:rsidRPr="00865A3F">
        <w:rPr>
          <w:lang w:val="fr-FR"/>
        </w:rPr>
        <w:t>21</w:t>
      </w:r>
      <w:r w:rsidRPr="00865A3F">
        <w:rPr>
          <w:lang w:val="fr-FR"/>
        </w:rPr>
        <w:t>, 7</w:t>
      </w:r>
      <w:r>
        <w:rPr>
          <w:lang w:val="fr-FR"/>
        </w:rPr>
        <w:t> juin 2021, série A, n</w:t>
      </w:r>
      <w:r w:rsidRPr="00AC6FAE">
        <w:rPr>
          <w:vertAlign w:val="superscript"/>
          <w:lang w:val="fr-FR"/>
        </w:rPr>
        <w:t>o</w:t>
      </w:r>
      <w:r>
        <w:rPr>
          <w:lang w:val="fr-FR"/>
        </w:rPr>
        <w:t xml:space="preserve"> 28. </w:t>
      </w:r>
    </w:p>
  </w:footnote>
  <w:footnote w:id="234">
    <w:p w14:paraId="34D9C20A" w14:textId="6D9D022A" w:rsidR="003F7DA4" w:rsidRPr="00893793" w:rsidRDefault="003F7DA4" w:rsidP="003F7DA4">
      <w:pPr>
        <w:pStyle w:val="Notedebasdepage"/>
        <w:rPr>
          <w:lang w:val="fr-CA"/>
        </w:rPr>
      </w:pPr>
      <w:r>
        <w:rPr>
          <w:lang w:val="fr-FR"/>
        </w:rPr>
        <w:tab/>
      </w:r>
      <w:r w:rsidRPr="00C66B51">
        <w:rPr>
          <w:rStyle w:val="Appelnotedebasdep"/>
        </w:rPr>
        <w:footnoteRef/>
      </w:r>
      <w:r>
        <w:rPr>
          <w:lang w:val="fr-FR"/>
        </w:rPr>
        <w:tab/>
        <w:t xml:space="preserve">Convention des Nations Unies sur les immunités juridictionnelles des États et de leurs biens (New York, 2 décembre 2004), </w:t>
      </w:r>
      <w:r w:rsidRPr="00B92492">
        <w:rPr>
          <w:i/>
          <w:iCs/>
          <w:lang w:val="fr-FR"/>
        </w:rPr>
        <w:t>Documents officiels de l</w:t>
      </w:r>
      <w:r w:rsidR="004937A0">
        <w:rPr>
          <w:i/>
          <w:iCs/>
          <w:lang w:val="fr-FR"/>
        </w:rPr>
        <w:t>’</w:t>
      </w:r>
      <w:r w:rsidRPr="00B92492">
        <w:rPr>
          <w:i/>
          <w:iCs/>
          <w:lang w:val="fr-FR"/>
        </w:rPr>
        <w:t>Assemblée générale, cinquante-neuvième session, Supplément n</w:t>
      </w:r>
      <w:r w:rsidRPr="00B92492">
        <w:rPr>
          <w:i/>
          <w:iCs/>
          <w:vertAlign w:val="superscript"/>
          <w:lang w:val="fr-FR"/>
        </w:rPr>
        <w:t>o</w:t>
      </w:r>
      <w:r>
        <w:rPr>
          <w:i/>
          <w:iCs/>
          <w:lang w:val="fr-FR"/>
        </w:rPr>
        <w:t> </w:t>
      </w:r>
      <w:r w:rsidRPr="00B92492">
        <w:rPr>
          <w:i/>
          <w:iCs/>
          <w:lang w:val="fr-FR"/>
        </w:rPr>
        <w:t>49</w:t>
      </w:r>
      <w:r>
        <w:rPr>
          <w:lang w:val="fr-FR"/>
        </w:rPr>
        <w:t xml:space="preserve"> (</w:t>
      </w:r>
      <w:hyperlink r:id="rId127" w:history="1">
        <w:r w:rsidRPr="00B92492">
          <w:rPr>
            <w:rStyle w:val="Lienhypertexte"/>
            <w:lang w:val="fr-FR"/>
          </w:rPr>
          <w:t>A/59/49</w:t>
        </w:r>
      </w:hyperlink>
      <w:r>
        <w:rPr>
          <w:lang w:val="fr-FR"/>
        </w:rPr>
        <w:t xml:space="preserve">), vol. I, résolution </w:t>
      </w:r>
      <w:hyperlink r:id="rId128" w:history="1">
        <w:r w:rsidRPr="00865A3F">
          <w:rPr>
            <w:rStyle w:val="Lienhypertexte"/>
            <w:lang w:val="fr-FR"/>
          </w:rPr>
          <w:t>59/38</w:t>
        </w:r>
      </w:hyperlink>
      <w:r>
        <w:rPr>
          <w:lang w:val="fr-FR"/>
        </w:rPr>
        <w:t xml:space="preserve">, annexe. </w:t>
      </w:r>
    </w:p>
  </w:footnote>
  <w:footnote w:id="235">
    <w:p w14:paraId="20F5D798" w14:textId="45E6BE58" w:rsidR="003F7DA4" w:rsidRPr="00893793" w:rsidRDefault="003F7DA4" w:rsidP="003F7DA4">
      <w:pPr>
        <w:pStyle w:val="Notedebasdepage"/>
        <w:rPr>
          <w:rFonts w:asciiTheme="majorBidi" w:hAnsiTheme="majorBidi" w:cstheme="majorBidi"/>
          <w:szCs w:val="18"/>
          <w:lang w:val="fr-CA"/>
        </w:rPr>
      </w:pPr>
      <w:r>
        <w:rPr>
          <w:rFonts w:asciiTheme="majorBidi" w:hAnsiTheme="majorBidi" w:cstheme="majorBidi"/>
          <w:szCs w:val="18"/>
          <w:lang w:val="fr-FR"/>
        </w:rPr>
        <w:tab/>
      </w:r>
      <w:r w:rsidRPr="00C66B51">
        <w:rPr>
          <w:rStyle w:val="Appelnotedebasdep"/>
        </w:rPr>
        <w:footnoteRef/>
      </w:r>
      <w:r>
        <w:rPr>
          <w:lang w:val="fr-FR"/>
        </w:rPr>
        <w:tab/>
        <w:t>Déclaration du Président du Comité de rédaction à la soixante-treizième session de la Commission du droit international, 3 juin 2022, p. 6 et 7, disponible à l</w:t>
      </w:r>
      <w:r w:rsidR="004937A0">
        <w:rPr>
          <w:lang w:val="fr-FR"/>
        </w:rPr>
        <w:t>’</w:t>
      </w:r>
      <w:r>
        <w:rPr>
          <w:lang w:val="fr-FR"/>
        </w:rPr>
        <w:t xml:space="preserve">adresse suivante : </w:t>
      </w:r>
      <w:hyperlink r:id="rId129" w:history="1">
        <w:r w:rsidRPr="008E2BE7">
          <w:rPr>
            <w:rStyle w:val="Lienhypertexte"/>
            <w:lang w:val="fr-FR"/>
          </w:rPr>
          <w:t>https://legal.un.org/ilc/documentation/english/statements/2022_dc_chair_statement_iso.pdf</w:t>
        </w:r>
      </w:hyperlink>
      <w:r>
        <w:rPr>
          <w:lang w:val="fr-FR"/>
        </w:rPr>
        <w:t xml:space="preserve">. </w:t>
      </w:r>
    </w:p>
  </w:footnote>
  <w:footnote w:id="236">
    <w:p w14:paraId="0FD8F240" w14:textId="77777777" w:rsidR="00C979F6" w:rsidRPr="0039590A" w:rsidRDefault="00C979F6" w:rsidP="00C979F6">
      <w:pPr>
        <w:pStyle w:val="Notedebasdepage"/>
        <w:rPr>
          <w:sz w:val="17"/>
          <w:szCs w:val="17"/>
          <w:lang w:val="fr-CA"/>
        </w:rPr>
      </w:pPr>
      <w:r>
        <w:rPr>
          <w:lang w:val="fr-FR"/>
        </w:rPr>
        <w:tab/>
      </w:r>
      <w:r w:rsidRPr="0039590A">
        <w:rPr>
          <w:rStyle w:val="Appelnotedebasdep"/>
        </w:rPr>
        <w:footnoteRef/>
      </w:r>
      <w:r w:rsidRPr="0039590A">
        <w:rPr>
          <w:lang w:val="fr-FR"/>
        </w:rPr>
        <w:tab/>
        <w:t>À sa 3656</w:t>
      </w:r>
      <w:r w:rsidRPr="0039590A">
        <w:rPr>
          <w:vertAlign w:val="superscript"/>
          <w:lang w:val="fr-FR"/>
        </w:rPr>
        <w:t>e</w:t>
      </w:r>
      <w:r w:rsidRPr="0039590A">
        <w:rPr>
          <w:lang w:val="fr-FR"/>
        </w:rPr>
        <w:t> séance, le 4 août 2023. La Commission avait inscrit le sujet à son programme de travail à long terme à sa soixante-treizième session (2022), sur la base de la proposition annexée à son rapport sur les travaux de cette session (</w:t>
      </w:r>
      <w:r w:rsidRPr="0039590A">
        <w:rPr>
          <w:i/>
          <w:iCs/>
          <w:lang w:val="fr-FR"/>
        </w:rPr>
        <w:t xml:space="preserve">Documents officiels de l’Assemblée générale, soixante-dix-septième session, Supplément </w:t>
      </w:r>
      <w:r w:rsidRPr="0039590A">
        <w:rPr>
          <w:rFonts w:eastAsia="MS Mincho"/>
          <w:i/>
          <w:iCs/>
          <w:lang w:val="fr-FR"/>
        </w:rPr>
        <w:t>n</w:t>
      </w:r>
      <w:r w:rsidRPr="0039590A">
        <w:rPr>
          <w:rFonts w:eastAsia="MS Mincho"/>
          <w:i/>
          <w:iCs/>
          <w:vertAlign w:val="superscript"/>
          <w:lang w:val="fr-FR"/>
        </w:rPr>
        <w:t>o</w:t>
      </w:r>
      <w:r w:rsidRPr="0039590A">
        <w:rPr>
          <w:i/>
          <w:iCs/>
          <w:lang w:val="fr-FR"/>
        </w:rPr>
        <w:t xml:space="preserve"> 10 </w:t>
      </w:r>
      <w:r w:rsidRPr="0039590A">
        <w:rPr>
          <w:lang w:val="fr-FR"/>
        </w:rPr>
        <w:t>(</w:t>
      </w:r>
      <w:hyperlink r:id="rId130" w:history="1">
        <w:r w:rsidRPr="0039590A">
          <w:rPr>
            <w:rStyle w:val="Lienhypertexte"/>
            <w:lang w:val="fr-FR"/>
          </w:rPr>
          <w:t>A/77/10</w:t>
        </w:r>
      </w:hyperlink>
      <w:r w:rsidRPr="0039590A">
        <w:rPr>
          <w:lang w:val="fr-FR"/>
        </w:rPr>
        <w:t>), annexe I).</w:t>
      </w:r>
    </w:p>
  </w:footnote>
  <w:footnote w:id="237">
    <w:p w14:paraId="10D247FC" w14:textId="77777777" w:rsidR="00C979F6" w:rsidRPr="0039590A" w:rsidRDefault="00C979F6" w:rsidP="00C979F6">
      <w:pPr>
        <w:pStyle w:val="Notedebasdepage"/>
        <w:rPr>
          <w:lang w:val="fr-CA"/>
        </w:rPr>
      </w:pPr>
      <w:r w:rsidRPr="0039590A">
        <w:rPr>
          <w:lang w:val="fr-FR"/>
        </w:rPr>
        <w:tab/>
      </w:r>
      <w:r w:rsidRPr="0039590A">
        <w:rPr>
          <w:rStyle w:val="Appelnotedebasdep"/>
        </w:rPr>
        <w:footnoteRef/>
      </w:r>
      <w:r w:rsidRPr="0039590A">
        <w:rPr>
          <w:lang w:val="fr-FR"/>
        </w:rPr>
        <w:tab/>
        <w:t xml:space="preserve">Convention de Vienne sur le droit des traités (Vienne, 23 mai 1969), Nations Unies, </w:t>
      </w:r>
      <w:r w:rsidRPr="0039590A">
        <w:rPr>
          <w:i/>
          <w:iCs/>
          <w:lang w:val="fr-FR"/>
        </w:rPr>
        <w:t>Recueil des Traités</w:t>
      </w:r>
      <w:r w:rsidRPr="0039590A">
        <w:rPr>
          <w:lang w:val="fr-FR"/>
        </w:rPr>
        <w:t xml:space="preserve">, vol. 1155, </w:t>
      </w:r>
      <w:r w:rsidRPr="0039590A">
        <w:rPr>
          <w:rFonts w:eastAsia="MS Mincho"/>
          <w:lang w:val="fr-FR"/>
        </w:rPr>
        <w:t>n</w:t>
      </w:r>
      <w:r w:rsidRPr="0039590A">
        <w:rPr>
          <w:rFonts w:eastAsia="MS Mincho"/>
          <w:vertAlign w:val="superscript"/>
          <w:lang w:val="fr-FR"/>
        </w:rPr>
        <w:t>o</w:t>
      </w:r>
      <w:r w:rsidRPr="0039590A">
        <w:rPr>
          <w:lang w:val="fr-FR"/>
        </w:rPr>
        <w:t xml:space="preserve"> 18232, p. 331. </w:t>
      </w:r>
    </w:p>
  </w:footnote>
  <w:footnote w:id="238">
    <w:p w14:paraId="6E205401" w14:textId="77DE3486" w:rsidR="00C979F6" w:rsidRPr="0039590A" w:rsidRDefault="00C979F6" w:rsidP="00C979F6">
      <w:pPr>
        <w:pStyle w:val="Notedebasdepage"/>
        <w:rPr>
          <w:sz w:val="17"/>
          <w:szCs w:val="17"/>
        </w:rPr>
      </w:pPr>
      <w:r w:rsidRPr="0039590A">
        <w:rPr>
          <w:lang w:val="fr-FR"/>
        </w:rPr>
        <w:tab/>
      </w:r>
      <w:r w:rsidRPr="0039590A">
        <w:rPr>
          <w:rStyle w:val="Appelnotedebasdep"/>
        </w:rPr>
        <w:footnoteRef/>
      </w:r>
      <w:r w:rsidRPr="0039590A">
        <w:rPr>
          <w:lang w:val="fr-FR"/>
        </w:rPr>
        <w:tab/>
        <w:t xml:space="preserve">Par. 2 du commentaire de la conclusion 12 des conclusions sur la détermination du droit international coutumier, </w:t>
      </w:r>
      <w:r w:rsidRPr="0039590A">
        <w:rPr>
          <w:i/>
          <w:iCs/>
          <w:lang w:val="fr-FR"/>
        </w:rPr>
        <w:t xml:space="preserve">Documents officiels de l’Assemblée générale, </w:t>
      </w:r>
      <w:r w:rsidRPr="00632FB9">
        <w:rPr>
          <w:i/>
          <w:iCs/>
          <w:lang w:val="fr-FR"/>
        </w:rPr>
        <w:t>soixante-</w:t>
      </w:r>
      <w:r w:rsidR="00632FB9" w:rsidRPr="00632FB9">
        <w:rPr>
          <w:i/>
          <w:iCs/>
          <w:lang w:val="fr-FR"/>
        </w:rPr>
        <w:t>dixième</w:t>
      </w:r>
      <w:r w:rsidRPr="00632FB9">
        <w:rPr>
          <w:i/>
          <w:iCs/>
          <w:lang w:val="fr-FR"/>
        </w:rPr>
        <w:t xml:space="preserve"> session,</w:t>
      </w:r>
      <w:r w:rsidRPr="0039590A">
        <w:rPr>
          <w:i/>
          <w:iCs/>
          <w:lang w:val="fr-FR"/>
        </w:rPr>
        <w:t xml:space="preserve"> Supplément </w:t>
      </w:r>
      <w:r w:rsidRPr="0039590A">
        <w:rPr>
          <w:rFonts w:eastAsia="MS Mincho"/>
          <w:i/>
          <w:iCs/>
          <w:lang w:val="fr-FR"/>
        </w:rPr>
        <w:t>n</w:t>
      </w:r>
      <w:r w:rsidRPr="0039590A">
        <w:rPr>
          <w:rFonts w:eastAsia="MS Mincho"/>
          <w:i/>
          <w:iCs/>
          <w:vertAlign w:val="superscript"/>
          <w:lang w:val="fr-FR"/>
        </w:rPr>
        <w:t>o</w:t>
      </w:r>
      <w:r w:rsidRPr="0039590A">
        <w:rPr>
          <w:i/>
          <w:iCs/>
          <w:lang w:val="fr-FR"/>
        </w:rPr>
        <w:t xml:space="preserve"> 10 </w:t>
      </w:r>
      <w:r w:rsidRPr="0039590A">
        <w:rPr>
          <w:lang w:val="fr-FR"/>
        </w:rPr>
        <w:t>(</w:t>
      </w:r>
      <w:hyperlink r:id="rId131" w:history="1">
        <w:r w:rsidRPr="0039590A">
          <w:rPr>
            <w:rStyle w:val="Lienhypertexte"/>
            <w:lang w:val="fr-FR"/>
          </w:rPr>
          <w:t>A/73/10</w:t>
        </w:r>
      </w:hyperlink>
      <w:r w:rsidRPr="0039590A">
        <w:rPr>
          <w:lang w:val="fr-FR"/>
        </w:rPr>
        <w:t>), par. 66.</w:t>
      </w:r>
    </w:p>
  </w:footnote>
  <w:footnote w:id="239">
    <w:p w14:paraId="694392D0" w14:textId="02E9BC23" w:rsidR="00C979F6" w:rsidRPr="00632FB9" w:rsidRDefault="00C979F6" w:rsidP="00C979F6">
      <w:pPr>
        <w:pStyle w:val="Notedebasdepage"/>
        <w:rPr>
          <w:sz w:val="17"/>
          <w:szCs w:val="17"/>
        </w:rPr>
      </w:pPr>
      <w:r w:rsidRPr="00632FB9">
        <w:rPr>
          <w:lang w:val="fr-FR"/>
        </w:rPr>
        <w:tab/>
      </w:r>
      <w:r w:rsidRPr="00632FB9">
        <w:rPr>
          <w:rStyle w:val="Appelnotedebasdep"/>
        </w:rPr>
        <w:footnoteRef/>
      </w:r>
      <w:r w:rsidRPr="00632FB9">
        <w:rPr>
          <w:lang w:val="fr-FR"/>
        </w:rPr>
        <w:tab/>
        <w:t xml:space="preserve">Par. 3 du commentaire du projet de conclusion 7 sur les principes généraux du droit, </w:t>
      </w:r>
      <w:r w:rsidRPr="00632FB9">
        <w:rPr>
          <w:i/>
          <w:iCs/>
          <w:lang w:val="fr-FR"/>
        </w:rPr>
        <w:t xml:space="preserve">Documents officiels de l’Assemblée générale, soixante-dix-huitième session, Supplément </w:t>
      </w:r>
      <w:r w:rsidRPr="00632FB9">
        <w:rPr>
          <w:rFonts w:eastAsia="MS Mincho"/>
          <w:i/>
          <w:iCs/>
          <w:lang w:val="fr-FR"/>
        </w:rPr>
        <w:t>n</w:t>
      </w:r>
      <w:r w:rsidRPr="00632FB9">
        <w:rPr>
          <w:rFonts w:eastAsia="MS Mincho"/>
          <w:i/>
          <w:iCs/>
          <w:vertAlign w:val="superscript"/>
          <w:lang w:val="fr-FR"/>
        </w:rPr>
        <w:t>o</w:t>
      </w:r>
      <w:r w:rsidRPr="00632FB9">
        <w:rPr>
          <w:i/>
          <w:iCs/>
          <w:lang w:val="fr-FR"/>
        </w:rPr>
        <w:t> 10</w:t>
      </w:r>
      <w:r w:rsidRPr="00632FB9">
        <w:rPr>
          <w:lang w:val="fr-FR"/>
        </w:rPr>
        <w:t xml:space="preserve"> (</w:t>
      </w:r>
      <w:hyperlink r:id="rId132" w:history="1">
        <w:r w:rsidRPr="00632FB9">
          <w:rPr>
            <w:rStyle w:val="Lienhypertexte"/>
            <w:lang w:val="fr-FR"/>
          </w:rPr>
          <w:t>A/78/10</w:t>
        </w:r>
      </w:hyperlink>
      <w:r w:rsidRPr="00632FB9">
        <w:rPr>
          <w:lang w:val="fr-FR"/>
        </w:rPr>
        <w:t>), par. 41, à la page 23.</w:t>
      </w:r>
    </w:p>
  </w:footnote>
  <w:footnote w:id="240">
    <w:p w14:paraId="6064177E" w14:textId="77777777" w:rsidR="00C979F6" w:rsidRPr="00890F0F" w:rsidRDefault="00C979F6" w:rsidP="00C979F6">
      <w:pPr>
        <w:pStyle w:val="Notedebasdepage"/>
        <w:rPr>
          <w:sz w:val="17"/>
          <w:szCs w:val="17"/>
        </w:rPr>
      </w:pPr>
      <w:r w:rsidRPr="00632FB9">
        <w:rPr>
          <w:lang w:val="fr-FR"/>
        </w:rPr>
        <w:tab/>
      </w:r>
      <w:r w:rsidRPr="00632FB9">
        <w:rPr>
          <w:rStyle w:val="Appelnotedebasdep"/>
        </w:rPr>
        <w:footnoteRef/>
      </w:r>
      <w:r w:rsidRPr="00632FB9">
        <w:rPr>
          <w:lang w:val="fr-FR"/>
        </w:rPr>
        <w:tab/>
        <w:t xml:space="preserve">Directive 6 du Guide de l’application à titre provisoire des traités, résolution </w:t>
      </w:r>
      <w:hyperlink r:id="rId133" w:history="1">
        <w:r w:rsidRPr="00632FB9">
          <w:rPr>
            <w:rStyle w:val="Lienhypertexte"/>
            <w:lang w:val="fr-FR"/>
          </w:rPr>
          <w:t>76/113</w:t>
        </w:r>
      </w:hyperlink>
      <w:r w:rsidRPr="00632FB9">
        <w:rPr>
          <w:lang w:val="fr-FR"/>
        </w:rPr>
        <w:t xml:space="preserve"> de l’Assemblée générale, en date du 9 décembre 2021, annexe.</w:t>
      </w:r>
    </w:p>
  </w:footnote>
  <w:footnote w:id="241">
    <w:p w14:paraId="49FBD804" w14:textId="465D262C" w:rsidR="00737BD1" w:rsidRPr="00632FB9" w:rsidRDefault="00737BD1" w:rsidP="00E9227E">
      <w:pPr>
        <w:pStyle w:val="Notedebasdepage"/>
      </w:pPr>
      <w:r w:rsidRPr="004C5E26">
        <w:tab/>
      </w:r>
      <w:r w:rsidRPr="00632FB9">
        <w:rPr>
          <w:rStyle w:val="Appelnotedebasdep"/>
        </w:rPr>
        <w:footnoteRef/>
      </w:r>
      <w:r w:rsidRPr="00632FB9">
        <w:rPr>
          <w:lang w:val="fr-FR"/>
        </w:rPr>
        <w:tab/>
        <w:t>À sa 3354</w:t>
      </w:r>
      <w:r w:rsidRPr="00632FB9">
        <w:rPr>
          <w:vertAlign w:val="superscript"/>
          <w:lang w:val="fr-FR"/>
        </w:rPr>
        <w:t>e</w:t>
      </w:r>
      <w:r w:rsidRPr="00632FB9">
        <w:rPr>
          <w:lang w:val="fr-FR"/>
        </w:rPr>
        <w:t> séance, le 9 mai 2017. Le sujet avait été inscrit au programme de travail à long terme de la Commission à sa soixante-huitième session (2016), sur la base de la proposition reproduite à l</w:t>
      </w:r>
      <w:r w:rsidR="004937A0" w:rsidRPr="00632FB9">
        <w:rPr>
          <w:lang w:val="fr-FR"/>
        </w:rPr>
        <w:t>’</w:t>
      </w:r>
      <w:r w:rsidRPr="00632FB9">
        <w:rPr>
          <w:lang w:val="fr-FR"/>
        </w:rPr>
        <w:t>annexe B du rapport de la Commission (</w:t>
      </w:r>
      <w:r w:rsidRPr="00632FB9">
        <w:rPr>
          <w:i/>
          <w:iCs/>
          <w:lang w:val="fr-FR"/>
        </w:rPr>
        <w:t>Documents officiels de l</w:t>
      </w:r>
      <w:r w:rsidR="004937A0" w:rsidRPr="00632FB9">
        <w:rPr>
          <w:i/>
          <w:iCs/>
          <w:lang w:val="fr-FR"/>
        </w:rPr>
        <w:t>’</w:t>
      </w:r>
      <w:r w:rsidRPr="00632FB9">
        <w:rPr>
          <w:i/>
          <w:iCs/>
          <w:lang w:val="fr-FR"/>
        </w:rPr>
        <w:t>Assemblée générale, soixante et onzième session, Supplément n</w:t>
      </w:r>
      <w:r w:rsidRPr="00632FB9">
        <w:rPr>
          <w:i/>
          <w:iCs/>
          <w:vertAlign w:val="superscript"/>
          <w:lang w:val="fr-FR"/>
        </w:rPr>
        <w:t>o</w:t>
      </w:r>
      <w:r w:rsidRPr="00632FB9">
        <w:rPr>
          <w:i/>
          <w:iCs/>
          <w:lang w:val="fr-FR"/>
        </w:rPr>
        <w:t> 10</w:t>
      </w:r>
      <w:r w:rsidRPr="00632FB9">
        <w:rPr>
          <w:lang w:val="fr-FR"/>
        </w:rPr>
        <w:t xml:space="preserve"> (</w:t>
      </w:r>
      <w:hyperlink r:id="rId134" w:history="1">
        <w:r w:rsidRPr="00632FB9">
          <w:rPr>
            <w:color w:val="0000FF"/>
            <w:lang w:val="fr-FR"/>
          </w:rPr>
          <w:t>A/71/10</w:t>
        </w:r>
      </w:hyperlink>
      <w:r w:rsidRPr="00632FB9">
        <w:rPr>
          <w:lang w:val="fr-FR"/>
        </w:rPr>
        <w:t>)).</w:t>
      </w:r>
    </w:p>
  </w:footnote>
  <w:footnote w:id="242">
    <w:p w14:paraId="5D9AE812" w14:textId="77777777" w:rsidR="00737BD1" w:rsidRPr="00632FB9" w:rsidRDefault="00737BD1" w:rsidP="00E9227E">
      <w:pPr>
        <w:pStyle w:val="Notedebasdepage"/>
      </w:pPr>
      <w:r w:rsidRPr="00632FB9">
        <w:rPr>
          <w:lang w:val="fr-FR"/>
        </w:rPr>
        <w:tab/>
      </w:r>
      <w:r w:rsidRPr="00632FB9">
        <w:rPr>
          <w:rStyle w:val="Appelnotedebasdep"/>
        </w:rPr>
        <w:footnoteRef/>
      </w:r>
      <w:r w:rsidRPr="00632FB9">
        <w:rPr>
          <w:lang w:val="fr-FR"/>
        </w:rPr>
        <w:tab/>
      </w:r>
      <w:hyperlink r:id="rId135" w:history="1">
        <w:r w:rsidRPr="00632FB9">
          <w:rPr>
            <w:rStyle w:val="Lienhypertexte"/>
            <w:lang w:val="fr-FR"/>
          </w:rPr>
          <w:t>A/CN.4/708</w:t>
        </w:r>
      </w:hyperlink>
      <w:r w:rsidRPr="00632FB9">
        <w:rPr>
          <w:lang w:val="fr-FR"/>
        </w:rPr>
        <w:t xml:space="preserve">, </w:t>
      </w:r>
      <w:hyperlink r:id="rId136" w:history="1">
        <w:r w:rsidRPr="00632FB9">
          <w:rPr>
            <w:rStyle w:val="Lienhypertexte"/>
            <w:lang w:val="fr-FR"/>
          </w:rPr>
          <w:t>A/CN.4/719</w:t>
        </w:r>
      </w:hyperlink>
      <w:r w:rsidRPr="00632FB9">
        <w:rPr>
          <w:lang w:val="fr-FR"/>
        </w:rPr>
        <w:t xml:space="preserve">, </w:t>
      </w:r>
      <w:hyperlink r:id="rId137" w:history="1">
        <w:r w:rsidRPr="00632FB9">
          <w:rPr>
            <w:rStyle w:val="Lienhypertexte"/>
            <w:lang w:val="fr-FR"/>
          </w:rPr>
          <w:t>A/CN.4/731</w:t>
        </w:r>
      </w:hyperlink>
      <w:r w:rsidRPr="00632FB9">
        <w:rPr>
          <w:lang w:val="fr-FR"/>
        </w:rPr>
        <w:t xml:space="preserve">, </w:t>
      </w:r>
      <w:hyperlink r:id="rId138" w:history="1">
        <w:r w:rsidRPr="00632FB9">
          <w:rPr>
            <w:rStyle w:val="Lienhypertexte"/>
            <w:lang w:val="fr-FR"/>
          </w:rPr>
          <w:t>A/CN.4/743</w:t>
        </w:r>
      </w:hyperlink>
      <w:r w:rsidRPr="00632FB9">
        <w:rPr>
          <w:lang w:val="fr-FR"/>
        </w:rPr>
        <w:t xml:space="preserve"> et </w:t>
      </w:r>
      <w:hyperlink r:id="rId139" w:history="1">
        <w:r w:rsidRPr="00632FB9">
          <w:rPr>
            <w:rStyle w:val="Lienhypertexte"/>
            <w:lang w:val="fr-FR"/>
          </w:rPr>
          <w:t>Corr.1</w:t>
        </w:r>
      </w:hyperlink>
      <w:r w:rsidRPr="00632FB9">
        <w:rPr>
          <w:lang w:val="fr-FR"/>
        </w:rPr>
        <w:t xml:space="preserve"> et </w:t>
      </w:r>
      <w:hyperlink r:id="rId140" w:history="1">
        <w:r w:rsidRPr="00632FB9">
          <w:rPr>
            <w:rStyle w:val="Lienhypertexte"/>
            <w:lang w:val="fr-FR"/>
          </w:rPr>
          <w:t>A/CN.4/751</w:t>
        </w:r>
      </w:hyperlink>
      <w:r w:rsidRPr="00632FB9">
        <w:rPr>
          <w:lang w:val="fr-FR"/>
        </w:rPr>
        <w:t>, respectivement.</w:t>
      </w:r>
    </w:p>
  </w:footnote>
  <w:footnote w:id="243">
    <w:p w14:paraId="1AC5D37B" w14:textId="77777777" w:rsidR="00737BD1" w:rsidRPr="00FB1A9F" w:rsidRDefault="00737BD1" w:rsidP="00E9227E">
      <w:pPr>
        <w:pStyle w:val="Notedebasdepage"/>
      </w:pPr>
      <w:r w:rsidRPr="00632FB9">
        <w:rPr>
          <w:lang w:val="fr-FR"/>
        </w:rPr>
        <w:tab/>
      </w:r>
      <w:r w:rsidRPr="00632FB9">
        <w:rPr>
          <w:rStyle w:val="Appelnotedebasdep"/>
        </w:rPr>
        <w:footnoteRef/>
      </w:r>
      <w:r w:rsidRPr="00632FB9">
        <w:rPr>
          <w:lang w:val="fr-FR"/>
        </w:rPr>
        <w:tab/>
      </w:r>
      <w:hyperlink r:id="rId141" w:history="1">
        <w:r w:rsidRPr="00632FB9">
          <w:rPr>
            <w:rStyle w:val="Lienhypertexte"/>
            <w:lang w:val="fr-FR"/>
          </w:rPr>
          <w:t>A/CN.4/730</w:t>
        </w:r>
      </w:hyperlink>
      <w:r w:rsidRPr="00632FB9">
        <w:rPr>
          <w:lang w:val="fr-FR"/>
        </w:rPr>
        <w:t>.</w:t>
      </w:r>
    </w:p>
  </w:footnote>
  <w:footnote w:id="244">
    <w:p w14:paraId="324EE077" w14:textId="5362FC12" w:rsidR="00737BD1" w:rsidRPr="006A377E" w:rsidRDefault="00737BD1" w:rsidP="00E9227E">
      <w:pPr>
        <w:pStyle w:val="Notedebasdepage"/>
        <w:rPr>
          <w:lang w:val="fr-FR"/>
        </w:rPr>
      </w:pPr>
      <w:r>
        <w:tab/>
      </w:r>
      <w:r w:rsidRPr="00E9227E">
        <w:rPr>
          <w:rStyle w:val="Appelnotedebasdep"/>
        </w:rPr>
        <w:footnoteRef/>
      </w:r>
      <w:r>
        <w:tab/>
      </w:r>
      <w:hyperlink r:id="rId142" w:history="1">
        <w:r w:rsidR="001F4635" w:rsidRPr="008C11ED">
          <w:rPr>
            <w:rStyle w:val="Lienhypertexte"/>
          </w:rPr>
          <w:t>https://www.idi-iil.org/app/uploads/2017/06/2015_Tallinn_14_fr.pdf</w:t>
        </w:r>
      </w:hyperlink>
      <w:r>
        <w:t>.</w:t>
      </w:r>
    </w:p>
  </w:footnote>
  <w:footnote w:id="245">
    <w:p w14:paraId="45DBFDFA" w14:textId="2FFA2CEF" w:rsidR="00737BD1" w:rsidRPr="00F04F6F" w:rsidRDefault="00737BD1" w:rsidP="00E9227E">
      <w:pPr>
        <w:pStyle w:val="Notedebasdepage"/>
        <w:rPr>
          <w:lang w:val="fr-FR"/>
        </w:rPr>
      </w:pPr>
      <w:r w:rsidRPr="00F04F6F">
        <w:tab/>
      </w:r>
      <w:r w:rsidRPr="00E9227E">
        <w:rPr>
          <w:rStyle w:val="Appelnotedebasdep"/>
        </w:rPr>
        <w:footnoteRef/>
      </w:r>
      <w:r w:rsidRPr="00F04F6F">
        <w:rPr>
          <w:lang w:val="fr-FR"/>
        </w:rPr>
        <w:tab/>
      </w:r>
      <w:r w:rsidRPr="00016AD6">
        <w:rPr>
          <w:rFonts w:asciiTheme="majorBidi" w:eastAsia="Calibri" w:hAnsiTheme="majorBidi"/>
          <w:lang w:val="fr-FR"/>
        </w:rPr>
        <w:t>À</w:t>
      </w:r>
      <w:r>
        <w:rPr>
          <w:lang w:val="fr-FR"/>
        </w:rPr>
        <w:t xml:space="preserve"> la présente session</w:t>
      </w:r>
      <w:r w:rsidRPr="00F04F6F">
        <w:rPr>
          <w:lang w:val="fr-FR"/>
        </w:rPr>
        <w:t xml:space="preserve">, M. Aurescu </w:t>
      </w:r>
      <w:r>
        <w:rPr>
          <w:lang w:val="fr-FR"/>
        </w:rPr>
        <w:t>n</w:t>
      </w:r>
      <w:r w:rsidR="004937A0">
        <w:rPr>
          <w:lang w:val="fr-FR"/>
        </w:rPr>
        <w:t>’</w:t>
      </w:r>
      <w:r>
        <w:rPr>
          <w:lang w:val="fr-FR"/>
        </w:rPr>
        <w:t xml:space="preserve">était plus membre de </w:t>
      </w:r>
      <w:r w:rsidRPr="00F04F6F">
        <w:rPr>
          <w:lang w:val="fr-FR"/>
        </w:rPr>
        <w:t>la Commission</w:t>
      </w:r>
      <w:r>
        <w:rPr>
          <w:lang w:val="fr-FR"/>
        </w:rPr>
        <w:t>, car il avait été élu à la Cour internationale de Justice</w:t>
      </w:r>
      <w:r w:rsidRPr="00F04F6F">
        <w:rPr>
          <w:lang w:val="fr-FR"/>
        </w:rPr>
        <w:t>.</w:t>
      </w:r>
    </w:p>
  </w:footnote>
  <w:footnote w:id="246">
    <w:p w14:paraId="23AB2EDF" w14:textId="62B44A92"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bookmarkStart w:id="126" w:name="_Hlk134522996"/>
      <w:r w:rsidRPr="00F04F6F">
        <w:rPr>
          <w:i/>
          <w:iCs/>
          <w:lang w:val="fr-FR"/>
        </w:rPr>
        <w:t>Documents officiels de l</w:t>
      </w:r>
      <w:r w:rsidR="004937A0">
        <w:rPr>
          <w:i/>
          <w:iCs/>
          <w:lang w:val="fr-FR"/>
        </w:rPr>
        <w:t>’</w:t>
      </w:r>
      <w:r w:rsidRPr="00F04F6F">
        <w:rPr>
          <w:i/>
          <w:iCs/>
          <w:lang w:val="fr-FR"/>
        </w:rPr>
        <w:t>Assemblée générale, soixante-quatorzième session, Supplément n</w:t>
      </w:r>
      <w:r w:rsidRPr="00F04F6F">
        <w:rPr>
          <w:i/>
          <w:iCs/>
          <w:vertAlign w:val="superscript"/>
          <w:lang w:val="fr-FR"/>
        </w:rPr>
        <w:t>o</w:t>
      </w:r>
      <w:r w:rsidRPr="00F04F6F">
        <w:rPr>
          <w:i/>
          <w:iCs/>
          <w:lang w:val="fr-FR"/>
        </w:rPr>
        <w:t> 10</w:t>
      </w:r>
      <w:r w:rsidRPr="00F04F6F">
        <w:rPr>
          <w:lang w:val="fr-FR"/>
        </w:rPr>
        <w:t xml:space="preserve"> (</w:t>
      </w:r>
      <w:hyperlink r:id="rId143" w:history="1">
        <w:r w:rsidRPr="00FF7CB2">
          <w:rPr>
            <w:rStyle w:val="Lienhypertexte"/>
            <w:szCs w:val="18"/>
            <w:lang w:val="fr-FR"/>
          </w:rPr>
          <w:t>A/74/10</w:t>
        </w:r>
      </w:hyperlink>
      <w:r w:rsidRPr="00F04F6F">
        <w:rPr>
          <w:lang w:val="fr-FR"/>
        </w:rPr>
        <w:t xml:space="preserve">), </w:t>
      </w:r>
      <w:r>
        <w:rPr>
          <w:lang w:val="fr-FR"/>
        </w:rPr>
        <w:t>par. </w:t>
      </w:r>
      <w:r w:rsidRPr="00F04F6F">
        <w:rPr>
          <w:lang w:val="fr-FR"/>
        </w:rPr>
        <w:t>265 à 273.</w:t>
      </w:r>
      <w:bookmarkEnd w:id="126"/>
    </w:p>
  </w:footnote>
  <w:footnote w:id="247">
    <w:p w14:paraId="7931ECB0" w14:textId="77777777" w:rsidR="00737BD1" w:rsidRPr="00F04F6F" w:rsidRDefault="00737BD1" w:rsidP="00E9227E">
      <w:pPr>
        <w:pStyle w:val="Notedebasdepage"/>
        <w:rPr>
          <w:lang w:val="fr-FR"/>
        </w:rPr>
      </w:pPr>
      <w:r w:rsidRPr="00F04F6F">
        <w:rPr>
          <w:vertAlign w:val="superscript"/>
          <w:lang w:val="fr-FR"/>
        </w:rPr>
        <w:tab/>
      </w:r>
      <w:r w:rsidRPr="00E9227E">
        <w:rPr>
          <w:rStyle w:val="Appelnotedebasdep"/>
        </w:rPr>
        <w:footnoteRef/>
      </w:r>
      <w:r w:rsidRPr="00F04F6F">
        <w:rPr>
          <w:vertAlign w:val="superscript"/>
          <w:lang w:val="fr-FR"/>
        </w:rPr>
        <w:tab/>
      </w:r>
      <w:hyperlink r:id="rId144" w:history="1">
        <w:r w:rsidRPr="00FF7CB2">
          <w:rPr>
            <w:rStyle w:val="Lienhypertexte"/>
            <w:szCs w:val="18"/>
            <w:lang w:val="fr-FR"/>
          </w:rPr>
          <w:t>A/CN.4/740</w:t>
        </w:r>
      </w:hyperlink>
      <w:r w:rsidRPr="00F04F6F">
        <w:rPr>
          <w:lang w:val="fr-FR"/>
        </w:rPr>
        <w:t xml:space="preserve"> et </w:t>
      </w:r>
      <w:hyperlink r:id="rId145" w:history="1">
        <w:r w:rsidRPr="00FF7CB2">
          <w:rPr>
            <w:rStyle w:val="Lienhypertexte"/>
            <w:szCs w:val="18"/>
            <w:lang w:val="fr-FR"/>
          </w:rPr>
          <w:t>Corr.1</w:t>
        </w:r>
      </w:hyperlink>
      <w:r w:rsidRPr="00F04F6F">
        <w:rPr>
          <w:lang w:val="fr-FR"/>
        </w:rPr>
        <w:t>.</w:t>
      </w:r>
    </w:p>
  </w:footnote>
  <w:footnote w:id="248">
    <w:p w14:paraId="0B520750" w14:textId="7777777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vertAlign w:val="superscript"/>
          <w:lang w:val="fr-FR"/>
        </w:rPr>
        <w:tab/>
      </w:r>
      <w:hyperlink r:id="rId146" w:history="1">
        <w:r w:rsidRPr="00FF7CB2">
          <w:rPr>
            <w:rStyle w:val="Lienhypertexte"/>
            <w:szCs w:val="18"/>
            <w:lang w:val="fr-FR"/>
          </w:rPr>
          <w:t>A/CN.4/740/Add.1</w:t>
        </w:r>
      </w:hyperlink>
      <w:r w:rsidRPr="00F04F6F">
        <w:rPr>
          <w:lang w:val="fr-FR"/>
        </w:rPr>
        <w:t>.</w:t>
      </w:r>
    </w:p>
  </w:footnote>
  <w:footnote w:id="249">
    <w:p w14:paraId="64EF46C7" w14:textId="733E3FDE" w:rsidR="00737BD1" w:rsidRPr="00F04F6F" w:rsidRDefault="00737BD1" w:rsidP="00E9227E">
      <w:pPr>
        <w:pStyle w:val="Notedebasdepage"/>
        <w:rPr>
          <w:lang w:val="fr-FR"/>
        </w:rPr>
      </w:pPr>
      <w:r w:rsidRPr="00F04F6F">
        <w:rPr>
          <w:vertAlign w:val="superscript"/>
          <w:lang w:val="fr-FR"/>
        </w:rPr>
        <w:tab/>
      </w:r>
      <w:r w:rsidRPr="00E9227E">
        <w:rPr>
          <w:rStyle w:val="Appelnotedebasdep"/>
        </w:rPr>
        <w:footnoteRef/>
      </w:r>
      <w:r w:rsidRPr="00F04F6F">
        <w:rPr>
          <w:vertAlign w:val="superscript"/>
          <w:lang w:val="fr-FR"/>
        </w:rPr>
        <w:tab/>
      </w:r>
      <w:bookmarkStart w:id="127" w:name="_Hlk134521369"/>
      <w:r w:rsidRPr="00F04F6F">
        <w:rPr>
          <w:i/>
          <w:iCs/>
          <w:lang w:val="fr-FR"/>
        </w:rPr>
        <w:t>Documents officiels de l</w:t>
      </w:r>
      <w:r w:rsidR="004937A0">
        <w:rPr>
          <w:i/>
          <w:iCs/>
          <w:lang w:val="fr-FR"/>
        </w:rPr>
        <w:t>’</w:t>
      </w:r>
      <w:r w:rsidRPr="00F04F6F">
        <w:rPr>
          <w:i/>
          <w:iCs/>
          <w:lang w:val="fr-FR"/>
        </w:rPr>
        <w:t>Assemblée générale, soixante-seizième session, Supplément n</w:t>
      </w:r>
      <w:r w:rsidRPr="00F04F6F">
        <w:rPr>
          <w:i/>
          <w:iCs/>
          <w:vertAlign w:val="superscript"/>
          <w:lang w:val="fr-FR"/>
        </w:rPr>
        <w:t>o</w:t>
      </w:r>
      <w:r w:rsidRPr="00F04F6F">
        <w:rPr>
          <w:i/>
          <w:iCs/>
          <w:lang w:val="fr-FR"/>
        </w:rPr>
        <w:t> 10</w:t>
      </w:r>
      <w:r w:rsidRPr="00F04F6F">
        <w:rPr>
          <w:lang w:val="fr-FR"/>
        </w:rPr>
        <w:t xml:space="preserve"> (</w:t>
      </w:r>
      <w:hyperlink r:id="rId147" w:history="1">
        <w:r w:rsidRPr="00FF7CB2">
          <w:rPr>
            <w:rStyle w:val="Lienhypertexte"/>
            <w:szCs w:val="18"/>
            <w:lang w:val="fr-FR"/>
          </w:rPr>
          <w:t>A/76/10</w:t>
        </w:r>
      </w:hyperlink>
      <w:r w:rsidRPr="00F04F6F">
        <w:rPr>
          <w:lang w:val="fr-FR"/>
        </w:rPr>
        <w:t xml:space="preserve">), </w:t>
      </w:r>
      <w:r>
        <w:rPr>
          <w:lang w:val="fr-FR"/>
        </w:rPr>
        <w:t>par. </w:t>
      </w:r>
      <w:r w:rsidRPr="00F04F6F">
        <w:rPr>
          <w:lang w:val="fr-FR"/>
        </w:rPr>
        <w:t>247 à 296.</w:t>
      </w:r>
      <w:bookmarkEnd w:id="127"/>
    </w:p>
  </w:footnote>
  <w:footnote w:id="250">
    <w:p w14:paraId="4A7B1B68" w14:textId="77777777" w:rsidR="00737BD1" w:rsidRPr="00F04F6F" w:rsidRDefault="00737BD1" w:rsidP="00E9227E">
      <w:pPr>
        <w:pStyle w:val="Notedebasdepage"/>
        <w:rPr>
          <w:lang w:val="fr-FR"/>
        </w:rPr>
      </w:pPr>
      <w:r w:rsidRPr="00F04F6F">
        <w:rPr>
          <w:vertAlign w:val="superscript"/>
          <w:lang w:val="fr-FR"/>
        </w:rPr>
        <w:tab/>
      </w:r>
      <w:r w:rsidRPr="00E9227E">
        <w:rPr>
          <w:rStyle w:val="Appelnotedebasdep"/>
        </w:rPr>
        <w:footnoteRef/>
      </w:r>
      <w:r w:rsidRPr="00F04F6F">
        <w:rPr>
          <w:vertAlign w:val="superscript"/>
          <w:lang w:val="fr-FR"/>
        </w:rPr>
        <w:tab/>
      </w:r>
      <w:hyperlink r:id="rId148" w:history="1">
        <w:r w:rsidRPr="00FF7CB2">
          <w:rPr>
            <w:rStyle w:val="Lienhypertexte"/>
            <w:szCs w:val="18"/>
            <w:lang w:val="fr-FR"/>
          </w:rPr>
          <w:t>A/CN.4/752</w:t>
        </w:r>
      </w:hyperlink>
      <w:r w:rsidRPr="00F04F6F">
        <w:rPr>
          <w:lang w:val="fr-FR"/>
        </w:rPr>
        <w:t>.</w:t>
      </w:r>
    </w:p>
  </w:footnote>
  <w:footnote w:id="251">
    <w:p w14:paraId="6FD739D3" w14:textId="7777777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vertAlign w:val="superscript"/>
          <w:lang w:val="fr-FR"/>
        </w:rPr>
        <w:tab/>
      </w:r>
      <w:hyperlink r:id="rId149" w:history="1">
        <w:r w:rsidRPr="00FF7CB2">
          <w:rPr>
            <w:rStyle w:val="Lienhypertexte"/>
            <w:szCs w:val="18"/>
            <w:lang w:val="fr-FR"/>
          </w:rPr>
          <w:t>A/CN.4/752/Add.1</w:t>
        </w:r>
      </w:hyperlink>
      <w:r w:rsidRPr="00F04F6F">
        <w:rPr>
          <w:lang w:val="fr-FR"/>
        </w:rPr>
        <w:t>.</w:t>
      </w:r>
    </w:p>
  </w:footnote>
  <w:footnote w:id="252">
    <w:p w14:paraId="2ED233B6" w14:textId="47ADC804" w:rsidR="00737BD1" w:rsidRPr="00F04F6F" w:rsidRDefault="00737BD1" w:rsidP="00E9227E">
      <w:pPr>
        <w:pStyle w:val="Notedebasdepage"/>
        <w:rPr>
          <w:lang w:val="fr-FR"/>
        </w:rPr>
      </w:pPr>
      <w:r w:rsidRPr="00F04F6F">
        <w:rPr>
          <w:vertAlign w:val="superscript"/>
          <w:lang w:val="fr-FR"/>
        </w:rPr>
        <w:tab/>
      </w:r>
      <w:r w:rsidRPr="00E9227E">
        <w:rPr>
          <w:rStyle w:val="Appelnotedebasdep"/>
        </w:rPr>
        <w:footnoteRef/>
      </w:r>
      <w:r w:rsidRPr="00F04F6F">
        <w:rPr>
          <w:vertAlign w:val="superscript"/>
          <w:lang w:val="fr-FR"/>
        </w:rPr>
        <w:tab/>
      </w:r>
      <w:bookmarkStart w:id="128" w:name="_Hlk134521420"/>
      <w:r w:rsidRPr="00F04F6F">
        <w:rPr>
          <w:i/>
          <w:iCs/>
          <w:lang w:val="fr-FR"/>
        </w:rPr>
        <w:t>Documents officiels de l</w:t>
      </w:r>
      <w:r w:rsidR="004937A0">
        <w:rPr>
          <w:i/>
          <w:iCs/>
          <w:lang w:val="fr-FR"/>
        </w:rPr>
        <w:t>’</w:t>
      </w:r>
      <w:r w:rsidRPr="00F04F6F">
        <w:rPr>
          <w:i/>
          <w:iCs/>
          <w:lang w:val="fr-FR"/>
        </w:rPr>
        <w:t>Assemblée générale, soixante-dix-septième session, Supplément n</w:t>
      </w:r>
      <w:r w:rsidRPr="00F04F6F">
        <w:rPr>
          <w:i/>
          <w:iCs/>
          <w:vertAlign w:val="superscript"/>
          <w:lang w:val="fr-FR"/>
        </w:rPr>
        <w:t>o</w:t>
      </w:r>
      <w:r w:rsidRPr="00F04F6F">
        <w:rPr>
          <w:i/>
          <w:iCs/>
          <w:lang w:val="fr-FR"/>
        </w:rPr>
        <w:t> 10</w:t>
      </w:r>
      <w:r w:rsidRPr="00F04F6F">
        <w:rPr>
          <w:lang w:val="fr-FR"/>
        </w:rPr>
        <w:t xml:space="preserve"> (</w:t>
      </w:r>
      <w:hyperlink r:id="rId150" w:history="1">
        <w:r w:rsidRPr="00FF7CB2">
          <w:rPr>
            <w:rStyle w:val="Lienhypertexte"/>
            <w:szCs w:val="18"/>
            <w:lang w:val="fr-FR"/>
          </w:rPr>
          <w:t>A/77/10</w:t>
        </w:r>
      </w:hyperlink>
      <w:r w:rsidRPr="00F04F6F">
        <w:rPr>
          <w:lang w:val="fr-FR"/>
        </w:rPr>
        <w:t xml:space="preserve">), </w:t>
      </w:r>
      <w:r>
        <w:rPr>
          <w:lang w:val="fr-FR"/>
        </w:rPr>
        <w:t>par. </w:t>
      </w:r>
      <w:r w:rsidRPr="00F04F6F">
        <w:rPr>
          <w:lang w:val="fr-FR"/>
        </w:rPr>
        <w:t>153 à 237</w:t>
      </w:r>
      <w:bookmarkEnd w:id="128"/>
      <w:r w:rsidRPr="00F04F6F">
        <w:rPr>
          <w:lang w:val="fr-FR"/>
        </w:rPr>
        <w:t>.</w:t>
      </w:r>
    </w:p>
  </w:footnote>
  <w:footnote w:id="253">
    <w:p w14:paraId="5116A1DC" w14:textId="7777777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hyperlink r:id="rId151" w:history="1">
        <w:r w:rsidRPr="00FF7CB2">
          <w:rPr>
            <w:rStyle w:val="Lienhypertexte"/>
            <w:rFonts w:eastAsia="Calibri"/>
            <w:szCs w:val="18"/>
            <w:lang w:val="fr-FR"/>
          </w:rPr>
          <w:t>A/CN.4/761</w:t>
        </w:r>
      </w:hyperlink>
      <w:r w:rsidRPr="00F04F6F">
        <w:rPr>
          <w:rFonts w:eastAsia="Calibri"/>
          <w:lang w:val="fr-FR"/>
        </w:rPr>
        <w:t>.</w:t>
      </w:r>
    </w:p>
  </w:footnote>
  <w:footnote w:id="254">
    <w:p w14:paraId="6C4C5F78" w14:textId="77777777" w:rsidR="00737BD1" w:rsidRPr="00F04F6F" w:rsidRDefault="00737BD1" w:rsidP="00E9227E">
      <w:pPr>
        <w:pStyle w:val="Notedebasdepage"/>
        <w:rPr>
          <w:lang w:val="fr-FR"/>
        </w:rPr>
      </w:pPr>
      <w:r w:rsidRPr="00F04F6F">
        <w:rPr>
          <w:rFonts w:eastAsia="Calibri"/>
          <w:lang w:val="fr-FR"/>
        </w:rPr>
        <w:tab/>
      </w:r>
      <w:r w:rsidRPr="00E9227E">
        <w:rPr>
          <w:rStyle w:val="Appelnotedebasdep"/>
        </w:rPr>
        <w:footnoteRef/>
      </w:r>
      <w:r w:rsidRPr="00F04F6F">
        <w:rPr>
          <w:rFonts w:eastAsia="Calibri"/>
          <w:lang w:val="fr-FR"/>
        </w:rPr>
        <w:tab/>
      </w:r>
      <w:hyperlink r:id="rId152" w:history="1">
        <w:r w:rsidRPr="00FF7CB2">
          <w:rPr>
            <w:rStyle w:val="Lienhypertexte"/>
            <w:rFonts w:eastAsia="Calibri"/>
            <w:szCs w:val="18"/>
            <w:lang w:val="fr-FR"/>
          </w:rPr>
          <w:t>A/CN.4/761/Add.1</w:t>
        </w:r>
      </w:hyperlink>
      <w:r w:rsidRPr="00F04F6F">
        <w:rPr>
          <w:rFonts w:eastAsia="Calibri"/>
          <w:lang w:val="fr-FR"/>
        </w:rPr>
        <w:t>.</w:t>
      </w:r>
    </w:p>
  </w:footnote>
  <w:footnote w:id="255">
    <w:p w14:paraId="48F763AC" w14:textId="39100A7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r w:rsidRPr="00F04F6F">
        <w:rPr>
          <w:i/>
          <w:iCs/>
          <w:lang w:val="fr-FR"/>
        </w:rPr>
        <w:t>Documents officiels de l</w:t>
      </w:r>
      <w:r w:rsidR="004937A0">
        <w:rPr>
          <w:i/>
          <w:iCs/>
          <w:lang w:val="fr-FR"/>
        </w:rPr>
        <w:t>’</w:t>
      </w:r>
      <w:r w:rsidRPr="00F04F6F">
        <w:rPr>
          <w:i/>
          <w:iCs/>
          <w:lang w:val="fr-FR"/>
        </w:rPr>
        <w:t>Assemblée générale, soixante-seizième session, Supplément n</w:t>
      </w:r>
      <w:r w:rsidRPr="00F04F6F">
        <w:rPr>
          <w:i/>
          <w:iCs/>
          <w:vertAlign w:val="superscript"/>
          <w:lang w:val="fr-FR"/>
        </w:rPr>
        <w:t>o</w:t>
      </w:r>
      <w:r w:rsidRPr="00F04F6F">
        <w:rPr>
          <w:i/>
          <w:iCs/>
          <w:lang w:val="fr-FR"/>
        </w:rPr>
        <w:t> 10</w:t>
      </w:r>
      <w:r w:rsidRPr="00F04F6F">
        <w:rPr>
          <w:lang w:val="fr-FR"/>
        </w:rPr>
        <w:t xml:space="preserve"> (</w:t>
      </w:r>
      <w:hyperlink r:id="rId153" w:history="1">
        <w:r w:rsidRPr="00FF7CB2">
          <w:rPr>
            <w:rStyle w:val="Lienhypertexte"/>
            <w:szCs w:val="18"/>
            <w:lang w:val="fr-FR"/>
          </w:rPr>
          <w:t>A/78/10</w:t>
        </w:r>
      </w:hyperlink>
      <w:r w:rsidRPr="00F04F6F">
        <w:rPr>
          <w:lang w:val="fr-FR"/>
        </w:rPr>
        <w:t xml:space="preserve">), </w:t>
      </w:r>
      <w:r>
        <w:rPr>
          <w:lang w:val="fr-FR"/>
        </w:rPr>
        <w:t>par. </w:t>
      </w:r>
      <w:r w:rsidRPr="00F04F6F">
        <w:rPr>
          <w:lang w:val="fr-FR"/>
        </w:rPr>
        <w:t>128</w:t>
      </w:r>
      <w:r>
        <w:rPr>
          <w:lang w:val="fr-FR"/>
        </w:rPr>
        <w:t xml:space="preserve"> à </w:t>
      </w:r>
      <w:r w:rsidRPr="00F04F6F">
        <w:rPr>
          <w:lang w:val="fr-FR"/>
        </w:rPr>
        <w:t>230.</w:t>
      </w:r>
    </w:p>
  </w:footnote>
  <w:footnote w:id="256">
    <w:p w14:paraId="55B798AC" w14:textId="5EA31527" w:rsidR="00737BD1" w:rsidRPr="008E6159" w:rsidRDefault="00737BD1" w:rsidP="00E9227E">
      <w:pPr>
        <w:pStyle w:val="Notedebasdepage"/>
        <w:rPr>
          <w:lang w:val="fr-FR"/>
        </w:rPr>
      </w:pPr>
      <w:r>
        <w:tab/>
      </w:r>
      <w:r w:rsidRPr="00E9227E">
        <w:rPr>
          <w:rStyle w:val="Appelnotedebasdep"/>
        </w:rPr>
        <w:footnoteRef/>
      </w:r>
      <w:r>
        <w:tab/>
        <w:t xml:space="preserve">M. Huikang Huang ayant démissionné (voir </w:t>
      </w:r>
      <w:hyperlink r:id="rId154" w:history="1">
        <w:r w:rsidRPr="00523D8B">
          <w:rPr>
            <w:rStyle w:val="Lienhypertexte"/>
          </w:rPr>
          <w:t>A/CN.4/776</w:t>
        </w:r>
      </w:hyperlink>
      <w:r>
        <w:t>), le Groupe d</w:t>
      </w:r>
      <w:r w:rsidR="004937A0">
        <w:t>’</w:t>
      </w:r>
      <w:r>
        <w:t>étude comprenait 26 membres pendant la deuxième partie de la session.</w:t>
      </w:r>
    </w:p>
  </w:footnote>
  <w:footnote w:id="257">
    <w:p w14:paraId="7F68DA7E" w14:textId="607A43B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 xml:space="preserve">Voir </w:t>
      </w:r>
      <w:r>
        <w:rPr>
          <w:lang w:val="fr-FR"/>
        </w:rPr>
        <w:t xml:space="preserve">la </w:t>
      </w:r>
      <w:r w:rsidRPr="00F04F6F">
        <w:rPr>
          <w:lang w:val="fr-FR"/>
        </w:rPr>
        <w:t>communication de</w:t>
      </w:r>
      <w:r>
        <w:rPr>
          <w:lang w:val="fr-FR"/>
        </w:rPr>
        <w:t xml:space="preserve"> </w:t>
      </w:r>
      <w:r w:rsidRPr="00F04F6F">
        <w:rPr>
          <w:lang w:val="fr-FR"/>
        </w:rPr>
        <w:t>2023 du Forum des îles du Pacifique, disponible à l</w:t>
      </w:r>
      <w:r w:rsidR="004937A0">
        <w:rPr>
          <w:lang w:val="fr-FR"/>
        </w:rPr>
        <w:t>’</w:t>
      </w:r>
      <w:r w:rsidRPr="00F04F6F">
        <w:rPr>
          <w:lang w:val="fr-FR"/>
        </w:rPr>
        <w:t xml:space="preserve">adresse : </w:t>
      </w:r>
      <w:hyperlink r:id="rId155" w:history="1">
        <w:r w:rsidRPr="00FF7CB2">
          <w:rPr>
            <w:rStyle w:val="Lienhypertexte"/>
            <w:szCs w:val="18"/>
            <w:lang w:val="fr-FR"/>
          </w:rPr>
          <w:t>https://legal.un.org/ilc/guide/8_9.shtml</w:t>
        </w:r>
      </w:hyperlink>
      <w:r w:rsidRPr="00F04F6F">
        <w:rPr>
          <w:lang w:val="fr-FR"/>
        </w:rPr>
        <w:t>.</w:t>
      </w:r>
    </w:p>
  </w:footnote>
  <w:footnote w:id="258">
    <w:p w14:paraId="74931612" w14:textId="4E21D23F"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r w:rsidRPr="00F04F6F">
        <w:rPr>
          <w:i/>
          <w:iCs/>
          <w:lang w:val="fr-FR"/>
        </w:rPr>
        <w:t>Annuaire</w:t>
      </w:r>
      <w:r w:rsidR="008D6C4B">
        <w:rPr>
          <w:i/>
          <w:iCs/>
          <w:lang w:val="fr-FR"/>
        </w:rPr>
        <w:t xml:space="preserve"> </w:t>
      </w:r>
      <w:r>
        <w:rPr>
          <w:i/>
          <w:iCs/>
          <w:lang w:val="fr-FR"/>
        </w:rPr>
        <w:t>…</w:t>
      </w:r>
      <w:r w:rsidRPr="00F04F6F">
        <w:rPr>
          <w:i/>
          <w:iCs/>
          <w:lang w:val="fr-FR"/>
        </w:rPr>
        <w:t xml:space="preserve"> 2016</w:t>
      </w:r>
      <w:r w:rsidRPr="00F04F6F">
        <w:rPr>
          <w:lang w:val="fr-FR"/>
        </w:rPr>
        <w:t>, vol.</w:t>
      </w:r>
      <w:r>
        <w:rPr>
          <w:lang w:val="fr-FR"/>
        </w:rPr>
        <w:t> </w:t>
      </w:r>
      <w:r w:rsidRPr="00F04F6F">
        <w:rPr>
          <w:lang w:val="fr-FR"/>
        </w:rPr>
        <w:t>II (</w:t>
      </w:r>
      <w:r>
        <w:rPr>
          <w:lang w:val="fr-FR"/>
        </w:rPr>
        <w:t>2</w:t>
      </w:r>
      <w:r w:rsidRPr="00745A01">
        <w:rPr>
          <w:vertAlign w:val="superscript"/>
          <w:lang w:val="fr-FR"/>
        </w:rPr>
        <w:t>e</w:t>
      </w:r>
      <w:r>
        <w:rPr>
          <w:lang w:val="fr-FR"/>
        </w:rPr>
        <w:t> </w:t>
      </w:r>
      <w:r w:rsidRPr="00F04F6F">
        <w:rPr>
          <w:lang w:val="fr-FR"/>
        </w:rPr>
        <w:t xml:space="preserve">partie), </w:t>
      </w:r>
      <w:r>
        <w:rPr>
          <w:lang w:val="fr-FR"/>
        </w:rPr>
        <w:t>par. </w:t>
      </w:r>
      <w:r w:rsidRPr="00F04F6F">
        <w:rPr>
          <w:lang w:val="fr-FR"/>
        </w:rPr>
        <w:t>48.</w:t>
      </w:r>
    </w:p>
  </w:footnote>
  <w:footnote w:id="259">
    <w:p w14:paraId="49C2ABF2" w14:textId="678C2BEC"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r w:rsidRPr="00F04F6F">
        <w:rPr>
          <w:i/>
          <w:iCs/>
          <w:lang w:val="fr-FR"/>
        </w:rPr>
        <w:t xml:space="preserve">Îsland of Palmas case </w:t>
      </w:r>
      <w:r w:rsidRPr="00F04F6F">
        <w:rPr>
          <w:lang w:val="fr-FR"/>
        </w:rPr>
        <w:t>(</w:t>
      </w:r>
      <w:r w:rsidRPr="00F04F6F">
        <w:rPr>
          <w:i/>
          <w:iCs/>
          <w:lang w:val="fr-FR"/>
        </w:rPr>
        <w:t>Netherlands, U.S.A.)</w:t>
      </w:r>
      <w:r w:rsidRPr="00F04F6F">
        <w:rPr>
          <w:lang w:val="fr-FR"/>
        </w:rPr>
        <w:t>, sentence, 4 avril</w:t>
      </w:r>
      <w:r>
        <w:rPr>
          <w:lang w:val="fr-FR"/>
        </w:rPr>
        <w:t xml:space="preserve"> </w:t>
      </w:r>
      <w:r w:rsidRPr="00F04F6F">
        <w:rPr>
          <w:lang w:val="fr-FR"/>
        </w:rPr>
        <w:t xml:space="preserve">1928, Nations Unies, </w:t>
      </w:r>
      <w:r w:rsidRPr="00F04F6F">
        <w:rPr>
          <w:i/>
          <w:iCs/>
          <w:lang w:val="fr-FR"/>
        </w:rPr>
        <w:t>Recueil des sentences arbitrales</w:t>
      </w:r>
      <w:r w:rsidRPr="00F04F6F">
        <w:rPr>
          <w:lang w:val="fr-FR"/>
        </w:rPr>
        <w:t>, vol.</w:t>
      </w:r>
      <w:r>
        <w:rPr>
          <w:lang w:val="fr-FR"/>
        </w:rPr>
        <w:t> </w:t>
      </w:r>
      <w:r w:rsidRPr="00F04F6F">
        <w:rPr>
          <w:lang w:val="fr-FR"/>
        </w:rPr>
        <w:t>II, p.</w:t>
      </w:r>
      <w:r>
        <w:rPr>
          <w:lang w:val="fr-FR"/>
        </w:rPr>
        <w:t> </w:t>
      </w:r>
      <w:r w:rsidRPr="00F04F6F">
        <w:rPr>
          <w:lang w:val="fr-FR"/>
        </w:rPr>
        <w:t>829 à 871.</w:t>
      </w:r>
    </w:p>
  </w:footnote>
  <w:footnote w:id="260">
    <w:p w14:paraId="4C4B430C" w14:textId="1E959893" w:rsidR="00737BD1" w:rsidRPr="00745A01" w:rsidRDefault="00737BD1" w:rsidP="00E9227E">
      <w:pPr>
        <w:pStyle w:val="Notedebasdepage"/>
      </w:pPr>
      <w:r w:rsidRPr="00F04F6F">
        <w:rPr>
          <w:lang w:val="fr-FR"/>
        </w:rPr>
        <w:tab/>
      </w:r>
      <w:r w:rsidRPr="00E9227E">
        <w:rPr>
          <w:rStyle w:val="Appelnotedebasdep"/>
        </w:rPr>
        <w:footnoteRef/>
      </w:r>
      <w:r w:rsidRPr="00F04F6F">
        <w:rPr>
          <w:lang w:val="fr-FR"/>
        </w:rPr>
        <w:tab/>
        <w:t>Convention sur les droits et devoirs des États (Montevideo, 26 décembre</w:t>
      </w:r>
      <w:r>
        <w:rPr>
          <w:lang w:val="fr-FR"/>
        </w:rPr>
        <w:t xml:space="preserve"> </w:t>
      </w:r>
      <w:r w:rsidRPr="00F04F6F">
        <w:rPr>
          <w:lang w:val="fr-FR"/>
        </w:rPr>
        <w:t xml:space="preserve">1933), Société des Nations,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 </w:t>
      </w:r>
      <w:r w:rsidRPr="00745A01">
        <w:t>CLXV, n</w:t>
      </w:r>
      <w:r w:rsidRPr="00745A01">
        <w:rPr>
          <w:vertAlign w:val="superscript"/>
        </w:rPr>
        <w:t>o</w:t>
      </w:r>
      <w:r w:rsidRPr="00745A01">
        <w:t> 3802, p. 19.</w:t>
      </w:r>
    </w:p>
  </w:footnote>
  <w:footnote w:id="261">
    <w:p w14:paraId="7E57FEEB" w14:textId="2321D76C" w:rsidR="00737BD1" w:rsidRPr="00745A01" w:rsidRDefault="00737BD1" w:rsidP="00E9227E">
      <w:pPr>
        <w:pStyle w:val="Notedebasdepage"/>
      </w:pPr>
      <w:r w:rsidRPr="00745A01">
        <w:tab/>
      </w:r>
      <w:r w:rsidRPr="00E9227E">
        <w:rPr>
          <w:rStyle w:val="Appelnotedebasdep"/>
        </w:rPr>
        <w:footnoteRef/>
      </w:r>
      <w:r w:rsidRPr="00745A01">
        <w:tab/>
      </w:r>
      <w:r w:rsidRPr="00745A01">
        <w:rPr>
          <w:rFonts w:eastAsia="Calibri"/>
          <w:i/>
          <w:iCs/>
        </w:rPr>
        <w:t>Îsland of Palmas</w:t>
      </w:r>
      <w:r w:rsidRPr="00745A01">
        <w:t xml:space="preserve"> (voir </w:t>
      </w:r>
      <w:r w:rsidRPr="00745A01">
        <w:rPr>
          <w:i/>
          <w:iCs/>
        </w:rPr>
        <w:t>supra</w:t>
      </w:r>
      <w:r w:rsidRPr="00745A01">
        <w:t xml:space="preserve"> la note </w:t>
      </w:r>
      <w:r>
        <w:fldChar w:fldCharType="begin"/>
      </w:r>
      <w:r>
        <w:instrText xml:space="preserve"> NOTEREF _Ref169187747 \h </w:instrText>
      </w:r>
      <w:r>
        <w:fldChar w:fldCharType="separate"/>
      </w:r>
      <w:r w:rsidR="00EC4FDE">
        <w:t>258</w:t>
      </w:r>
      <w:r>
        <w:fldChar w:fldCharType="end"/>
      </w:r>
      <w:r w:rsidRPr="00745A01">
        <w:t>), p. 845.</w:t>
      </w:r>
    </w:p>
  </w:footnote>
  <w:footnote w:id="262">
    <w:p w14:paraId="10DB7C3A" w14:textId="7B12D577" w:rsidR="00737BD1" w:rsidRPr="00F04F6F" w:rsidRDefault="00737BD1" w:rsidP="00E9227E">
      <w:pPr>
        <w:pStyle w:val="Notedebasdepage"/>
        <w:rPr>
          <w:lang w:val="fr-FR"/>
        </w:rPr>
      </w:pPr>
      <w:r w:rsidRPr="00745A01">
        <w:tab/>
      </w:r>
      <w:r w:rsidRPr="00E9227E">
        <w:rPr>
          <w:rStyle w:val="Appelnotedebasdep"/>
        </w:rPr>
        <w:footnoteRef/>
      </w:r>
      <w:r w:rsidRPr="00F04F6F">
        <w:rPr>
          <w:lang w:val="fr-FR"/>
        </w:rPr>
        <w:tab/>
        <w:t>Convention des Nations Unies sur le droit de la mer (Montego Bay, 10 décembre</w:t>
      </w:r>
      <w:r>
        <w:rPr>
          <w:lang w:val="fr-FR"/>
        </w:rPr>
        <w:t xml:space="preserve"> </w:t>
      </w:r>
      <w:r w:rsidRPr="00F04F6F">
        <w:rPr>
          <w:lang w:val="fr-FR"/>
        </w:rPr>
        <w:t xml:space="preserve">1982).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w:t>
      </w:r>
      <w:r>
        <w:rPr>
          <w:lang w:val="fr-FR"/>
        </w:rPr>
        <w:t> </w:t>
      </w:r>
      <w:r w:rsidRPr="00F04F6F">
        <w:rPr>
          <w:lang w:val="fr-FR"/>
        </w:rPr>
        <w:t>1833, n</w:t>
      </w:r>
      <w:r w:rsidRPr="00F04F6F">
        <w:rPr>
          <w:vertAlign w:val="superscript"/>
          <w:lang w:val="fr-FR"/>
        </w:rPr>
        <w:t>o</w:t>
      </w:r>
      <w:r>
        <w:rPr>
          <w:lang w:val="fr-FR"/>
        </w:rPr>
        <w:t> </w:t>
      </w:r>
      <w:r w:rsidRPr="00F04F6F">
        <w:rPr>
          <w:lang w:val="fr-FR"/>
        </w:rPr>
        <w:t>31363, p.</w:t>
      </w:r>
      <w:r>
        <w:rPr>
          <w:lang w:val="fr-FR"/>
        </w:rPr>
        <w:t> </w:t>
      </w:r>
      <w:r w:rsidRPr="00F04F6F">
        <w:rPr>
          <w:lang w:val="fr-FR"/>
        </w:rPr>
        <w:t>3.</w:t>
      </w:r>
    </w:p>
  </w:footnote>
  <w:footnote w:id="263">
    <w:p w14:paraId="4F39847A" w14:textId="028BACEF" w:rsidR="00737BD1" w:rsidRPr="00745A01" w:rsidRDefault="00737BD1" w:rsidP="00E9227E">
      <w:pPr>
        <w:pStyle w:val="Notedebasdepage"/>
        <w:rPr>
          <w:lang w:val="fr-FR"/>
        </w:rPr>
      </w:pPr>
      <w:r>
        <w:tab/>
      </w:r>
      <w:r w:rsidRPr="00E9227E">
        <w:rPr>
          <w:rStyle w:val="Appelnotedebasdep"/>
        </w:rPr>
        <w:footnoteRef/>
      </w:r>
      <w:r>
        <w:tab/>
        <w:t xml:space="preserve">Voir </w:t>
      </w:r>
      <w:r w:rsidRPr="006E41C0">
        <w:t>projet de déclaration des droits et des devoirs des États</w:t>
      </w:r>
      <w:r>
        <w:t xml:space="preserve">, par. 49. </w:t>
      </w:r>
      <w:r w:rsidRPr="00745A01">
        <w:rPr>
          <w:i/>
          <w:iCs/>
        </w:rPr>
        <w:t>Annuaire</w:t>
      </w:r>
      <w:r w:rsidR="008D6C4B">
        <w:rPr>
          <w:i/>
          <w:iCs/>
        </w:rPr>
        <w:t xml:space="preserve"> </w:t>
      </w:r>
      <w:r w:rsidRPr="00745A01">
        <w:rPr>
          <w:i/>
          <w:iCs/>
        </w:rPr>
        <w:t>… 1949</w:t>
      </w:r>
      <w:r>
        <w:t>, vol. I, p. 287 à 290.</w:t>
      </w:r>
    </w:p>
  </w:footnote>
  <w:footnote w:id="264">
    <w:p w14:paraId="6C9C1A21" w14:textId="7D101108"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Convention de Vienne sur le droit des traités (Vienne, 23 mai</w:t>
      </w:r>
      <w:r>
        <w:rPr>
          <w:lang w:val="fr-FR"/>
        </w:rPr>
        <w:t xml:space="preserve"> </w:t>
      </w:r>
      <w:r w:rsidRPr="00F04F6F">
        <w:rPr>
          <w:lang w:val="fr-FR"/>
        </w:rPr>
        <w:t xml:space="preserve">1969),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 1155, n</w:t>
      </w:r>
      <w:r w:rsidRPr="00F04F6F">
        <w:rPr>
          <w:vertAlign w:val="superscript"/>
          <w:lang w:val="fr-FR"/>
        </w:rPr>
        <w:t>o</w:t>
      </w:r>
      <w:r w:rsidRPr="00F04F6F">
        <w:rPr>
          <w:lang w:val="fr-FR"/>
        </w:rPr>
        <w:t> 18232, p.</w:t>
      </w:r>
      <w:r>
        <w:rPr>
          <w:lang w:val="fr-FR"/>
        </w:rPr>
        <w:t> </w:t>
      </w:r>
      <w:r w:rsidRPr="00F04F6F">
        <w:rPr>
          <w:lang w:val="fr-FR"/>
        </w:rPr>
        <w:t>331.</w:t>
      </w:r>
    </w:p>
  </w:footnote>
  <w:footnote w:id="265">
    <w:p w14:paraId="3BA34DB6" w14:textId="2B62ACA7"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On a renvoyé à l</w:t>
      </w:r>
      <w:r w:rsidR="004937A0">
        <w:rPr>
          <w:lang w:val="fr-FR"/>
        </w:rPr>
        <w:t>’</w:t>
      </w:r>
      <w:r w:rsidRPr="00F04F6F">
        <w:rPr>
          <w:lang w:val="fr-FR"/>
        </w:rPr>
        <w:t xml:space="preserve">avis consultatif rendu en 1975 par la Cour internationale de Justice en ce qui concerne le </w:t>
      </w:r>
      <w:r w:rsidRPr="00F04F6F">
        <w:rPr>
          <w:i/>
          <w:iCs/>
          <w:lang w:val="fr-FR"/>
        </w:rPr>
        <w:t>Sahara occidental</w:t>
      </w:r>
      <w:r w:rsidRPr="00F04F6F">
        <w:rPr>
          <w:lang w:val="fr-FR"/>
        </w:rPr>
        <w:t xml:space="preserve"> (« [A]ucune règle de droit international n</w:t>
      </w:r>
      <w:r w:rsidR="004937A0">
        <w:rPr>
          <w:lang w:val="fr-FR"/>
        </w:rPr>
        <w:t>’</w:t>
      </w:r>
      <w:r w:rsidRPr="00F04F6F">
        <w:rPr>
          <w:lang w:val="fr-FR"/>
        </w:rPr>
        <w:t>exige que l</w:t>
      </w:r>
      <w:r w:rsidR="004937A0">
        <w:rPr>
          <w:lang w:val="fr-FR"/>
        </w:rPr>
        <w:t>’</w:t>
      </w:r>
      <w:r w:rsidRPr="00F04F6F">
        <w:rPr>
          <w:lang w:val="fr-FR"/>
        </w:rPr>
        <w:t xml:space="preserve">État ait une structure déterminée », et il peut très bien exister des États ayant un caractère </w:t>
      </w:r>
      <w:r w:rsidRPr="00CC1B88">
        <w:rPr>
          <w:lang w:val="fr-FR"/>
        </w:rPr>
        <w:t>particulier),</w:t>
      </w:r>
      <w:r w:rsidRPr="00F04F6F">
        <w:rPr>
          <w:lang w:val="fr-FR"/>
        </w:rPr>
        <w:t xml:space="preserve"> </w:t>
      </w:r>
      <w:r w:rsidRPr="00F04F6F">
        <w:rPr>
          <w:i/>
          <w:iCs/>
          <w:lang w:val="fr-FR"/>
        </w:rPr>
        <w:t>Sahara</w:t>
      </w:r>
      <w:r>
        <w:rPr>
          <w:i/>
          <w:iCs/>
          <w:lang w:val="fr-FR"/>
        </w:rPr>
        <w:t> </w:t>
      </w:r>
      <w:r w:rsidRPr="00F04F6F">
        <w:rPr>
          <w:i/>
          <w:iCs/>
          <w:lang w:val="fr-FR"/>
        </w:rPr>
        <w:t>occidental, avis consultatif, C.I.J. Recueil 1975</w:t>
      </w:r>
      <w:r w:rsidRPr="00F04F6F">
        <w:rPr>
          <w:lang w:val="fr-FR"/>
        </w:rPr>
        <w:t>, p.</w:t>
      </w:r>
      <w:r>
        <w:rPr>
          <w:lang w:val="fr-FR"/>
        </w:rPr>
        <w:t> </w:t>
      </w:r>
      <w:r w:rsidRPr="00F04F6F">
        <w:rPr>
          <w:lang w:val="fr-FR"/>
        </w:rPr>
        <w:t>12, aux p</w:t>
      </w:r>
      <w:r>
        <w:rPr>
          <w:lang w:val="fr-FR"/>
        </w:rPr>
        <w:t>ages</w:t>
      </w:r>
      <w:r w:rsidRPr="00F04F6F">
        <w:rPr>
          <w:lang w:val="fr-FR"/>
        </w:rPr>
        <w:t xml:space="preserve"> 43 et 44, </w:t>
      </w:r>
      <w:r>
        <w:rPr>
          <w:lang w:val="fr-FR"/>
        </w:rPr>
        <w:t>par. </w:t>
      </w:r>
      <w:r w:rsidRPr="00F04F6F">
        <w:rPr>
          <w:lang w:val="fr-FR"/>
        </w:rPr>
        <w:t>94 et 95.</w:t>
      </w:r>
    </w:p>
  </w:footnote>
  <w:footnote w:id="266">
    <w:p w14:paraId="02E92459" w14:textId="49BEEF6E"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Pacte international relatif aux droits civils et politiques (New York, 16 décembre</w:t>
      </w:r>
      <w:r>
        <w:rPr>
          <w:lang w:val="fr-FR"/>
        </w:rPr>
        <w:t xml:space="preserve"> </w:t>
      </w:r>
      <w:r w:rsidRPr="00F04F6F">
        <w:rPr>
          <w:lang w:val="fr-FR"/>
        </w:rPr>
        <w:t xml:space="preserve">1966),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 999, n</w:t>
      </w:r>
      <w:r w:rsidRPr="00F04F6F">
        <w:rPr>
          <w:vertAlign w:val="superscript"/>
          <w:lang w:val="fr-FR"/>
        </w:rPr>
        <w:t>o</w:t>
      </w:r>
      <w:r w:rsidRPr="00F04F6F">
        <w:rPr>
          <w:lang w:val="fr-FR"/>
        </w:rPr>
        <w:t> 14668, p. 171.</w:t>
      </w:r>
    </w:p>
  </w:footnote>
  <w:footnote w:id="267">
    <w:p w14:paraId="45242D05" w14:textId="7E572981"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 xml:space="preserve">Résolution </w:t>
      </w:r>
      <w:hyperlink r:id="rId156" w:history="1">
        <w:r w:rsidRPr="00254B8E">
          <w:rPr>
            <w:rStyle w:val="Lienhypertexte"/>
            <w:lang w:val="fr-FR"/>
          </w:rPr>
          <w:t>61/295</w:t>
        </w:r>
      </w:hyperlink>
      <w:r w:rsidRPr="00F04F6F">
        <w:rPr>
          <w:lang w:val="fr-FR"/>
        </w:rPr>
        <w:t xml:space="preserve"> de l</w:t>
      </w:r>
      <w:r w:rsidR="004937A0">
        <w:rPr>
          <w:lang w:val="fr-FR"/>
        </w:rPr>
        <w:t>’</w:t>
      </w:r>
      <w:r w:rsidRPr="00F04F6F">
        <w:rPr>
          <w:lang w:val="fr-FR"/>
        </w:rPr>
        <w:t>Assemblée générale, en date du 13 septembre 2007.</w:t>
      </w:r>
    </w:p>
  </w:footnote>
  <w:footnote w:id="268">
    <w:p w14:paraId="17DFE59F" w14:textId="4EFC9688"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 xml:space="preserve">Les articles et les commentaires y relatifs adoptés par la Commission sont reproduits dans </w:t>
      </w:r>
      <w:r w:rsidRPr="00F04F6F">
        <w:rPr>
          <w:i/>
          <w:iCs/>
          <w:lang w:val="fr-FR"/>
        </w:rPr>
        <w:t>Annuaire</w:t>
      </w:r>
      <w:r w:rsidR="001F4635">
        <w:rPr>
          <w:i/>
          <w:iCs/>
          <w:lang w:val="fr-FR"/>
        </w:rPr>
        <w:t> </w:t>
      </w:r>
      <w:r w:rsidRPr="00F04F6F">
        <w:rPr>
          <w:i/>
          <w:iCs/>
          <w:lang w:val="fr-FR"/>
        </w:rPr>
        <w:t>… 1999</w:t>
      </w:r>
      <w:r w:rsidRPr="00F04F6F">
        <w:rPr>
          <w:lang w:val="fr-FR"/>
        </w:rPr>
        <w:t>, vol. II (</w:t>
      </w:r>
      <w:r>
        <w:rPr>
          <w:lang w:val="fr-FR"/>
        </w:rPr>
        <w:t>2</w:t>
      </w:r>
      <w:r w:rsidRPr="00745A01">
        <w:rPr>
          <w:vertAlign w:val="superscript"/>
          <w:lang w:val="fr-FR"/>
        </w:rPr>
        <w:t>e</w:t>
      </w:r>
      <w:r>
        <w:rPr>
          <w:lang w:val="fr-FR"/>
        </w:rPr>
        <w:t> </w:t>
      </w:r>
      <w:r w:rsidRPr="00F04F6F">
        <w:rPr>
          <w:lang w:val="fr-FR"/>
        </w:rPr>
        <w:t xml:space="preserve">partie), </w:t>
      </w:r>
      <w:r>
        <w:rPr>
          <w:lang w:val="fr-FR"/>
        </w:rPr>
        <w:t>par. </w:t>
      </w:r>
      <w:r w:rsidRPr="00F04F6F">
        <w:rPr>
          <w:lang w:val="fr-FR"/>
        </w:rPr>
        <w:t xml:space="preserve">47 et 48. Voir également résolution </w:t>
      </w:r>
      <w:hyperlink r:id="rId157" w:history="1">
        <w:r w:rsidRPr="00254B8E">
          <w:rPr>
            <w:rStyle w:val="Lienhypertexte"/>
            <w:lang w:val="fr-FR"/>
          </w:rPr>
          <w:t>55/153</w:t>
        </w:r>
      </w:hyperlink>
      <w:r w:rsidRPr="00F04F6F">
        <w:rPr>
          <w:lang w:val="fr-FR"/>
        </w:rPr>
        <w:t xml:space="preserve"> de l</w:t>
      </w:r>
      <w:r w:rsidR="004937A0">
        <w:rPr>
          <w:lang w:val="fr-FR"/>
        </w:rPr>
        <w:t>’</w:t>
      </w:r>
      <w:r w:rsidRPr="00F04F6F">
        <w:rPr>
          <w:lang w:val="fr-FR"/>
        </w:rPr>
        <w:t>Assemblée générale, en date du 12 décembre</w:t>
      </w:r>
      <w:r>
        <w:rPr>
          <w:lang w:val="fr-FR"/>
        </w:rPr>
        <w:t xml:space="preserve"> </w:t>
      </w:r>
      <w:r w:rsidRPr="00F04F6F">
        <w:rPr>
          <w:lang w:val="fr-FR"/>
        </w:rPr>
        <w:t>2000, annexe.</w:t>
      </w:r>
    </w:p>
  </w:footnote>
  <w:footnote w:id="269">
    <w:p w14:paraId="0378D636" w14:textId="4A3FEE7B" w:rsidR="00737BD1" w:rsidRPr="00B65D8A" w:rsidRDefault="00737BD1" w:rsidP="00E9227E">
      <w:pPr>
        <w:pStyle w:val="Notedebasdepage"/>
        <w:rPr>
          <w:lang w:val="en-US"/>
        </w:rPr>
      </w:pPr>
      <w:r w:rsidRPr="00F04F6F">
        <w:rPr>
          <w:lang w:val="fr-FR"/>
        </w:rPr>
        <w:tab/>
      </w:r>
      <w:r w:rsidRPr="00E9227E">
        <w:rPr>
          <w:rStyle w:val="Appelnotedebasdep"/>
        </w:rPr>
        <w:footnoteRef/>
      </w:r>
      <w:r w:rsidRPr="00F04F6F">
        <w:rPr>
          <w:lang w:val="fr-FR"/>
        </w:rPr>
        <w:tab/>
        <w:t>Le projet d</w:t>
      </w:r>
      <w:r w:rsidR="004937A0">
        <w:rPr>
          <w:lang w:val="fr-FR"/>
        </w:rPr>
        <w:t>’</w:t>
      </w:r>
      <w:r w:rsidRPr="00F04F6F">
        <w:rPr>
          <w:lang w:val="fr-FR"/>
        </w:rPr>
        <w:t xml:space="preserve">articles et les commentaires y relatifs adoptés par la Commission sont reproduits dans </w:t>
      </w:r>
      <w:r w:rsidRPr="00F04F6F">
        <w:rPr>
          <w:i/>
          <w:iCs/>
          <w:lang w:val="fr-FR"/>
        </w:rPr>
        <w:t xml:space="preserve">Annuaire …. </w:t>
      </w:r>
      <w:r w:rsidRPr="00B65D8A">
        <w:rPr>
          <w:i/>
          <w:iCs/>
          <w:lang w:val="en-US"/>
        </w:rPr>
        <w:t xml:space="preserve">2016, </w:t>
      </w:r>
      <w:r w:rsidRPr="00B65D8A">
        <w:rPr>
          <w:lang w:val="en-US"/>
        </w:rPr>
        <w:t>vol. II</w:t>
      </w:r>
      <w:r w:rsidRPr="00B65D8A">
        <w:rPr>
          <w:i/>
          <w:iCs/>
          <w:lang w:val="en-US"/>
        </w:rPr>
        <w:t xml:space="preserve"> </w:t>
      </w:r>
      <w:r w:rsidRPr="00B65D8A">
        <w:rPr>
          <w:lang w:val="en-US"/>
        </w:rPr>
        <w:t>(2</w:t>
      </w:r>
      <w:r w:rsidRPr="00B65D8A">
        <w:rPr>
          <w:vertAlign w:val="superscript"/>
          <w:lang w:val="en-US"/>
        </w:rPr>
        <w:t>e</w:t>
      </w:r>
      <w:r w:rsidRPr="00B65D8A">
        <w:rPr>
          <w:lang w:val="en-US"/>
        </w:rPr>
        <w:t> partie), par. 48 et 49.</w:t>
      </w:r>
    </w:p>
  </w:footnote>
  <w:footnote w:id="270">
    <w:p w14:paraId="4DBE9A1A" w14:textId="77777777" w:rsidR="00737BD1" w:rsidRPr="00B65D8A" w:rsidRDefault="00737BD1" w:rsidP="00E9227E">
      <w:pPr>
        <w:pStyle w:val="Notedebasdepage"/>
        <w:rPr>
          <w:lang w:val="en-US"/>
        </w:rPr>
      </w:pPr>
      <w:r w:rsidRPr="00B65D8A">
        <w:rPr>
          <w:lang w:val="en-US"/>
        </w:rPr>
        <w:tab/>
      </w:r>
      <w:r w:rsidRPr="00E9227E">
        <w:rPr>
          <w:rStyle w:val="Appelnotedebasdep"/>
        </w:rPr>
        <w:footnoteRef/>
      </w:r>
      <w:r w:rsidRPr="00B65D8A">
        <w:rPr>
          <w:lang w:val="en-US"/>
        </w:rPr>
        <w:tab/>
      </w:r>
      <w:hyperlink r:id="rId158" w:history="1">
        <w:r w:rsidRPr="00B65D8A">
          <w:rPr>
            <w:rStyle w:val="Lienhypertexte"/>
            <w:szCs w:val="18"/>
            <w:lang w:val="en-US"/>
          </w:rPr>
          <w:t>CCPR/C/135/D/3624/2019</w:t>
        </w:r>
      </w:hyperlink>
      <w:r w:rsidRPr="00B65D8A">
        <w:rPr>
          <w:lang w:val="en-US"/>
        </w:rPr>
        <w:t>.</w:t>
      </w:r>
    </w:p>
  </w:footnote>
  <w:footnote w:id="271">
    <w:p w14:paraId="242AB209" w14:textId="58FCE855" w:rsidR="00737BD1" w:rsidRPr="00F04F6F" w:rsidRDefault="00737BD1" w:rsidP="00E9227E">
      <w:pPr>
        <w:pStyle w:val="Notedebasdepage"/>
        <w:rPr>
          <w:lang w:val="fr-FR"/>
        </w:rPr>
      </w:pPr>
      <w:r w:rsidRPr="00B65D8A">
        <w:rPr>
          <w:lang w:val="en-US"/>
        </w:rPr>
        <w:tab/>
      </w:r>
      <w:r w:rsidRPr="00E9227E">
        <w:rPr>
          <w:rStyle w:val="Appelnotedebasdep"/>
        </w:rPr>
        <w:footnoteRef/>
      </w:r>
      <w:r w:rsidRPr="00745A01">
        <w:rPr>
          <w:lang w:val="en-US"/>
        </w:rPr>
        <w:tab/>
      </w:r>
      <w:r w:rsidRPr="00745A01">
        <w:rPr>
          <w:i/>
          <w:iCs/>
          <w:lang w:val="en-US"/>
        </w:rPr>
        <w:t>Intergovernmental Panel on Climate Change</w:t>
      </w:r>
      <w:r w:rsidRPr="00745A01">
        <w:rPr>
          <w:lang w:val="en-US"/>
        </w:rPr>
        <w:t xml:space="preserve">, </w:t>
      </w:r>
      <w:r w:rsidRPr="00745A01">
        <w:rPr>
          <w:i/>
          <w:iCs/>
          <w:lang w:val="en-US"/>
        </w:rPr>
        <w:t xml:space="preserve">Climate Change 2023: Synthesis Report. </w:t>
      </w:r>
      <w:r w:rsidRPr="00F04F6F">
        <w:rPr>
          <w:i/>
          <w:iCs/>
          <w:lang w:val="en-US"/>
        </w:rPr>
        <w:t>Contribution of Working Groups I, II and III to the Sixth Assessment Report of the Intergovernmental Panel on Climate Change</w:t>
      </w:r>
      <w:r w:rsidRPr="00F04F6F">
        <w:rPr>
          <w:lang w:val="en-US"/>
        </w:rPr>
        <w:t xml:space="preserve"> (Genève, 2023) (Changements climatiques 2023 : rapport de synthèse. </w:t>
      </w:r>
      <w:r w:rsidRPr="00F04F6F">
        <w:rPr>
          <w:lang w:val="fr-FR"/>
        </w:rPr>
        <w:t>Contribution des groupes de travail I, II et III au sixième rapport d</w:t>
      </w:r>
      <w:r w:rsidR="004937A0">
        <w:rPr>
          <w:lang w:val="fr-FR"/>
        </w:rPr>
        <w:t>’</w:t>
      </w:r>
      <w:r w:rsidRPr="00F04F6F">
        <w:rPr>
          <w:lang w:val="fr-FR"/>
        </w:rPr>
        <w:t>évaluation du Groupe d</w:t>
      </w:r>
      <w:r w:rsidR="004937A0">
        <w:rPr>
          <w:lang w:val="fr-FR"/>
        </w:rPr>
        <w:t>’</w:t>
      </w:r>
      <w:r w:rsidRPr="00F04F6F">
        <w:rPr>
          <w:lang w:val="fr-FR"/>
        </w:rPr>
        <w:t>experts intergouvernemental sur l</w:t>
      </w:r>
      <w:r w:rsidR="004937A0">
        <w:rPr>
          <w:lang w:val="fr-FR"/>
        </w:rPr>
        <w:t>’</w:t>
      </w:r>
      <w:r w:rsidRPr="00F04F6F">
        <w:rPr>
          <w:lang w:val="fr-FR"/>
        </w:rPr>
        <w:t>évolution du climat).</w:t>
      </w:r>
    </w:p>
  </w:footnote>
  <w:footnote w:id="272">
    <w:p w14:paraId="14FCCDE7" w14:textId="016EC8D3"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hyperlink r:id="rId159" w:history="1">
        <w:r w:rsidRPr="00FF7CB2">
          <w:rPr>
            <w:rStyle w:val="Lienhypertexte"/>
            <w:szCs w:val="18"/>
            <w:lang w:val="fr-FR"/>
          </w:rPr>
          <w:t>CCPR/C/127/D/2728/2016</w:t>
        </w:r>
      </w:hyperlink>
      <w:r w:rsidRPr="00F04F6F">
        <w:rPr>
          <w:lang w:val="fr-FR"/>
        </w:rPr>
        <w:t>.</w:t>
      </w:r>
    </w:p>
  </w:footnote>
  <w:footnote w:id="273">
    <w:p w14:paraId="4173C719" w14:textId="5A786879"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 xml:space="preserve">Résolution </w:t>
      </w:r>
      <w:hyperlink r:id="rId160" w:history="1">
        <w:r w:rsidRPr="00254B8E">
          <w:rPr>
            <w:rStyle w:val="Lienhypertexte"/>
            <w:lang w:val="fr-FR"/>
          </w:rPr>
          <w:t>73/195</w:t>
        </w:r>
      </w:hyperlink>
      <w:r w:rsidRPr="00F04F6F">
        <w:rPr>
          <w:lang w:val="fr-FR"/>
        </w:rPr>
        <w:t xml:space="preserve"> de l</w:t>
      </w:r>
      <w:r w:rsidR="004937A0">
        <w:rPr>
          <w:lang w:val="fr-FR"/>
        </w:rPr>
        <w:t>’</w:t>
      </w:r>
      <w:r w:rsidRPr="00F04F6F">
        <w:rPr>
          <w:lang w:val="fr-FR"/>
        </w:rPr>
        <w:t>Assemblée générale, en date du 19 décembre</w:t>
      </w:r>
      <w:r>
        <w:rPr>
          <w:lang w:val="fr-FR"/>
        </w:rPr>
        <w:t xml:space="preserve"> </w:t>
      </w:r>
      <w:r w:rsidRPr="00F04F6F">
        <w:rPr>
          <w:lang w:val="fr-FR"/>
        </w:rPr>
        <w:t>2018, annexe.</w:t>
      </w:r>
    </w:p>
  </w:footnote>
  <w:footnote w:id="274">
    <w:p w14:paraId="11A9DC0F" w14:textId="7F608009"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Convention relative au statut de réfugiés (Genève, 28 juillet</w:t>
      </w:r>
      <w:r>
        <w:rPr>
          <w:lang w:val="fr-FR"/>
        </w:rPr>
        <w:t xml:space="preserve"> </w:t>
      </w:r>
      <w:r w:rsidRPr="00F04F6F">
        <w:rPr>
          <w:lang w:val="fr-FR"/>
        </w:rPr>
        <w:t xml:space="preserve">1951),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 189, n</w:t>
      </w:r>
      <w:r w:rsidRPr="00F04F6F">
        <w:rPr>
          <w:vertAlign w:val="superscript"/>
          <w:lang w:val="fr-FR"/>
        </w:rPr>
        <w:t>o</w:t>
      </w:r>
      <w:r w:rsidRPr="00F04F6F">
        <w:rPr>
          <w:lang w:val="fr-FR"/>
        </w:rPr>
        <w:t> 2545, p.</w:t>
      </w:r>
      <w:r>
        <w:rPr>
          <w:lang w:val="fr-FR"/>
        </w:rPr>
        <w:t> </w:t>
      </w:r>
      <w:r w:rsidRPr="00F04F6F">
        <w:rPr>
          <w:lang w:val="fr-FR"/>
        </w:rPr>
        <w:t>137.</w:t>
      </w:r>
    </w:p>
  </w:footnote>
  <w:footnote w:id="275">
    <w:p w14:paraId="3C6BD3FC" w14:textId="51850C11"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Convention de l</w:t>
      </w:r>
      <w:r w:rsidR="004937A0">
        <w:rPr>
          <w:lang w:val="fr-FR"/>
        </w:rPr>
        <w:t>’</w:t>
      </w:r>
      <w:r w:rsidRPr="00F04F6F">
        <w:rPr>
          <w:lang w:val="fr-FR"/>
        </w:rPr>
        <w:t>OUA [Organisation de l</w:t>
      </w:r>
      <w:r w:rsidR="004937A0">
        <w:rPr>
          <w:lang w:val="fr-FR"/>
        </w:rPr>
        <w:t>’</w:t>
      </w:r>
      <w:r w:rsidRPr="00F04F6F">
        <w:rPr>
          <w:lang w:val="fr-FR"/>
        </w:rPr>
        <w:t>Unité africaine] régissant les aspects propres aux problèmes des réfugiés en Afrique (Addis-Abeba, 10 septembre</w:t>
      </w:r>
      <w:r>
        <w:rPr>
          <w:lang w:val="fr-FR"/>
        </w:rPr>
        <w:t xml:space="preserve"> </w:t>
      </w:r>
      <w:r w:rsidRPr="00F04F6F">
        <w:rPr>
          <w:lang w:val="fr-FR"/>
        </w:rPr>
        <w:t xml:space="preserve">1969),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w:t>
      </w:r>
      <w:r>
        <w:rPr>
          <w:lang w:val="fr-FR"/>
        </w:rPr>
        <w:t> </w:t>
      </w:r>
      <w:r w:rsidRPr="00F04F6F">
        <w:rPr>
          <w:lang w:val="fr-FR"/>
        </w:rPr>
        <w:t>1001, n</w:t>
      </w:r>
      <w:r w:rsidRPr="00F04F6F">
        <w:rPr>
          <w:vertAlign w:val="superscript"/>
          <w:lang w:val="fr-FR"/>
        </w:rPr>
        <w:t>o</w:t>
      </w:r>
      <w:r w:rsidRPr="00F04F6F">
        <w:rPr>
          <w:lang w:val="fr-FR"/>
        </w:rPr>
        <w:t> 14691, p.</w:t>
      </w:r>
      <w:r>
        <w:rPr>
          <w:lang w:val="fr-FR"/>
        </w:rPr>
        <w:t> </w:t>
      </w:r>
      <w:r w:rsidRPr="00F04F6F">
        <w:rPr>
          <w:lang w:val="fr-FR"/>
        </w:rPr>
        <w:t>45.</w:t>
      </w:r>
    </w:p>
  </w:footnote>
  <w:footnote w:id="276">
    <w:p w14:paraId="0FB04EA8" w14:textId="073FA68C"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Déclaration de Carthagène sur les réfugiés, adoptée lors du Colloque sur la protection internationale des réfugiés en Amérique centrale, au Mexique et au Panama : problèmes juridiques et humanitaires, Carthagène (Colombie), 19</w:t>
      </w:r>
      <w:r>
        <w:rPr>
          <w:lang w:val="fr-FR"/>
        </w:rPr>
        <w:noBreakHyphen/>
      </w:r>
      <w:r w:rsidRPr="00F04F6F">
        <w:rPr>
          <w:lang w:val="fr-FR"/>
        </w:rPr>
        <w:t>22 novembre</w:t>
      </w:r>
      <w:r>
        <w:rPr>
          <w:lang w:val="fr-FR"/>
        </w:rPr>
        <w:t xml:space="preserve"> </w:t>
      </w:r>
      <w:r w:rsidRPr="00F04F6F">
        <w:rPr>
          <w:lang w:val="fr-FR"/>
        </w:rPr>
        <w:t>1984, disponible à l</w:t>
      </w:r>
      <w:r w:rsidR="004937A0">
        <w:rPr>
          <w:lang w:val="fr-FR"/>
        </w:rPr>
        <w:t>’</w:t>
      </w:r>
      <w:r w:rsidRPr="00F04F6F">
        <w:rPr>
          <w:lang w:val="fr-FR"/>
        </w:rPr>
        <w:t xml:space="preserve">adresse </w:t>
      </w:r>
      <w:hyperlink r:id="rId161" w:history="1">
        <w:r w:rsidRPr="00FF7CB2">
          <w:rPr>
            <w:rStyle w:val="Lienhypertexte"/>
            <w:szCs w:val="18"/>
            <w:lang w:val="fr-FR"/>
          </w:rPr>
          <w:t>www.oas.org/dil/1984_Cartagena_Declaration_on_Refugees.pdf</w:t>
        </w:r>
      </w:hyperlink>
      <w:r w:rsidRPr="00F04F6F">
        <w:rPr>
          <w:lang w:val="fr-FR"/>
        </w:rPr>
        <w:t>.</w:t>
      </w:r>
    </w:p>
  </w:footnote>
  <w:footnote w:id="277">
    <w:p w14:paraId="79C629EA" w14:textId="67E54794"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Convention relative au statut des apatrides (New York, 28 septembre</w:t>
      </w:r>
      <w:r>
        <w:rPr>
          <w:lang w:val="fr-FR"/>
        </w:rPr>
        <w:t xml:space="preserve"> </w:t>
      </w:r>
      <w:r w:rsidRPr="00F04F6F">
        <w:rPr>
          <w:lang w:val="fr-FR"/>
        </w:rPr>
        <w:t xml:space="preserve">1954),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w:t>
      </w:r>
      <w:r>
        <w:rPr>
          <w:lang w:val="fr-FR"/>
        </w:rPr>
        <w:t> </w:t>
      </w:r>
      <w:r w:rsidRPr="00F04F6F">
        <w:rPr>
          <w:lang w:val="fr-FR"/>
        </w:rPr>
        <w:t>360, n</w:t>
      </w:r>
      <w:r w:rsidRPr="00F04F6F">
        <w:rPr>
          <w:vertAlign w:val="superscript"/>
          <w:lang w:val="fr-FR"/>
        </w:rPr>
        <w:t>o</w:t>
      </w:r>
      <w:r w:rsidRPr="00F04F6F">
        <w:rPr>
          <w:lang w:val="fr-FR"/>
        </w:rPr>
        <w:t> 5158, p.</w:t>
      </w:r>
      <w:r>
        <w:rPr>
          <w:lang w:val="fr-FR"/>
        </w:rPr>
        <w:t> </w:t>
      </w:r>
      <w:r w:rsidRPr="00F04F6F">
        <w:rPr>
          <w:lang w:val="fr-FR"/>
        </w:rPr>
        <w:t>117.</w:t>
      </w:r>
    </w:p>
  </w:footnote>
  <w:footnote w:id="278">
    <w:p w14:paraId="424300A0" w14:textId="014511B3"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t>Convention sur la réduction des cas d</w:t>
      </w:r>
      <w:r w:rsidR="004937A0">
        <w:rPr>
          <w:lang w:val="fr-FR"/>
        </w:rPr>
        <w:t>’</w:t>
      </w:r>
      <w:r w:rsidRPr="00F04F6F">
        <w:rPr>
          <w:lang w:val="fr-FR"/>
        </w:rPr>
        <w:t>apatridie (New York, 30 août</w:t>
      </w:r>
      <w:r>
        <w:rPr>
          <w:lang w:val="fr-FR"/>
        </w:rPr>
        <w:t xml:space="preserve"> </w:t>
      </w:r>
      <w:r w:rsidRPr="00F04F6F">
        <w:rPr>
          <w:lang w:val="fr-FR"/>
        </w:rPr>
        <w:t xml:space="preserve">1961), Nations Unies, </w:t>
      </w:r>
      <w:r w:rsidRPr="00F04F6F">
        <w:rPr>
          <w:i/>
          <w:iCs/>
          <w:lang w:val="fr-FR"/>
        </w:rPr>
        <w:t xml:space="preserve">Recueil des </w:t>
      </w:r>
      <w:r w:rsidR="002C2BCB" w:rsidRPr="00F04F6F">
        <w:rPr>
          <w:i/>
          <w:iCs/>
          <w:lang w:val="fr-FR"/>
        </w:rPr>
        <w:t>T</w:t>
      </w:r>
      <w:r w:rsidRPr="00F04F6F">
        <w:rPr>
          <w:i/>
          <w:iCs/>
          <w:lang w:val="fr-FR"/>
        </w:rPr>
        <w:t>raités</w:t>
      </w:r>
      <w:r w:rsidRPr="00F04F6F">
        <w:rPr>
          <w:lang w:val="fr-FR"/>
        </w:rPr>
        <w:t>, vol.</w:t>
      </w:r>
      <w:r>
        <w:rPr>
          <w:lang w:val="fr-FR"/>
        </w:rPr>
        <w:t> </w:t>
      </w:r>
      <w:r w:rsidRPr="00F04F6F">
        <w:rPr>
          <w:lang w:val="fr-FR"/>
        </w:rPr>
        <w:t>989, n</w:t>
      </w:r>
      <w:r w:rsidRPr="00F04F6F">
        <w:rPr>
          <w:vertAlign w:val="superscript"/>
          <w:lang w:val="fr-FR"/>
        </w:rPr>
        <w:t>o</w:t>
      </w:r>
      <w:r w:rsidRPr="00F04F6F">
        <w:rPr>
          <w:lang w:val="fr-FR"/>
        </w:rPr>
        <w:t> 14458, p.</w:t>
      </w:r>
      <w:r>
        <w:rPr>
          <w:lang w:val="fr-FR"/>
        </w:rPr>
        <w:t> </w:t>
      </w:r>
      <w:r w:rsidRPr="00F04F6F">
        <w:rPr>
          <w:lang w:val="fr-FR"/>
        </w:rPr>
        <w:t>175.</w:t>
      </w:r>
    </w:p>
  </w:footnote>
  <w:footnote w:id="279">
    <w:p w14:paraId="1F7BD577" w14:textId="02F67F76" w:rsidR="00737BD1" w:rsidRPr="00F04F6F" w:rsidRDefault="00737BD1" w:rsidP="00E9227E">
      <w:pPr>
        <w:pStyle w:val="Notedebasdepage"/>
        <w:rPr>
          <w:lang w:val="fr-FR"/>
        </w:rPr>
      </w:pPr>
      <w:r w:rsidRPr="00F04F6F">
        <w:rPr>
          <w:lang w:val="fr-FR"/>
        </w:rPr>
        <w:tab/>
      </w:r>
      <w:r w:rsidRPr="00E9227E">
        <w:rPr>
          <w:rStyle w:val="Appelnotedebasdep"/>
        </w:rPr>
        <w:footnoteRef/>
      </w:r>
      <w:r w:rsidRPr="00F04F6F">
        <w:rPr>
          <w:lang w:val="fr-FR"/>
        </w:rPr>
        <w:tab/>
      </w:r>
      <w:r w:rsidRPr="00F04F6F">
        <w:rPr>
          <w:i/>
          <w:iCs/>
          <w:lang w:val="fr-FR"/>
        </w:rPr>
        <w:t>Documents officiels de l</w:t>
      </w:r>
      <w:r w:rsidR="004937A0">
        <w:rPr>
          <w:i/>
          <w:iCs/>
          <w:lang w:val="fr-FR"/>
        </w:rPr>
        <w:t>’</w:t>
      </w:r>
      <w:r w:rsidRPr="00F04F6F">
        <w:rPr>
          <w:i/>
          <w:iCs/>
          <w:lang w:val="fr-FR"/>
        </w:rPr>
        <w:t>Assemblée générale, soixante-treizième session, Supplément n</w:t>
      </w:r>
      <w:r w:rsidRPr="00F04F6F">
        <w:rPr>
          <w:i/>
          <w:iCs/>
          <w:vertAlign w:val="superscript"/>
          <w:lang w:val="fr-FR"/>
        </w:rPr>
        <w:t>o</w:t>
      </w:r>
      <w:r w:rsidRPr="00F04F6F">
        <w:rPr>
          <w:i/>
          <w:iCs/>
          <w:lang w:val="fr-FR"/>
        </w:rPr>
        <w:t> 10</w:t>
      </w:r>
      <w:r w:rsidRPr="00F04F6F">
        <w:rPr>
          <w:lang w:val="fr-FR"/>
        </w:rPr>
        <w:t xml:space="preserve"> (</w:t>
      </w:r>
      <w:hyperlink r:id="rId162" w:history="1">
        <w:r w:rsidRPr="00FF7CB2">
          <w:rPr>
            <w:rStyle w:val="Lienhypertexte"/>
            <w:szCs w:val="18"/>
            <w:lang w:val="fr-FR"/>
          </w:rPr>
          <w:t>A/73/10</w:t>
        </w:r>
      </w:hyperlink>
      <w:r w:rsidRPr="00F04F6F">
        <w:rPr>
          <w:lang w:val="fr-FR"/>
        </w:rPr>
        <w:t>), annexe B.</w:t>
      </w:r>
    </w:p>
  </w:footnote>
  <w:footnote w:id="280">
    <w:p w14:paraId="73211156" w14:textId="77777777" w:rsidR="000E25A7" w:rsidRPr="00B41A05" w:rsidRDefault="000E25A7" w:rsidP="00E9227E">
      <w:pPr>
        <w:pStyle w:val="Notedebasdepage"/>
        <w:rPr>
          <w:rFonts w:cstheme="majorBidi"/>
          <w:sz w:val="17"/>
          <w:szCs w:val="17"/>
          <w:lang w:val="fr-FR"/>
        </w:rPr>
      </w:pPr>
      <w:r>
        <w:rPr>
          <w:i/>
          <w:iCs/>
          <w:lang w:val="fr-FR"/>
        </w:rPr>
        <w:tab/>
      </w:r>
      <w:r w:rsidRPr="00E9227E">
        <w:rPr>
          <w:rStyle w:val="Appelnotedebasdep"/>
        </w:rPr>
        <w:footnoteRef/>
      </w:r>
      <w:r>
        <w:rPr>
          <w:i/>
          <w:iCs/>
          <w:lang w:val="fr-FR"/>
        </w:rPr>
        <w:tab/>
      </w:r>
      <w:r w:rsidRPr="00B41A05">
        <w:rPr>
          <w:i/>
          <w:iCs/>
          <w:lang w:val="fr-FR"/>
        </w:rPr>
        <w:t>Annuaire ... 1998</w:t>
      </w:r>
      <w:r w:rsidRPr="00B41A05">
        <w:rPr>
          <w:lang w:val="fr-FR"/>
        </w:rPr>
        <w:t>, vol. II (2</w:t>
      </w:r>
      <w:r w:rsidRPr="00B41A05">
        <w:rPr>
          <w:vertAlign w:val="superscript"/>
          <w:lang w:val="fr-FR"/>
        </w:rPr>
        <w:t>e</w:t>
      </w:r>
      <w:r w:rsidRPr="00B41A05">
        <w:rPr>
          <w:lang w:val="fr-FR"/>
        </w:rPr>
        <w:t xml:space="preserve"> partie) p. 114, par. 553. Voir aussi </w:t>
      </w:r>
      <w:r w:rsidRPr="00B41A05">
        <w:rPr>
          <w:i/>
          <w:iCs/>
          <w:lang w:val="fr-FR"/>
        </w:rPr>
        <w:t>Annuaire … 1997</w:t>
      </w:r>
      <w:r w:rsidRPr="00B41A05">
        <w:rPr>
          <w:lang w:val="fr-FR"/>
        </w:rPr>
        <w:t>, vol. II (2e partie), par.</w:t>
      </w:r>
      <w:r>
        <w:rPr>
          <w:sz w:val="20"/>
          <w:szCs w:val="22"/>
          <w:lang w:val="fr-FR"/>
        </w:rPr>
        <w:t> </w:t>
      </w:r>
      <w:r w:rsidRPr="00B41A05">
        <w:rPr>
          <w:lang w:val="fr-FR"/>
        </w:rPr>
        <w:t>238.</w:t>
      </w:r>
    </w:p>
  </w:footnote>
  <w:footnote w:id="281">
    <w:p w14:paraId="56A30667" w14:textId="77777777" w:rsidR="000E25A7" w:rsidRPr="00B41A05" w:rsidRDefault="000E25A7" w:rsidP="00E9227E">
      <w:pPr>
        <w:pStyle w:val="Notedebasdepage"/>
        <w:rPr>
          <w:sz w:val="17"/>
          <w:szCs w:val="17"/>
          <w:lang w:val="fr-FR"/>
        </w:rPr>
      </w:pPr>
      <w:r>
        <w:rPr>
          <w:lang w:val="fr-FR"/>
        </w:rPr>
        <w:tab/>
      </w:r>
      <w:r w:rsidRPr="00E9227E">
        <w:rPr>
          <w:rStyle w:val="Appelnotedebasdep"/>
        </w:rPr>
        <w:footnoteRef/>
      </w:r>
      <w:r>
        <w:rPr>
          <w:lang w:val="fr-FR"/>
        </w:rPr>
        <w:tab/>
      </w:r>
      <w:r w:rsidRPr="00B41A05">
        <w:rPr>
          <w:i/>
          <w:iCs/>
          <w:lang w:val="fr-FR"/>
        </w:rPr>
        <w:t>Annuaire ... 1996</w:t>
      </w:r>
      <w:r w:rsidRPr="00B41A05">
        <w:rPr>
          <w:lang w:val="fr-FR"/>
        </w:rPr>
        <w:t>, vol. II (2</w:t>
      </w:r>
      <w:r w:rsidRPr="00B41A05">
        <w:rPr>
          <w:vertAlign w:val="superscript"/>
          <w:lang w:val="fr-FR"/>
        </w:rPr>
        <w:t>e</w:t>
      </w:r>
      <w:r w:rsidRPr="00B41A05">
        <w:rPr>
          <w:lang w:val="fr-FR"/>
        </w:rPr>
        <w:t> partie), par. 248, et annexe II, additif 2.</w:t>
      </w:r>
    </w:p>
  </w:footnote>
  <w:footnote w:id="282">
    <w:p w14:paraId="4739887E" w14:textId="77777777" w:rsidR="000E25A7" w:rsidRPr="00B41A05" w:rsidRDefault="000E25A7" w:rsidP="00E9227E">
      <w:pPr>
        <w:pStyle w:val="Notedebasdepage"/>
        <w:rPr>
          <w:sz w:val="17"/>
          <w:szCs w:val="17"/>
          <w:lang w:val="fr-FR"/>
        </w:rPr>
      </w:pPr>
      <w:r>
        <w:rPr>
          <w:lang w:val="fr-FR"/>
        </w:rPr>
        <w:tab/>
      </w:r>
      <w:r w:rsidRPr="00E9227E">
        <w:rPr>
          <w:rStyle w:val="Appelnotedebasdep"/>
        </w:rPr>
        <w:footnoteRef/>
      </w:r>
      <w:r>
        <w:rPr>
          <w:lang w:val="fr-FR"/>
        </w:rPr>
        <w:tab/>
      </w:r>
      <w:r w:rsidRPr="00B41A05">
        <w:rPr>
          <w:i/>
          <w:iCs/>
          <w:lang w:val="fr-FR"/>
        </w:rPr>
        <w:t>Annuaire ... 2006</w:t>
      </w:r>
      <w:r w:rsidRPr="00B41A05">
        <w:rPr>
          <w:lang w:val="fr-FR"/>
        </w:rPr>
        <w:t>, vol. II (2</w:t>
      </w:r>
      <w:r w:rsidRPr="00B41A05">
        <w:rPr>
          <w:vertAlign w:val="superscript"/>
          <w:lang w:val="fr-FR"/>
        </w:rPr>
        <w:t>e</w:t>
      </w:r>
      <w:r w:rsidRPr="00B41A05">
        <w:rPr>
          <w:lang w:val="fr-FR"/>
        </w:rPr>
        <w:t> partie), par. 257 et annexe II.</w:t>
      </w:r>
    </w:p>
  </w:footnote>
  <w:footnote w:id="283">
    <w:p w14:paraId="053612E8" w14:textId="77777777" w:rsidR="000E25A7" w:rsidRPr="00BF345F" w:rsidRDefault="000E25A7" w:rsidP="00E9227E">
      <w:pPr>
        <w:pStyle w:val="Notedebasdepage"/>
        <w:rPr>
          <w:sz w:val="17"/>
          <w:szCs w:val="17"/>
          <w:lang w:val="en-US"/>
        </w:rPr>
      </w:pPr>
      <w:r w:rsidRPr="00731849">
        <w:tab/>
      </w:r>
      <w:r w:rsidRPr="00E9227E">
        <w:rPr>
          <w:rStyle w:val="Appelnotedebasdep"/>
        </w:rPr>
        <w:footnoteRef/>
      </w:r>
      <w:r>
        <w:rPr>
          <w:lang w:val="en-US"/>
        </w:rPr>
        <w:tab/>
      </w:r>
      <w:r w:rsidRPr="00BF345F">
        <w:rPr>
          <w:lang w:val="en-US"/>
        </w:rPr>
        <w:t>Ibid., annexe IV.</w:t>
      </w:r>
    </w:p>
  </w:footnote>
  <w:footnote w:id="284">
    <w:p w14:paraId="06800C8D" w14:textId="77777777" w:rsidR="000E25A7" w:rsidRPr="00BF345F" w:rsidRDefault="000E25A7" w:rsidP="00E9227E">
      <w:pPr>
        <w:pStyle w:val="Notedebasdepage"/>
        <w:rPr>
          <w:sz w:val="17"/>
          <w:szCs w:val="17"/>
          <w:lang w:val="en-US"/>
        </w:rPr>
      </w:pPr>
      <w:r>
        <w:rPr>
          <w:lang w:val="en-US"/>
        </w:rPr>
        <w:tab/>
      </w:r>
      <w:r w:rsidRPr="00E9227E">
        <w:rPr>
          <w:rStyle w:val="Appelnotedebasdep"/>
        </w:rPr>
        <w:footnoteRef/>
      </w:r>
      <w:r>
        <w:rPr>
          <w:lang w:val="en-US"/>
        </w:rPr>
        <w:tab/>
      </w:r>
      <w:r w:rsidRPr="00BF345F">
        <w:rPr>
          <w:lang w:val="en-US"/>
        </w:rPr>
        <w:t>Ibid., annexe V.</w:t>
      </w:r>
    </w:p>
  </w:footnote>
  <w:footnote w:id="285">
    <w:p w14:paraId="796E2E86" w14:textId="77777777" w:rsidR="000E25A7" w:rsidRPr="00B41A05" w:rsidRDefault="000E25A7" w:rsidP="00E9227E">
      <w:pPr>
        <w:pStyle w:val="Notedebasdepage"/>
        <w:rPr>
          <w:sz w:val="17"/>
          <w:szCs w:val="17"/>
          <w:lang w:val="fr-FR"/>
        </w:rPr>
      </w:pPr>
      <w:r w:rsidRPr="00731849">
        <w:rPr>
          <w:lang w:val="en-US"/>
        </w:rPr>
        <w:tab/>
      </w:r>
      <w:r w:rsidRPr="00E9227E">
        <w:rPr>
          <w:rStyle w:val="Appelnotedebasdep"/>
        </w:rPr>
        <w:footnoteRef/>
      </w:r>
      <w:r>
        <w:rPr>
          <w:lang w:val="fr-FR"/>
        </w:rPr>
        <w:tab/>
      </w:r>
      <w:r w:rsidRPr="00B41A05">
        <w:rPr>
          <w:i/>
          <w:iCs/>
          <w:lang w:val="fr-FR"/>
        </w:rPr>
        <w:t>Annuaire … 2011</w:t>
      </w:r>
      <w:r w:rsidRPr="00B41A05">
        <w:rPr>
          <w:lang w:val="fr-FR"/>
        </w:rPr>
        <w:t>, vol. II (2</w:t>
      </w:r>
      <w:r w:rsidRPr="00B41A05">
        <w:rPr>
          <w:vertAlign w:val="superscript"/>
          <w:lang w:val="fr-FR"/>
        </w:rPr>
        <w:t>e</w:t>
      </w:r>
      <w:r w:rsidRPr="00B41A05">
        <w:rPr>
          <w:lang w:val="fr-FR"/>
        </w:rPr>
        <w:t> partie), par. 365 et annexe IV.</w:t>
      </w:r>
    </w:p>
  </w:footnote>
  <w:footnote w:id="286">
    <w:p w14:paraId="12FBB874" w14:textId="77777777" w:rsidR="000E25A7" w:rsidRPr="00731849" w:rsidRDefault="000E25A7" w:rsidP="00E9227E">
      <w:pPr>
        <w:pStyle w:val="Notedebasdepage"/>
        <w:rPr>
          <w:sz w:val="17"/>
          <w:szCs w:val="17"/>
          <w:lang w:val="fr-FR"/>
        </w:rPr>
      </w:pPr>
      <w:r>
        <w:rPr>
          <w:lang w:val="fr-FR"/>
        </w:rPr>
        <w:tab/>
      </w:r>
      <w:r w:rsidRPr="00E9227E">
        <w:rPr>
          <w:rStyle w:val="Appelnotedebasdep"/>
        </w:rPr>
        <w:footnoteRef/>
      </w:r>
      <w:r>
        <w:rPr>
          <w:lang w:val="fr-FR"/>
        </w:rPr>
        <w:tab/>
      </w:r>
      <w:r w:rsidRPr="00731849">
        <w:rPr>
          <w:i/>
          <w:iCs/>
          <w:lang w:val="fr-FR"/>
        </w:rPr>
        <w:t>Annuaire … 2017</w:t>
      </w:r>
      <w:r w:rsidRPr="00731849">
        <w:rPr>
          <w:lang w:val="fr-FR"/>
        </w:rPr>
        <w:t>, vol. II (2</w:t>
      </w:r>
      <w:r w:rsidRPr="00731849">
        <w:rPr>
          <w:vertAlign w:val="superscript"/>
          <w:lang w:val="fr-FR"/>
        </w:rPr>
        <w:t>e</w:t>
      </w:r>
      <w:r w:rsidRPr="00731849">
        <w:rPr>
          <w:lang w:val="fr-FR"/>
        </w:rPr>
        <w:t> partie), par. 267 et annexe II.</w:t>
      </w:r>
    </w:p>
  </w:footnote>
  <w:footnote w:id="287">
    <w:p w14:paraId="5DDFF1A9" w14:textId="07F972C7" w:rsidR="000E25A7" w:rsidRPr="00731849" w:rsidRDefault="000E25A7" w:rsidP="00E9227E">
      <w:pPr>
        <w:pStyle w:val="Notedebasdepage"/>
        <w:rPr>
          <w:sz w:val="17"/>
          <w:szCs w:val="17"/>
          <w:lang w:val="fr-FR"/>
        </w:rPr>
      </w:pPr>
      <w:r w:rsidRPr="00731849">
        <w:rPr>
          <w:lang w:val="fr-FR"/>
        </w:rPr>
        <w:tab/>
      </w:r>
      <w:r w:rsidRPr="00E9227E">
        <w:rPr>
          <w:rStyle w:val="Appelnotedebasdep"/>
        </w:rPr>
        <w:footnoteRef/>
      </w:r>
      <w:r w:rsidRPr="00731849">
        <w:rPr>
          <w:lang w:val="fr-FR"/>
        </w:rPr>
        <w:tab/>
      </w:r>
      <w:r w:rsidRPr="00731849">
        <w:rPr>
          <w:i/>
          <w:iCs/>
          <w:lang w:val="fr-FR"/>
        </w:rPr>
        <w:t>Documents officiels de l</w:t>
      </w:r>
      <w:r w:rsidR="004937A0">
        <w:rPr>
          <w:i/>
          <w:iCs/>
          <w:lang w:val="fr-FR"/>
        </w:rPr>
        <w:t>’</w:t>
      </w:r>
      <w:r w:rsidRPr="00731849">
        <w:rPr>
          <w:i/>
          <w:iCs/>
          <w:lang w:val="fr-FR"/>
        </w:rPr>
        <w:t>Assemblée générale, soixante-treizième session, Supplément n</w:t>
      </w:r>
      <w:r w:rsidRPr="00731849">
        <w:rPr>
          <w:i/>
          <w:iCs/>
          <w:vertAlign w:val="superscript"/>
          <w:lang w:val="fr-FR"/>
        </w:rPr>
        <w:t>o</w:t>
      </w:r>
      <w:r w:rsidRPr="00731849">
        <w:rPr>
          <w:i/>
          <w:iCs/>
          <w:lang w:val="fr-FR"/>
        </w:rPr>
        <w:t> 10</w:t>
      </w:r>
      <w:r w:rsidRPr="00731849">
        <w:rPr>
          <w:lang w:val="fr-FR"/>
        </w:rPr>
        <w:t xml:space="preserve"> (A/73/10), par. 369 et annexe I.</w:t>
      </w:r>
    </w:p>
  </w:footnote>
  <w:footnote w:id="288">
    <w:p w14:paraId="7346D115" w14:textId="419EBE6A" w:rsidR="000E25A7" w:rsidRPr="00B41A05" w:rsidRDefault="000E25A7" w:rsidP="00E9227E">
      <w:pPr>
        <w:pStyle w:val="Notedebasdepage"/>
        <w:rPr>
          <w:sz w:val="17"/>
          <w:szCs w:val="17"/>
          <w:lang w:val="fr-FR"/>
        </w:rPr>
      </w:pPr>
      <w:r w:rsidRPr="00731849">
        <w:rPr>
          <w:lang w:val="fr-FR"/>
        </w:rPr>
        <w:tab/>
      </w:r>
      <w:r w:rsidRPr="00E9227E">
        <w:rPr>
          <w:rStyle w:val="Appelnotedebasdep"/>
        </w:rPr>
        <w:footnoteRef/>
      </w:r>
      <w:r w:rsidRPr="00731849">
        <w:rPr>
          <w:lang w:val="fr-FR"/>
        </w:rPr>
        <w:tab/>
      </w:r>
      <w:r w:rsidRPr="00731849">
        <w:rPr>
          <w:i/>
          <w:iCs/>
          <w:lang w:val="fr-FR"/>
        </w:rPr>
        <w:t>Documents officiels de l</w:t>
      </w:r>
      <w:r w:rsidR="004937A0">
        <w:rPr>
          <w:i/>
          <w:iCs/>
          <w:lang w:val="fr-FR"/>
        </w:rPr>
        <w:t>’</w:t>
      </w:r>
      <w:r w:rsidRPr="00731849">
        <w:rPr>
          <w:i/>
          <w:iCs/>
          <w:lang w:val="fr-FR"/>
        </w:rPr>
        <w:t>Assemblée</w:t>
      </w:r>
      <w:r w:rsidRPr="00B41A05">
        <w:rPr>
          <w:i/>
          <w:iCs/>
          <w:lang w:val="fr-FR"/>
        </w:rPr>
        <w:t xml:space="preserve"> générale, </w:t>
      </w:r>
      <w:r>
        <w:rPr>
          <w:i/>
          <w:iCs/>
          <w:lang w:val="fr-FR"/>
        </w:rPr>
        <w:t xml:space="preserve">soixante-quatorzième session, </w:t>
      </w:r>
      <w:r w:rsidRPr="00B41A05">
        <w:rPr>
          <w:i/>
          <w:iCs/>
          <w:lang w:val="fr-FR"/>
        </w:rPr>
        <w:t>Supplément n</w:t>
      </w:r>
      <w:r w:rsidRPr="00B41A05">
        <w:rPr>
          <w:i/>
          <w:iCs/>
          <w:vertAlign w:val="superscript"/>
          <w:lang w:val="fr-FR"/>
        </w:rPr>
        <w:t>o</w:t>
      </w:r>
      <w:r w:rsidRPr="00B41A05">
        <w:rPr>
          <w:i/>
          <w:iCs/>
          <w:lang w:val="fr-FR"/>
        </w:rPr>
        <w:t> 10</w:t>
      </w:r>
      <w:r w:rsidRPr="00B41A05">
        <w:rPr>
          <w:lang w:val="fr-FR"/>
        </w:rPr>
        <w:t xml:space="preserve"> (</w:t>
      </w:r>
      <w:hyperlink r:id="rId163" w:history="1">
        <w:r w:rsidRPr="00E17BB5">
          <w:rPr>
            <w:rStyle w:val="Lienhypertexte"/>
            <w:lang w:val="fr-FR"/>
          </w:rPr>
          <w:t>A/74/10</w:t>
        </w:r>
      </w:hyperlink>
      <w:r w:rsidRPr="00B41A05">
        <w:rPr>
          <w:lang w:val="fr-FR"/>
        </w:rPr>
        <w:t>), par. 290 et annexe II.</w:t>
      </w:r>
    </w:p>
  </w:footnote>
  <w:footnote w:id="289">
    <w:p w14:paraId="7ED01A05" w14:textId="77777777" w:rsidR="000E25A7" w:rsidRPr="00E41B34" w:rsidRDefault="000E25A7" w:rsidP="00E9227E">
      <w:pPr>
        <w:pStyle w:val="Notedebasdepage"/>
        <w:rPr>
          <w:szCs w:val="18"/>
          <w:lang w:val="fr-FR"/>
        </w:rPr>
      </w:pPr>
      <w:r w:rsidRPr="00E41B34">
        <w:rPr>
          <w:szCs w:val="18"/>
          <w:lang w:val="fr-FR"/>
        </w:rPr>
        <w:tab/>
      </w:r>
      <w:r w:rsidRPr="00E9227E">
        <w:rPr>
          <w:rStyle w:val="Appelnotedebasdep"/>
        </w:rPr>
        <w:footnoteRef/>
      </w:r>
      <w:r w:rsidRPr="00E41B34">
        <w:rPr>
          <w:lang w:val="fr-FR"/>
        </w:rPr>
        <w:tab/>
      </w:r>
      <w:r w:rsidRPr="00E41B34">
        <w:rPr>
          <w:i/>
          <w:iCs/>
          <w:lang w:val="fr-FR"/>
        </w:rPr>
        <w:t>Annuaire ... 2008</w:t>
      </w:r>
      <w:r w:rsidRPr="00E41B34">
        <w:rPr>
          <w:lang w:val="fr-FR"/>
        </w:rPr>
        <w:t>, vol. II (2</w:t>
      </w:r>
      <w:r w:rsidRPr="00E41B34">
        <w:rPr>
          <w:vertAlign w:val="superscript"/>
          <w:lang w:val="fr-FR"/>
        </w:rPr>
        <w:t>e</w:t>
      </w:r>
      <w:r w:rsidRPr="00E41B34">
        <w:rPr>
          <w:lang w:val="fr-FR"/>
        </w:rPr>
        <w:t> partie), p. 157 et 158.</w:t>
      </w:r>
    </w:p>
  </w:footnote>
  <w:footnote w:id="290">
    <w:p w14:paraId="10833AB7" w14:textId="30E5F2D1" w:rsidR="000E25A7" w:rsidRPr="00BF345F" w:rsidRDefault="000E25A7" w:rsidP="00E9227E">
      <w:pPr>
        <w:pStyle w:val="Notedebasdepage"/>
        <w:rPr>
          <w:szCs w:val="18"/>
        </w:rPr>
      </w:pPr>
      <w:r w:rsidRPr="00E41B34">
        <w:rPr>
          <w:iCs/>
          <w:szCs w:val="18"/>
          <w:lang w:val="fr-FR"/>
        </w:rPr>
        <w:tab/>
      </w:r>
      <w:r w:rsidRPr="00E9227E">
        <w:rPr>
          <w:rStyle w:val="Appelnotedebasdep"/>
        </w:rPr>
        <w:footnoteRef/>
      </w:r>
      <w:r w:rsidRPr="00E41B34">
        <w:rPr>
          <w:lang w:val="fr-FR"/>
        </w:rPr>
        <w:tab/>
      </w:r>
      <w:r w:rsidRPr="00E41B34">
        <w:rPr>
          <w:i/>
          <w:iCs/>
          <w:lang w:val="fr-FR"/>
        </w:rPr>
        <w:t>Annuaire ... 2009</w:t>
      </w:r>
      <w:r w:rsidRPr="00E41B34">
        <w:rPr>
          <w:lang w:val="fr-FR"/>
        </w:rPr>
        <w:t>, vol. II (2</w:t>
      </w:r>
      <w:r w:rsidRPr="00E41B34">
        <w:rPr>
          <w:vertAlign w:val="superscript"/>
          <w:lang w:val="fr-FR"/>
        </w:rPr>
        <w:t>e</w:t>
      </w:r>
      <w:r w:rsidRPr="00E41B34">
        <w:rPr>
          <w:lang w:val="fr-FR"/>
        </w:rPr>
        <w:t xml:space="preserve"> partie) p. 156, par. 231 ; </w:t>
      </w:r>
      <w:r w:rsidRPr="00E41B34">
        <w:rPr>
          <w:i/>
          <w:iCs/>
          <w:lang w:val="fr-FR"/>
        </w:rPr>
        <w:t>Annuaire ... 2010</w:t>
      </w:r>
      <w:r w:rsidRPr="00E41B34">
        <w:rPr>
          <w:lang w:val="fr-FR"/>
        </w:rPr>
        <w:t>, vol. II (2</w:t>
      </w:r>
      <w:r w:rsidRPr="00E41B34">
        <w:rPr>
          <w:vertAlign w:val="superscript"/>
          <w:lang w:val="fr-FR"/>
        </w:rPr>
        <w:t>e</w:t>
      </w:r>
      <w:r w:rsidRPr="00E41B34">
        <w:rPr>
          <w:lang w:val="fr-FR"/>
        </w:rPr>
        <w:t xml:space="preserve"> partie), p. 210 et 211, par. 390 à 393 ; </w:t>
      </w:r>
      <w:r w:rsidRPr="00E41B34">
        <w:rPr>
          <w:i/>
          <w:iCs/>
          <w:lang w:val="fr-FR"/>
        </w:rPr>
        <w:t>Annuaire ... 2011</w:t>
      </w:r>
      <w:r w:rsidRPr="00E41B34">
        <w:rPr>
          <w:lang w:val="fr-FR"/>
        </w:rPr>
        <w:t>, vol. II (2</w:t>
      </w:r>
      <w:r w:rsidRPr="00E41B34">
        <w:rPr>
          <w:vertAlign w:val="superscript"/>
          <w:lang w:val="fr-FR"/>
        </w:rPr>
        <w:t>e</w:t>
      </w:r>
      <w:r w:rsidRPr="00E41B34">
        <w:rPr>
          <w:lang w:val="fr-FR"/>
        </w:rPr>
        <w:t xml:space="preserve"> partie), p. 183, par. 392 à 398 ; </w:t>
      </w:r>
      <w:r w:rsidRPr="00E41B34">
        <w:rPr>
          <w:i/>
          <w:iCs/>
          <w:lang w:val="fr-FR"/>
        </w:rPr>
        <w:t>Annuaire ... 2012</w:t>
      </w:r>
      <w:r w:rsidRPr="00E41B34">
        <w:rPr>
          <w:lang w:val="fr-FR"/>
        </w:rPr>
        <w:t>, vol. II (2</w:t>
      </w:r>
      <w:r w:rsidRPr="00E41B34">
        <w:rPr>
          <w:vertAlign w:val="superscript"/>
          <w:lang w:val="fr-FR"/>
        </w:rPr>
        <w:t>e</w:t>
      </w:r>
      <w:r w:rsidRPr="00E41B34">
        <w:rPr>
          <w:lang w:val="fr-FR"/>
        </w:rPr>
        <w:t xml:space="preserve"> partie), p. 88, par. 274 à 279 ; </w:t>
      </w:r>
      <w:r w:rsidRPr="00E41B34">
        <w:rPr>
          <w:i/>
          <w:iCs/>
          <w:lang w:val="fr-FR"/>
        </w:rPr>
        <w:t>Annuaire ... 2013</w:t>
      </w:r>
      <w:r w:rsidRPr="00E41B34">
        <w:rPr>
          <w:lang w:val="fr-FR"/>
        </w:rPr>
        <w:t>, vol. II (2</w:t>
      </w:r>
      <w:r w:rsidRPr="00E41B34">
        <w:rPr>
          <w:vertAlign w:val="superscript"/>
          <w:lang w:val="fr-FR"/>
        </w:rPr>
        <w:t>e</w:t>
      </w:r>
      <w:r w:rsidRPr="00E41B34">
        <w:rPr>
          <w:lang w:val="fr-FR"/>
        </w:rPr>
        <w:t xml:space="preserve"> partie), p. 84, par. 171 à 179 ; </w:t>
      </w:r>
      <w:r w:rsidRPr="00E41B34">
        <w:rPr>
          <w:i/>
          <w:iCs/>
          <w:lang w:val="fr-FR"/>
        </w:rPr>
        <w:t>Annuaire ... 2014</w:t>
      </w:r>
      <w:r w:rsidRPr="00E41B34">
        <w:rPr>
          <w:lang w:val="fr-FR"/>
        </w:rPr>
        <w:t>, vol. II (2</w:t>
      </w:r>
      <w:r w:rsidRPr="00E41B34">
        <w:rPr>
          <w:vertAlign w:val="superscript"/>
          <w:lang w:val="fr-FR"/>
        </w:rPr>
        <w:t>e</w:t>
      </w:r>
      <w:r w:rsidRPr="00E41B34">
        <w:rPr>
          <w:lang w:val="fr-FR"/>
        </w:rPr>
        <w:t xml:space="preserve"> partie) et Corr.1, p. 176, par. 273 à 280 ; </w:t>
      </w:r>
      <w:r w:rsidRPr="00E41B34">
        <w:rPr>
          <w:i/>
          <w:iCs/>
          <w:lang w:val="fr-FR"/>
        </w:rPr>
        <w:t>Annuaire ... 2015</w:t>
      </w:r>
      <w:r w:rsidRPr="00E41B34">
        <w:rPr>
          <w:lang w:val="fr-FR"/>
        </w:rPr>
        <w:t>, vol. II (2</w:t>
      </w:r>
      <w:r w:rsidRPr="00E41B34">
        <w:rPr>
          <w:vertAlign w:val="superscript"/>
          <w:lang w:val="fr-FR"/>
        </w:rPr>
        <w:t>e</w:t>
      </w:r>
      <w:r w:rsidRPr="00E41B34">
        <w:rPr>
          <w:lang w:val="fr-FR"/>
        </w:rPr>
        <w:t xml:space="preserve"> partie), p. 90 et 91, par. 288 à 295 ; </w:t>
      </w:r>
      <w:r w:rsidRPr="00E41B34">
        <w:rPr>
          <w:i/>
          <w:iCs/>
          <w:lang w:val="fr-FR"/>
        </w:rPr>
        <w:t>Annuaire ... 2016</w:t>
      </w:r>
      <w:r w:rsidRPr="00E41B34">
        <w:rPr>
          <w:lang w:val="fr-FR"/>
        </w:rPr>
        <w:t>, vol. II (2</w:t>
      </w:r>
      <w:r w:rsidRPr="00E41B34">
        <w:rPr>
          <w:vertAlign w:val="superscript"/>
          <w:lang w:val="fr-FR"/>
        </w:rPr>
        <w:t>e</w:t>
      </w:r>
      <w:r w:rsidRPr="00E41B34">
        <w:rPr>
          <w:lang w:val="fr-FR"/>
        </w:rPr>
        <w:t> partie), p. 241 et 242, par. 314 à</w:t>
      </w:r>
      <w:r>
        <w:rPr>
          <w:lang w:val="fr-FR"/>
        </w:rPr>
        <w:t> </w:t>
      </w:r>
      <w:r w:rsidRPr="00E41B34">
        <w:rPr>
          <w:lang w:val="fr-FR"/>
        </w:rPr>
        <w:t xml:space="preserve">322 ; </w:t>
      </w:r>
      <w:r w:rsidRPr="00E41B34">
        <w:rPr>
          <w:i/>
          <w:iCs/>
          <w:lang w:val="fr-FR"/>
        </w:rPr>
        <w:t>Annuaire … 2017</w:t>
      </w:r>
      <w:r w:rsidRPr="00E41B34">
        <w:rPr>
          <w:lang w:val="fr-FR"/>
        </w:rPr>
        <w:t>, vol. II (2</w:t>
      </w:r>
      <w:r w:rsidRPr="00E41B34">
        <w:rPr>
          <w:vertAlign w:val="superscript"/>
          <w:lang w:val="fr-FR"/>
        </w:rPr>
        <w:t>e</w:t>
      </w:r>
      <w:r w:rsidRPr="00E41B34">
        <w:rPr>
          <w:lang w:val="fr-FR"/>
        </w:rPr>
        <w:t xml:space="preserve"> partie), p. 156 et 157, par. 269 à 278 ; </w:t>
      </w:r>
      <w:r w:rsidRPr="00E41B34">
        <w:rPr>
          <w:i/>
          <w:iCs/>
          <w:lang w:val="fr-FR"/>
        </w:rPr>
        <w:t>Documents officiels de l</w:t>
      </w:r>
      <w:r w:rsidR="004937A0">
        <w:rPr>
          <w:i/>
          <w:iCs/>
          <w:lang w:val="fr-FR"/>
        </w:rPr>
        <w:t>’</w:t>
      </w:r>
      <w:r w:rsidRPr="00E41B34">
        <w:rPr>
          <w:i/>
          <w:iCs/>
          <w:lang w:val="fr-FR"/>
        </w:rPr>
        <w:t xml:space="preserve">Assemblée générale, soixante-treizième session, Supplément </w:t>
      </w:r>
      <w:r w:rsidRPr="00E41B34">
        <w:rPr>
          <w:rFonts w:eastAsia="MS Mincho"/>
          <w:i/>
          <w:iCs/>
          <w:lang w:val="fr-FR"/>
        </w:rPr>
        <w:t>n</w:t>
      </w:r>
      <w:r w:rsidRPr="00E41B34">
        <w:rPr>
          <w:rFonts w:eastAsia="MS Mincho"/>
          <w:i/>
          <w:iCs/>
          <w:vertAlign w:val="superscript"/>
          <w:lang w:val="fr-FR"/>
        </w:rPr>
        <w:t>o</w:t>
      </w:r>
      <w:r w:rsidRPr="00E41B34">
        <w:rPr>
          <w:i/>
          <w:iCs/>
          <w:lang w:val="fr-FR"/>
        </w:rPr>
        <w:t> 10</w:t>
      </w:r>
      <w:r w:rsidRPr="00E41B34">
        <w:rPr>
          <w:lang w:val="fr-FR"/>
        </w:rPr>
        <w:t xml:space="preserve"> (</w:t>
      </w:r>
      <w:hyperlink r:id="rId164" w:history="1">
        <w:r w:rsidRPr="00E41B34">
          <w:rPr>
            <w:rStyle w:val="Lienhypertexte"/>
            <w:lang w:val="fr-FR"/>
          </w:rPr>
          <w:t>A/73/10</w:t>
        </w:r>
      </w:hyperlink>
      <w:r w:rsidRPr="00E41B34">
        <w:rPr>
          <w:lang w:val="fr-FR"/>
        </w:rPr>
        <w:t xml:space="preserve">), par. 372 à 380 ; ibid., </w:t>
      </w:r>
      <w:r w:rsidRPr="00E41B34">
        <w:rPr>
          <w:i/>
          <w:iCs/>
          <w:lang w:val="fr-FR"/>
        </w:rPr>
        <w:t xml:space="preserve">soixante-quatorzième session, Supplément </w:t>
      </w:r>
      <w:r w:rsidRPr="00E41B34">
        <w:rPr>
          <w:rFonts w:eastAsia="MS Mincho"/>
          <w:i/>
          <w:iCs/>
          <w:lang w:val="fr-FR"/>
        </w:rPr>
        <w:t>n</w:t>
      </w:r>
      <w:r w:rsidRPr="00E41B34">
        <w:rPr>
          <w:rFonts w:eastAsia="MS Mincho"/>
          <w:i/>
          <w:iCs/>
          <w:vertAlign w:val="superscript"/>
          <w:lang w:val="fr-FR"/>
        </w:rPr>
        <w:t>o</w:t>
      </w:r>
      <w:r w:rsidRPr="00E41B34">
        <w:rPr>
          <w:i/>
          <w:iCs/>
          <w:lang w:val="fr-FR"/>
        </w:rPr>
        <w:t xml:space="preserve"> 10 </w:t>
      </w:r>
      <w:r w:rsidRPr="00E41B34">
        <w:rPr>
          <w:lang w:val="fr-FR"/>
        </w:rPr>
        <w:t>(</w:t>
      </w:r>
      <w:hyperlink r:id="rId165" w:history="1">
        <w:r w:rsidRPr="00E41B34">
          <w:rPr>
            <w:rStyle w:val="Lienhypertexte"/>
            <w:lang w:val="fr-FR"/>
          </w:rPr>
          <w:t>A/74/10</w:t>
        </w:r>
      </w:hyperlink>
      <w:r w:rsidRPr="00E41B34">
        <w:rPr>
          <w:lang w:val="fr-FR"/>
        </w:rPr>
        <w:t xml:space="preserve">), par. 293 à 301 ; ibid., </w:t>
      </w:r>
      <w:r w:rsidRPr="00E41B34">
        <w:rPr>
          <w:i/>
          <w:iCs/>
          <w:lang w:val="fr-FR"/>
        </w:rPr>
        <w:t xml:space="preserve">soixante-seizième session, Supplément </w:t>
      </w:r>
      <w:r w:rsidRPr="00E41B34">
        <w:rPr>
          <w:rFonts w:eastAsia="MS Mincho"/>
          <w:i/>
          <w:iCs/>
          <w:lang w:val="fr-FR"/>
        </w:rPr>
        <w:t>n</w:t>
      </w:r>
      <w:r w:rsidRPr="00E41B34">
        <w:rPr>
          <w:rFonts w:eastAsia="MS Mincho"/>
          <w:i/>
          <w:iCs/>
          <w:vertAlign w:val="superscript"/>
          <w:lang w:val="fr-FR"/>
        </w:rPr>
        <w:t>o</w:t>
      </w:r>
      <w:r w:rsidRPr="00E41B34">
        <w:rPr>
          <w:i/>
          <w:iCs/>
          <w:lang w:val="fr-FR"/>
        </w:rPr>
        <w:t> 10</w:t>
      </w:r>
      <w:r w:rsidRPr="00E41B34">
        <w:rPr>
          <w:lang w:val="fr-FR"/>
        </w:rPr>
        <w:t xml:space="preserve"> (</w:t>
      </w:r>
      <w:hyperlink r:id="rId166" w:history="1">
        <w:r w:rsidRPr="00E41B34">
          <w:rPr>
            <w:rStyle w:val="Lienhypertexte"/>
            <w:lang w:val="fr-FR"/>
          </w:rPr>
          <w:t>A/76/10</w:t>
        </w:r>
      </w:hyperlink>
      <w:r w:rsidRPr="00E41B34">
        <w:rPr>
          <w:lang w:val="fr-FR"/>
        </w:rPr>
        <w:t xml:space="preserve">), par. 304 à 312 ; ibid., </w:t>
      </w:r>
      <w:r w:rsidRPr="00E41B34">
        <w:rPr>
          <w:i/>
          <w:iCs/>
          <w:lang w:val="fr-FR"/>
        </w:rPr>
        <w:t>soixante-dix-septième session, Supplément n</w:t>
      </w:r>
      <w:r w:rsidRPr="00E41B34">
        <w:rPr>
          <w:i/>
          <w:iCs/>
          <w:vertAlign w:val="superscript"/>
          <w:lang w:val="fr-FR"/>
        </w:rPr>
        <w:t>o</w:t>
      </w:r>
      <w:r>
        <w:rPr>
          <w:i/>
          <w:iCs/>
          <w:lang w:val="fr-FR"/>
        </w:rPr>
        <w:t> </w:t>
      </w:r>
      <w:r w:rsidRPr="00E41B34">
        <w:rPr>
          <w:i/>
          <w:iCs/>
          <w:lang w:val="fr-FR"/>
        </w:rPr>
        <w:t>10</w:t>
      </w:r>
      <w:r w:rsidRPr="00E41B34">
        <w:rPr>
          <w:lang w:val="fr-FR"/>
        </w:rPr>
        <w:t xml:space="preserve"> (</w:t>
      </w:r>
      <w:hyperlink r:id="rId167" w:history="1">
        <w:r w:rsidRPr="00E41B34">
          <w:rPr>
            <w:rStyle w:val="Lienhypertexte"/>
            <w:lang w:val="fr-FR"/>
          </w:rPr>
          <w:t>A/77/10</w:t>
        </w:r>
      </w:hyperlink>
      <w:r w:rsidRPr="00E41B34">
        <w:rPr>
          <w:lang w:val="fr-FR"/>
        </w:rPr>
        <w:t xml:space="preserve">), par. 258 à 269, et ibid., </w:t>
      </w:r>
      <w:r w:rsidRPr="00E41B34">
        <w:rPr>
          <w:i/>
          <w:iCs/>
          <w:lang w:val="fr-FR"/>
        </w:rPr>
        <w:t>soixante-dix-huitième session, Supplément n</w:t>
      </w:r>
      <w:r w:rsidRPr="00E41B34">
        <w:rPr>
          <w:i/>
          <w:iCs/>
          <w:vertAlign w:val="superscript"/>
          <w:lang w:val="fr-FR"/>
        </w:rPr>
        <w:t>o</w:t>
      </w:r>
      <w:r w:rsidRPr="00E41B34">
        <w:rPr>
          <w:i/>
          <w:iCs/>
          <w:lang w:val="fr-FR"/>
        </w:rPr>
        <w:t> 10</w:t>
      </w:r>
      <w:r w:rsidRPr="00E41B34">
        <w:rPr>
          <w:lang w:val="fr-FR"/>
        </w:rPr>
        <w:t xml:space="preserve"> (</w:t>
      </w:r>
      <w:hyperlink r:id="rId168" w:history="1">
        <w:r w:rsidRPr="00E41B34">
          <w:rPr>
            <w:rStyle w:val="Lienhypertexte"/>
            <w:lang w:val="fr-FR"/>
          </w:rPr>
          <w:t>A/78/10</w:t>
        </w:r>
      </w:hyperlink>
      <w:r w:rsidRPr="00E41B34">
        <w:rPr>
          <w:lang w:val="fr-FR"/>
        </w:rPr>
        <w:t>), par. 262 à 274.</w:t>
      </w:r>
      <w:r>
        <w:rPr>
          <w:lang w:val="fr-FR"/>
        </w:rPr>
        <w:t xml:space="preserve"> </w:t>
      </w:r>
    </w:p>
  </w:footnote>
  <w:footnote w:id="291">
    <w:p w14:paraId="15702C90" w14:textId="5F125541" w:rsidR="000E25A7" w:rsidRPr="00BF345F" w:rsidRDefault="000E25A7" w:rsidP="00E9227E">
      <w:pPr>
        <w:pStyle w:val="Notedebasdepage"/>
        <w:rPr>
          <w:szCs w:val="18"/>
        </w:rPr>
      </w:pPr>
      <w:r>
        <w:rPr>
          <w:lang w:val="fr-FR"/>
        </w:rPr>
        <w:tab/>
      </w:r>
      <w:r w:rsidRPr="00E9227E">
        <w:rPr>
          <w:rStyle w:val="Appelnotedebasdep"/>
        </w:rPr>
        <w:footnoteRef/>
      </w:r>
      <w:r>
        <w:rPr>
          <w:lang w:val="fr-FR"/>
        </w:rPr>
        <w:tab/>
      </w:r>
      <w:r w:rsidRPr="0099681E">
        <w:rPr>
          <w:lang w:val="fr-FR"/>
        </w:rPr>
        <w:t xml:space="preserve">Résolution </w:t>
      </w:r>
      <w:hyperlink r:id="rId169" w:history="1">
        <w:r w:rsidRPr="0099681E">
          <w:rPr>
            <w:rStyle w:val="Lienhypertexte"/>
            <w:lang w:val="fr-FR"/>
          </w:rPr>
          <w:t>67/1</w:t>
        </w:r>
      </w:hyperlink>
      <w:r w:rsidRPr="0099681E">
        <w:rPr>
          <w:lang w:val="fr-FR"/>
        </w:rPr>
        <w:t xml:space="preserve"> de l</w:t>
      </w:r>
      <w:r w:rsidR="004937A0">
        <w:rPr>
          <w:lang w:val="fr-FR"/>
        </w:rPr>
        <w:t>’</w:t>
      </w:r>
      <w:r w:rsidRPr="0099681E">
        <w:rPr>
          <w:lang w:val="fr-FR"/>
        </w:rPr>
        <w:t>Assemblée générale, en date du 24 septembre 2012, sur la déclaration de la réunion de haut niveau de l</w:t>
      </w:r>
      <w:r w:rsidR="004937A0">
        <w:rPr>
          <w:lang w:val="fr-FR"/>
        </w:rPr>
        <w:t>’</w:t>
      </w:r>
      <w:r w:rsidRPr="0099681E">
        <w:rPr>
          <w:lang w:val="fr-FR"/>
        </w:rPr>
        <w:t>Assemblée générale sur l</w:t>
      </w:r>
      <w:r w:rsidR="004937A0">
        <w:rPr>
          <w:lang w:val="fr-FR"/>
        </w:rPr>
        <w:t>’</w:t>
      </w:r>
      <w:r w:rsidRPr="0099681E">
        <w:rPr>
          <w:lang w:val="fr-FR"/>
        </w:rPr>
        <w:t>état de droit aux niveaux national et international, par. 41</w:t>
      </w:r>
      <w:r>
        <w:rPr>
          <w:lang w:val="fr-FR"/>
        </w:rPr>
        <w:t>.</w:t>
      </w:r>
    </w:p>
  </w:footnote>
  <w:footnote w:id="292">
    <w:p w14:paraId="0B6A5EFE" w14:textId="28475EAB" w:rsidR="000E25A7" w:rsidRPr="00BF345F" w:rsidRDefault="000E25A7" w:rsidP="00E9227E">
      <w:pPr>
        <w:pStyle w:val="Notedebasdepage"/>
        <w:rPr>
          <w:szCs w:val="18"/>
        </w:rPr>
      </w:pPr>
      <w:r>
        <w:rPr>
          <w:lang w:val="fr-FR"/>
        </w:rPr>
        <w:tab/>
      </w:r>
      <w:r w:rsidRPr="00E9227E">
        <w:rPr>
          <w:rStyle w:val="Appelnotedebasdep"/>
        </w:rPr>
        <w:footnoteRef/>
      </w:r>
      <w:r>
        <w:rPr>
          <w:lang w:val="fr-FR"/>
        </w:rPr>
        <w:tab/>
      </w:r>
      <w:r w:rsidRPr="006D2FEE">
        <w:rPr>
          <w:lang w:val="fr-FR"/>
        </w:rPr>
        <w:t>Rapport du Secrétaire général sur l</w:t>
      </w:r>
      <w:r w:rsidR="004937A0">
        <w:rPr>
          <w:lang w:val="fr-FR"/>
        </w:rPr>
        <w:t>’</w:t>
      </w:r>
      <w:r w:rsidRPr="006D2FEE">
        <w:rPr>
          <w:lang w:val="fr-FR"/>
        </w:rPr>
        <w:t>évaluation de l</w:t>
      </w:r>
      <w:r w:rsidR="004937A0">
        <w:rPr>
          <w:lang w:val="fr-FR"/>
        </w:rPr>
        <w:t>’</w:t>
      </w:r>
      <w:r w:rsidRPr="006D2FEE">
        <w:rPr>
          <w:lang w:val="fr-FR"/>
        </w:rPr>
        <w:t>efficacité de la contribution du système des Nations Unies à l</w:t>
      </w:r>
      <w:r w:rsidR="004937A0">
        <w:rPr>
          <w:lang w:val="fr-FR"/>
        </w:rPr>
        <w:t>’</w:t>
      </w:r>
      <w:r w:rsidRPr="006D2FEE">
        <w:rPr>
          <w:lang w:val="fr-FR"/>
        </w:rPr>
        <w:t>instauration de l</w:t>
      </w:r>
      <w:r w:rsidR="004937A0">
        <w:rPr>
          <w:lang w:val="fr-FR"/>
        </w:rPr>
        <w:t>’</w:t>
      </w:r>
      <w:r w:rsidRPr="006D2FEE">
        <w:rPr>
          <w:lang w:val="fr-FR"/>
        </w:rPr>
        <w:t xml:space="preserve">état de droit en période et au lendemain de conflit, </w:t>
      </w:r>
      <w:hyperlink r:id="rId170" w:history="1">
        <w:r w:rsidRPr="006D2FEE">
          <w:rPr>
            <w:rStyle w:val="Lienhypertexte"/>
            <w:lang w:val="fr-FR"/>
          </w:rPr>
          <w:t>S/2013/341</w:t>
        </w:r>
      </w:hyperlink>
      <w:r w:rsidRPr="006D2FEE">
        <w:rPr>
          <w:lang w:val="fr-FR"/>
        </w:rPr>
        <w:t>, par. 70</w:t>
      </w:r>
      <w:r>
        <w:rPr>
          <w:lang w:val="fr-FR"/>
        </w:rPr>
        <w:t>.</w:t>
      </w:r>
    </w:p>
  </w:footnote>
  <w:footnote w:id="293">
    <w:p w14:paraId="0ACADF1D" w14:textId="2F35E6D0" w:rsidR="000E25A7" w:rsidRPr="00BF345F" w:rsidRDefault="000E25A7" w:rsidP="00E9227E">
      <w:pPr>
        <w:pStyle w:val="Notedebasdepage"/>
        <w:rPr>
          <w:szCs w:val="18"/>
        </w:rPr>
      </w:pPr>
      <w:r>
        <w:rPr>
          <w:szCs w:val="18"/>
          <w:lang w:val="fr-FR"/>
        </w:rPr>
        <w:tab/>
      </w:r>
      <w:r w:rsidRPr="00E9227E">
        <w:rPr>
          <w:rStyle w:val="Appelnotedebasdep"/>
        </w:rPr>
        <w:footnoteRef/>
      </w:r>
      <w:r>
        <w:rPr>
          <w:lang w:val="fr-FR"/>
        </w:rPr>
        <w:tab/>
      </w:r>
      <w:r w:rsidRPr="00C117CA">
        <w:rPr>
          <w:lang w:val="fr-FR"/>
        </w:rPr>
        <w:t xml:space="preserve">Résolution </w:t>
      </w:r>
      <w:hyperlink r:id="rId171" w:history="1">
        <w:r w:rsidRPr="00C117CA">
          <w:rPr>
            <w:rStyle w:val="Lienhypertexte"/>
            <w:lang w:val="fr-FR"/>
          </w:rPr>
          <w:t>77/276</w:t>
        </w:r>
      </w:hyperlink>
      <w:r w:rsidRPr="00C117CA">
        <w:rPr>
          <w:lang w:val="fr-FR"/>
        </w:rPr>
        <w:t xml:space="preserve"> de l</w:t>
      </w:r>
      <w:r w:rsidR="004937A0">
        <w:rPr>
          <w:lang w:val="fr-FR"/>
        </w:rPr>
        <w:t>’</w:t>
      </w:r>
      <w:r w:rsidRPr="00C117CA">
        <w:rPr>
          <w:lang w:val="fr-FR"/>
        </w:rPr>
        <w:t>Assemblée générale, en date du 29 mars 2023, intitulée « Demande d</w:t>
      </w:r>
      <w:r w:rsidR="004937A0">
        <w:rPr>
          <w:lang w:val="fr-FR"/>
        </w:rPr>
        <w:t>’</w:t>
      </w:r>
      <w:r w:rsidRPr="00C117CA">
        <w:rPr>
          <w:lang w:val="fr-FR"/>
        </w:rPr>
        <w:t>avis consultatif de la Cour internationale de Justice sur les obligations des États à l</w:t>
      </w:r>
      <w:r w:rsidR="004937A0">
        <w:rPr>
          <w:lang w:val="fr-FR"/>
        </w:rPr>
        <w:t>’</w:t>
      </w:r>
      <w:r w:rsidRPr="00C117CA">
        <w:rPr>
          <w:lang w:val="fr-FR"/>
        </w:rPr>
        <w:t>égard des changements climatiques ». Voir Tribunal international du droit de la mer, Demande d</w:t>
      </w:r>
      <w:r w:rsidR="004937A0">
        <w:rPr>
          <w:lang w:val="fr-FR"/>
        </w:rPr>
        <w:t>’</w:t>
      </w:r>
      <w:r w:rsidRPr="00C117CA">
        <w:rPr>
          <w:lang w:val="fr-FR"/>
        </w:rPr>
        <w:t>avis consultatif soumise par la Commission des petits États insulaires sur les changements climatiques et le droit international, 12 décembre 2022</w:t>
      </w:r>
      <w:r>
        <w:rPr>
          <w:lang w:val="fr-FR"/>
        </w:rPr>
        <w:t xml:space="preserve">, et </w:t>
      </w:r>
      <w:r>
        <w:rPr>
          <w:i/>
          <w:iCs/>
          <w:lang w:val="fr-FR"/>
        </w:rPr>
        <w:t>Demande d</w:t>
      </w:r>
      <w:r w:rsidR="004937A0">
        <w:rPr>
          <w:i/>
          <w:iCs/>
          <w:lang w:val="fr-FR"/>
        </w:rPr>
        <w:t>’</w:t>
      </w:r>
      <w:r>
        <w:rPr>
          <w:i/>
          <w:iCs/>
          <w:lang w:val="fr-FR"/>
        </w:rPr>
        <w:t>avis consultatif soumise par la Commission des petits États insulaires sur le changement climatique et le droit international, Avis consultatif</w:t>
      </w:r>
      <w:r>
        <w:rPr>
          <w:lang w:val="fr-FR"/>
        </w:rPr>
        <w:t xml:space="preserve">, 21 mai 2024, Affaire </w:t>
      </w:r>
      <w:r w:rsidRPr="00663354">
        <w:rPr>
          <w:lang w:val="fr-FR"/>
        </w:rPr>
        <w:t>n</w:t>
      </w:r>
      <w:r w:rsidRPr="00663354">
        <w:rPr>
          <w:vertAlign w:val="superscript"/>
          <w:lang w:val="fr-FR"/>
        </w:rPr>
        <w:t>o</w:t>
      </w:r>
      <w:r>
        <w:rPr>
          <w:lang w:val="fr-FR"/>
        </w:rPr>
        <w:t> 31. Voir aussi Cour interaméricaine des droits de l</w:t>
      </w:r>
      <w:r w:rsidR="004937A0">
        <w:rPr>
          <w:lang w:val="fr-FR"/>
        </w:rPr>
        <w:t>’</w:t>
      </w:r>
      <w:r>
        <w:rPr>
          <w:lang w:val="fr-FR"/>
        </w:rPr>
        <w:t>homme, Demande d</w:t>
      </w:r>
      <w:r w:rsidR="004937A0">
        <w:rPr>
          <w:lang w:val="fr-FR"/>
        </w:rPr>
        <w:t>’</w:t>
      </w:r>
      <w:r>
        <w:rPr>
          <w:lang w:val="fr-FR"/>
        </w:rPr>
        <w:t>avis consultatif sur l</w:t>
      </w:r>
      <w:r w:rsidR="004937A0">
        <w:rPr>
          <w:lang w:val="fr-FR"/>
        </w:rPr>
        <w:t>’</w:t>
      </w:r>
      <w:r>
        <w:rPr>
          <w:lang w:val="fr-FR"/>
        </w:rPr>
        <w:t>urgence climatique et les droits de l</w:t>
      </w:r>
      <w:r w:rsidR="004937A0">
        <w:rPr>
          <w:lang w:val="fr-FR"/>
        </w:rPr>
        <w:t>’</w:t>
      </w:r>
      <w:r>
        <w:rPr>
          <w:lang w:val="fr-FR"/>
        </w:rPr>
        <w:t>homme soumise par le Chili et la Colombie, 9 janvier 2023.</w:t>
      </w:r>
    </w:p>
  </w:footnote>
  <w:footnote w:id="294">
    <w:p w14:paraId="23DE0ECA" w14:textId="1A1A2B9E" w:rsidR="000E25A7" w:rsidRPr="00BF345F" w:rsidRDefault="000E25A7" w:rsidP="00827FD1">
      <w:pPr>
        <w:pStyle w:val="Notedebasdepage"/>
        <w:tabs>
          <w:tab w:val="left" w:pos="1134"/>
          <w:tab w:val="left" w:pos="1701"/>
          <w:tab w:val="left" w:pos="2268"/>
          <w:tab w:val="left" w:pos="2835"/>
          <w:tab w:val="left" w:pos="3402"/>
          <w:tab w:val="left" w:pos="3969"/>
          <w:tab w:val="left" w:pos="4536"/>
          <w:tab w:val="left" w:pos="6325"/>
        </w:tabs>
      </w:pPr>
      <w:r>
        <w:rPr>
          <w:lang w:val="fr-FR"/>
        </w:rPr>
        <w:tab/>
      </w:r>
      <w:r w:rsidRPr="00E9227E">
        <w:rPr>
          <w:rStyle w:val="Appelnotedebasdep"/>
        </w:rPr>
        <w:footnoteRef/>
      </w:r>
      <w:r>
        <w:rPr>
          <w:lang w:val="fr-FR"/>
        </w:rPr>
        <w:tab/>
        <w:t xml:space="preserve">Voir section 10 ci-dessous et </w:t>
      </w:r>
      <w:hyperlink r:id="rId172" w:history="1">
        <w:r w:rsidRPr="006108F2">
          <w:rPr>
            <w:rStyle w:val="Lienhypertexte"/>
            <w:lang w:val="fr-FR"/>
          </w:rPr>
          <w:t>https://legal.un.org/ilc/</w:t>
        </w:r>
      </w:hyperlink>
      <w:r>
        <w:rPr>
          <w:lang w:val="fr-FR"/>
        </w:rPr>
        <w:t>.</w:t>
      </w:r>
    </w:p>
  </w:footnote>
  <w:footnote w:id="295">
    <w:p w14:paraId="18EA1827" w14:textId="55DA67A9" w:rsidR="000E25A7" w:rsidRPr="00BF345F" w:rsidRDefault="000E25A7" w:rsidP="00E9227E">
      <w:pPr>
        <w:pStyle w:val="Notedebasdepage"/>
      </w:pPr>
      <w:r>
        <w:rPr>
          <w:lang w:val="fr-FR"/>
        </w:rPr>
        <w:tab/>
      </w:r>
      <w:r w:rsidRPr="00E9227E">
        <w:rPr>
          <w:rStyle w:val="Appelnotedebasdep"/>
        </w:rPr>
        <w:footnoteRef/>
      </w:r>
      <w:r>
        <w:rPr>
          <w:lang w:val="fr-FR"/>
        </w:rPr>
        <w:tab/>
        <w:t xml:space="preserve">Résolution </w:t>
      </w:r>
      <w:hyperlink r:id="rId173" w:history="1">
        <w:r w:rsidRPr="00254B8E">
          <w:rPr>
            <w:rStyle w:val="Lienhypertexte"/>
            <w:lang w:val="fr-FR"/>
          </w:rPr>
          <w:t>78/112</w:t>
        </w:r>
      </w:hyperlink>
      <w:r>
        <w:rPr>
          <w:lang w:val="fr-FR"/>
        </w:rPr>
        <w:t xml:space="preserve"> de l</w:t>
      </w:r>
      <w:r w:rsidR="004937A0">
        <w:rPr>
          <w:lang w:val="fr-FR"/>
        </w:rPr>
        <w:t>’</w:t>
      </w:r>
      <w:r>
        <w:rPr>
          <w:lang w:val="fr-FR"/>
        </w:rPr>
        <w:t>Assemblée générale, sur l</w:t>
      </w:r>
      <w:r w:rsidR="004937A0">
        <w:rPr>
          <w:lang w:val="fr-FR"/>
        </w:rPr>
        <w:t>’</w:t>
      </w:r>
      <w:r>
        <w:rPr>
          <w:lang w:val="fr-FR"/>
        </w:rPr>
        <w:t>état de droit aux niveaux national et international, par. 2 et 19.</w:t>
      </w:r>
    </w:p>
  </w:footnote>
  <w:footnote w:id="296">
    <w:p w14:paraId="67AD4F8E" w14:textId="77777777" w:rsidR="000E25A7" w:rsidRPr="00BF345F" w:rsidRDefault="000E25A7" w:rsidP="00E9227E">
      <w:pPr>
        <w:pStyle w:val="Notedebasdepage"/>
      </w:pPr>
      <w:r>
        <w:rPr>
          <w:lang w:val="fr-FR"/>
        </w:rPr>
        <w:tab/>
      </w:r>
      <w:r w:rsidRPr="00E9227E">
        <w:rPr>
          <w:rStyle w:val="Appelnotedebasdep"/>
        </w:rPr>
        <w:footnoteRef/>
      </w:r>
      <w:r>
        <w:rPr>
          <w:lang w:val="fr-FR"/>
        </w:rPr>
        <w:tab/>
        <w:t>Ibid., par. 24.</w:t>
      </w:r>
    </w:p>
  </w:footnote>
  <w:footnote w:id="297">
    <w:p w14:paraId="7ED1EE0C" w14:textId="77777777" w:rsidR="000E25A7" w:rsidRPr="00BF345F" w:rsidRDefault="000E25A7" w:rsidP="00E9227E">
      <w:pPr>
        <w:pStyle w:val="Notedebasdepage"/>
        <w:rPr>
          <w:szCs w:val="18"/>
        </w:rPr>
      </w:pPr>
      <w:r>
        <w:rPr>
          <w:lang w:val="fr-FR"/>
        </w:rPr>
        <w:tab/>
      </w:r>
      <w:r w:rsidRPr="00E9227E">
        <w:rPr>
          <w:rStyle w:val="Appelnotedebasdep"/>
        </w:rPr>
        <w:footnoteRef/>
      </w:r>
      <w:r>
        <w:rPr>
          <w:lang w:val="fr-FR"/>
        </w:rPr>
        <w:tab/>
        <w:t xml:space="preserve">Voir, plus particulièrement, </w:t>
      </w:r>
      <w:r>
        <w:rPr>
          <w:i/>
          <w:iCs/>
          <w:lang w:val="fr-FR"/>
        </w:rPr>
        <w:t>Annuaire … 2015</w:t>
      </w:r>
      <w:r>
        <w:rPr>
          <w:lang w:val="fr-FR"/>
        </w:rPr>
        <w:t>, vol. II (2</w:t>
      </w:r>
      <w:r w:rsidRPr="00C754F8">
        <w:rPr>
          <w:vertAlign w:val="superscript"/>
          <w:lang w:val="fr-FR"/>
        </w:rPr>
        <w:t>e</w:t>
      </w:r>
      <w:r>
        <w:rPr>
          <w:lang w:val="fr-FR"/>
        </w:rPr>
        <w:t> partie), par. 294.</w:t>
      </w:r>
    </w:p>
  </w:footnote>
  <w:footnote w:id="298">
    <w:p w14:paraId="56A63F0A" w14:textId="01678EEB" w:rsidR="000E25A7" w:rsidRPr="00BF345F" w:rsidRDefault="000E25A7" w:rsidP="00E9227E">
      <w:pPr>
        <w:pStyle w:val="Notedebasdepage"/>
      </w:pPr>
      <w:r>
        <w:rPr>
          <w:lang w:val="fr-FR"/>
        </w:rPr>
        <w:tab/>
      </w:r>
      <w:r w:rsidRPr="00E9227E">
        <w:rPr>
          <w:rStyle w:val="Appelnotedebasdep"/>
        </w:rPr>
        <w:footnoteRef/>
      </w:r>
      <w:r>
        <w:rPr>
          <w:lang w:val="fr-FR"/>
        </w:rPr>
        <w:tab/>
        <w:t xml:space="preserve">Résolution </w:t>
      </w:r>
      <w:hyperlink r:id="rId174" w:history="1">
        <w:r w:rsidRPr="006108F2">
          <w:rPr>
            <w:rStyle w:val="Lienhypertexte"/>
            <w:lang w:val="fr-FR"/>
          </w:rPr>
          <w:t>78/108</w:t>
        </w:r>
      </w:hyperlink>
      <w:r>
        <w:rPr>
          <w:lang w:val="fr-FR"/>
        </w:rPr>
        <w:t xml:space="preserve"> de l</w:t>
      </w:r>
      <w:r w:rsidR="004937A0">
        <w:rPr>
          <w:lang w:val="fr-FR"/>
        </w:rPr>
        <w:t>’</w:t>
      </w:r>
      <w:r>
        <w:rPr>
          <w:lang w:val="fr-FR"/>
        </w:rPr>
        <w:t>Assemblée générale, en date du 7 décembre 2023.</w:t>
      </w:r>
    </w:p>
  </w:footnote>
  <w:footnote w:id="299">
    <w:p w14:paraId="42CD4610" w14:textId="4BD2D66F" w:rsidR="000E25A7" w:rsidRPr="00F50ADC" w:rsidRDefault="000E25A7" w:rsidP="00E9227E">
      <w:pPr>
        <w:pStyle w:val="Notedebasdepage"/>
        <w:rPr>
          <w:lang w:val="fr-FR"/>
        </w:rPr>
      </w:pPr>
      <w:r>
        <w:tab/>
      </w:r>
      <w:r w:rsidRPr="00E9227E">
        <w:rPr>
          <w:rStyle w:val="Appelnotedebasdep"/>
        </w:rPr>
        <w:footnoteRef/>
      </w:r>
      <w:r>
        <w:tab/>
        <w:t>Le programme et d</w:t>
      </w:r>
      <w:r w:rsidR="004937A0">
        <w:t>’</w:t>
      </w:r>
      <w:r>
        <w:t>autres informations sont disponibles à l</w:t>
      </w:r>
      <w:r w:rsidR="004937A0">
        <w:t>’</w:t>
      </w:r>
      <w:r>
        <w:t xml:space="preserve">adresse suivante : </w:t>
      </w:r>
      <w:hyperlink r:id="rId175" w:anchor="a8" w:history="1">
        <w:r w:rsidR="00827FD1" w:rsidRPr="008C11ED">
          <w:rPr>
            <w:rStyle w:val="Lienhypertexte"/>
          </w:rPr>
          <w:t>https://legal.un.org/ilc/sessions/75/index.shtml#a8</w:t>
        </w:r>
      </w:hyperlink>
      <w:r w:rsidR="00827FD1">
        <w:t xml:space="preserve">. </w:t>
      </w:r>
    </w:p>
  </w:footnote>
  <w:footnote w:id="300">
    <w:p w14:paraId="5805AF13" w14:textId="6AA6BE14" w:rsidR="000E25A7" w:rsidRPr="00BF345F" w:rsidRDefault="000E25A7" w:rsidP="00E9227E">
      <w:pPr>
        <w:pStyle w:val="Notedebasdepage"/>
        <w:rPr>
          <w:szCs w:val="18"/>
        </w:rPr>
      </w:pPr>
      <w:r>
        <w:rPr>
          <w:lang w:val="fr-FR"/>
        </w:rPr>
        <w:tab/>
      </w:r>
      <w:r w:rsidRPr="00E9227E">
        <w:rPr>
          <w:rStyle w:val="Appelnotedebasdep"/>
        </w:rPr>
        <w:footnoteRef/>
      </w:r>
      <w:r>
        <w:rPr>
          <w:lang w:val="fr-FR"/>
        </w:rPr>
        <w:tab/>
        <w:t xml:space="preserve">Voir </w:t>
      </w:r>
      <w:r>
        <w:rPr>
          <w:i/>
          <w:iCs/>
          <w:lang w:val="fr-FR"/>
        </w:rPr>
        <w:t xml:space="preserve">Annuaire </w:t>
      </w:r>
      <w:r w:rsidRPr="00CB06E4">
        <w:rPr>
          <w:i/>
          <w:iCs/>
          <w:lang w:val="fr-FR"/>
        </w:rPr>
        <w:t>...</w:t>
      </w:r>
      <w:r>
        <w:rPr>
          <w:i/>
          <w:iCs/>
          <w:lang w:val="fr-FR"/>
        </w:rPr>
        <w:t xml:space="preserve"> 2002</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107, par</w:t>
      </w:r>
      <w:r w:rsidRPr="00CB06E4">
        <w:rPr>
          <w:lang w:val="fr-FR"/>
        </w:rPr>
        <w:t>.</w:t>
      </w:r>
      <w:r>
        <w:rPr>
          <w:lang w:val="fr-FR"/>
        </w:rPr>
        <w:t xml:space="preserve"> 525 à 531 ; </w:t>
      </w:r>
      <w:r>
        <w:rPr>
          <w:i/>
          <w:iCs/>
          <w:lang w:val="fr-FR"/>
        </w:rPr>
        <w:t xml:space="preserve">Annuaire </w:t>
      </w:r>
      <w:r w:rsidRPr="00CB06E4">
        <w:rPr>
          <w:i/>
          <w:iCs/>
          <w:lang w:val="fr-FR"/>
        </w:rPr>
        <w:t>...</w:t>
      </w:r>
      <w:r>
        <w:rPr>
          <w:i/>
          <w:iCs/>
          <w:lang w:val="fr-FR"/>
        </w:rPr>
        <w:t xml:space="preserve"> 2003</w:t>
      </w:r>
      <w:r>
        <w:rPr>
          <w:lang w:val="fr-FR"/>
        </w:rPr>
        <w:t>, vol</w:t>
      </w:r>
      <w:r w:rsidRPr="00CB06E4">
        <w:rPr>
          <w:lang w:val="fr-FR"/>
        </w:rPr>
        <w:t>.</w:t>
      </w:r>
      <w:r>
        <w:rPr>
          <w:lang w:val="fr-FR"/>
        </w:rPr>
        <w:t> II (2</w:t>
      </w:r>
      <w:r w:rsidRPr="00A82A47">
        <w:rPr>
          <w:vertAlign w:val="superscript"/>
          <w:lang w:val="fr-FR"/>
        </w:rPr>
        <w:t>e</w:t>
      </w:r>
      <w:r>
        <w:rPr>
          <w:lang w:val="fr-FR"/>
        </w:rPr>
        <w:t xml:space="preserve"> partie) p</w:t>
      </w:r>
      <w:r w:rsidRPr="00CB06E4">
        <w:rPr>
          <w:lang w:val="fr-FR"/>
        </w:rPr>
        <w:t>.</w:t>
      </w:r>
      <w:r>
        <w:rPr>
          <w:lang w:val="fr-FR"/>
        </w:rPr>
        <w:t> 103, par</w:t>
      </w:r>
      <w:r w:rsidRPr="00CB06E4">
        <w:rPr>
          <w:lang w:val="fr-FR"/>
        </w:rPr>
        <w:t>.</w:t>
      </w:r>
      <w:r>
        <w:rPr>
          <w:lang w:val="fr-FR"/>
        </w:rPr>
        <w:t xml:space="preserve"> 447 ; </w:t>
      </w:r>
      <w:r>
        <w:rPr>
          <w:i/>
          <w:iCs/>
          <w:lang w:val="fr-FR"/>
        </w:rPr>
        <w:t xml:space="preserve">Annuaire </w:t>
      </w:r>
      <w:r w:rsidRPr="00CB06E4">
        <w:rPr>
          <w:i/>
          <w:iCs/>
          <w:lang w:val="fr-FR"/>
        </w:rPr>
        <w:t>...</w:t>
      </w:r>
      <w:r>
        <w:rPr>
          <w:i/>
          <w:iCs/>
          <w:lang w:val="fr-FR"/>
        </w:rPr>
        <w:t xml:space="preserve"> 2004</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129, par</w:t>
      </w:r>
      <w:r w:rsidRPr="00CB06E4">
        <w:rPr>
          <w:lang w:val="fr-FR"/>
        </w:rPr>
        <w:t>.</w:t>
      </w:r>
      <w:r>
        <w:rPr>
          <w:lang w:val="fr-FR"/>
        </w:rPr>
        <w:t xml:space="preserve"> 369 ; </w:t>
      </w:r>
      <w:r>
        <w:rPr>
          <w:i/>
          <w:iCs/>
          <w:lang w:val="fr-FR"/>
        </w:rPr>
        <w:t xml:space="preserve">Annuaire </w:t>
      </w:r>
      <w:r w:rsidRPr="00CB06E4">
        <w:rPr>
          <w:i/>
          <w:iCs/>
          <w:lang w:val="fr-FR"/>
        </w:rPr>
        <w:t>...</w:t>
      </w:r>
      <w:r>
        <w:rPr>
          <w:i/>
          <w:iCs/>
          <w:lang w:val="fr-FR"/>
        </w:rPr>
        <w:t xml:space="preserve"> 2005</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93, par</w:t>
      </w:r>
      <w:r w:rsidRPr="00CB06E4">
        <w:rPr>
          <w:lang w:val="fr-FR"/>
        </w:rPr>
        <w:t>.</w:t>
      </w:r>
      <w:r>
        <w:rPr>
          <w:lang w:val="fr-FR"/>
        </w:rPr>
        <w:t xml:space="preserve"> 501 ; </w:t>
      </w:r>
      <w:r>
        <w:rPr>
          <w:i/>
          <w:iCs/>
          <w:lang w:val="fr-FR"/>
        </w:rPr>
        <w:t xml:space="preserve">Annuaire </w:t>
      </w:r>
      <w:r w:rsidRPr="00CB06E4">
        <w:rPr>
          <w:i/>
          <w:iCs/>
          <w:lang w:val="fr-FR"/>
        </w:rPr>
        <w:t>...</w:t>
      </w:r>
      <w:r>
        <w:rPr>
          <w:i/>
          <w:iCs/>
          <w:lang w:val="fr-FR"/>
        </w:rPr>
        <w:t xml:space="preserve"> 2006</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194, par</w:t>
      </w:r>
      <w:r w:rsidRPr="00CB06E4">
        <w:rPr>
          <w:lang w:val="fr-FR"/>
        </w:rPr>
        <w:t>.</w:t>
      </w:r>
      <w:r>
        <w:rPr>
          <w:lang w:val="fr-FR"/>
        </w:rPr>
        <w:t xml:space="preserve"> 269 ; </w:t>
      </w:r>
      <w:r>
        <w:rPr>
          <w:i/>
          <w:iCs/>
          <w:lang w:val="fr-FR"/>
        </w:rPr>
        <w:t xml:space="preserve">Annuaire </w:t>
      </w:r>
      <w:r w:rsidRPr="00CB06E4">
        <w:rPr>
          <w:i/>
          <w:iCs/>
          <w:lang w:val="fr-FR"/>
        </w:rPr>
        <w:t>...</w:t>
      </w:r>
      <w:r>
        <w:rPr>
          <w:i/>
          <w:iCs/>
          <w:lang w:val="fr-FR"/>
        </w:rPr>
        <w:t xml:space="preserve"> 2007</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103, par</w:t>
      </w:r>
      <w:r w:rsidRPr="00CB06E4">
        <w:rPr>
          <w:lang w:val="fr-FR"/>
        </w:rPr>
        <w:t>.</w:t>
      </w:r>
      <w:r>
        <w:rPr>
          <w:lang w:val="fr-FR"/>
        </w:rPr>
        <w:t xml:space="preserve"> 379 ; </w:t>
      </w:r>
      <w:r>
        <w:rPr>
          <w:i/>
          <w:iCs/>
          <w:lang w:val="fr-FR"/>
        </w:rPr>
        <w:t xml:space="preserve">Annuaire </w:t>
      </w:r>
      <w:r w:rsidRPr="00CB06E4">
        <w:rPr>
          <w:i/>
          <w:iCs/>
          <w:lang w:val="fr-FR"/>
        </w:rPr>
        <w:t>...</w:t>
      </w:r>
      <w:r>
        <w:rPr>
          <w:i/>
          <w:iCs/>
          <w:lang w:val="fr-FR"/>
        </w:rPr>
        <w:t xml:space="preserve"> 2008</w:t>
      </w:r>
      <w:r>
        <w:rPr>
          <w:lang w:val="fr-FR"/>
        </w:rPr>
        <w:t>, vol</w:t>
      </w:r>
      <w:r w:rsidRPr="00CB06E4">
        <w:rPr>
          <w:lang w:val="fr-FR"/>
        </w:rPr>
        <w:t>.</w:t>
      </w:r>
      <w:r>
        <w:rPr>
          <w:lang w:val="fr-FR"/>
        </w:rPr>
        <w:t xml:space="preserve"> II (2</w:t>
      </w:r>
      <w:r w:rsidRPr="00A82A47">
        <w:rPr>
          <w:vertAlign w:val="superscript"/>
          <w:lang w:val="fr-FR"/>
        </w:rPr>
        <w:t>e</w:t>
      </w:r>
      <w:r>
        <w:rPr>
          <w:lang w:val="fr-FR"/>
        </w:rPr>
        <w:t> partie), p</w:t>
      </w:r>
      <w:r w:rsidRPr="00CB06E4">
        <w:rPr>
          <w:lang w:val="fr-FR"/>
        </w:rPr>
        <w:t>.</w:t>
      </w:r>
      <w:r>
        <w:rPr>
          <w:lang w:val="fr-FR"/>
        </w:rPr>
        <w:t> 160, par</w:t>
      </w:r>
      <w:r w:rsidRPr="00CB06E4">
        <w:rPr>
          <w:lang w:val="fr-FR"/>
        </w:rPr>
        <w:t>.</w:t>
      </w:r>
      <w:r>
        <w:rPr>
          <w:lang w:val="fr-FR"/>
        </w:rPr>
        <w:t xml:space="preserve"> 358 ; </w:t>
      </w:r>
      <w:r w:rsidRPr="00B30630">
        <w:rPr>
          <w:i/>
          <w:iCs/>
          <w:lang w:val="fr-FR"/>
        </w:rPr>
        <w:t>Annuaire</w:t>
      </w:r>
      <w:r>
        <w:rPr>
          <w:i/>
          <w:iCs/>
          <w:lang w:val="fr-FR"/>
        </w:rPr>
        <w:t> </w:t>
      </w:r>
      <w:r w:rsidRPr="00CB06E4">
        <w:rPr>
          <w:i/>
          <w:iCs/>
          <w:lang w:val="fr-FR"/>
        </w:rPr>
        <w:t>...</w:t>
      </w:r>
      <w:r w:rsidRPr="00B30630">
        <w:rPr>
          <w:i/>
          <w:iCs/>
          <w:lang w:val="fr-FR"/>
        </w:rPr>
        <w:t xml:space="preserve"> 2009</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157, par</w:t>
      </w:r>
      <w:r w:rsidRPr="00CB06E4">
        <w:rPr>
          <w:lang w:val="fr-FR"/>
        </w:rPr>
        <w:t>.</w:t>
      </w:r>
      <w:r>
        <w:rPr>
          <w:lang w:val="fr-FR"/>
        </w:rPr>
        <w:t xml:space="preserve"> 240 ; </w:t>
      </w:r>
      <w:r>
        <w:rPr>
          <w:i/>
          <w:iCs/>
          <w:lang w:val="fr-FR"/>
        </w:rPr>
        <w:t xml:space="preserve">Annuaire </w:t>
      </w:r>
      <w:r w:rsidRPr="00CB06E4">
        <w:rPr>
          <w:i/>
          <w:iCs/>
          <w:lang w:val="fr-FR"/>
        </w:rPr>
        <w:t>...</w:t>
      </w:r>
      <w:r>
        <w:rPr>
          <w:i/>
          <w:iCs/>
          <w:lang w:val="fr-FR"/>
        </w:rPr>
        <w:t xml:space="preserve"> 2010</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211, par</w:t>
      </w:r>
      <w:r w:rsidRPr="00CB06E4">
        <w:rPr>
          <w:lang w:val="fr-FR"/>
        </w:rPr>
        <w:t>.</w:t>
      </w:r>
      <w:r>
        <w:rPr>
          <w:lang w:val="fr-FR"/>
        </w:rPr>
        <w:t xml:space="preserve"> 396 ; </w:t>
      </w:r>
      <w:r>
        <w:rPr>
          <w:i/>
          <w:iCs/>
          <w:lang w:val="fr-FR"/>
        </w:rPr>
        <w:t xml:space="preserve">Annuaire </w:t>
      </w:r>
      <w:r w:rsidRPr="00CB06E4">
        <w:rPr>
          <w:i/>
          <w:iCs/>
          <w:lang w:val="fr-FR"/>
        </w:rPr>
        <w:t>...</w:t>
      </w:r>
      <w:r>
        <w:rPr>
          <w:i/>
          <w:iCs/>
          <w:lang w:val="fr-FR"/>
        </w:rPr>
        <w:t xml:space="preserve"> 2011</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183 et 184, par</w:t>
      </w:r>
      <w:r w:rsidRPr="00CB06E4">
        <w:rPr>
          <w:lang w:val="fr-FR"/>
        </w:rPr>
        <w:t>.</w:t>
      </w:r>
      <w:r>
        <w:rPr>
          <w:lang w:val="fr-FR"/>
        </w:rPr>
        <w:t xml:space="preserve"> 399 ; </w:t>
      </w:r>
      <w:r>
        <w:rPr>
          <w:i/>
          <w:iCs/>
          <w:lang w:val="fr-FR"/>
        </w:rPr>
        <w:t xml:space="preserve">Annuaire </w:t>
      </w:r>
      <w:r w:rsidRPr="00CB06E4">
        <w:rPr>
          <w:i/>
          <w:iCs/>
          <w:lang w:val="fr-FR"/>
        </w:rPr>
        <w:t>...</w:t>
      </w:r>
      <w:r>
        <w:rPr>
          <w:i/>
          <w:iCs/>
          <w:lang w:val="fr-FR"/>
        </w:rPr>
        <w:t xml:space="preserve"> 2012</w:t>
      </w:r>
      <w:r>
        <w:rPr>
          <w:lang w:val="fr-FR"/>
        </w:rPr>
        <w:t>, vol</w:t>
      </w:r>
      <w:r w:rsidRPr="00CB06E4">
        <w:rPr>
          <w:lang w:val="fr-FR"/>
        </w:rPr>
        <w:t>.</w:t>
      </w:r>
      <w:r>
        <w:rPr>
          <w:lang w:val="fr-FR"/>
        </w:rPr>
        <w:t> II (2</w:t>
      </w:r>
      <w:r w:rsidRPr="00A82A47">
        <w:rPr>
          <w:vertAlign w:val="superscript"/>
          <w:lang w:val="fr-FR"/>
        </w:rPr>
        <w:t>e</w:t>
      </w:r>
      <w:r>
        <w:rPr>
          <w:lang w:val="fr-FR"/>
        </w:rPr>
        <w:t xml:space="preserve"> partie) p</w:t>
      </w:r>
      <w:r w:rsidRPr="00CB06E4">
        <w:rPr>
          <w:lang w:val="fr-FR"/>
        </w:rPr>
        <w:t>.</w:t>
      </w:r>
      <w:r>
        <w:rPr>
          <w:lang w:val="fr-FR"/>
        </w:rPr>
        <w:t> 88, par</w:t>
      </w:r>
      <w:r w:rsidRPr="00CB06E4">
        <w:rPr>
          <w:lang w:val="fr-FR"/>
        </w:rPr>
        <w:t>.</w:t>
      </w:r>
      <w:r>
        <w:rPr>
          <w:lang w:val="fr-FR"/>
        </w:rPr>
        <w:t xml:space="preserve"> 280 ; </w:t>
      </w:r>
      <w:r>
        <w:rPr>
          <w:i/>
          <w:iCs/>
          <w:lang w:val="fr-FR"/>
        </w:rPr>
        <w:t xml:space="preserve">Annuaire </w:t>
      </w:r>
      <w:r w:rsidRPr="00CB06E4">
        <w:rPr>
          <w:i/>
          <w:iCs/>
          <w:lang w:val="fr-FR"/>
        </w:rPr>
        <w:t>...</w:t>
      </w:r>
      <w:r>
        <w:rPr>
          <w:i/>
          <w:iCs/>
          <w:lang w:val="fr-FR"/>
        </w:rPr>
        <w:t xml:space="preserve"> 2013</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84 et 85, par</w:t>
      </w:r>
      <w:r w:rsidRPr="00CB06E4">
        <w:rPr>
          <w:lang w:val="fr-FR"/>
        </w:rPr>
        <w:t>.</w:t>
      </w:r>
      <w:r>
        <w:rPr>
          <w:lang w:val="fr-FR"/>
        </w:rPr>
        <w:t xml:space="preserve"> 181 ; </w:t>
      </w:r>
      <w:r>
        <w:rPr>
          <w:i/>
          <w:iCs/>
          <w:lang w:val="fr-FR"/>
        </w:rPr>
        <w:t xml:space="preserve">Annuaire </w:t>
      </w:r>
      <w:r w:rsidRPr="00CB06E4">
        <w:rPr>
          <w:i/>
          <w:iCs/>
          <w:lang w:val="fr-FR"/>
        </w:rPr>
        <w:t>...</w:t>
      </w:r>
      <w:r>
        <w:rPr>
          <w:i/>
          <w:iCs/>
          <w:lang w:val="fr-FR"/>
        </w:rPr>
        <w:t xml:space="preserve"> 2014</w:t>
      </w:r>
      <w:r>
        <w:rPr>
          <w:lang w:val="fr-FR"/>
        </w:rPr>
        <w:t>, vol</w:t>
      </w:r>
      <w:r w:rsidRPr="00CB06E4">
        <w:rPr>
          <w:lang w:val="fr-FR"/>
        </w:rPr>
        <w:t>.</w:t>
      </w:r>
      <w:r>
        <w:rPr>
          <w:lang w:val="fr-FR"/>
        </w:rPr>
        <w:t> II (2</w:t>
      </w:r>
      <w:r w:rsidRPr="00A82A47">
        <w:rPr>
          <w:vertAlign w:val="superscript"/>
          <w:lang w:val="fr-FR"/>
        </w:rPr>
        <w:t>e</w:t>
      </w:r>
      <w:r>
        <w:rPr>
          <w:lang w:val="fr-FR"/>
        </w:rPr>
        <w:t> partie) et Corr</w:t>
      </w:r>
      <w:r w:rsidRPr="00CB06E4">
        <w:rPr>
          <w:lang w:val="fr-FR"/>
        </w:rPr>
        <w:t>.</w:t>
      </w:r>
      <w:r>
        <w:rPr>
          <w:lang w:val="fr-FR"/>
        </w:rPr>
        <w:t>1, p</w:t>
      </w:r>
      <w:r w:rsidRPr="00CB06E4">
        <w:rPr>
          <w:lang w:val="fr-FR"/>
        </w:rPr>
        <w:t>.</w:t>
      </w:r>
      <w:r>
        <w:rPr>
          <w:lang w:val="fr-FR"/>
        </w:rPr>
        <w:t> 176, par</w:t>
      </w:r>
      <w:r w:rsidRPr="00CB06E4">
        <w:rPr>
          <w:lang w:val="fr-FR"/>
        </w:rPr>
        <w:t>.</w:t>
      </w:r>
      <w:r>
        <w:rPr>
          <w:lang w:val="fr-FR"/>
        </w:rPr>
        <w:t xml:space="preserve"> 281 ; </w:t>
      </w:r>
      <w:r>
        <w:rPr>
          <w:i/>
          <w:iCs/>
          <w:lang w:val="fr-FR"/>
        </w:rPr>
        <w:t xml:space="preserve">Annuaire </w:t>
      </w:r>
      <w:r w:rsidRPr="00CB06E4">
        <w:rPr>
          <w:i/>
          <w:iCs/>
          <w:lang w:val="fr-FR"/>
        </w:rPr>
        <w:t>...</w:t>
      </w:r>
      <w:r>
        <w:rPr>
          <w:i/>
          <w:iCs/>
          <w:lang w:val="fr-FR"/>
        </w:rPr>
        <w:t xml:space="preserve"> 2015</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92, par</w:t>
      </w:r>
      <w:r w:rsidRPr="00CB06E4">
        <w:rPr>
          <w:lang w:val="fr-FR"/>
        </w:rPr>
        <w:t>.</w:t>
      </w:r>
      <w:r>
        <w:rPr>
          <w:lang w:val="fr-FR"/>
        </w:rPr>
        <w:t xml:space="preserve"> 299 ; </w:t>
      </w:r>
      <w:r>
        <w:rPr>
          <w:i/>
          <w:iCs/>
          <w:lang w:val="fr-FR"/>
        </w:rPr>
        <w:t>Annuaire </w:t>
      </w:r>
      <w:r w:rsidRPr="00CB06E4">
        <w:rPr>
          <w:i/>
          <w:iCs/>
          <w:lang w:val="fr-FR"/>
        </w:rPr>
        <w:t>...</w:t>
      </w:r>
      <w:r>
        <w:rPr>
          <w:i/>
          <w:iCs/>
          <w:lang w:val="fr-FR"/>
        </w:rPr>
        <w:t xml:space="preserve"> 2016</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243, par</w:t>
      </w:r>
      <w:r w:rsidRPr="00CB06E4">
        <w:rPr>
          <w:lang w:val="fr-FR"/>
        </w:rPr>
        <w:t>.</w:t>
      </w:r>
      <w:r>
        <w:rPr>
          <w:lang w:val="fr-FR"/>
        </w:rPr>
        <w:t xml:space="preserve"> 333 ; </w:t>
      </w:r>
      <w:r>
        <w:rPr>
          <w:i/>
          <w:iCs/>
          <w:lang w:val="fr-FR"/>
        </w:rPr>
        <w:t xml:space="preserve">Annuaire </w:t>
      </w:r>
      <w:r w:rsidRPr="00CB06E4">
        <w:rPr>
          <w:i/>
          <w:iCs/>
          <w:lang w:val="fr-FR"/>
        </w:rPr>
        <w:t>...</w:t>
      </w:r>
      <w:r>
        <w:rPr>
          <w:i/>
          <w:iCs/>
          <w:lang w:val="fr-FR"/>
        </w:rPr>
        <w:t xml:space="preserve"> 2017</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157, par</w:t>
      </w:r>
      <w:r w:rsidRPr="00CB06E4">
        <w:rPr>
          <w:lang w:val="fr-FR"/>
        </w:rPr>
        <w:t>.</w:t>
      </w:r>
      <w:r>
        <w:rPr>
          <w:lang w:val="fr-FR"/>
        </w:rPr>
        <w:t xml:space="preserve"> 282 ; </w:t>
      </w:r>
      <w:r>
        <w:rPr>
          <w:i/>
          <w:iCs/>
          <w:lang w:val="fr-FR"/>
        </w:rPr>
        <w:t>Documents officiels de l</w:t>
      </w:r>
      <w:r w:rsidR="004937A0">
        <w:rPr>
          <w:i/>
          <w:iCs/>
          <w:lang w:val="fr-FR"/>
        </w:rPr>
        <w:t>’</w:t>
      </w:r>
      <w:r>
        <w:rPr>
          <w:i/>
          <w:iCs/>
          <w:lang w:val="fr-FR"/>
        </w:rPr>
        <w:t xml:space="preserve">Assemblée générale, soixante-treizième session, Supplément </w:t>
      </w:r>
      <w:r w:rsidRPr="00A82A47">
        <w:rPr>
          <w:rFonts w:eastAsia="MS Mincho"/>
          <w:i/>
          <w:iCs/>
          <w:lang w:val="fr-FR"/>
        </w:rPr>
        <w:t>n</w:t>
      </w:r>
      <w:r w:rsidRPr="00A82A47">
        <w:rPr>
          <w:rFonts w:eastAsia="MS Mincho"/>
          <w:i/>
          <w:iCs/>
          <w:vertAlign w:val="superscript"/>
          <w:lang w:val="fr-FR"/>
        </w:rPr>
        <w:t>o</w:t>
      </w:r>
      <w:r>
        <w:rPr>
          <w:i/>
          <w:iCs/>
          <w:lang w:val="fr-FR"/>
        </w:rPr>
        <w:t> 10</w:t>
      </w:r>
      <w:r>
        <w:rPr>
          <w:lang w:val="fr-FR"/>
        </w:rPr>
        <w:t xml:space="preserve"> (</w:t>
      </w:r>
      <w:hyperlink r:id="rId176" w:history="1">
        <w:r>
          <w:rPr>
            <w:rStyle w:val="Lienhypertexte"/>
            <w:lang w:val="fr-FR"/>
          </w:rPr>
          <w:t>A/73/10</w:t>
        </w:r>
      </w:hyperlink>
      <w:r>
        <w:rPr>
          <w:lang w:val="fr-FR"/>
        </w:rPr>
        <w:t>), par</w:t>
      </w:r>
      <w:r w:rsidRPr="00CB06E4">
        <w:rPr>
          <w:lang w:val="fr-FR"/>
        </w:rPr>
        <w:t>.</w:t>
      </w:r>
      <w:r>
        <w:rPr>
          <w:lang w:val="fr-FR"/>
        </w:rPr>
        <w:t> 382 ; ibid</w:t>
      </w:r>
      <w:r w:rsidRPr="00CB06E4">
        <w:rPr>
          <w:lang w:val="fr-FR"/>
        </w:rPr>
        <w:t>.</w:t>
      </w:r>
      <w:r>
        <w:rPr>
          <w:lang w:val="fr-FR"/>
        </w:rPr>
        <w:t xml:space="preserve">, </w:t>
      </w:r>
      <w:r>
        <w:rPr>
          <w:i/>
          <w:iCs/>
          <w:lang w:val="fr-FR"/>
        </w:rPr>
        <w:t xml:space="preserve">soixante-quatorzième session, Supplément </w:t>
      </w:r>
      <w:r w:rsidRPr="00A82A47">
        <w:rPr>
          <w:rFonts w:eastAsia="MS Mincho"/>
          <w:i/>
          <w:iCs/>
          <w:lang w:val="fr-FR"/>
        </w:rPr>
        <w:t>n</w:t>
      </w:r>
      <w:r w:rsidRPr="00A82A47">
        <w:rPr>
          <w:rFonts w:eastAsia="MS Mincho"/>
          <w:i/>
          <w:iCs/>
          <w:vertAlign w:val="superscript"/>
          <w:lang w:val="fr-FR"/>
        </w:rPr>
        <w:t>o</w:t>
      </w:r>
      <w:r>
        <w:rPr>
          <w:i/>
          <w:iCs/>
          <w:lang w:val="fr-FR"/>
        </w:rPr>
        <w:t> 10</w:t>
      </w:r>
      <w:r>
        <w:rPr>
          <w:lang w:val="fr-FR"/>
        </w:rPr>
        <w:t xml:space="preserve"> (</w:t>
      </w:r>
      <w:hyperlink r:id="rId177" w:history="1">
        <w:r>
          <w:rPr>
            <w:rStyle w:val="Lienhypertexte"/>
            <w:lang w:val="fr-FR"/>
          </w:rPr>
          <w:t>A/74/10</w:t>
        </w:r>
      </w:hyperlink>
      <w:r>
        <w:rPr>
          <w:lang w:val="fr-FR"/>
        </w:rPr>
        <w:t>), par</w:t>
      </w:r>
      <w:r w:rsidRPr="00CB06E4">
        <w:rPr>
          <w:lang w:val="fr-FR"/>
        </w:rPr>
        <w:t>.</w:t>
      </w:r>
      <w:r>
        <w:rPr>
          <w:lang w:val="fr-FR"/>
        </w:rPr>
        <w:t> 302 ; ibid</w:t>
      </w:r>
      <w:r w:rsidRPr="00CB06E4">
        <w:rPr>
          <w:lang w:val="fr-FR"/>
        </w:rPr>
        <w:t>.</w:t>
      </w:r>
      <w:r>
        <w:rPr>
          <w:lang w:val="fr-FR"/>
        </w:rPr>
        <w:t xml:space="preserve">, </w:t>
      </w:r>
      <w:r>
        <w:rPr>
          <w:i/>
          <w:iCs/>
          <w:lang w:val="fr-FR"/>
        </w:rPr>
        <w:t xml:space="preserve">soixante-seizième session, Supplément </w:t>
      </w:r>
      <w:r w:rsidRPr="00A82A47">
        <w:rPr>
          <w:rFonts w:eastAsia="MS Mincho"/>
          <w:i/>
          <w:iCs/>
          <w:lang w:val="fr-FR"/>
        </w:rPr>
        <w:t>n</w:t>
      </w:r>
      <w:r w:rsidRPr="00A82A47">
        <w:rPr>
          <w:rFonts w:eastAsia="MS Mincho"/>
          <w:i/>
          <w:iCs/>
          <w:vertAlign w:val="superscript"/>
          <w:lang w:val="fr-FR"/>
        </w:rPr>
        <w:t>o</w:t>
      </w:r>
      <w:r>
        <w:rPr>
          <w:i/>
          <w:iCs/>
          <w:lang w:val="fr-FR"/>
        </w:rPr>
        <w:t xml:space="preserve"> 10 </w:t>
      </w:r>
      <w:r>
        <w:rPr>
          <w:lang w:val="fr-FR"/>
        </w:rPr>
        <w:t>(</w:t>
      </w:r>
      <w:hyperlink r:id="rId178" w:history="1">
        <w:r>
          <w:rPr>
            <w:rStyle w:val="Lienhypertexte"/>
            <w:lang w:val="fr-FR"/>
          </w:rPr>
          <w:t>A/76/10</w:t>
        </w:r>
      </w:hyperlink>
      <w:r>
        <w:rPr>
          <w:lang w:val="fr-FR"/>
        </w:rPr>
        <w:t>), par</w:t>
      </w:r>
      <w:r w:rsidRPr="00CB06E4">
        <w:rPr>
          <w:lang w:val="fr-FR"/>
        </w:rPr>
        <w:t>.</w:t>
      </w:r>
      <w:r>
        <w:rPr>
          <w:lang w:val="fr-FR"/>
        </w:rPr>
        <w:t> 317 ; ibid</w:t>
      </w:r>
      <w:r w:rsidRPr="00CB06E4">
        <w:rPr>
          <w:lang w:val="fr-FR"/>
        </w:rPr>
        <w:t>.</w:t>
      </w:r>
      <w:r>
        <w:rPr>
          <w:lang w:val="fr-FR"/>
        </w:rPr>
        <w:t xml:space="preserve">, </w:t>
      </w:r>
      <w:r>
        <w:rPr>
          <w:i/>
          <w:iCs/>
          <w:lang w:val="fr-FR"/>
        </w:rPr>
        <w:t xml:space="preserve">soixante-dix-septième session, Supplément </w:t>
      </w:r>
      <w:r w:rsidRPr="00A82A47">
        <w:rPr>
          <w:rFonts w:eastAsia="MS Mincho"/>
          <w:i/>
          <w:iCs/>
          <w:lang w:val="fr-FR"/>
        </w:rPr>
        <w:t>n</w:t>
      </w:r>
      <w:r w:rsidRPr="00A82A47">
        <w:rPr>
          <w:rFonts w:eastAsia="MS Mincho"/>
          <w:i/>
          <w:iCs/>
          <w:vertAlign w:val="superscript"/>
          <w:lang w:val="fr-FR"/>
        </w:rPr>
        <w:t>o</w:t>
      </w:r>
      <w:r>
        <w:rPr>
          <w:i/>
          <w:iCs/>
          <w:lang w:val="fr-FR"/>
        </w:rPr>
        <w:t xml:space="preserve"> 10 </w:t>
      </w:r>
      <w:r>
        <w:rPr>
          <w:lang w:val="fr-FR"/>
        </w:rPr>
        <w:t>(</w:t>
      </w:r>
      <w:hyperlink r:id="rId179" w:history="1">
        <w:r>
          <w:rPr>
            <w:rStyle w:val="Lienhypertexte"/>
            <w:lang w:val="fr-FR"/>
          </w:rPr>
          <w:t>A/77/10</w:t>
        </w:r>
      </w:hyperlink>
      <w:r>
        <w:rPr>
          <w:lang w:val="fr-FR"/>
        </w:rPr>
        <w:t>), par</w:t>
      </w:r>
      <w:r w:rsidRPr="00CB06E4">
        <w:rPr>
          <w:lang w:val="fr-FR"/>
        </w:rPr>
        <w:t>.</w:t>
      </w:r>
      <w:r>
        <w:rPr>
          <w:lang w:val="fr-FR"/>
        </w:rPr>
        <w:t xml:space="preserve"> 270 ; et ibid., </w:t>
      </w:r>
      <w:r w:rsidRPr="001D200E">
        <w:rPr>
          <w:i/>
          <w:iCs/>
          <w:lang w:val="fr-FR"/>
        </w:rPr>
        <w:t>soixante-dix-huitième session,</w:t>
      </w:r>
      <w:r>
        <w:rPr>
          <w:lang w:val="fr-FR"/>
        </w:rPr>
        <w:t xml:space="preserve"> </w:t>
      </w:r>
      <w:r>
        <w:rPr>
          <w:i/>
          <w:iCs/>
          <w:lang w:val="fr-FR"/>
        </w:rPr>
        <w:t xml:space="preserve">Supplément </w:t>
      </w:r>
      <w:r w:rsidRPr="00A82A47">
        <w:rPr>
          <w:rFonts w:eastAsia="MS Mincho"/>
          <w:i/>
          <w:iCs/>
          <w:lang w:val="fr-FR"/>
        </w:rPr>
        <w:t>n</w:t>
      </w:r>
      <w:r w:rsidRPr="00A82A47">
        <w:rPr>
          <w:rFonts w:eastAsia="MS Mincho"/>
          <w:i/>
          <w:iCs/>
          <w:vertAlign w:val="superscript"/>
          <w:lang w:val="fr-FR"/>
        </w:rPr>
        <w:t>o</w:t>
      </w:r>
      <w:r>
        <w:rPr>
          <w:i/>
          <w:iCs/>
          <w:lang w:val="fr-FR"/>
        </w:rPr>
        <w:t xml:space="preserve"> 10 </w:t>
      </w:r>
      <w:r>
        <w:rPr>
          <w:lang w:val="fr-FR"/>
        </w:rPr>
        <w:t>(</w:t>
      </w:r>
      <w:hyperlink r:id="rId180" w:history="1">
        <w:r w:rsidRPr="00C64EEC">
          <w:rPr>
            <w:rStyle w:val="Lienhypertexte"/>
            <w:lang w:val="fr-FR"/>
          </w:rPr>
          <w:t>A/78/10</w:t>
        </w:r>
      </w:hyperlink>
      <w:r>
        <w:rPr>
          <w:lang w:val="fr-FR"/>
        </w:rPr>
        <w:t>), par. 277.</w:t>
      </w:r>
    </w:p>
  </w:footnote>
  <w:footnote w:id="301">
    <w:p w14:paraId="6D1A4EE1" w14:textId="7D925FD3" w:rsidR="000E25A7" w:rsidRPr="00BF345F" w:rsidRDefault="000E25A7" w:rsidP="00E9227E">
      <w:pPr>
        <w:pStyle w:val="Notedebasdepage"/>
        <w:rPr>
          <w:szCs w:val="18"/>
        </w:rPr>
      </w:pPr>
      <w:r>
        <w:rPr>
          <w:lang w:val="fr-FR"/>
        </w:rPr>
        <w:tab/>
      </w:r>
      <w:r w:rsidRPr="00E9227E">
        <w:rPr>
          <w:rStyle w:val="Appelnotedebasdep"/>
        </w:rPr>
        <w:footnoteRef/>
      </w:r>
      <w:bookmarkStart w:id="172" w:name="_Hlk105748085"/>
      <w:r>
        <w:rPr>
          <w:lang w:val="fr-FR"/>
        </w:rPr>
        <w:tab/>
      </w:r>
      <w:r w:rsidRPr="000F3EB2">
        <w:rPr>
          <w:lang w:val="fr-FR"/>
        </w:rPr>
        <w:t>En ce qui concerne la limitation du nombre de pages des rapports des rapporteurs spéciaux, voir, par</w:t>
      </w:r>
      <w:r>
        <w:rPr>
          <w:lang w:val="fr-FR"/>
        </w:rPr>
        <w:t> </w:t>
      </w:r>
      <w:r w:rsidRPr="000F3EB2">
        <w:rPr>
          <w:lang w:val="fr-FR"/>
        </w:rPr>
        <w:t xml:space="preserve">exemple, </w:t>
      </w:r>
      <w:r w:rsidRPr="000F3EB2">
        <w:rPr>
          <w:i/>
          <w:iCs/>
          <w:lang w:val="fr-FR"/>
        </w:rPr>
        <w:t>Annuaire … 1977</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w:t>
      </w:r>
      <w:r w:rsidRPr="00CB06E4">
        <w:rPr>
          <w:lang w:val="fr-FR"/>
        </w:rPr>
        <w:t>.</w:t>
      </w:r>
      <w:r w:rsidRPr="000F3EB2">
        <w:rPr>
          <w:lang w:val="fr-FR"/>
        </w:rPr>
        <w:t xml:space="preserve"> 132, et </w:t>
      </w:r>
      <w:r w:rsidRPr="000F3EB2">
        <w:rPr>
          <w:i/>
          <w:iCs/>
          <w:lang w:val="fr-FR"/>
        </w:rPr>
        <w:t>Annuaire … 1982</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w:t>
      </w:r>
      <w:r w:rsidRPr="00CB06E4">
        <w:rPr>
          <w:lang w:val="fr-FR"/>
        </w:rPr>
        <w:t>.</w:t>
      </w:r>
      <w:r w:rsidRPr="000F3EB2">
        <w:rPr>
          <w:lang w:val="fr-FR"/>
        </w:rPr>
        <w:t> 129 et 130</w:t>
      </w:r>
      <w:r w:rsidRPr="00CB06E4">
        <w:rPr>
          <w:lang w:val="fr-FR"/>
        </w:rPr>
        <w:t>.</w:t>
      </w:r>
      <w:r w:rsidRPr="000F3EB2">
        <w:rPr>
          <w:lang w:val="fr-FR"/>
        </w:rPr>
        <w:t xml:space="preserve"> Voir aussi les résolutions de l</w:t>
      </w:r>
      <w:r w:rsidR="004937A0">
        <w:rPr>
          <w:lang w:val="fr-FR"/>
        </w:rPr>
        <w:t>’</w:t>
      </w:r>
      <w:r w:rsidRPr="000F3EB2">
        <w:rPr>
          <w:lang w:val="fr-FR"/>
        </w:rPr>
        <w:t xml:space="preserve">Assemblée générale </w:t>
      </w:r>
      <w:hyperlink r:id="rId181" w:history="1">
        <w:r w:rsidRPr="000F3EB2">
          <w:rPr>
            <w:rStyle w:val="Lienhypertexte"/>
            <w:lang w:val="fr-FR"/>
          </w:rPr>
          <w:t>32/151</w:t>
        </w:r>
      </w:hyperlink>
      <w:r w:rsidRPr="000F3EB2">
        <w:rPr>
          <w:lang w:val="fr-FR"/>
        </w:rPr>
        <w:t xml:space="preserve"> du 9 décembre 1977, par</w:t>
      </w:r>
      <w:r w:rsidRPr="00CB06E4">
        <w:rPr>
          <w:lang w:val="fr-FR"/>
        </w:rPr>
        <w:t>.</w:t>
      </w:r>
      <w:r w:rsidRPr="000F3EB2">
        <w:rPr>
          <w:lang w:val="fr-FR"/>
        </w:rPr>
        <w:t xml:space="preserve"> 10, et </w:t>
      </w:r>
      <w:hyperlink r:id="rId182" w:history="1">
        <w:r w:rsidRPr="000F3EB2">
          <w:rPr>
            <w:rStyle w:val="Lienhypertexte"/>
            <w:lang w:val="fr-FR"/>
          </w:rPr>
          <w:t>37/111</w:t>
        </w:r>
      </w:hyperlink>
      <w:r w:rsidRPr="000F3EB2">
        <w:rPr>
          <w:lang w:val="fr-FR"/>
        </w:rPr>
        <w:t xml:space="preserve"> du 16 décembre 1982, par</w:t>
      </w:r>
      <w:r w:rsidRPr="00CB06E4">
        <w:rPr>
          <w:lang w:val="fr-FR"/>
        </w:rPr>
        <w:t>.</w:t>
      </w:r>
      <w:r w:rsidRPr="000F3EB2">
        <w:rPr>
          <w:lang w:val="fr-FR"/>
        </w:rPr>
        <w:t> 5, ainsi que ses résolutions ultérieures sur les rapports annuels que la Commission a présentés à l</w:t>
      </w:r>
      <w:r w:rsidR="004937A0">
        <w:rPr>
          <w:lang w:val="fr-FR"/>
        </w:rPr>
        <w:t>’</w:t>
      </w:r>
      <w:r w:rsidRPr="000F3EB2">
        <w:rPr>
          <w:lang w:val="fr-FR"/>
        </w:rPr>
        <w:t>Assemblée</w:t>
      </w:r>
      <w:r>
        <w:rPr>
          <w:lang w:val="fr-FR"/>
        </w:rPr>
        <w:t>.</w:t>
      </w:r>
      <w:bookmarkEnd w:id="172"/>
    </w:p>
  </w:footnote>
  <w:footnote w:id="302">
    <w:p w14:paraId="25510BEB" w14:textId="77777777" w:rsidR="000E25A7" w:rsidRPr="00BF345F" w:rsidRDefault="000E25A7" w:rsidP="00E9227E">
      <w:pPr>
        <w:pStyle w:val="Notedebasdepage"/>
      </w:pPr>
      <w:r>
        <w:rPr>
          <w:lang w:val="fr-FR"/>
        </w:rPr>
        <w:tab/>
      </w:r>
      <w:r w:rsidRPr="00E9227E">
        <w:rPr>
          <w:rStyle w:val="Appelnotedebasdep"/>
        </w:rPr>
        <w:footnoteRef/>
      </w:r>
      <w:r>
        <w:rPr>
          <w:lang w:val="fr-FR"/>
        </w:rPr>
        <w:tab/>
        <w:t xml:space="preserve">Voir </w:t>
      </w:r>
      <w:r w:rsidRPr="00AB169E">
        <w:rPr>
          <w:i/>
          <w:iCs/>
          <w:lang w:val="fr-FR"/>
        </w:rPr>
        <w:t>Annuaire ... 2017</w:t>
      </w:r>
      <w:r>
        <w:rPr>
          <w:lang w:val="fr-FR"/>
        </w:rPr>
        <w:t>, vol. II (2</w:t>
      </w:r>
      <w:r w:rsidRPr="00AB169E">
        <w:rPr>
          <w:vertAlign w:val="superscript"/>
          <w:lang w:val="fr-FR"/>
        </w:rPr>
        <w:t>e</w:t>
      </w:r>
      <w:r>
        <w:rPr>
          <w:lang w:val="fr-FR"/>
        </w:rPr>
        <w:t xml:space="preserve"> partie), par. 387 à 395. Voir aussi </w:t>
      </w:r>
      <w:r w:rsidRPr="00AB169E">
        <w:rPr>
          <w:i/>
          <w:iCs/>
          <w:lang w:val="fr-FR"/>
        </w:rPr>
        <w:t>Annuaire … 2013</w:t>
      </w:r>
      <w:r>
        <w:rPr>
          <w:lang w:val="fr-FR"/>
        </w:rPr>
        <w:t>, vol. II (2</w:t>
      </w:r>
      <w:r w:rsidRPr="00AB169E">
        <w:rPr>
          <w:vertAlign w:val="superscript"/>
          <w:lang w:val="fr-FR"/>
        </w:rPr>
        <w:t>e</w:t>
      </w:r>
      <w:r>
        <w:rPr>
          <w:lang w:val="fr-FR"/>
        </w:rPr>
        <w:t> partie), par. 185.</w:t>
      </w:r>
    </w:p>
  </w:footnote>
  <w:footnote w:id="303">
    <w:p w14:paraId="31430BB7" w14:textId="4891F0C7" w:rsidR="000E25A7" w:rsidRPr="00BF345F" w:rsidRDefault="000E25A7" w:rsidP="00E9227E">
      <w:pPr>
        <w:pStyle w:val="Notedebasdepage"/>
        <w:rPr>
          <w:szCs w:val="18"/>
        </w:rPr>
      </w:pPr>
      <w:r>
        <w:rPr>
          <w:lang w:val="fr-FR"/>
        </w:rPr>
        <w:tab/>
      </w:r>
      <w:r w:rsidRPr="00E9227E">
        <w:rPr>
          <w:rStyle w:val="Appelnotedebasdep"/>
        </w:rPr>
        <w:footnoteRef/>
      </w:r>
      <w:r>
        <w:rPr>
          <w:lang w:val="fr-FR"/>
        </w:rPr>
        <w:tab/>
        <w:t>Voir aussi les résolutions de l</w:t>
      </w:r>
      <w:r w:rsidR="004937A0">
        <w:rPr>
          <w:lang w:val="fr-FR"/>
        </w:rPr>
        <w:t>’</w:t>
      </w:r>
      <w:r>
        <w:rPr>
          <w:lang w:val="fr-FR"/>
        </w:rPr>
        <w:t xml:space="preserve">Assemblée générale </w:t>
      </w:r>
      <w:hyperlink r:id="rId183" w:history="1">
        <w:r>
          <w:rPr>
            <w:rStyle w:val="Lienhypertexte"/>
            <w:lang w:val="fr-FR"/>
          </w:rPr>
          <w:t>69/324</w:t>
        </w:r>
      </w:hyperlink>
      <w:r>
        <w:rPr>
          <w:lang w:val="fr-FR"/>
        </w:rPr>
        <w:t xml:space="preserve"> du 11 septembre 2015, </w:t>
      </w:r>
      <w:hyperlink r:id="rId184" w:history="1">
        <w:r>
          <w:rPr>
            <w:rStyle w:val="Lienhypertexte"/>
            <w:lang w:val="fr-FR"/>
          </w:rPr>
          <w:t>71/328</w:t>
        </w:r>
      </w:hyperlink>
      <w:r>
        <w:rPr>
          <w:lang w:val="fr-FR"/>
        </w:rPr>
        <w:t xml:space="preserve"> du 17 septembre 2017 et </w:t>
      </w:r>
      <w:hyperlink r:id="rId185" w:history="1">
        <w:r>
          <w:rPr>
            <w:rStyle w:val="Lienhypertexte"/>
            <w:lang w:val="fr-FR"/>
          </w:rPr>
          <w:t>73/346</w:t>
        </w:r>
      </w:hyperlink>
      <w:r>
        <w:rPr>
          <w:lang w:val="fr-FR"/>
        </w:rPr>
        <w:t xml:space="preserve"> du 16 septembre 2019</w:t>
      </w:r>
      <w:r w:rsidRPr="00CB06E4">
        <w:rPr>
          <w:lang w:val="fr-FR"/>
        </w:rPr>
        <w:t>.</w:t>
      </w:r>
      <w:r>
        <w:rPr>
          <w:lang w:val="fr-FR"/>
        </w:rPr>
        <w:t xml:space="preserve"> Voir en outre les résolutions </w:t>
      </w:r>
      <w:hyperlink r:id="rId186" w:history="1">
        <w:r>
          <w:rPr>
            <w:rStyle w:val="Lienhypertexte"/>
            <w:lang w:val="fr-FR"/>
          </w:rPr>
          <w:t>77/103</w:t>
        </w:r>
      </w:hyperlink>
      <w:r>
        <w:rPr>
          <w:lang w:val="fr-FR"/>
        </w:rPr>
        <w:t xml:space="preserve"> et </w:t>
      </w:r>
      <w:hyperlink r:id="rId187" w:history="1">
        <w:r w:rsidRPr="001945E7">
          <w:rPr>
            <w:rStyle w:val="Lienhypertexte"/>
            <w:lang w:val="fr-FR"/>
          </w:rPr>
          <w:t>78/108</w:t>
        </w:r>
      </w:hyperlink>
      <w:r>
        <w:rPr>
          <w:lang w:val="fr-FR"/>
        </w:rPr>
        <w:t xml:space="preserve"> de l</w:t>
      </w:r>
      <w:r w:rsidR="004937A0">
        <w:rPr>
          <w:lang w:val="fr-FR"/>
        </w:rPr>
        <w:t>’</w:t>
      </w:r>
      <w:r>
        <w:rPr>
          <w:lang w:val="fr-FR"/>
        </w:rPr>
        <w:t xml:space="preserve">Assemblée </w:t>
      </w:r>
      <w:r w:rsidRPr="00972D12">
        <w:rPr>
          <w:lang w:val="fr-FR"/>
        </w:rPr>
        <w:t>générale</w:t>
      </w:r>
      <w:r>
        <w:rPr>
          <w:lang w:val="fr-FR"/>
        </w:rPr>
        <w:t>.</w:t>
      </w:r>
    </w:p>
  </w:footnote>
  <w:footnote w:id="304">
    <w:p w14:paraId="7425410C" w14:textId="77777777" w:rsidR="000E25A7" w:rsidRPr="00BF345F" w:rsidRDefault="000E25A7" w:rsidP="00E9227E">
      <w:pPr>
        <w:pStyle w:val="Notedebasdepage"/>
        <w:rPr>
          <w:szCs w:val="18"/>
        </w:rPr>
      </w:pPr>
      <w:r>
        <w:rPr>
          <w:lang w:val="fr-FR"/>
        </w:rPr>
        <w:tab/>
      </w:r>
      <w:r w:rsidRPr="00E9227E">
        <w:rPr>
          <w:rStyle w:val="Appelnotedebasdep"/>
        </w:rPr>
        <w:footnoteRef/>
      </w:r>
      <w:r>
        <w:rPr>
          <w:lang w:val="fr-FR"/>
        </w:rPr>
        <w:tab/>
      </w:r>
      <w:hyperlink r:id="rId188" w:history="1">
        <w:r w:rsidRPr="001945E7">
          <w:rPr>
            <w:rStyle w:val="Lienhypertexte"/>
            <w:lang w:val="fr-FR"/>
          </w:rPr>
          <w:t>http://legal.un.org/ilc</w:t>
        </w:r>
      </w:hyperlink>
      <w:r>
        <w:rPr>
          <w:lang w:val="fr-FR"/>
        </w:rPr>
        <w:t>.</w:t>
      </w:r>
    </w:p>
  </w:footnote>
  <w:footnote w:id="305">
    <w:p w14:paraId="543D53D5" w14:textId="178F59A6" w:rsidR="000E25A7" w:rsidRPr="00BF345F" w:rsidRDefault="000E25A7" w:rsidP="00E9227E">
      <w:pPr>
        <w:pStyle w:val="Notedebasdepage"/>
        <w:rPr>
          <w:szCs w:val="18"/>
        </w:rPr>
      </w:pPr>
      <w:r>
        <w:rPr>
          <w:lang w:val="fr-FR"/>
        </w:rPr>
        <w:tab/>
      </w:r>
      <w:r w:rsidRPr="00E9227E">
        <w:rPr>
          <w:rStyle w:val="Appelnotedebasdep"/>
        </w:rPr>
        <w:footnoteRef/>
      </w:r>
      <w:r>
        <w:rPr>
          <w:lang w:val="fr-FR"/>
        </w:rPr>
        <w:tab/>
        <w:t>À consulter à l</w:t>
      </w:r>
      <w:r w:rsidR="004937A0">
        <w:rPr>
          <w:lang w:val="fr-FR"/>
        </w:rPr>
        <w:t>’</w:t>
      </w:r>
      <w:r>
        <w:rPr>
          <w:lang w:val="fr-FR"/>
        </w:rPr>
        <w:t xml:space="preserve">adresse suivante : </w:t>
      </w:r>
      <w:hyperlink r:id="rId189" w:history="1">
        <w:r w:rsidRPr="001945E7">
          <w:rPr>
            <w:rStyle w:val="Lienhypertexte"/>
            <w:lang w:val="fr-FR"/>
          </w:rPr>
          <w:t>http://legal.un.org/cod/</w:t>
        </w:r>
      </w:hyperlink>
      <w:r>
        <w:rPr>
          <w:lang w:val="fr-FR"/>
        </w:rPr>
        <w:t>.</w:t>
      </w:r>
    </w:p>
  </w:footnote>
  <w:footnote w:id="306">
    <w:p w14:paraId="4FC5F090" w14:textId="77777777" w:rsidR="000E25A7" w:rsidRPr="00BF345F" w:rsidRDefault="000E25A7" w:rsidP="00E9227E">
      <w:pPr>
        <w:pStyle w:val="Notedebasdepage"/>
        <w:rPr>
          <w:szCs w:val="18"/>
        </w:rPr>
      </w:pPr>
      <w:r>
        <w:rPr>
          <w:lang w:val="fr-FR"/>
        </w:rPr>
        <w:tab/>
      </w:r>
      <w:r w:rsidRPr="00E9227E">
        <w:rPr>
          <w:rStyle w:val="Appelnotedebasdep"/>
        </w:rPr>
        <w:footnoteRef/>
      </w:r>
      <w:r>
        <w:rPr>
          <w:lang w:val="fr-FR"/>
        </w:rPr>
        <w:tab/>
      </w:r>
      <w:hyperlink r:id="rId190" w:history="1">
        <w:r w:rsidRPr="00B55EAC">
          <w:rPr>
            <w:rStyle w:val="Lienhypertexte"/>
            <w:lang w:val="fr-FR"/>
          </w:rPr>
          <w:t>http://legal.un.org/avl/intro/welcome_avl.html</w:t>
        </w:r>
      </w:hyperlink>
      <w:r>
        <w:rPr>
          <w:lang w:val="fr-FR"/>
        </w:rPr>
        <w:t>.</w:t>
      </w:r>
    </w:p>
  </w:footnote>
  <w:footnote w:id="307">
    <w:p w14:paraId="77AAAA83" w14:textId="77777777" w:rsidR="000E25A7" w:rsidRPr="00F50ADC" w:rsidRDefault="000E25A7" w:rsidP="00E9227E">
      <w:pPr>
        <w:pStyle w:val="Notedebasdepage"/>
        <w:rPr>
          <w:lang w:val="fr-FR"/>
        </w:rPr>
      </w:pPr>
      <w:r>
        <w:tab/>
      </w:r>
      <w:r w:rsidRPr="00E9227E">
        <w:rPr>
          <w:rStyle w:val="Appelnotedebasdep"/>
        </w:rPr>
        <w:footnoteRef/>
      </w:r>
      <w:r>
        <w:tab/>
      </w:r>
      <w:r>
        <w:rPr>
          <w:lang w:val="fr-FR"/>
        </w:rPr>
        <w:t>Les sujets suivants inscrits au programme de travail de la Commission sont au stade de la première lecture : « </w:t>
      </w:r>
      <w:r w:rsidRPr="00AB08ED">
        <w:rPr>
          <w:lang w:val="fr-FR"/>
        </w:rPr>
        <w:t>Règlement des différends auxquels des organisations internationales sont parties</w:t>
      </w:r>
      <w:r>
        <w:rPr>
          <w:lang w:val="fr-FR"/>
        </w:rPr>
        <w:t> » et « </w:t>
      </w:r>
      <w:r w:rsidRPr="00A31B15">
        <w:rPr>
          <w:lang w:val="fr-FR"/>
        </w:rPr>
        <w:t>Moyens auxiliaires de détermination des règles de droit international</w:t>
      </w:r>
      <w:r>
        <w:rPr>
          <w:lang w:val="fr-FR"/>
        </w:rPr>
        <w:t> », ainsi que « Prévention et répression de la piraterie et du vol à main armée en mer » et « Les accords internationaux juridiquement non contraignants ».</w:t>
      </w:r>
    </w:p>
  </w:footnote>
  <w:footnote w:id="308">
    <w:p w14:paraId="695C5A80" w14:textId="77777777" w:rsidR="000E25A7" w:rsidRPr="00BF345F" w:rsidRDefault="000E25A7" w:rsidP="00E9227E">
      <w:pPr>
        <w:pStyle w:val="Notedebasdepage"/>
        <w:rPr>
          <w:szCs w:val="18"/>
        </w:rPr>
      </w:pPr>
      <w:r>
        <w:rPr>
          <w:lang w:val="fr-FR"/>
        </w:rPr>
        <w:tab/>
      </w:r>
      <w:r w:rsidRPr="00E9227E">
        <w:rPr>
          <w:rStyle w:val="Appelnotedebasdep"/>
        </w:rPr>
        <w:footnoteRef/>
      </w:r>
      <w:r>
        <w:rPr>
          <w:lang w:val="fr-FR"/>
        </w:rPr>
        <w:tab/>
        <w:t>La déclaration est consignée dans le compte rendu analytique de la séance en question.</w:t>
      </w:r>
    </w:p>
  </w:footnote>
  <w:footnote w:id="309">
    <w:p w14:paraId="1708C488" w14:textId="69736719" w:rsidR="000E25A7" w:rsidRPr="00BF345F" w:rsidRDefault="000E25A7" w:rsidP="00E9227E">
      <w:pPr>
        <w:pStyle w:val="Notedebasdepage"/>
        <w:rPr>
          <w:sz w:val="20"/>
        </w:rPr>
      </w:pPr>
      <w:r>
        <w:rPr>
          <w:lang w:val="fr-FR"/>
        </w:rPr>
        <w:tab/>
      </w:r>
      <w:r w:rsidRPr="00E9227E">
        <w:rPr>
          <w:rStyle w:val="Appelnotedebasdep"/>
        </w:rPr>
        <w:footnoteRef/>
      </w:r>
      <w:bookmarkStart w:id="212" w:name="_Hlk519755262"/>
      <w:bookmarkStart w:id="213" w:name="_Hlk519755263"/>
      <w:bookmarkStart w:id="214" w:name="_Hlk519755264"/>
      <w:r>
        <w:rPr>
          <w:lang w:val="fr-FR"/>
        </w:rPr>
        <w:tab/>
        <w:t>Ont participé au Séminaire : M</w:t>
      </w:r>
      <w:r w:rsidRPr="00E04CC0">
        <w:rPr>
          <w:vertAlign w:val="superscript"/>
          <w:lang w:val="fr-FR"/>
        </w:rPr>
        <w:t>me</w:t>
      </w:r>
      <w:r w:rsidR="0072150C">
        <w:rPr>
          <w:lang w:val="fr-FR"/>
        </w:rPr>
        <w:t> </w:t>
      </w:r>
      <w:r>
        <w:rPr>
          <w:lang w:val="fr-FR"/>
        </w:rPr>
        <w:t>Rashida</w:t>
      </w:r>
      <w:r w:rsidR="0072150C">
        <w:rPr>
          <w:lang w:val="fr-FR"/>
        </w:rPr>
        <w:t> </w:t>
      </w:r>
      <w:r>
        <w:rPr>
          <w:lang w:val="fr-FR"/>
        </w:rPr>
        <w:t>Abbas (Pakistan) ; M.</w:t>
      </w:r>
      <w:r w:rsidR="0072150C">
        <w:rPr>
          <w:lang w:val="fr-FR"/>
        </w:rPr>
        <w:t> </w:t>
      </w:r>
      <w:r>
        <w:rPr>
          <w:lang w:val="fr-FR"/>
        </w:rPr>
        <w:t>Oscar</w:t>
      </w:r>
      <w:r w:rsidR="0072150C">
        <w:rPr>
          <w:lang w:val="fr-FR"/>
        </w:rPr>
        <w:t> </w:t>
      </w:r>
      <w:r>
        <w:rPr>
          <w:lang w:val="fr-FR"/>
        </w:rPr>
        <w:t>Orlando Casallas Mendez (Colombie) ; M.</w:t>
      </w:r>
      <w:r w:rsidR="0072150C">
        <w:rPr>
          <w:lang w:val="fr-FR"/>
        </w:rPr>
        <w:t> </w:t>
      </w:r>
      <w:r>
        <w:rPr>
          <w:lang w:val="fr-FR"/>
        </w:rPr>
        <w:t>Carlos</w:t>
      </w:r>
      <w:r w:rsidR="0072150C">
        <w:rPr>
          <w:lang w:val="fr-FR"/>
        </w:rPr>
        <w:t> </w:t>
      </w:r>
      <w:r>
        <w:rPr>
          <w:lang w:val="fr-FR"/>
        </w:rPr>
        <w:t>Antonio Cruz Carrillo (Mexique) ; M.</w:t>
      </w:r>
      <w:r w:rsidR="0072150C">
        <w:rPr>
          <w:lang w:val="fr-FR"/>
        </w:rPr>
        <w:t> </w:t>
      </w:r>
      <w:r>
        <w:rPr>
          <w:lang w:val="fr-FR"/>
        </w:rPr>
        <w:t>Abel</w:t>
      </w:r>
      <w:r w:rsidR="0072150C">
        <w:rPr>
          <w:lang w:val="fr-FR"/>
        </w:rPr>
        <w:t> </w:t>
      </w:r>
      <w:r>
        <w:rPr>
          <w:lang w:val="fr-FR"/>
        </w:rPr>
        <w:t>Mbaihoundaroua Djetourané (Tchad) ; M</w:t>
      </w:r>
      <w:r w:rsidRPr="00E04CC0">
        <w:rPr>
          <w:vertAlign w:val="superscript"/>
          <w:lang w:val="fr-FR"/>
        </w:rPr>
        <w:t>me</w:t>
      </w:r>
      <w:r w:rsidR="0072150C">
        <w:rPr>
          <w:lang w:val="fr-FR"/>
        </w:rPr>
        <w:t> </w:t>
      </w:r>
      <w:r>
        <w:rPr>
          <w:lang w:val="fr-FR"/>
        </w:rPr>
        <w:t>Tuulaikhuu</w:t>
      </w:r>
      <w:r w:rsidR="0072150C">
        <w:rPr>
          <w:lang w:val="fr-FR"/>
        </w:rPr>
        <w:t> </w:t>
      </w:r>
      <w:r>
        <w:rPr>
          <w:lang w:val="fr-FR"/>
        </w:rPr>
        <w:t>Enkhee (Mongolie) ; M</w:t>
      </w:r>
      <w:r w:rsidRPr="00E04CC0">
        <w:rPr>
          <w:vertAlign w:val="superscript"/>
          <w:lang w:val="fr-FR"/>
        </w:rPr>
        <w:t>me</w:t>
      </w:r>
      <w:r w:rsidR="0072150C">
        <w:rPr>
          <w:lang w:val="fr-FR"/>
        </w:rPr>
        <w:t> </w:t>
      </w:r>
      <w:r>
        <w:rPr>
          <w:lang w:val="fr-FR"/>
        </w:rPr>
        <w:t>Ligia</w:t>
      </w:r>
      <w:r w:rsidR="0072150C">
        <w:rPr>
          <w:lang w:val="fr-FR"/>
        </w:rPr>
        <w:t> </w:t>
      </w:r>
      <w:r>
        <w:rPr>
          <w:lang w:val="fr-FR"/>
        </w:rPr>
        <w:t>Lorena Flores Soto (El Salvador) ; M</w:t>
      </w:r>
      <w:r w:rsidRPr="00E04CC0">
        <w:rPr>
          <w:vertAlign w:val="superscript"/>
          <w:lang w:val="fr-FR"/>
        </w:rPr>
        <w:t>me</w:t>
      </w:r>
      <w:r>
        <w:rPr>
          <w:lang w:val="fr-FR"/>
        </w:rPr>
        <w:t> Karima</w:t>
      </w:r>
      <w:r w:rsidR="0072150C">
        <w:rPr>
          <w:lang w:val="fr-FR"/>
        </w:rPr>
        <w:t> </w:t>
      </w:r>
      <w:r>
        <w:rPr>
          <w:lang w:val="fr-FR"/>
        </w:rPr>
        <w:t>Ftiss (Tunisie) ; M.</w:t>
      </w:r>
      <w:r w:rsidR="0072150C">
        <w:rPr>
          <w:lang w:val="fr-FR"/>
        </w:rPr>
        <w:t> </w:t>
      </w:r>
      <w:r>
        <w:rPr>
          <w:lang w:val="fr-FR"/>
        </w:rPr>
        <w:t>Yusuke</w:t>
      </w:r>
      <w:r w:rsidR="0072150C">
        <w:rPr>
          <w:lang w:val="fr-FR"/>
        </w:rPr>
        <w:t> </w:t>
      </w:r>
      <w:r>
        <w:rPr>
          <w:lang w:val="fr-FR"/>
        </w:rPr>
        <w:t>Hatakeyama (Japon) ; M.</w:t>
      </w:r>
      <w:r w:rsidR="0072150C">
        <w:rPr>
          <w:lang w:val="fr-FR"/>
        </w:rPr>
        <w:t> </w:t>
      </w:r>
      <w:r>
        <w:rPr>
          <w:lang w:val="fr-FR"/>
        </w:rPr>
        <w:t>Sanitya</w:t>
      </w:r>
      <w:r w:rsidR="0072150C">
        <w:rPr>
          <w:lang w:val="fr-FR"/>
        </w:rPr>
        <w:t> </w:t>
      </w:r>
      <w:r>
        <w:rPr>
          <w:lang w:val="fr-FR"/>
        </w:rPr>
        <w:t>Kalika (Népal) ; M.</w:t>
      </w:r>
      <w:r w:rsidR="0072150C">
        <w:rPr>
          <w:lang w:val="fr-FR"/>
        </w:rPr>
        <w:t> </w:t>
      </w:r>
      <w:r>
        <w:rPr>
          <w:lang w:val="fr-FR"/>
        </w:rPr>
        <w:t>Matúš</w:t>
      </w:r>
      <w:r w:rsidR="0072150C">
        <w:rPr>
          <w:lang w:val="fr-FR"/>
        </w:rPr>
        <w:t> </w:t>
      </w:r>
      <w:r>
        <w:rPr>
          <w:lang w:val="fr-FR"/>
        </w:rPr>
        <w:t>Košuth (Slovaquie) ; M</w:t>
      </w:r>
      <w:r w:rsidRPr="00E04CC0">
        <w:rPr>
          <w:vertAlign w:val="superscript"/>
          <w:lang w:val="fr-FR"/>
        </w:rPr>
        <w:t>me</w:t>
      </w:r>
      <w:r w:rsidR="0072150C">
        <w:rPr>
          <w:lang w:val="fr-FR"/>
        </w:rPr>
        <w:t> </w:t>
      </w:r>
      <w:r>
        <w:rPr>
          <w:lang w:val="fr-FR"/>
        </w:rPr>
        <w:t>Alis Lungu (Roumanie) ; M.</w:t>
      </w:r>
      <w:r w:rsidR="0072150C">
        <w:rPr>
          <w:lang w:val="fr-FR"/>
        </w:rPr>
        <w:t> </w:t>
      </w:r>
      <w:r>
        <w:rPr>
          <w:lang w:val="fr-FR"/>
        </w:rPr>
        <w:t>Cham</w:t>
      </w:r>
      <w:r w:rsidR="0072150C">
        <w:rPr>
          <w:lang w:val="fr-FR"/>
        </w:rPr>
        <w:t> </w:t>
      </w:r>
      <w:r>
        <w:rPr>
          <w:lang w:val="fr-FR"/>
        </w:rPr>
        <w:t>Riphat Prince Matsiona Kinkoulou (Congo) ; M</w:t>
      </w:r>
      <w:r w:rsidRPr="00E04CC0">
        <w:rPr>
          <w:vertAlign w:val="superscript"/>
          <w:lang w:val="fr-FR"/>
        </w:rPr>
        <w:t>me</w:t>
      </w:r>
      <w:r w:rsidR="0072150C">
        <w:rPr>
          <w:lang w:val="fr-FR"/>
        </w:rPr>
        <w:t> </w:t>
      </w:r>
      <w:r>
        <w:rPr>
          <w:lang w:val="fr-FR"/>
        </w:rPr>
        <w:t>Thirusha</w:t>
      </w:r>
      <w:r w:rsidR="0072150C">
        <w:rPr>
          <w:lang w:val="fr-FR"/>
        </w:rPr>
        <w:t> </w:t>
      </w:r>
      <w:r>
        <w:rPr>
          <w:lang w:val="fr-FR"/>
        </w:rPr>
        <w:t>Naidoo (Afrique du Sud) ; M</w:t>
      </w:r>
      <w:r w:rsidRPr="00E04CC0">
        <w:rPr>
          <w:vertAlign w:val="superscript"/>
          <w:lang w:val="fr-FR"/>
        </w:rPr>
        <w:t>me</w:t>
      </w:r>
      <w:r w:rsidR="0072150C">
        <w:rPr>
          <w:lang w:val="fr-FR"/>
        </w:rPr>
        <w:t> </w:t>
      </w:r>
      <w:r>
        <w:rPr>
          <w:lang w:val="fr-FR"/>
        </w:rPr>
        <w:t>Elizabeth</w:t>
      </w:r>
      <w:r w:rsidR="0072150C">
        <w:rPr>
          <w:lang w:val="fr-FR"/>
        </w:rPr>
        <w:t> </w:t>
      </w:r>
      <w:r>
        <w:rPr>
          <w:lang w:val="fr-FR"/>
        </w:rPr>
        <w:t>Nwarueze (Nigéria) ; M</w:t>
      </w:r>
      <w:r w:rsidRPr="00E04CC0">
        <w:rPr>
          <w:vertAlign w:val="superscript"/>
          <w:lang w:val="fr-FR"/>
        </w:rPr>
        <w:t>me</w:t>
      </w:r>
      <w:r w:rsidR="0072150C">
        <w:rPr>
          <w:lang w:val="fr-FR"/>
        </w:rPr>
        <w:t> </w:t>
      </w:r>
      <w:r>
        <w:rPr>
          <w:lang w:val="fr-FR"/>
        </w:rPr>
        <w:t>Miora</w:t>
      </w:r>
      <w:r w:rsidR="0072150C">
        <w:rPr>
          <w:lang w:val="fr-FR"/>
        </w:rPr>
        <w:t> </w:t>
      </w:r>
      <w:r>
        <w:rPr>
          <w:lang w:val="fr-FR"/>
        </w:rPr>
        <w:t>Tanteliniaina Randrianirina (Madagascar) ; M.</w:t>
      </w:r>
      <w:r w:rsidR="0072150C">
        <w:rPr>
          <w:lang w:val="fr-FR"/>
        </w:rPr>
        <w:t> </w:t>
      </w:r>
      <w:r>
        <w:rPr>
          <w:lang w:val="fr-FR"/>
        </w:rPr>
        <w:t>Juan</w:t>
      </w:r>
      <w:r w:rsidR="0072150C">
        <w:rPr>
          <w:lang w:val="fr-FR"/>
        </w:rPr>
        <w:t> </w:t>
      </w:r>
      <w:r>
        <w:rPr>
          <w:lang w:val="fr-FR"/>
        </w:rPr>
        <w:t>Manuel Ruiz Ballester (Argentine) ; M</w:t>
      </w:r>
      <w:r w:rsidRPr="00E04CC0">
        <w:rPr>
          <w:vertAlign w:val="superscript"/>
          <w:lang w:val="fr-FR"/>
        </w:rPr>
        <w:t>me</w:t>
      </w:r>
      <w:r w:rsidR="0072150C">
        <w:rPr>
          <w:lang w:val="fr-FR"/>
        </w:rPr>
        <w:t> </w:t>
      </w:r>
      <w:r>
        <w:rPr>
          <w:lang w:val="fr-FR"/>
        </w:rPr>
        <w:t>Paulina</w:t>
      </w:r>
      <w:r w:rsidR="0072150C">
        <w:rPr>
          <w:lang w:val="fr-FR"/>
        </w:rPr>
        <w:t> </w:t>
      </w:r>
      <w:r>
        <w:rPr>
          <w:lang w:val="fr-FR"/>
        </w:rPr>
        <w:t>Rundel (Allemagne) ; M</w:t>
      </w:r>
      <w:r w:rsidRPr="00E04CC0">
        <w:rPr>
          <w:vertAlign w:val="superscript"/>
          <w:lang w:val="fr-FR"/>
        </w:rPr>
        <w:t>me</w:t>
      </w:r>
      <w:r w:rsidR="0072150C">
        <w:rPr>
          <w:lang w:val="fr-FR"/>
        </w:rPr>
        <w:t> </w:t>
      </w:r>
      <w:r>
        <w:rPr>
          <w:lang w:val="fr-FR"/>
        </w:rPr>
        <w:t>Sarra</w:t>
      </w:r>
      <w:r w:rsidR="0072150C">
        <w:rPr>
          <w:lang w:val="fr-FR"/>
        </w:rPr>
        <w:t> </w:t>
      </w:r>
      <w:r>
        <w:rPr>
          <w:lang w:val="fr-FR"/>
        </w:rPr>
        <w:t>Sefrioui (Maroc) ; M. Luis</w:t>
      </w:r>
      <w:r w:rsidR="0072150C">
        <w:rPr>
          <w:lang w:val="fr-FR"/>
        </w:rPr>
        <w:t> </w:t>
      </w:r>
      <w:r>
        <w:rPr>
          <w:lang w:val="fr-FR"/>
        </w:rPr>
        <w:t>Alberto Serrano Molinos (Chili) ; M</w:t>
      </w:r>
      <w:r w:rsidRPr="00E04CC0">
        <w:rPr>
          <w:vertAlign w:val="superscript"/>
          <w:lang w:val="fr-FR"/>
        </w:rPr>
        <w:t>me</w:t>
      </w:r>
      <w:r>
        <w:rPr>
          <w:lang w:val="fr-FR"/>
        </w:rPr>
        <w:t> Mariyam</w:t>
      </w:r>
      <w:r w:rsidR="0072150C">
        <w:rPr>
          <w:lang w:val="fr-FR"/>
        </w:rPr>
        <w:t> </w:t>
      </w:r>
      <w:r>
        <w:rPr>
          <w:lang w:val="fr-FR"/>
        </w:rPr>
        <w:t>Shaany (Maldives) ; M</w:t>
      </w:r>
      <w:r w:rsidRPr="00E04CC0">
        <w:rPr>
          <w:vertAlign w:val="superscript"/>
          <w:lang w:val="fr-FR"/>
        </w:rPr>
        <w:t>me</w:t>
      </w:r>
      <w:r w:rsidR="0072150C">
        <w:rPr>
          <w:lang w:val="fr-FR"/>
        </w:rPr>
        <w:t> </w:t>
      </w:r>
      <w:r>
        <w:rPr>
          <w:lang w:val="fr-FR"/>
        </w:rPr>
        <w:t>Shelly-Ann Thompson (Jamaïque) ; M</w:t>
      </w:r>
      <w:r w:rsidRPr="00E04CC0">
        <w:rPr>
          <w:vertAlign w:val="superscript"/>
          <w:lang w:val="fr-FR"/>
        </w:rPr>
        <w:t>me</w:t>
      </w:r>
      <w:r w:rsidR="0072150C">
        <w:rPr>
          <w:lang w:val="fr-FR"/>
        </w:rPr>
        <w:t> </w:t>
      </w:r>
      <w:r>
        <w:rPr>
          <w:lang w:val="fr-FR"/>
        </w:rPr>
        <w:t>Anita</w:t>
      </w:r>
      <w:r w:rsidR="0072150C">
        <w:rPr>
          <w:lang w:val="fr-FR"/>
        </w:rPr>
        <w:t> </w:t>
      </w:r>
      <w:r>
        <w:rPr>
          <w:lang w:val="fr-FR"/>
        </w:rPr>
        <w:t>Yadav (Inde) ; M</w:t>
      </w:r>
      <w:r w:rsidRPr="00E04CC0">
        <w:rPr>
          <w:vertAlign w:val="superscript"/>
          <w:lang w:val="fr-FR"/>
        </w:rPr>
        <w:t>me</w:t>
      </w:r>
      <w:r w:rsidR="0072150C">
        <w:rPr>
          <w:lang w:val="fr-FR"/>
        </w:rPr>
        <w:t> </w:t>
      </w:r>
      <w:r>
        <w:rPr>
          <w:lang w:val="fr-FR"/>
        </w:rPr>
        <w:t>Filomena</w:t>
      </w:r>
      <w:r w:rsidR="0072150C">
        <w:rPr>
          <w:lang w:val="fr-FR"/>
        </w:rPr>
        <w:t> </w:t>
      </w:r>
      <w:r>
        <w:rPr>
          <w:lang w:val="fr-FR"/>
        </w:rPr>
        <w:t>Medea Tulli (Italie) ; M. Nattachaat</w:t>
      </w:r>
      <w:r w:rsidR="0072150C">
        <w:rPr>
          <w:lang w:val="fr-FR"/>
        </w:rPr>
        <w:t> </w:t>
      </w:r>
      <w:r>
        <w:rPr>
          <w:lang w:val="fr-FR"/>
        </w:rPr>
        <w:t>Urairong (Thaïlande) ; M</w:t>
      </w:r>
      <w:r w:rsidRPr="00E04CC0">
        <w:rPr>
          <w:vertAlign w:val="superscript"/>
          <w:lang w:val="fr-FR"/>
        </w:rPr>
        <w:t>me</w:t>
      </w:r>
      <w:r w:rsidR="0072150C">
        <w:rPr>
          <w:lang w:val="fr-FR"/>
        </w:rPr>
        <w:t> </w:t>
      </w:r>
      <w:r>
        <w:rPr>
          <w:lang w:val="fr-FR"/>
        </w:rPr>
        <w:t>Sasha</w:t>
      </w:r>
      <w:r w:rsidR="0072150C">
        <w:rPr>
          <w:lang w:val="fr-FR"/>
        </w:rPr>
        <w:t> </w:t>
      </w:r>
      <w:r>
        <w:rPr>
          <w:lang w:val="fr-FR"/>
        </w:rPr>
        <w:t>Raycheva (Bulgarie) ; M.</w:t>
      </w:r>
      <w:r w:rsidR="0072150C">
        <w:rPr>
          <w:lang w:val="fr-FR"/>
        </w:rPr>
        <w:t> </w:t>
      </w:r>
      <w:r>
        <w:rPr>
          <w:lang w:val="fr-FR"/>
        </w:rPr>
        <w:t>Kiswendsida</w:t>
      </w:r>
      <w:r w:rsidR="0072150C">
        <w:rPr>
          <w:lang w:val="fr-FR"/>
        </w:rPr>
        <w:t> </w:t>
      </w:r>
      <w:r>
        <w:rPr>
          <w:lang w:val="fr-FR"/>
        </w:rPr>
        <w:t>Marius Zongo (Burkina Faso) ; M.</w:t>
      </w:r>
      <w:r w:rsidR="0072150C">
        <w:rPr>
          <w:lang w:val="fr-FR"/>
        </w:rPr>
        <w:t> </w:t>
      </w:r>
      <w:r>
        <w:rPr>
          <w:lang w:val="fr-FR"/>
        </w:rPr>
        <w:t>Marek</w:t>
      </w:r>
      <w:r w:rsidR="0072150C">
        <w:rPr>
          <w:lang w:val="fr-FR"/>
        </w:rPr>
        <w:t> </w:t>
      </w:r>
      <w:r>
        <w:rPr>
          <w:lang w:val="fr-FR"/>
        </w:rPr>
        <w:t>Zukal (République tchèque)</w:t>
      </w:r>
      <w:r w:rsidR="0072150C">
        <w:rPr>
          <w:lang w:val="fr-FR"/>
        </w:rPr>
        <w:t>.</w:t>
      </w:r>
      <w:r>
        <w:rPr>
          <w:lang w:val="fr-FR"/>
        </w:rPr>
        <w:t xml:space="preserve"> Le Comité de sélection, présidé par M.</w:t>
      </w:r>
      <w:r w:rsidR="0072150C">
        <w:rPr>
          <w:lang w:val="fr-FR"/>
        </w:rPr>
        <w:t> </w:t>
      </w:r>
      <w:r>
        <w:rPr>
          <w:lang w:val="fr-FR"/>
        </w:rPr>
        <w:t>Makane</w:t>
      </w:r>
      <w:r w:rsidR="0072150C">
        <w:rPr>
          <w:lang w:val="fr-FR"/>
        </w:rPr>
        <w:t> </w:t>
      </w:r>
      <w:r>
        <w:rPr>
          <w:lang w:val="fr-FR"/>
        </w:rPr>
        <w:t>Moïse Mbengue, professeur de droit international à l</w:t>
      </w:r>
      <w:r w:rsidR="004937A0">
        <w:rPr>
          <w:lang w:val="fr-FR"/>
        </w:rPr>
        <w:t>’</w:t>
      </w:r>
      <w:r>
        <w:rPr>
          <w:lang w:val="fr-FR"/>
        </w:rPr>
        <w:t>Université de Genève, s</w:t>
      </w:r>
      <w:r w:rsidR="004937A0">
        <w:rPr>
          <w:lang w:val="fr-FR"/>
        </w:rPr>
        <w:t>’</w:t>
      </w:r>
      <w:r>
        <w:rPr>
          <w:lang w:val="fr-FR"/>
        </w:rPr>
        <w:t>était réuni le 3 mai 2024 et avait retenu 27 candidats sur 221.</w:t>
      </w:r>
      <w:bookmarkEnd w:id="212"/>
      <w:bookmarkEnd w:id="213"/>
      <w:bookmarkEnd w:id="214"/>
    </w:p>
  </w:footnote>
  <w:footnote w:id="310">
    <w:p w14:paraId="5D0EADDA" w14:textId="11F88542" w:rsidR="005D2955" w:rsidRPr="001448A7" w:rsidRDefault="005D2955" w:rsidP="00E9227E">
      <w:pPr>
        <w:pStyle w:val="Notedebasdepage"/>
        <w:rPr>
          <w:rFonts w:asciiTheme="majorBidi" w:hAnsiTheme="majorBidi" w:cstheme="majorBidi"/>
          <w:szCs w:val="18"/>
          <w:lang w:val="fr-FR"/>
        </w:rPr>
      </w:pPr>
      <w:r>
        <w:rPr>
          <w:lang w:val="fr-FR"/>
        </w:rPr>
        <w:tab/>
      </w:r>
      <w:r w:rsidRPr="001448A7">
        <w:rPr>
          <w:lang w:val="fr-FR"/>
        </w:rPr>
        <w:t>*</w:t>
      </w:r>
      <w:r w:rsidRPr="001448A7">
        <w:rPr>
          <w:lang w:val="fr-FR"/>
        </w:rPr>
        <w:tab/>
        <w:t>L</w:t>
      </w:r>
      <w:r w:rsidR="004937A0">
        <w:rPr>
          <w:lang w:val="fr-FR"/>
        </w:rPr>
        <w:t>’</w:t>
      </w:r>
      <w:r w:rsidRPr="001448A7">
        <w:rPr>
          <w:lang w:val="fr-FR"/>
        </w:rPr>
        <w:t>auteur tient à remercier ses assistants de recherche Marcie Rotblatt, Luis Felipe Viveros et Yanwen Zhang pour l</w:t>
      </w:r>
      <w:r w:rsidR="004937A0">
        <w:rPr>
          <w:lang w:val="fr-FR"/>
        </w:rPr>
        <w:t>’</w:t>
      </w:r>
      <w:r w:rsidRPr="001448A7">
        <w:rPr>
          <w:lang w:val="fr-FR"/>
        </w:rPr>
        <w:t>aide qu</w:t>
      </w:r>
      <w:r w:rsidR="004937A0">
        <w:rPr>
          <w:lang w:val="fr-FR"/>
        </w:rPr>
        <w:t>’</w:t>
      </w:r>
      <w:r w:rsidRPr="001448A7">
        <w:rPr>
          <w:lang w:val="fr-FR"/>
        </w:rPr>
        <w:t>ils lui ont apportée dans l</w:t>
      </w:r>
      <w:r w:rsidR="004937A0">
        <w:rPr>
          <w:lang w:val="fr-FR"/>
        </w:rPr>
        <w:t>’</w:t>
      </w:r>
      <w:r w:rsidRPr="001448A7">
        <w:rPr>
          <w:lang w:val="fr-FR"/>
        </w:rPr>
        <w:t>élaboration de la présente proposition.</w:t>
      </w:r>
    </w:p>
  </w:footnote>
  <w:footnote w:id="311">
    <w:p w14:paraId="1730774A" w14:textId="346931B1" w:rsidR="005D2955" w:rsidRPr="001448A7" w:rsidRDefault="005D2955" w:rsidP="00E9227E">
      <w:pPr>
        <w:pStyle w:val="Notedebasdepage"/>
        <w:rPr>
          <w:rFonts w:asciiTheme="majorBidi" w:hAnsiTheme="majorBidi" w:cstheme="majorBidi"/>
          <w:szCs w:val="18"/>
          <w:lang w:val="fr-FR"/>
        </w:rPr>
      </w:pPr>
      <w:r w:rsidRPr="001448A7">
        <w:rPr>
          <w:lang w:val="fr-FR"/>
        </w:rPr>
        <w:tab/>
      </w:r>
      <w:r w:rsidRPr="00E9227E">
        <w:rPr>
          <w:rStyle w:val="Appelnotedebasdep"/>
        </w:rPr>
        <w:footnoteRef/>
      </w:r>
      <w:r w:rsidRPr="001448A7">
        <w:rPr>
          <w:lang w:val="fr-FR"/>
        </w:rPr>
        <w:t xml:space="preserve"> </w:t>
      </w:r>
      <w:r w:rsidRPr="001448A7">
        <w:rPr>
          <w:lang w:val="fr-FR"/>
        </w:rPr>
        <w:tab/>
      </w:r>
      <w:r w:rsidRPr="001448A7">
        <w:rPr>
          <w:i/>
          <w:iCs/>
          <w:lang w:val="fr-FR"/>
        </w:rPr>
        <w:t>Réclamations des États-Unis d</w:t>
      </w:r>
      <w:r w:rsidR="004937A0">
        <w:rPr>
          <w:i/>
          <w:iCs/>
          <w:lang w:val="fr-FR"/>
        </w:rPr>
        <w:t>’</w:t>
      </w:r>
      <w:r w:rsidRPr="001448A7">
        <w:rPr>
          <w:i/>
          <w:iCs/>
          <w:lang w:val="fr-FR"/>
        </w:rPr>
        <w:t>Amérique contre la Grande-Bretagne relatives à l</w:t>
      </w:r>
      <w:r w:rsidR="004937A0">
        <w:rPr>
          <w:i/>
          <w:iCs/>
          <w:lang w:val="fr-FR"/>
        </w:rPr>
        <w:t>’</w:t>
      </w:r>
      <w:r w:rsidRPr="001448A7">
        <w:rPr>
          <w:i/>
          <w:iCs/>
          <w:lang w:val="fr-FR"/>
        </w:rPr>
        <w:t>Alabama, sentence du 14 septembre 1872, Recueil des sentences arbitrales</w:t>
      </w:r>
      <w:r w:rsidRPr="001448A7">
        <w:rPr>
          <w:lang w:val="fr-FR"/>
        </w:rPr>
        <w:t xml:space="preserve">, vol. XXIX, p. 125 à 134, aux pages 133 et 134 ; Institut de droit international, « Responsabilité internationale des États à raison des dommages causés sur leur territoire à la personne et aux biens des étrangers », </w:t>
      </w:r>
      <w:r w:rsidRPr="001448A7">
        <w:rPr>
          <w:i/>
          <w:iCs/>
          <w:lang w:val="fr-FR"/>
        </w:rPr>
        <w:t>Annuaire</w:t>
      </w:r>
      <w:r w:rsidRPr="001448A7">
        <w:rPr>
          <w:lang w:val="fr-FR"/>
        </w:rPr>
        <w:t xml:space="preserve">, vol. 33-III (1927), p. 330 et suiv., aux pages 333 et 334, art. 10 et 11 (et p. 81 à 168, et ibid., vol. 33-I, p. 455 à 562). Voir aussi G. Salvioli, « La responsabilité des États et la fixation des dommages et intérêts par les tribunaux internationaux », </w:t>
      </w:r>
      <w:r w:rsidRPr="001448A7">
        <w:rPr>
          <w:i/>
          <w:iCs/>
          <w:lang w:val="fr-FR"/>
        </w:rPr>
        <w:t>Recueil des cours de l</w:t>
      </w:r>
      <w:r w:rsidR="004937A0">
        <w:rPr>
          <w:i/>
          <w:iCs/>
          <w:lang w:val="fr-FR"/>
        </w:rPr>
        <w:t>’</w:t>
      </w:r>
      <w:r w:rsidRPr="001448A7">
        <w:rPr>
          <w:i/>
          <w:iCs/>
          <w:lang w:val="fr-FR"/>
        </w:rPr>
        <w:t>Académie de droit international de La Haye</w:t>
      </w:r>
      <w:r w:rsidRPr="001448A7">
        <w:rPr>
          <w:lang w:val="fr-FR"/>
        </w:rPr>
        <w:t xml:space="preserve">, vol. 28 (1929-III), p. 231 et suiv. ; W. Buder, </w:t>
      </w:r>
      <w:r w:rsidRPr="001448A7">
        <w:rPr>
          <w:i/>
          <w:iCs/>
          <w:lang w:val="fr-FR"/>
        </w:rPr>
        <w:t>Die Lehre vom völkerrechtlichen Schadensersatz</w:t>
      </w:r>
      <w:r w:rsidRPr="001448A7">
        <w:rPr>
          <w:lang w:val="fr-FR"/>
        </w:rPr>
        <w:t xml:space="preserve">, Begach, 1932 ; A. Roth, </w:t>
      </w:r>
      <w:r w:rsidRPr="001448A7">
        <w:rPr>
          <w:i/>
          <w:iCs/>
          <w:lang w:val="fr-FR"/>
        </w:rPr>
        <w:t>Schadensersatz für Verletzungen Privater bei völkerrechtlichen Delikten</w:t>
      </w:r>
      <w:r w:rsidRPr="001448A7">
        <w:rPr>
          <w:lang w:val="fr-FR"/>
        </w:rPr>
        <w:t xml:space="preserve">, Heymann, 1934 ; L. Reitzer, </w:t>
      </w:r>
      <w:r w:rsidRPr="001448A7">
        <w:rPr>
          <w:i/>
          <w:iCs/>
          <w:lang w:val="fr-FR"/>
        </w:rPr>
        <w:t>La réparation comme conséquence de l</w:t>
      </w:r>
      <w:r w:rsidR="004937A0">
        <w:rPr>
          <w:i/>
          <w:iCs/>
          <w:lang w:val="fr-FR"/>
        </w:rPr>
        <w:t>’</w:t>
      </w:r>
      <w:r w:rsidRPr="001448A7">
        <w:rPr>
          <w:i/>
          <w:iCs/>
          <w:lang w:val="fr-FR"/>
        </w:rPr>
        <w:t>acte illicite en droit international</w:t>
      </w:r>
      <w:r w:rsidRPr="001448A7">
        <w:rPr>
          <w:lang w:val="fr-FR"/>
        </w:rPr>
        <w:t xml:space="preserve"> (thèse de doctorat, Université de Genève), Liège, G. Thone, 1938 ; J. Personnaz, </w:t>
      </w:r>
      <w:r w:rsidRPr="001448A7">
        <w:rPr>
          <w:i/>
          <w:iCs/>
          <w:lang w:val="fr-FR"/>
        </w:rPr>
        <w:t>La réparation du préjudice en droit international public</w:t>
      </w:r>
      <w:r w:rsidRPr="001448A7">
        <w:rPr>
          <w:lang w:val="fr-FR"/>
        </w:rPr>
        <w:t xml:space="preserve">, Paris, Recueil Sirey, 1939 ; M. M. Whiteman, </w:t>
      </w:r>
      <w:r w:rsidRPr="001448A7">
        <w:rPr>
          <w:i/>
          <w:iCs/>
          <w:lang w:val="fr-FR"/>
        </w:rPr>
        <w:t>Damages in International Law</w:t>
      </w:r>
      <w:r w:rsidRPr="001448A7">
        <w:rPr>
          <w:lang w:val="fr-FR"/>
        </w:rPr>
        <w:t xml:space="preserve">, vol. </w:t>
      </w:r>
      <w:r w:rsidRPr="001448A7">
        <w:rPr>
          <w:lang w:val="en-US"/>
        </w:rPr>
        <w:t xml:space="preserve">I et II, Washington, United States Government Printing Office, 1937, et vol. </w:t>
      </w:r>
      <w:r w:rsidRPr="001448A7">
        <w:rPr>
          <w:lang w:val="fr-FR"/>
        </w:rPr>
        <w:t>III, 1943.</w:t>
      </w:r>
    </w:p>
  </w:footnote>
  <w:footnote w:id="312">
    <w:p w14:paraId="395D055C"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Cour permanente de Justice internationale, </w:t>
      </w:r>
      <w:r w:rsidRPr="001448A7">
        <w:rPr>
          <w:i/>
          <w:iCs/>
          <w:lang w:val="fr-FR"/>
        </w:rPr>
        <w:t>Usine de Chorzów, arrêt n</w:t>
      </w:r>
      <w:r w:rsidRPr="001448A7">
        <w:rPr>
          <w:i/>
          <w:iCs/>
          <w:vertAlign w:val="superscript"/>
          <w:lang w:val="fr-FR"/>
        </w:rPr>
        <w:t>o</w:t>
      </w:r>
      <w:r w:rsidRPr="001448A7">
        <w:rPr>
          <w:i/>
          <w:iCs/>
          <w:lang w:val="fr-FR"/>
        </w:rPr>
        <w:t> 13</w:t>
      </w:r>
      <w:r w:rsidRPr="001448A7">
        <w:rPr>
          <w:lang w:val="fr-FR"/>
        </w:rPr>
        <w:t xml:space="preserve"> </w:t>
      </w:r>
      <w:r w:rsidRPr="001448A7">
        <w:rPr>
          <w:i/>
          <w:iCs/>
          <w:lang w:val="fr-FR"/>
        </w:rPr>
        <w:t>(demande en indemnité)</w:t>
      </w:r>
      <w:r w:rsidRPr="001448A7">
        <w:rPr>
          <w:lang w:val="fr-FR"/>
        </w:rPr>
        <w:t xml:space="preserve"> </w:t>
      </w:r>
      <w:r w:rsidRPr="001448A7">
        <w:rPr>
          <w:i/>
          <w:iCs/>
          <w:lang w:val="fr-FR"/>
        </w:rPr>
        <w:t>(fond)</w:t>
      </w:r>
      <w:r w:rsidRPr="001448A7">
        <w:rPr>
          <w:lang w:val="fr-FR"/>
        </w:rPr>
        <w:t>, série A, n</w:t>
      </w:r>
      <w:r w:rsidRPr="001448A7">
        <w:rPr>
          <w:vertAlign w:val="superscript"/>
          <w:lang w:val="fr-FR"/>
        </w:rPr>
        <w:t>o</w:t>
      </w:r>
      <w:r w:rsidRPr="001448A7">
        <w:rPr>
          <w:lang w:val="fr-FR"/>
        </w:rPr>
        <w:t xml:space="preserve"> 17 (1928), p. 47.</w:t>
      </w:r>
    </w:p>
  </w:footnote>
  <w:footnote w:id="313">
    <w:p w14:paraId="40A36C18" w14:textId="309C44B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texte des articles adoptés en première lecture par la Troisième Commission de la Conférence pour la codification du droit international (La Haye, 1930), </w:t>
      </w:r>
      <w:r w:rsidRPr="001448A7">
        <w:rPr>
          <w:i/>
          <w:iCs/>
          <w:lang w:val="fr-FR"/>
        </w:rPr>
        <w:t>Annuaire ... 1956</w:t>
      </w:r>
      <w:r w:rsidRPr="001448A7">
        <w:rPr>
          <w:lang w:val="fr-FR"/>
        </w:rPr>
        <w:t xml:space="preserve">, vol. II, document </w:t>
      </w:r>
      <w:hyperlink r:id="rId191" w:history="1">
        <w:r w:rsidRPr="001448A7">
          <w:rPr>
            <w:rStyle w:val="Lienhypertexte"/>
            <w:lang w:val="fr-FR"/>
          </w:rPr>
          <w:t>A/CN.4/96</w:t>
        </w:r>
      </w:hyperlink>
      <w:r w:rsidRPr="001448A7">
        <w:rPr>
          <w:lang w:val="fr-FR"/>
        </w:rPr>
        <w:t>, annexe 3, p. 226, art. 3 (« La responsabilité internationale de l</w:t>
      </w:r>
      <w:r w:rsidR="004937A0">
        <w:rPr>
          <w:lang w:val="fr-FR"/>
        </w:rPr>
        <w:t>’</w:t>
      </w:r>
      <w:r w:rsidRPr="001448A7">
        <w:rPr>
          <w:lang w:val="fr-FR"/>
        </w:rPr>
        <w:t>État comporte le devoir de réparer le dommage subi en tant qu</w:t>
      </w:r>
      <w:r w:rsidR="004937A0">
        <w:rPr>
          <w:lang w:val="fr-FR"/>
        </w:rPr>
        <w:t>’</w:t>
      </w:r>
      <w:r w:rsidRPr="001448A7">
        <w:rPr>
          <w:lang w:val="fr-FR"/>
        </w:rPr>
        <w:t>il est la conséquence de l</w:t>
      </w:r>
      <w:r w:rsidR="004937A0">
        <w:rPr>
          <w:lang w:val="fr-FR"/>
        </w:rPr>
        <w:t>’</w:t>
      </w:r>
      <w:r w:rsidRPr="001448A7">
        <w:rPr>
          <w:lang w:val="fr-FR"/>
        </w:rPr>
        <w:t>inobservation de l</w:t>
      </w:r>
      <w:r w:rsidR="004937A0">
        <w:rPr>
          <w:lang w:val="fr-FR"/>
        </w:rPr>
        <w:t>’</w:t>
      </w:r>
      <w:r w:rsidRPr="001448A7">
        <w:rPr>
          <w:lang w:val="fr-FR"/>
        </w:rPr>
        <w:t>obligation internationale »). Voir aussi la base de discussion n</w:t>
      </w:r>
      <w:r w:rsidRPr="001448A7">
        <w:rPr>
          <w:vertAlign w:val="superscript"/>
          <w:lang w:val="fr-FR"/>
        </w:rPr>
        <w:t>o</w:t>
      </w:r>
      <w:r w:rsidRPr="001448A7">
        <w:rPr>
          <w:lang w:val="fr-FR"/>
        </w:rPr>
        <w:t xml:space="preserve"> 29 des bases de discussion établies en 1929 par le Comité préparatoire de la Conférence pour la codification du droit international (La Haye, 1930), ibid., annexe 2, p. 223 à 226, à la page 225 ; Société des Nations, Conférence pour la codification du droit international, </w:t>
      </w:r>
      <w:r w:rsidRPr="001448A7">
        <w:rPr>
          <w:i/>
          <w:iCs/>
          <w:lang w:val="fr-FR"/>
        </w:rPr>
        <w:t>Bases de discussion établies par le Comité préparatoire à l</w:t>
      </w:r>
      <w:r w:rsidR="004937A0">
        <w:rPr>
          <w:i/>
          <w:iCs/>
          <w:lang w:val="fr-FR"/>
        </w:rPr>
        <w:t>’</w:t>
      </w:r>
      <w:r w:rsidRPr="001448A7">
        <w:rPr>
          <w:i/>
          <w:iCs/>
          <w:lang w:val="fr-FR"/>
        </w:rPr>
        <w:t>intention de la Conférence</w:t>
      </w:r>
      <w:r w:rsidRPr="001448A7">
        <w:rPr>
          <w:lang w:val="fr-FR"/>
        </w:rPr>
        <w:t>, vol. III</w:t>
      </w:r>
      <w:r w:rsidR="00827FD1">
        <w:rPr>
          <w:lang w:val="fr-FR"/>
        </w:rPr>
        <w:t> </w:t>
      </w:r>
      <w:r w:rsidRPr="001448A7">
        <w:rPr>
          <w:lang w:val="fr-FR"/>
        </w:rPr>
        <w:t xml:space="preserve">: </w:t>
      </w:r>
      <w:r w:rsidRPr="001448A7">
        <w:rPr>
          <w:i/>
          <w:iCs/>
          <w:lang w:val="fr-FR"/>
        </w:rPr>
        <w:t xml:space="preserve">Responsabilité des États en ce qui concerne les dommages causés sur leur territoire à la personne ou aux biens des étrangers </w:t>
      </w:r>
      <w:r w:rsidRPr="001448A7">
        <w:rPr>
          <w:lang w:val="fr-FR"/>
        </w:rPr>
        <w:t xml:space="preserve">(Ser. L.o.N. P. 129.V.3), document C.75.M.69.1929.V), p. 75 et suiv., aux pages 146 à 151 ; Société des Nations, </w:t>
      </w:r>
      <w:r w:rsidRPr="001448A7">
        <w:rPr>
          <w:i/>
          <w:iCs/>
          <w:lang w:val="fr-FR"/>
        </w:rPr>
        <w:t>Actes de la Conférence pour la codification du droit international tenue à La Haye du 13 mars au 12 avril 1930</w:t>
      </w:r>
      <w:r w:rsidRPr="001448A7">
        <w:rPr>
          <w:lang w:val="fr-FR"/>
        </w:rPr>
        <w:t xml:space="preserve">, vol. IV : </w:t>
      </w:r>
      <w:r w:rsidRPr="001448A7">
        <w:rPr>
          <w:i/>
          <w:iCs/>
          <w:lang w:val="fr-FR"/>
        </w:rPr>
        <w:t>Procès-verbaux de la Troisième Commission</w:t>
      </w:r>
      <w:r w:rsidRPr="001448A7">
        <w:rPr>
          <w:lang w:val="fr-FR"/>
        </w:rPr>
        <w:t xml:space="preserve"> (document C.351(c).M.145(c).1930.V.), p. 129 à 142.</w:t>
      </w:r>
    </w:p>
  </w:footnote>
  <w:footnote w:id="314">
    <w:p w14:paraId="5876AE1B" w14:textId="3B89FDBE"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en général, </w:t>
      </w:r>
      <w:proofErr w:type="spellStart"/>
      <w:r w:rsidRPr="001448A7">
        <w:rPr>
          <w:lang w:val="fr-FR"/>
        </w:rPr>
        <w:t>Whiteman</w:t>
      </w:r>
      <w:proofErr w:type="spellEnd"/>
      <w:r w:rsidRPr="001448A7">
        <w:rPr>
          <w:lang w:val="fr-FR"/>
        </w:rPr>
        <w:t xml:space="preserve"> (note </w:t>
      </w:r>
      <w:r w:rsidRPr="001448A7">
        <w:rPr>
          <w:lang w:val="fr-FR"/>
        </w:rPr>
        <w:fldChar w:fldCharType="begin"/>
      </w:r>
      <w:r w:rsidRPr="001448A7">
        <w:rPr>
          <w:lang w:val="fr-FR"/>
        </w:rPr>
        <w:instrText xml:space="preserve"> NOTEREF _Ref172533008 \h </w:instrText>
      </w:r>
      <w:r>
        <w:rPr>
          <w:lang w:val="fr-FR"/>
        </w:rPr>
        <w:instrText xml:space="preserve"> \* MERGEFORMAT </w:instrText>
      </w:r>
      <w:r w:rsidRPr="001448A7">
        <w:rPr>
          <w:lang w:val="fr-FR"/>
        </w:rPr>
      </w:r>
      <w:r w:rsidRPr="001448A7">
        <w:rPr>
          <w:lang w:val="fr-FR"/>
        </w:rPr>
        <w:fldChar w:fldCharType="separate"/>
      </w:r>
      <w:r w:rsidR="00EC4FDE">
        <w:rPr>
          <w:lang w:val="fr-FR"/>
        </w:rPr>
        <w:t>1</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w:t>
      </w:r>
    </w:p>
  </w:footnote>
  <w:footnote w:id="315">
    <w:p w14:paraId="5C023665"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r>
      <w:r w:rsidRPr="001448A7">
        <w:rPr>
          <w:i/>
          <w:iCs/>
          <w:lang w:val="fr-FR"/>
        </w:rPr>
        <w:t>Détroit de Corfou, fixation du montant des réparations, arrêt du 15 décembre 1949, C.I.J. Recueil 1949</w:t>
      </w:r>
      <w:r w:rsidRPr="001448A7">
        <w:rPr>
          <w:lang w:val="fr-FR"/>
        </w:rPr>
        <w:t>, p. 244.</w:t>
      </w:r>
    </w:p>
  </w:footnote>
  <w:footnote w:id="316">
    <w:p w14:paraId="5BEDB2CE"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Projet Gabčíkovo-Nagymaros (Hongrie/Slovaquie), arrêt, C.I.J. Recueil 1997</w:t>
      </w:r>
      <w:r w:rsidRPr="001448A7">
        <w:rPr>
          <w:lang w:val="fr-FR"/>
        </w:rPr>
        <w:t>, p. 7, à la page 81, par. 152.</w:t>
      </w:r>
    </w:p>
  </w:footnote>
  <w:footnote w:id="317">
    <w:p w14:paraId="48F17B2D" w14:textId="3F009291"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Compétence en matière de pêcheries (République fédérale d</w:t>
      </w:r>
      <w:r w:rsidR="004937A0">
        <w:rPr>
          <w:i/>
          <w:iCs/>
          <w:lang w:val="fr-FR"/>
        </w:rPr>
        <w:t>’</w:t>
      </w:r>
      <w:r w:rsidRPr="001448A7">
        <w:rPr>
          <w:i/>
          <w:iCs/>
          <w:lang w:val="fr-FR"/>
        </w:rPr>
        <w:t>Allemagne c. Islande), fond, arrêt, C.I.J. Recueil 1974</w:t>
      </w:r>
      <w:r w:rsidRPr="001448A7">
        <w:rPr>
          <w:lang w:val="fr-FR"/>
        </w:rPr>
        <w:t>, p. 175, aux pages 204 et 205, par. 76.</w:t>
      </w:r>
    </w:p>
  </w:footnote>
  <w:footnote w:id="318">
    <w:p w14:paraId="730F4E3A" w14:textId="78D78E0E"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Activités militaires et paramilitaires au Nicaragua et contre celui-ci (Nicaragua c. États-Unis d</w:t>
      </w:r>
      <w:r w:rsidR="004937A0">
        <w:rPr>
          <w:i/>
          <w:iCs/>
          <w:lang w:val="fr-FR"/>
        </w:rPr>
        <w:t>’</w:t>
      </w:r>
      <w:r w:rsidRPr="001448A7">
        <w:rPr>
          <w:i/>
          <w:iCs/>
          <w:lang w:val="fr-FR"/>
        </w:rPr>
        <w:t>Amérique)</w:t>
      </w:r>
      <w:r w:rsidRPr="001448A7">
        <w:rPr>
          <w:lang w:val="fr-FR"/>
        </w:rPr>
        <w:t xml:space="preserve">, </w:t>
      </w:r>
      <w:r w:rsidRPr="001448A7">
        <w:rPr>
          <w:i/>
          <w:iCs/>
          <w:lang w:val="fr-FR"/>
        </w:rPr>
        <w:t>mémoire du Nicaragua du 29 mars 1988</w:t>
      </w:r>
      <w:r w:rsidRPr="001448A7">
        <w:rPr>
          <w:lang w:val="fr-FR"/>
        </w:rPr>
        <w:t>, disponible sur le site Web de la Cour internationale de Justice (</w:t>
      </w:r>
      <w:hyperlink r:id="rId192" w:history="1">
        <w:r w:rsidRPr="001448A7">
          <w:rPr>
            <w:rStyle w:val="Lienhypertexte"/>
            <w:lang w:val="fr-FR"/>
          </w:rPr>
          <w:t>https://www.icj-cij.org/</w:t>
        </w:r>
      </w:hyperlink>
      <w:r w:rsidRPr="001448A7">
        <w:rPr>
          <w:lang w:val="fr-FR"/>
        </w:rPr>
        <w:t>), dans l</w:t>
      </w:r>
      <w:r w:rsidR="004937A0">
        <w:rPr>
          <w:lang w:val="fr-FR"/>
        </w:rPr>
        <w:t>’</w:t>
      </w:r>
      <w:r w:rsidRPr="001448A7">
        <w:rPr>
          <w:lang w:val="fr-FR"/>
        </w:rPr>
        <w:t>onglet Affaires.</w:t>
      </w:r>
    </w:p>
  </w:footnote>
  <w:footnote w:id="319">
    <w:p w14:paraId="2D3901F4"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 xml:space="preserve">Ibid., </w:t>
      </w:r>
      <w:r w:rsidRPr="001448A7">
        <w:rPr>
          <w:i/>
          <w:iCs/>
          <w:lang w:val="fr-FR"/>
        </w:rPr>
        <w:t>ordonnance du 26 septembre 1991, C.I.J. Recueil 1991</w:t>
      </w:r>
      <w:r w:rsidRPr="001448A7">
        <w:rPr>
          <w:lang w:val="fr-FR"/>
        </w:rPr>
        <w:t>, p. 47.</w:t>
      </w:r>
    </w:p>
  </w:footnote>
  <w:footnote w:id="320">
    <w:p w14:paraId="7F0CC348" w14:textId="7CC8471A"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Cs/>
          <w:szCs w:val="18"/>
          <w:lang w:val="fr-FR"/>
        </w:rPr>
        <w:tab/>
      </w:r>
      <w:r w:rsidRPr="00E9227E">
        <w:rPr>
          <w:rStyle w:val="Appelnotedebasdep"/>
        </w:rPr>
        <w:footnoteRef/>
      </w:r>
      <w:r w:rsidRPr="001448A7">
        <w:rPr>
          <w:lang w:val="fr-FR"/>
        </w:rPr>
        <w:tab/>
      </w:r>
      <w:r w:rsidRPr="001448A7">
        <w:rPr>
          <w:i/>
          <w:iCs/>
          <w:lang w:val="fr-FR"/>
        </w:rPr>
        <w:t>Détroit de Corfou</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_Ref172534363 \h </w:instrText>
      </w:r>
      <w:r>
        <w:rPr>
          <w:lang w:val="fr-FR"/>
        </w:rPr>
        <w:instrText xml:space="preserve"> \* MERGEFORMAT </w:instrText>
      </w:r>
      <w:r w:rsidRPr="001448A7">
        <w:rPr>
          <w:lang w:val="fr-FR"/>
        </w:rPr>
      </w:r>
      <w:r w:rsidRPr="001448A7">
        <w:rPr>
          <w:lang w:val="fr-FR"/>
        </w:rPr>
        <w:fldChar w:fldCharType="separate"/>
      </w:r>
      <w:r w:rsidR="00EC4FDE">
        <w:rPr>
          <w:lang w:val="fr-FR"/>
        </w:rPr>
        <w:t>5</w:t>
      </w:r>
      <w:r w:rsidRPr="001448A7">
        <w:rPr>
          <w:lang w:val="fr-FR"/>
        </w:rPr>
        <w:fldChar w:fldCharType="end"/>
      </w:r>
      <w:r w:rsidRPr="001448A7">
        <w:rPr>
          <w:lang w:val="fr-FR"/>
        </w:rPr>
        <w:t>), p. 248 (« Il suffit que, par les voies qu</w:t>
      </w:r>
      <w:r w:rsidR="004937A0">
        <w:rPr>
          <w:lang w:val="fr-FR"/>
        </w:rPr>
        <w:t>’</w:t>
      </w:r>
      <w:r w:rsidRPr="001448A7">
        <w:rPr>
          <w:lang w:val="fr-FR"/>
        </w:rPr>
        <w:t xml:space="preserve">elle estime appropriées, la Cour acquière la conviction que ces conclusions sont fondées. ») et p. 249 (« La Cour considère le chiffre produit par le Gouvernement du Royaume-Uni comme raisonnable et sa réclamation comme fondée. »). </w:t>
      </w:r>
    </w:p>
  </w:footnote>
  <w:footnote w:id="321">
    <w:p w14:paraId="27AC9299"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Troisième rapport sur la responsabilité des États, par M. James Crawford, Rapporteur spécial, </w:t>
      </w:r>
      <w:r w:rsidRPr="001448A7">
        <w:rPr>
          <w:i/>
          <w:iCs/>
          <w:lang w:val="fr-FR"/>
        </w:rPr>
        <w:t>Annuaire ... 2000</w:t>
      </w:r>
      <w:r w:rsidRPr="001448A7">
        <w:rPr>
          <w:lang w:val="fr-FR"/>
        </w:rPr>
        <w:t>, vol. II (1</w:t>
      </w:r>
      <w:r w:rsidRPr="001448A7">
        <w:rPr>
          <w:vertAlign w:val="superscript"/>
          <w:lang w:val="fr-FR"/>
        </w:rPr>
        <w:t>re</w:t>
      </w:r>
      <w:r w:rsidRPr="001448A7">
        <w:rPr>
          <w:lang w:val="fr-FR"/>
        </w:rPr>
        <w:t xml:space="preserve"> partie), document </w:t>
      </w:r>
      <w:hyperlink r:id="rId193" w:history="1">
        <w:r w:rsidRPr="001448A7">
          <w:rPr>
            <w:rStyle w:val="Lienhypertexte"/>
            <w:lang w:val="fr-FR"/>
          </w:rPr>
          <w:t>A/CN.4/507</w:t>
        </w:r>
      </w:hyperlink>
      <w:r w:rsidRPr="001448A7">
        <w:rPr>
          <w:lang w:val="fr-FR"/>
        </w:rPr>
        <w:t xml:space="preserve"> et </w:t>
      </w:r>
      <w:hyperlink r:id="rId194" w:history="1">
        <w:r w:rsidRPr="001448A7">
          <w:rPr>
            <w:rStyle w:val="Lienhypertexte"/>
            <w:lang w:val="fr-FR"/>
          </w:rPr>
          <w:t>Add.1</w:t>
        </w:r>
      </w:hyperlink>
      <w:r w:rsidRPr="001448A7">
        <w:rPr>
          <w:lang w:val="fr-FR"/>
        </w:rPr>
        <w:t xml:space="preserve"> à 4, p. 48, par. 155. </w:t>
      </w:r>
    </w:p>
  </w:footnote>
  <w:footnote w:id="322">
    <w:p w14:paraId="2280D1B9" w14:textId="42199C2E"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w:t>
      </w:r>
      <w:r w:rsidR="004937A0">
        <w:rPr>
          <w:lang w:val="fr-FR"/>
        </w:rPr>
        <w:t>’</w:t>
      </w:r>
      <w:r w:rsidRPr="001448A7">
        <w:rPr>
          <w:lang w:val="fr-FR"/>
        </w:rPr>
        <w:t>article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 xml:space="preserve">e </w:t>
      </w:r>
      <w:r w:rsidRPr="001448A7">
        <w:rPr>
          <w:lang w:val="fr-FR"/>
        </w:rPr>
        <w:t xml:space="preserve">partie) et rectificatif, p. 105 et suiv. Voir aussi les articles 31, 34 et 38 et 39, ibid., p. 97 et suiv. </w:t>
      </w:r>
    </w:p>
  </w:footnote>
  <w:footnote w:id="323">
    <w:p w14:paraId="42FA6D64" w14:textId="199C85E3"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 xml:space="preserve">Application de la </w:t>
      </w:r>
      <w:r w:rsidR="003F311C" w:rsidRPr="001448A7">
        <w:rPr>
          <w:i/>
          <w:iCs/>
          <w:lang w:val="fr-FR"/>
        </w:rPr>
        <w:t>c</w:t>
      </w:r>
      <w:r w:rsidRPr="001448A7">
        <w:rPr>
          <w:i/>
          <w:iCs/>
          <w:lang w:val="fr-FR"/>
        </w:rPr>
        <w:t>onvention pour la prévention et la répression du crime de génocide (Bosnie</w:t>
      </w:r>
      <w:r w:rsidRPr="001448A7">
        <w:rPr>
          <w:i/>
          <w:iCs/>
          <w:lang w:val="fr-FR"/>
        </w:rPr>
        <w:noBreakHyphen/>
        <w:t>Herzégovine c. Serbie-et-Monténégro), arrêt, C.I.J. Recueil 2007</w:t>
      </w:r>
      <w:r w:rsidRPr="001448A7">
        <w:rPr>
          <w:lang w:val="fr-FR"/>
        </w:rPr>
        <w:t xml:space="preserve">, p. 43, aux pages 232 et 233, par. 460 ; </w:t>
      </w:r>
      <w:r w:rsidRPr="001448A7">
        <w:rPr>
          <w:i/>
          <w:iCs/>
          <w:lang w:val="fr-FR"/>
        </w:rPr>
        <w:t>Ahmadou Sadio Diallo (République de Guinée c. République démocratique du Congo), indemnisation, arrêt, C.I.J. Recueil 2012</w:t>
      </w:r>
      <w:r w:rsidRPr="001448A7">
        <w:rPr>
          <w:lang w:val="fr-FR"/>
        </w:rPr>
        <w:t>, p. 324, à la page 342, par. 49 ; Tribunal international du droit de la mer,</w:t>
      </w:r>
      <w:r w:rsidRPr="001448A7">
        <w:rPr>
          <w:i/>
          <w:iCs/>
          <w:lang w:val="fr-FR"/>
        </w:rPr>
        <w:t xml:space="preserve"> Navire « Norstar » (Panama c. Italie), arrêt, TIDM Recueil 2018-2019</w:t>
      </w:r>
      <w:r w:rsidRPr="001448A7">
        <w:rPr>
          <w:lang w:val="fr-FR"/>
        </w:rPr>
        <w:t>, p. 10, à la page 116, par. 431 ; Cour permanente d</w:t>
      </w:r>
      <w:r w:rsidR="004937A0">
        <w:rPr>
          <w:lang w:val="fr-FR"/>
        </w:rPr>
        <w:t>’</w:t>
      </w:r>
      <w:r w:rsidRPr="001448A7">
        <w:rPr>
          <w:lang w:val="fr-FR"/>
        </w:rPr>
        <w:t xml:space="preserve">arbitrage, </w:t>
      </w:r>
      <w:r w:rsidRPr="001448A7">
        <w:rPr>
          <w:i/>
          <w:iCs/>
          <w:lang w:val="fr-FR"/>
        </w:rPr>
        <w:t>Incident de l</w:t>
      </w:r>
      <w:r w:rsidR="004937A0">
        <w:rPr>
          <w:i/>
          <w:iCs/>
          <w:lang w:val="fr-FR"/>
        </w:rPr>
        <w:t>’</w:t>
      </w:r>
      <w:r w:rsidRPr="001448A7">
        <w:rPr>
          <w:i/>
          <w:iCs/>
          <w:lang w:val="fr-FR"/>
        </w:rPr>
        <w:t>« Enrica Lexie » (Italie c. Inde), affaire n</w:t>
      </w:r>
      <w:r w:rsidRPr="001448A7">
        <w:rPr>
          <w:i/>
          <w:iCs/>
          <w:vertAlign w:val="superscript"/>
          <w:lang w:val="fr-FR"/>
        </w:rPr>
        <w:t>o</w:t>
      </w:r>
      <w:r w:rsidRPr="001448A7">
        <w:rPr>
          <w:i/>
          <w:iCs/>
          <w:lang w:val="fr-FR"/>
        </w:rPr>
        <w:t> 2015-28, sentence du 21 mai 2020</w:t>
      </w:r>
      <w:r w:rsidRPr="001448A7">
        <w:rPr>
          <w:lang w:val="fr-FR"/>
        </w:rPr>
        <w:t>, p. 305, par. 1087, note 1934.</w:t>
      </w:r>
    </w:p>
  </w:footnote>
  <w:footnote w:id="324">
    <w:p w14:paraId="1C435E3C" w14:textId="708DE28E"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troisième rapport sur la responsabilité des États, par M. James Crawford, Rapporteur spécial, </w:t>
      </w:r>
      <w:r w:rsidRPr="001448A7">
        <w:rPr>
          <w:i/>
          <w:iCs/>
          <w:lang w:val="fr-FR"/>
        </w:rPr>
        <w:t>Annuaire ... 2000</w:t>
      </w:r>
      <w:r w:rsidRPr="001448A7">
        <w:rPr>
          <w:lang w:val="fr-FR"/>
        </w:rPr>
        <w:t>, vol. II (1</w:t>
      </w:r>
      <w:r w:rsidRPr="001448A7">
        <w:rPr>
          <w:vertAlign w:val="superscript"/>
          <w:lang w:val="fr-FR"/>
        </w:rPr>
        <w:t>re</w:t>
      </w:r>
      <w:r w:rsidRPr="001448A7">
        <w:rPr>
          <w:lang w:val="fr-FR"/>
        </w:rPr>
        <w:t xml:space="preserve"> partie), document </w:t>
      </w:r>
      <w:hyperlink r:id="rId195" w:history="1">
        <w:r w:rsidRPr="001448A7">
          <w:rPr>
            <w:rStyle w:val="Lienhypertexte"/>
            <w:lang w:val="fr-FR"/>
          </w:rPr>
          <w:t>A/CN.4/507</w:t>
        </w:r>
      </w:hyperlink>
      <w:r w:rsidRPr="001448A7">
        <w:rPr>
          <w:lang w:val="fr-FR"/>
        </w:rPr>
        <w:t xml:space="preserve"> et </w:t>
      </w:r>
      <w:hyperlink r:id="rId196" w:history="1">
        <w:r w:rsidRPr="001448A7">
          <w:rPr>
            <w:rStyle w:val="Lienhypertexte"/>
            <w:lang w:val="fr-FR"/>
          </w:rPr>
          <w:t>Add.1</w:t>
        </w:r>
      </w:hyperlink>
      <w:r w:rsidRPr="001448A7">
        <w:rPr>
          <w:lang w:val="fr-FR"/>
        </w:rPr>
        <w:t xml:space="preserve"> à 4, p. 54 et 55 , par. 158 à 160. Voir aussi le deuxième rapport sur la responsabilité des États, par M. Gaetano Arangio-Ruiz, Rapporteur spécial, </w:t>
      </w:r>
      <w:r w:rsidRPr="001448A7">
        <w:rPr>
          <w:i/>
          <w:iCs/>
          <w:lang w:val="fr-FR"/>
        </w:rPr>
        <w:t>Annuaire ... 1989</w:t>
      </w:r>
      <w:r w:rsidRPr="001448A7">
        <w:rPr>
          <w:lang w:val="fr-FR"/>
        </w:rPr>
        <w:t>, vol. II (1</w:t>
      </w:r>
      <w:r w:rsidRPr="001448A7">
        <w:rPr>
          <w:vertAlign w:val="superscript"/>
          <w:lang w:val="fr-FR"/>
        </w:rPr>
        <w:t>re</w:t>
      </w:r>
      <w:r w:rsidRPr="001448A7">
        <w:rPr>
          <w:lang w:val="fr-FR"/>
        </w:rPr>
        <w:t xml:space="preserve"> partie), document </w:t>
      </w:r>
      <w:hyperlink r:id="rId197" w:history="1">
        <w:r w:rsidRPr="001448A7">
          <w:rPr>
            <w:rStyle w:val="Lienhypertexte"/>
            <w:lang w:val="fr-FR"/>
          </w:rPr>
          <w:t>A/CN.4/425</w:t>
        </w:r>
      </w:hyperlink>
      <w:r w:rsidRPr="001448A7">
        <w:rPr>
          <w:lang w:val="fr-FR"/>
        </w:rPr>
        <w:t xml:space="preserve"> et </w:t>
      </w:r>
      <w:hyperlink r:id="rId198" w:history="1">
        <w:r w:rsidRPr="001448A7">
          <w:rPr>
            <w:rStyle w:val="Lienhypertexte"/>
            <w:lang w:val="fr-FR"/>
          </w:rPr>
          <w:t>Add.1</w:t>
        </w:r>
      </w:hyperlink>
      <w:r w:rsidRPr="001448A7">
        <w:rPr>
          <w:lang w:val="fr-FR"/>
        </w:rPr>
        <w:t>, chap. II, p. 8 et suiv. ; l</w:t>
      </w:r>
      <w:r w:rsidR="004937A0">
        <w:rPr>
          <w:lang w:val="fr-FR"/>
        </w:rPr>
        <w:t>’</w:t>
      </w:r>
      <w:r w:rsidRPr="001448A7">
        <w:rPr>
          <w:lang w:val="fr-FR"/>
        </w:rPr>
        <w:t>article 44 du projet d</w:t>
      </w:r>
      <w:r w:rsidR="004937A0">
        <w:rPr>
          <w:lang w:val="fr-FR"/>
        </w:rPr>
        <w:t>’</w:t>
      </w:r>
      <w:r w:rsidRPr="001448A7">
        <w:rPr>
          <w:lang w:val="fr-FR"/>
        </w:rPr>
        <w:t xml:space="preserve">articles sur la responsabilité des États, </w:t>
      </w:r>
      <w:r w:rsidRPr="001448A7">
        <w:rPr>
          <w:i/>
          <w:iCs/>
          <w:lang w:val="fr-FR"/>
        </w:rPr>
        <w:t>Annuaire ... 1996</w:t>
      </w:r>
      <w:r w:rsidRPr="001448A7">
        <w:rPr>
          <w:lang w:val="fr-FR"/>
        </w:rPr>
        <w:t>, vol. II (2</w:t>
      </w:r>
      <w:r w:rsidRPr="001448A7">
        <w:rPr>
          <w:vertAlign w:val="superscript"/>
          <w:lang w:val="fr-FR"/>
        </w:rPr>
        <w:t>e</w:t>
      </w:r>
      <w:r w:rsidRPr="001448A7">
        <w:rPr>
          <w:lang w:val="fr-FR"/>
        </w:rPr>
        <w:t xml:space="preserve"> partie), p. 67.</w:t>
      </w:r>
    </w:p>
  </w:footnote>
  <w:footnote w:id="325">
    <w:p w14:paraId="5F82F385" w14:textId="63988481"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105 et suiv., art. 36. L</w:t>
      </w:r>
      <w:r w:rsidR="004937A0">
        <w:rPr>
          <w:lang w:val="fr-FR"/>
        </w:rPr>
        <w:t>’</w:t>
      </w:r>
      <w:r w:rsidRPr="001448A7">
        <w:rPr>
          <w:lang w:val="fr-FR"/>
        </w:rPr>
        <w:t>intitulé du sujet s</w:t>
      </w:r>
      <w:r w:rsidR="004937A0">
        <w:rPr>
          <w:lang w:val="fr-FR"/>
        </w:rPr>
        <w:t>’</w:t>
      </w:r>
      <w:r w:rsidRPr="001448A7">
        <w:rPr>
          <w:lang w:val="fr-FR"/>
        </w:rPr>
        <w:t>inspire du paragraphe 1 du projet d</w:t>
      </w:r>
      <w:r w:rsidR="004937A0">
        <w:rPr>
          <w:lang w:val="fr-FR"/>
        </w:rPr>
        <w:t>’</w:t>
      </w:r>
      <w:r w:rsidRPr="001448A7">
        <w:rPr>
          <w:lang w:val="fr-FR"/>
        </w:rPr>
        <w:t>article 36.</w:t>
      </w:r>
    </w:p>
  </w:footnote>
  <w:footnote w:id="326">
    <w:p w14:paraId="3DC51959"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Ibid., p. 105 à 113.</w:t>
      </w:r>
    </w:p>
  </w:footnote>
  <w:footnote w:id="327">
    <w:p w14:paraId="4D6A319D" w14:textId="7604E749" w:rsidR="005D2955" w:rsidRPr="001448A7" w:rsidRDefault="005D2955" w:rsidP="00E9227E">
      <w:pPr>
        <w:pStyle w:val="Notedebasdepage"/>
        <w:rPr>
          <w:rFonts w:asciiTheme="majorBidi" w:eastAsia="Calibri" w:hAnsiTheme="majorBidi" w:cstheme="majorBidi"/>
          <w:caps/>
          <w:szCs w:val="18"/>
          <w:lang w:val="en-US"/>
        </w:rPr>
      </w:pPr>
      <w:r w:rsidRPr="001448A7">
        <w:rPr>
          <w:rFonts w:asciiTheme="majorBidi" w:hAnsiTheme="majorBidi" w:cstheme="majorBidi"/>
          <w:szCs w:val="18"/>
          <w:lang w:val="fr-FR"/>
        </w:rPr>
        <w:tab/>
      </w:r>
      <w:r w:rsidRPr="00E9227E">
        <w:rPr>
          <w:rStyle w:val="Appelnotedebasdep"/>
        </w:rPr>
        <w:footnoteRef/>
      </w:r>
      <w:r w:rsidRPr="001448A7">
        <w:rPr>
          <w:lang w:val="en-US"/>
        </w:rPr>
        <w:tab/>
        <w:t xml:space="preserve">R. Higgins, « Overview of Part Two of the articles on State responsibility », dans J. Crawford </w:t>
      </w:r>
      <w:r w:rsidRPr="001448A7">
        <w:rPr>
          <w:i/>
          <w:iCs/>
          <w:lang w:val="en-US"/>
        </w:rPr>
        <w:t>et al.</w:t>
      </w:r>
      <w:r w:rsidRPr="001448A7">
        <w:rPr>
          <w:lang w:val="en-US"/>
        </w:rPr>
        <w:t xml:space="preserve"> (dir. publ.), </w:t>
      </w:r>
      <w:r w:rsidRPr="001448A7">
        <w:rPr>
          <w:i/>
          <w:iCs/>
          <w:lang w:val="en-US"/>
        </w:rPr>
        <w:t>The Law of International Responsibility</w:t>
      </w:r>
      <w:r w:rsidRPr="001448A7">
        <w:rPr>
          <w:lang w:val="en-US"/>
        </w:rPr>
        <w:t xml:space="preserve">, Oxford University Press, 2010, p. 537 à 544, à la page 539. Voir aussi D. Shelton, « Righting wrongs: reparations in the articles on State responsibility », </w:t>
      </w:r>
      <w:r w:rsidRPr="001448A7">
        <w:rPr>
          <w:i/>
          <w:iCs/>
          <w:lang w:val="en-US"/>
        </w:rPr>
        <w:t>American Journal of International Law</w:t>
      </w:r>
      <w:r w:rsidRPr="001448A7">
        <w:rPr>
          <w:lang w:val="en-US"/>
        </w:rPr>
        <w:t>, vol. 96, n</w:t>
      </w:r>
      <w:r w:rsidRPr="001448A7">
        <w:rPr>
          <w:vertAlign w:val="superscript"/>
          <w:lang w:val="en-US"/>
        </w:rPr>
        <w:t>o</w:t>
      </w:r>
      <w:r w:rsidRPr="001448A7">
        <w:rPr>
          <w:lang w:val="en-US"/>
        </w:rPr>
        <w:t xml:space="preserve"> 4 (octobre 2002), p. 833 à 856 ; C. Gray, « Remedies », dans C. P. R. Romano, K. J. Alter et Y. Shany (dir. publ.), </w:t>
      </w:r>
      <w:r w:rsidRPr="001448A7">
        <w:rPr>
          <w:i/>
          <w:iCs/>
          <w:lang w:val="en-US"/>
        </w:rPr>
        <w:t>The Oxford Handbook of International Adjudication</w:t>
      </w:r>
      <w:r w:rsidRPr="001448A7">
        <w:rPr>
          <w:lang w:val="en-US"/>
        </w:rPr>
        <w:t xml:space="preserve">, Oxford University Press, 2014, p. 871, 873 et 881. </w:t>
      </w:r>
    </w:p>
  </w:footnote>
  <w:footnote w:id="328">
    <w:p w14:paraId="7DFE3C68" w14:textId="354998E5"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en-US"/>
        </w:rPr>
        <w:tab/>
      </w:r>
      <w:r w:rsidRPr="00E9227E">
        <w:rPr>
          <w:rStyle w:val="Appelnotedebasdep"/>
        </w:rPr>
        <w:footnoteRef/>
      </w:r>
      <w:r w:rsidRPr="001448A7">
        <w:rPr>
          <w:lang w:val="fr-FR"/>
        </w:rPr>
        <w:tab/>
        <w:t>Document de travail établi par le Secrétariat sur le programme de travail à long terme : sujets dont la Commission pourrait entreprendre l</w:t>
      </w:r>
      <w:r w:rsidR="004937A0">
        <w:rPr>
          <w:lang w:val="fr-FR"/>
        </w:rPr>
        <w:t>’</w:t>
      </w:r>
      <w:r w:rsidRPr="001448A7">
        <w:rPr>
          <w:lang w:val="fr-FR"/>
        </w:rPr>
        <w:t>étude, compte tenu de l</w:t>
      </w:r>
      <w:r w:rsidR="004937A0">
        <w:rPr>
          <w:lang w:val="fr-FR"/>
        </w:rPr>
        <w:t>’</w:t>
      </w:r>
      <w:r w:rsidRPr="001448A7">
        <w:rPr>
          <w:lang w:val="fr-FR"/>
        </w:rPr>
        <w:t>examen de la liste des sujets établie en 1996 à la lumière des faits survenus ultérieurement (</w:t>
      </w:r>
      <w:hyperlink r:id="rId199" w:history="1">
        <w:r w:rsidRPr="001448A7">
          <w:rPr>
            <w:rStyle w:val="Lienhypertexte"/>
            <w:lang w:val="fr-FR"/>
          </w:rPr>
          <w:t>A/CN.4/679/Add.1</w:t>
        </w:r>
      </w:hyperlink>
      <w:r w:rsidRPr="001448A7">
        <w:rPr>
          <w:lang w:val="fr-FR"/>
        </w:rPr>
        <w:t>), par. 36.</w:t>
      </w:r>
    </w:p>
  </w:footnote>
  <w:footnote w:id="329">
    <w:p w14:paraId="1D6062F6" w14:textId="77777777"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Tribunal des réclamations Iran-États-Unis, </w:t>
      </w:r>
      <w:r w:rsidRPr="001448A7">
        <w:rPr>
          <w:i/>
          <w:iCs/>
          <w:lang w:val="fr-FR"/>
        </w:rPr>
        <w:t>The Islamic Republic of Iran v. the United States of America</w:t>
      </w:r>
      <w:r w:rsidRPr="001448A7">
        <w:rPr>
          <w:lang w:val="fr-FR"/>
        </w:rPr>
        <w:t xml:space="preserve">, </w:t>
      </w:r>
      <w:r w:rsidRPr="001448A7">
        <w:rPr>
          <w:i/>
          <w:iCs/>
          <w:lang w:val="fr-FR"/>
        </w:rPr>
        <w:t>affaires n</w:t>
      </w:r>
      <w:r w:rsidRPr="001448A7">
        <w:rPr>
          <w:i/>
          <w:iCs/>
          <w:vertAlign w:val="superscript"/>
          <w:lang w:val="fr-FR"/>
        </w:rPr>
        <w:t>os</w:t>
      </w:r>
      <w:r w:rsidRPr="001448A7">
        <w:rPr>
          <w:i/>
          <w:iCs/>
          <w:lang w:val="fr-FR"/>
        </w:rPr>
        <w:t xml:space="preserve"> A15 (IV) et A24, sentence finale n</w:t>
      </w:r>
      <w:r w:rsidRPr="001448A7">
        <w:rPr>
          <w:i/>
          <w:iCs/>
          <w:vertAlign w:val="superscript"/>
          <w:lang w:val="fr-FR"/>
        </w:rPr>
        <w:t>o</w:t>
      </w:r>
      <w:r w:rsidRPr="001448A7">
        <w:rPr>
          <w:i/>
          <w:iCs/>
          <w:lang w:val="fr-FR"/>
        </w:rPr>
        <w:t xml:space="preserve"> 602-A15(IV)/A24-FT du 2 juillet 2014</w:t>
      </w:r>
      <w:r w:rsidRPr="001448A7">
        <w:rPr>
          <w:lang w:val="fr-FR"/>
        </w:rPr>
        <w:t xml:space="preserve">, p. 23 à 25, par. 51 et 52, et p. 37 et 38, par. 93 ; Tribunal des réclamations Iran-États-Unis, </w:t>
      </w:r>
      <w:r w:rsidRPr="001448A7">
        <w:rPr>
          <w:i/>
          <w:iCs/>
          <w:lang w:val="fr-FR"/>
        </w:rPr>
        <w:t>The Islamic Republic of Iran v. the United States of America</w:t>
      </w:r>
      <w:r w:rsidRPr="001448A7">
        <w:rPr>
          <w:lang w:val="fr-FR"/>
        </w:rPr>
        <w:t xml:space="preserve">, </w:t>
      </w:r>
      <w:r w:rsidRPr="001448A7">
        <w:rPr>
          <w:i/>
          <w:iCs/>
          <w:lang w:val="fr-FR"/>
        </w:rPr>
        <w:t>affaires n</w:t>
      </w:r>
      <w:r w:rsidRPr="001448A7">
        <w:rPr>
          <w:i/>
          <w:iCs/>
          <w:vertAlign w:val="superscript"/>
          <w:lang w:val="fr-FR"/>
        </w:rPr>
        <w:t>os</w:t>
      </w:r>
      <w:r w:rsidRPr="001448A7">
        <w:rPr>
          <w:i/>
          <w:iCs/>
          <w:lang w:val="fr-FR"/>
        </w:rPr>
        <w:t xml:space="preserve"> A15 (II:A), A26 (IV) et B43, sentence partielle n</w:t>
      </w:r>
      <w:r w:rsidRPr="001448A7">
        <w:rPr>
          <w:i/>
          <w:iCs/>
          <w:vertAlign w:val="superscript"/>
          <w:lang w:val="fr-FR"/>
        </w:rPr>
        <w:t>o</w:t>
      </w:r>
      <w:r w:rsidRPr="001448A7">
        <w:rPr>
          <w:i/>
          <w:iCs/>
          <w:lang w:val="fr-FR"/>
        </w:rPr>
        <w:t xml:space="preserve"> 604-A15 (II:A)/A26 (IV)/B43-FT du 10 mars 2020</w:t>
      </w:r>
      <w:r w:rsidRPr="001448A7">
        <w:rPr>
          <w:lang w:val="fr-FR"/>
        </w:rPr>
        <w:t>, p. 459 à 460, par. 1793 et 1795.</w:t>
      </w:r>
    </w:p>
  </w:footnote>
  <w:footnote w:id="330">
    <w:p w14:paraId="15C1308A" w14:textId="1FDC9108"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szCs w:val="18"/>
          <w:lang w:val="fr-FR"/>
        </w:rPr>
        <w:tab/>
      </w:r>
      <w:r w:rsidRPr="00E9227E">
        <w:rPr>
          <w:rStyle w:val="Appelnotedebasdep"/>
        </w:rPr>
        <w:footnoteRef/>
      </w:r>
      <w:r w:rsidRPr="001448A7">
        <w:rPr>
          <w:lang w:val="en-US"/>
        </w:rPr>
        <w:tab/>
        <w:t xml:space="preserve">Organisation des Nations Unies, </w:t>
      </w:r>
      <w:r w:rsidRPr="001448A7">
        <w:rPr>
          <w:i/>
          <w:iCs/>
          <w:lang w:val="en-US"/>
        </w:rPr>
        <w:t>Materials on the Responsibility of States for Internationally Wrongful Acts</w:t>
      </w:r>
      <w:r w:rsidRPr="001448A7">
        <w:rPr>
          <w:lang w:val="en-US"/>
        </w:rPr>
        <w:t>, 2</w:t>
      </w:r>
      <w:r w:rsidRPr="001448A7">
        <w:rPr>
          <w:vertAlign w:val="superscript"/>
          <w:lang w:val="en-US"/>
        </w:rPr>
        <w:t>e</w:t>
      </w:r>
      <w:r w:rsidRPr="001448A7">
        <w:rPr>
          <w:lang w:val="en-US"/>
        </w:rPr>
        <w:t xml:space="preserve"> éd. </w:t>
      </w:r>
      <w:r w:rsidRPr="001448A7">
        <w:rPr>
          <w:lang w:val="fr-FR"/>
        </w:rPr>
        <w:t>(publication des Nations Unies, numéro de vente</w:t>
      </w:r>
      <w:r w:rsidR="00827FD1">
        <w:rPr>
          <w:lang w:val="fr-FR"/>
        </w:rPr>
        <w:t> </w:t>
      </w:r>
      <w:r w:rsidRPr="001448A7">
        <w:rPr>
          <w:lang w:val="fr-FR"/>
        </w:rPr>
        <w:t xml:space="preserve">: E.23V.36), 2023, p. 396 à 414. </w:t>
      </w:r>
    </w:p>
  </w:footnote>
  <w:footnote w:id="331">
    <w:p w14:paraId="2F6FE850" w14:textId="3F8A524B"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r>
      <w:r w:rsidRPr="001448A7">
        <w:rPr>
          <w:i/>
          <w:iCs/>
          <w:lang w:val="fr-FR"/>
        </w:rPr>
        <w:t xml:space="preserve">Ahmadou Sadio Diallo, indemnisation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w:t>
      </w:r>
    </w:p>
  </w:footnote>
  <w:footnote w:id="332">
    <w:p w14:paraId="73301828"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r>
      <w:r w:rsidRPr="001448A7">
        <w:rPr>
          <w:i/>
          <w:iCs/>
          <w:lang w:val="fr-FR"/>
        </w:rPr>
        <w:t>Certaines activités menées par le Nicaragua dans la région frontalière (Costa Rica c. Nicaragua)</w:t>
      </w:r>
      <w:r w:rsidRPr="001448A7">
        <w:rPr>
          <w:lang w:val="fr-FR"/>
        </w:rPr>
        <w:t xml:space="preserve">, </w:t>
      </w:r>
      <w:r w:rsidRPr="001448A7">
        <w:rPr>
          <w:i/>
          <w:iCs/>
          <w:lang w:val="fr-FR"/>
        </w:rPr>
        <w:t>indemnisation, arrêt, C.I.J. Recueil 2018</w:t>
      </w:r>
      <w:r w:rsidRPr="001448A7">
        <w:rPr>
          <w:lang w:val="fr-FR"/>
        </w:rPr>
        <w:t>, p. 15.</w:t>
      </w:r>
    </w:p>
  </w:footnote>
  <w:footnote w:id="333">
    <w:p w14:paraId="171BA13B"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Activités armées sur le territoire du Congo (République démocratique du Congo c. Ouganda), réparations, arrêt, C.I.J. Recueil 2022</w:t>
      </w:r>
      <w:r w:rsidRPr="001448A7">
        <w:rPr>
          <w:lang w:val="fr-FR"/>
        </w:rPr>
        <w:t>, p. 13.</w:t>
      </w:r>
    </w:p>
  </w:footnote>
  <w:footnote w:id="334">
    <w:p w14:paraId="1A052116" w14:textId="351A094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Certains actifs iraniens (République islamique d</w:t>
      </w:r>
      <w:r w:rsidR="004937A0">
        <w:rPr>
          <w:i/>
          <w:iCs/>
          <w:lang w:val="fr-FR"/>
        </w:rPr>
        <w:t>’</w:t>
      </w:r>
      <w:r w:rsidRPr="001448A7">
        <w:rPr>
          <w:i/>
          <w:iCs/>
          <w:lang w:val="fr-FR"/>
        </w:rPr>
        <w:t>Iran c. États-Unis d</w:t>
      </w:r>
      <w:r w:rsidR="004937A0">
        <w:rPr>
          <w:i/>
          <w:iCs/>
          <w:lang w:val="fr-FR"/>
        </w:rPr>
        <w:t>’</w:t>
      </w:r>
      <w:r w:rsidRPr="001448A7">
        <w:rPr>
          <w:i/>
          <w:iCs/>
          <w:lang w:val="fr-FR"/>
        </w:rPr>
        <w:t>Amérique), arrêt du 30 mars 2023</w:t>
      </w:r>
      <w:r w:rsidRPr="001448A7">
        <w:rPr>
          <w:lang w:val="fr-FR"/>
        </w:rPr>
        <w:t>, par. 231, disponible sur le site Web de la Cour internationale de Justice (</w:t>
      </w:r>
      <w:hyperlink r:id="rId200" w:history="1">
        <w:r w:rsidRPr="001448A7">
          <w:rPr>
            <w:rStyle w:val="Lienhypertexte"/>
            <w:lang w:val="fr-FR"/>
          </w:rPr>
          <w:t>https://www.icj-cij.org</w:t>
        </w:r>
      </w:hyperlink>
      <w:r w:rsidRPr="001448A7">
        <w:rPr>
          <w:lang w:val="fr-FR"/>
        </w:rPr>
        <w:t>), dans l</w:t>
      </w:r>
      <w:r w:rsidR="004937A0">
        <w:rPr>
          <w:lang w:val="fr-FR"/>
        </w:rPr>
        <w:t>’</w:t>
      </w:r>
      <w:r w:rsidRPr="001448A7">
        <w:rPr>
          <w:lang w:val="fr-FR"/>
        </w:rPr>
        <w:t>onglet Affaires. Voir aussi les procédures récemment engagées aux fins d</w:t>
      </w:r>
      <w:r w:rsidR="004937A0">
        <w:rPr>
          <w:lang w:val="fr-FR"/>
        </w:rPr>
        <w:t>’</w:t>
      </w:r>
      <w:r w:rsidRPr="001448A7">
        <w:rPr>
          <w:lang w:val="fr-FR"/>
        </w:rPr>
        <w:t>indemnisation, mentionnées dans la note </w:t>
      </w:r>
      <w:r w:rsidRPr="001448A7">
        <w:rPr>
          <w:lang w:val="fr-FR"/>
        </w:rPr>
        <w:fldChar w:fldCharType="begin"/>
      </w:r>
      <w:r w:rsidRPr="001448A7">
        <w:rPr>
          <w:lang w:val="fr-FR"/>
        </w:rPr>
        <w:instrText xml:space="preserve"> NOTEREF _Ref172535188 \h </w:instrText>
      </w:r>
      <w:r>
        <w:rPr>
          <w:lang w:val="fr-FR"/>
        </w:rPr>
        <w:instrText xml:space="preserve"> \* MERGEFORMAT </w:instrText>
      </w:r>
      <w:r w:rsidRPr="001448A7">
        <w:rPr>
          <w:lang w:val="fr-FR"/>
        </w:rPr>
      </w:r>
      <w:r w:rsidRPr="001448A7">
        <w:rPr>
          <w:lang w:val="fr-FR"/>
        </w:rPr>
        <w:fldChar w:fldCharType="separate"/>
      </w:r>
      <w:r w:rsidR="00EC4FDE">
        <w:rPr>
          <w:lang w:val="fr-FR"/>
        </w:rPr>
        <w:t>87</w:t>
      </w:r>
      <w:r w:rsidRPr="001448A7">
        <w:rPr>
          <w:lang w:val="fr-FR"/>
        </w:rPr>
        <w:fldChar w:fldCharType="end"/>
      </w:r>
      <w:r w:rsidRPr="001448A7">
        <w:rPr>
          <w:lang w:val="fr-FR"/>
        </w:rPr>
        <w:t xml:space="preserve"> </w:t>
      </w:r>
      <w:r w:rsidRPr="001448A7">
        <w:rPr>
          <w:i/>
          <w:iCs/>
          <w:lang w:val="fr-FR"/>
        </w:rPr>
        <w:t>infra</w:t>
      </w:r>
      <w:r w:rsidRPr="001448A7">
        <w:rPr>
          <w:lang w:val="fr-FR"/>
        </w:rPr>
        <w:t>.</w:t>
      </w:r>
    </w:p>
  </w:footnote>
  <w:footnote w:id="335">
    <w:p w14:paraId="51D31BDD" w14:textId="110C6A1F"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Tribunal international du droit de la mer, </w:t>
      </w:r>
      <w:r w:rsidRPr="001448A7">
        <w:rPr>
          <w:i/>
          <w:iCs/>
          <w:lang w:val="fr-FR"/>
        </w:rPr>
        <w:t>Navire « Virginia G » (Panama/Guinée-Bissau), affaire n</w:t>
      </w:r>
      <w:r w:rsidRPr="001448A7">
        <w:rPr>
          <w:i/>
          <w:iCs/>
          <w:vertAlign w:val="superscript"/>
          <w:lang w:val="fr-FR"/>
        </w:rPr>
        <w:t>o</w:t>
      </w:r>
      <w:r w:rsidRPr="001448A7">
        <w:rPr>
          <w:i/>
          <w:iCs/>
          <w:lang w:val="fr-FR"/>
        </w:rPr>
        <w:t> 19, arrêt du 14 avril 2014, TIDM Recueil 2014</w:t>
      </w:r>
      <w:r w:rsidRPr="001448A7">
        <w:rPr>
          <w:lang w:val="fr-FR"/>
        </w:rPr>
        <w:t xml:space="preserve"> ; </w:t>
      </w:r>
      <w:r w:rsidRPr="001448A7">
        <w:rPr>
          <w:i/>
          <w:iCs/>
          <w:lang w:val="fr-FR"/>
        </w:rPr>
        <w:t>Arctic Sunrise</w:t>
      </w:r>
      <w:r w:rsidRPr="001448A7">
        <w:rPr>
          <w:lang w:val="fr-FR"/>
        </w:rPr>
        <w:t>,</w:t>
      </w:r>
      <w:r w:rsidRPr="001448A7">
        <w:rPr>
          <w:i/>
          <w:iCs/>
          <w:lang w:val="fr-FR"/>
        </w:rPr>
        <w:t xml:space="preserve"> sentence sur l</w:t>
      </w:r>
      <w:r w:rsidR="004937A0">
        <w:rPr>
          <w:i/>
          <w:iCs/>
          <w:lang w:val="fr-FR"/>
        </w:rPr>
        <w:t>’</w:t>
      </w:r>
      <w:r w:rsidRPr="001448A7">
        <w:rPr>
          <w:i/>
          <w:iCs/>
          <w:lang w:val="fr-FR"/>
        </w:rPr>
        <w:t>indemnisation du 10 juillet 2017,</w:t>
      </w:r>
      <w:r w:rsidRPr="001448A7">
        <w:rPr>
          <w:lang w:val="fr-FR"/>
        </w:rPr>
        <w:t xml:space="preserve"> </w:t>
      </w:r>
      <w:r w:rsidRPr="001448A7">
        <w:rPr>
          <w:i/>
          <w:iCs/>
          <w:lang w:val="fr-FR"/>
        </w:rPr>
        <w:t>Recueil des sentences arbitrales</w:t>
      </w:r>
      <w:r w:rsidRPr="001448A7">
        <w:rPr>
          <w:lang w:val="fr-FR"/>
        </w:rPr>
        <w:t xml:space="preserve">, vol. XXXII, p. 183 à 353, à la page 317 ; </w:t>
      </w:r>
      <w:r w:rsidRPr="001448A7">
        <w:rPr>
          <w:i/>
          <w:iCs/>
          <w:lang w:val="fr-FR"/>
        </w:rPr>
        <w:t>Navire « Norstar » (Panama c. Italie)</w:t>
      </w:r>
      <w:r w:rsidRPr="001448A7">
        <w:rPr>
          <w:lang w:val="fr-FR"/>
        </w:rPr>
        <w:t>,</w:t>
      </w:r>
      <w:r w:rsidRPr="001448A7">
        <w:rPr>
          <w:i/>
          <w:iCs/>
          <w:lang w:val="fr-FR"/>
        </w:rPr>
        <w:t xml:space="preserve"> arrêt</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 Cour permanente d</w:t>
      </w:r>
      <w:r w:rsidR="004937A0">
        <w:rPr>
          <w:lang w:val="fr-FR"/>
        </w:rPr>
        <w:t>’</w:t>
      </w:r>
      <w:r w:rsidRPr="001448A7">
        <w:rPr>
          <w:lang w:val="fr-FR"/>
        </w:rPr>
        <w:t xml:space="preserve">arbitrage, </w:t>
      </w:r>
      <w:r w:rsidRPr="001448A7">
        <w:rPr>
          <w:i/>
          <w:iCs/>
          <w:lang w:val="fr-FR"/>
        </w:rPr>
        <w:t>Arbitrage Duzgit Integrity (Malte c. Sao Tomé-et-Principe)</w:t>
      </w:r>
      <w:r w:rsidRPr="001448A7">
        <w:rPr>
          <w:lang w:val="fr-FR"/>
        </w:rPr>
        <w:t xml:space="preserve">, </w:t>
      </w:r>
      <w:r w:rsidRPr="001448A7">
        <w:rPr>
          <w:i/>
          <w:iCs/>
          <w:lang w:val="fr-FR"/>
        </w:rPr>
        <w:t>affaire n</w:t>
      </w:r>
      <w:r w:rsidRPr="001448A7">
        <w:rPr>
          <w:i/>
          <w:iCs/>
          <w:vertAlign w:val="superscript"/>
          <w:lang w:val="fr-FR"/>
        </w:rPr>
        <w:t>o</w:t>
      </w:r>
      <w:r w:rsidRPr="001448A7">
        <w:rPr>
          <w:i/>
          <w:iCs/>
          <w:lang w:val="fr-FR"/>
        </w:rPr>
        <w:t xml:space="preserve"> 2014-07, sentence du 18 décembre 2019 sur la réparation</w:t>
      </w:r>
      <w:r w:rsidRPr="001448A7">
        <w:rPr>
          <w:lang w:val="fr-FR"/>
        </w:rPr>
        <w:t xml:space="preserve">, </w:t>
      </w:r>
      <w:r w:rsidRPr="001448A7">
        <w:rPr>
          <w:i/>
          <w:iCs/>
          <w:lang w:val="fr-FR"/>
        </w:rPr>
        <w:t>Oxford Reports on International Courts of General Jurisdiction</w:t>
      </w:r>
      <w:r w:rsidRPr="001448A7">
        <w:rPr>
          <w:lang w:val="fr-FR"/>
        </w:rPr>
        <w:t xml:space="preserve">, p. 535. Voir aussi la Convention des Nations Unies sur le droit de la mer (signée à Montego Bay le 10 décembre 1982 et entrée en vigueur le 16 novembre 1994), Nations Unies, </w:t>
      </w:r>
      <w:r w:rsidRPr="001448A7">
        <w:rPr>
          <w:i/>
          <w:iCs/>
          <w:lang w:val="fr-FR"/>
        </w:rPr>
        <w:t>Recueil des Traités</w:t>
      </w:r>
      <w:r w:rsidRPr="001448A7">
        <w:rPr>
          <w:lang w:val="fr-FR"/>
        </w:rPr>
        <w:t>, vol. 1833, n</w:t>
      </w:r>
      <w:r w:rsidRPr="001448A7">
        <w:rPr>
          <w:vertAlign w:val="superscript"/>
          <w:lang w:val="fr-FR"/>
        </w:rPr>
        <w:t>o</w:t>
      </w:r>
      <w:r w:rsidRPr="001448A7">
        <w:rPr>
          <w:lang w:val="fr-FR"/>
        </w:rPr>
        <w:t xml:space="preserve"> 31363, p. 3, à la page 494, art. 235, par. 3 ; Tribunal international du droit de la mer, </w:t>
      </w:r>
      <w:r w:rsidRPr="001448A7">
        <w:rPr>
          <w:i/>
          <w:iCs/>
          <w:lang w:val="fr-FR"/>
        </w:rPr>
        <w:t>Responsabilités et obligations des États dans le cadre d</w:t>
      </w:r>
      <w:r w:rsidR="004937A0">
        <w:rPr>
          <w:i/>
          <w:iCs/>
          <w:lang w:val="fr-FR"/>
        </w:rPr>
        <w:t>’</w:t>
      </w:r>
      <w:r w:rsidRPr="001448A7">
        <w:rPr>
          <w:i/>
          <w:iCs/>
          <w:lang w:val="fr-FR"/>
        </w:rPr>
        <w:t>activités menées dans la Zone</w:t>
      </w:r>
      <w:r w:rsidRPr="001448A7">
        <w:rPr>
          <w:lang w:val="fr-FR"/>
        </w:rPr>
        <w:t xml:space="preserve">, </w:t>
      </w:r>
      <w:r w:rsidRPr="001448A7">
        <w:rPr>
          <w:i/>
          <w:iCs/>
          <w:lang w:val="fr-FR"/>
        </w:rPr>
        <w:t>avis consultatif, 1</w:t>
      </w:r>
      <w:r w:rsidRPr="001448A7">
        <w:rPr>
          <w:i/>
          <w:iCs/>
          <w:vertAlign w:val="superscript"/>
          <w:lang w:val="fr-FR"/>
        </w:rPr>
        <w:t xml:space="preserve">er </w:t>
      </w:r>
      <w:r w:rsidRPr="001448A7">
        <w:rPr>
          <w:i/>
          <w:iCs/>
          <w:lang w:val="fr-FR"/>
        </w:rPr>
        <w:t>février 2011</w:t>
      </w:r>
      <w:r w:rsidRPr="001448A7">
        <w:rPr>
          <w:lang w:val="fr-FR"/>
        </w:rPr>
        <w:t xml:space="preserve">, </w:t>
      </w:r>
      <w:r w:rsidRPr="001448A7">
        <w:rPr>
          <w:i/>
          <w:iCs/>
          <w:lang w:val="fr-FR"/>
        </w:rPr>
        <w:t>TIDM Recueil 2011</w:t>
      </w:r>
      <w:r w:rsidRPr="001448A7">
        <w:rPr>
          <w:lang w:val="fr-FR"/>
        </w:rPr>
        <w:t xml:space="preserve">, p. 10, à la page 31, par. 67, et, par analogie, Tribunal international du droit de la mer, </w:t>
      </w:r>
      <w:r w:rsidRPr="001448A7">
        <w:rPr>
          <w:i/>
          <w:iCs/>
          <w:lang w:val="fr-FR"/>
        </w:rPr>
        <w:t>« Hoshinmaru » (Japon c. Fédération de Russie), prompte mainlevée, arrêt,</w:t>
      </w:r>
      <w:r w:rsidRPr="001448A7">
        <w:rPr>
          <w:lang w:val="fr-FR"/>
        </w:rPr>
        <w:t xml:space="preserve"> </w:t>
      </w:r>
      <w:r w:rsidRPr="001448A7">
        <w:rPr>
          <w:i/>
          <w:iCs/>
          <w:lang w:val="fr-FR"/>
        </w:rPr>
        <w:t>TIDM Recueil 2005-2007</w:t>
      </w:r>
      <w:r w:rsidRPr="001448A7">
        <w:rPr>
          <w:lang w:val="fr-FR"/>
        </w:rPr>
        <w:t>, p. 18, à la page 45, par. 82 (« le caractère raisonnable de la caution »).</w:t>
      </w:r>
    </w:p>
  </w:footnote>
  <w:footnote w:id="336">
    <w:p w14:paraId="2AE0C314" w14:textId="7F20652D" w:rsidR="005D2955" w:rsidRPr="001448A7" w:rsidRDefault="005D2955" w:rsidP="00E9227E">
      <w:pPr>
        <w:pStyle w:val="Notedebasdepage"/>
        <w:rPr>
          <w:rFonts w:asciiTheme="majorBidi" w:hAnsiTheme="majorBidi" w:cstheme="majorBidi"/>
          <w:b/>
          <w:bCs/>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Cour européenne des droits de l</w:t>
      </w:r>
      <w:r w:rsidR="004937A0">
        <w:rPr>
          <w:lang w:val="fr-FR"/>
        </w:rPr>
        <w:t>’</w:t>
      </w:r>
      <w:r w:rsidRPr="001448A7">
        <w:rPr>
          <w:lang w:val="fr-FR"/>
        </w:rPr>
        <w:t>homme, Grande Chambre,</w:t>
      </w:r>
      <w:r w:rsidRPr="001448A7">
        <w:rPr>
          <w:i/>
          <w:iCs/>
          <w:lang w:val="fr-FR"/>
        </w:rPr>
        <w:t xml:space="preserve"> Chypre c. Turquie</w:t>
      </w:r>
      <w:r w:rsidRPr="001448A7">
        <w:rPr>
          <w:lang w:val="fr-FR"/>
        </w:rPr>
        <w:t xml:space="preserve">, </w:t>
      </w:r>
      <w:r w:rsidRPr="001448A7">
        <w:rPr>
          <w:i/>
          <w:iCs/>
          <w:lang w:val="fr-FR"/>
        </w:rPr>
        <w:t>requête n</w:t>
      </w:r>
      <w:r w:rsidRPr="001448A7">
        <w:rPr>
          <w:i/>
          <w:iCs/>
          <w:vertAlign w:val="superscript"/>
          <w:lang w:val="fr-FR"/>
        </w:rPr>
        <w:t>o</w:t>
      </w:r>
      <w:r w:rsidRPr="001448A7">
        <w:rPr>
          <w:i/>
          <w:iCs/>
          <w:lang w:val="fr-FR"/>
        </w:rPr>
        <w:t> 25781/94, arrêt du 12 mai 2014 sur la satisfaction équitable</w:t>
      </w:r>
      <w:r w:rsidRPr="001448A7">
        <w:rPr>
          <w:lang w:val="fr-FR"/>
        </w:rPr>
        <w:t> ; Cour européenne des droits de l</w:t>
      </w:r>
      <w:r w:rsidR="004937A0">
        <w:rPr>
          <w:lang w:val="fr-FR"/>
        </w:rPr>
        <w:t>’</w:t>
      </w:r>
      <w:r w:rsidRPr="001448A7">
        <w:rPr>
          <w:lang w:val="fr-FR"/>
        </w:rPr>
        <w:t>homme, Grande Chambre,</w:t>
      </w:r>
      <w:r w:rsidRPr="001448A7">
        <w:rPr>
          <w:i/>
          <w:iCs/>
          <w:lang w:val="fr-FR"/>
        </w:rPr>
        <w:t xml:space="preserve"> Géorgie c. Russie (I)</w:t>
      </w:r>
      <w:r w:rsidRPr="001448A7">
        <w:rPr>
          <w:lang w:val="fr-FR"/>
        </w:rPr>
        <w:t xml:space="preserve">, </w:t>
      </w:r>
      <w:r w:rsidRPr="001448A7">
        <w:rPr>
          <w:i/>
          <w:iCs/>
          <w:lang w:val="fr-FR"/>
        </w:rPr>
        <w:t>requête n</w:t>
      </w:r>
      <w:r w:rsidRPr="001448A7">
        <w:rPr>
          <w:i/>
          <w:iCs/>
          <w:vertAlign w:val="superscript"/>
          <w:lang w:val="fr-FR"/>
        </w:rPr>
        <w:t>o</w:t>
      </w:r>
      <w:r w:rsidRPr="001448A7">
        <w:rPr>
          <w:i/>
          <w:iCs/>
          <w:lang w:val="fr-FR"/>
        </w:rPr>
        <w:t xml:space="preserve"> 13255/07, arrêt du 31 janvier 2019 sur la satisfaction équitable</w:t>
      </w:r>
      <w:r w:rsidRPr="001448A7">
        <w:rPr>
          <w:lang w:val="fr-FR"/>
        </w:rPr>
        <w:t> ; Cour européenne des droits de l</w:t>
      </w:r>
      <w:r w:rsidR="004937A0">
        <w:rPr>
          <w:lang w:val="fr-FR"/>
        </w:rPr>
        <w:t>’</w:t>
      </w:r>
      <w:r w:rsidRPr="001448A7">
        <w:rPr>
          <w:lang w:val="fr-FR"/>
        </w:rPr>
        <w:t>homme, Grande Chambre,</w:t>
      </w:r>
      <w:r w:rsidRPr="001448A7">
        <w:rPr>
          <w:i/>
          <w:iCs/>
          <w:lang w:val="fr-FR"/>
        </w:rPr>
        <w:t xml:space="preserve"> Géorgie c. Russie (II)</w:t>
      </w:r>
      <w:r w:rsidRPr="001448A7">
        <w:rPr>
          <w:lang w:val="fr-FR"/>
        </w:rPr>
        <w:t xml:space="preserve">, </w:t>
      </w:r>
      <w:r w:rsidRPr="001448A7">
        <w:rPr>
          <w:i/>
          <w:iCs/>
          <w:lang w:val="fr-FR"/>
        </w:rPr>
        <w:t>requête n</w:t>
      </w:r>
      <w:r w:rsidRPr="001448A7">
        <w:rPr>
          <w:i/>
          <w:iCs/>
          <w:vertAlign w:val="superscript"/>
          <w:lang w:val="fr-FR"/>
        </w:rPr>
        <w:t>o</w:t>
      </w:r>
      <w:r w:rsidRPr="001448A7">
        <w:rPr>
          <w:i/>
          <w:iCs/>
          <w:lang w:val="fr-FR"/>
        </w:rPr>
        <w:t> 38263/08, arrêt du 28 avril 2023 sur la satisfaction équitable</w:t>
      </w:r>
      <w:r w:rsidRPr="001448A7">
        <w:rPr>
          <w:lang w:val="fr-FR"/>
        </w:rPr>
        <w:t xml:space="preserve">. </w:t>
      </w:r>
    </w:p>
  </w:footnote>
  <w:footnote w:id="337">
    <w:p w14:paraId="0BA8AF49" w14:textId="268FF5F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The Islamic Republic of Iran v. the United States of America</w:t>
      </w:r>
      <w:r w:rsidRPr="001448A7">
        <w:rPr>
          <w:lang w:val="fr-FR"/>
        </w:rPr>
        <w:t xml:space="preserve">, </w:t>
      </w:r>
      <w:r w:rsidRPr="001448A7">
        <w:rPr>
          <w:i/>
          <w:iCs/>
          <w:lang w:val="fr-FR"/>
        </w:rPr>
        <w:t>affaires n</w:t>
      </w:r>
      <w:r w:rsidRPr="001448A7">
        <w:rPr>
          <w:i/>
          <w:iCs/>
          <w:vertAlign w:val="superscript"/>
          <w:lang w:val="fr-FR"/>
        </w:rPr>
        <w:t>o</w:t>
      </w:r>
      <w:r w:rsidRPr="001448A7">
        <w:rPr>
          <w:i/>
          <w:iCs/>
          <w:lang w:val="fr-FR"/>
        </w:rPr>
        <w:t xml:space="preserve"> A15 (IV) et A24, sentence finale n</w:t>
      </w:r>
      <w:r w:rsidRPr="001448A7">
        <w:rPr>
          <w:i/>
          <w:iCs/>
          <w:vertAlign w:val="superscript"/>
          <w:lang w:val="fr-FR"/>
        </w:rPr>
        <w:t>o</w:t>
      </w:r>
      <w:r w:rsidRPr="001448A7">
        <w:rPr>
          <w:i/>
          <w:iCs/>
          <w:lang w:val="fr-FR"/>
        </w:rPr>
        <w:t> 602-A15(IV)/A24-FT du 2 juillet 2014</w:t>
      </w:r>
      <w:r w:rsidRPr="001448A7">
        <w:rPr>
          <w:lang w:val="fr-FR"/>
        </w:rPr>
        <w:t xml:space="preserve"> (voir </w:t>
      </w:r>
      <w:r w:rsidRPr="001448A7">
        <w:rPr>
          <w:i/>
          <w:iCs/>
          <w:lang w:val="fr-FR"/>
        </w:rPr>
        <w:t xml:space="preserve">supra </w:t>
      </w:r>
      <w:r w:rsidRPr="001448A7">
        <w:rPr>
          <w:lang w:val="fr-FR"/>
        </w:rPr>
        <w:t xml:space="preserve">la note 19) ; </w:t>
      </w:r>
      <w:r w:rsidRPr="001448A7">
        <w:rPr>
          <w:i/>
          <w:iCs/>
          <w:lang w:val="fr-FR"/>
        </w:rPr>
        <w:t>The Islamic Republic of Iran v. the United States of America</w:t>
      </w:r>
      <w:r w:rsidRPr="001448A7">
        <w:rPr>
          <w:lang w:val="fr-FR"/>
        </w:rPr>
        <w:t xml:space="preserve">, </w:t>
      </w:r>
      <w:r w:rsidRPr="001448A7">
        <w:rPr>
          <w:i/>
          <w:iCs/>
          <w:lang w:val="fr-FR"/>
        </w:rPr>
        <w:t>affaires n</w:t>
      </w:r>
      <w:r w:rsidRPr="001448A7">
        <w:rPr>
          <w:i/>
          <w:iCs/>
          <w:vertAlign w:val="superscript"/>
          <w:lang w:val="fr-FR"/>
        </w:rPr>
        <w:t xml:space="preserve">o </w:t>
      </w:r>
      <w:r w:rsidRPr="001448A7">
        <w:rPr>
          <w:i/>
          <w:iCs/>
          <w:lang w:val="fr-FR"/>
        </w:rPr>
        <w:t>A15 (II:A), A26 (IV) et B43, sentence partielle n</w:t>
      </w:r>
      <w:r w:rsidRPr="001448A7">
        <w:rPr>
          <w:i/>
          <w:iCs/>
          <w:vertAlign w:val="superscript"/>
          <w:lang w:val="fr-FR"/>
        </w:rPr>
        <w:t>o</w:t>
      </w:r>
      <w:r w:rsidRPr="001448A7">
        <w:rPr>
          <w:i/>
          <w:iCs/>
          <w:lang w:val="fr-FR"/>
        </w:rPr>
        <w:t xml:space="preserve"> 604-A15 (II:A)/A26 (IV)/B43-FT du 10 mars 2020</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w:t>
      </w:r>
    </w:p>
  </w:footnote>
  <w:footnote w:id="338">
    <w:p w14:paraId="61592EE7" w14:textId="12B53958"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 xml:space="preserve">Commission des </w:t>
      </w:r>
      <w:r w:rsidR="00F81BE0">
        <w:rPr>
          <w:lang w:val="fr-FR"/>
        </w:rPr>
        <w:t xml:space="preserve">réclamations </w:t>
      </w:r>
      <w:r w:rsidRPr="00C92339">
        <w:rPr>
          <w:lang w:val="fr-FR"/>
        </w:rPr>
        <w:t>Érythrée</w:t>
      </w:r>
      <w:r w:rsidR="00F81BE0">
        <w:rPr>
          <w:lang w:val="fr-FR"/>
        </w:rPr>
        <w:t>-</w:t>
      </w:r>
      <w:r w:rsidR="00F81BE0" w:rsidRPr="00C92339">
        <w:rPr>
          <w:lang w:val="fr-FR"/>
        </w:rPr>
        <w:t>Éthiopie</w:t>
      </w:r>
      <w:r w:rsidRPr="00C92339">
        <w:rPr>
          <w:lang w:val="fr-FR"/>
        </w:rPr>
        <w:t xml:space="preserve">, </w:t>
      </w:r>
      <w:r w:rsidRPr="00C92339">
        <w:rPr>
          <w:i/>
          <w:iCs/>
          <w:lang w:val="fr-FR"/>
        </w:rPr>
        <w:t>Sentence</w:t>
      </w:r>
      <w:r w:rsidRPr="001448A7">
        <w:rPr>
          <w:i/>
          <w:iCs/>
          <w:lang w:val="fr-FR"/>
        </w:rPr>
        <w:t xml:space="preserve"> finale, Réclamations de dommages de l</w:t>
      </w:r>
      <w:r w:rsidR="004937A0">
        <w:rPr>
          <w:i/>
          <w:iCs/>
          <w:lang w:val="fr-FR"/>
        </w:rPr>
        <w:t>’</w:t>
      </w:r>
      <w:r w:rsidRPr="001448A7">
        <w:rPr>
          <w:i/>
          <w:iCs/>
          <w:lang w:val="fr-FR"/>
        </w:rPr>
        <w:t>Érythrée</w:t>
      </w:r>
      <w:r w:rsidRPr="001448A7">
        <w:rPr>
          <w:lang w:val="fr-FR"/>
        </w:rPr>
        <w:t xml:space="preserve">, 17 août 2009, </w:t>
      </w:r>
      <w:r w:rsidRPr="001448A7">
        <w:rPr>
          <w:i/>
          <w:iCs/>
          <w:lang w:val="fr-FR"/>
        </w:rPr>
        <w:t>Recueil des sentences arbitrales</w:t>
      </w:r>
      <w:r w:rsidRPr="001448A7">
        <w:rPr>
          <w:lang w:val="fr-FR"/>
        </w:rPr>
        <w:t xml:space="preserve">, vol. XXVI, p. 505 à 630 ; et ibid., </w:t>
      </w:r>
      <w:r w:rsidRPr="001448A7">
        <w:rPr>
          <w:i/>
          <w:iCs/>
          <w:lang w:val="fr-FR"/>
        </w:rPr>
        <w:t>Sentence finale, Réclamations de dommages de l</w:t>
      </w:r>
      <w:r w:rsidR="004937A0">
        <w:rPr>
          <w:i/>
          <w:iCs/>
          <w:lang w:val="fr-FR"/>
        </w:rPr>
        <w:t>’</w:t>
      </w:r>
      <w:r w:rsidRPr="001448A7">
        <w:rPr>
          <w:i/>
          <w:iCs/>
          <w:lang w:val="fr-FR"/>
        </w:rPr>
        <w:t>Éthiopie</w:t>
      </w:r>
      <w:r w:rsidRPr="001448A7">
        <w:rPr>
          <w:lang w:val="fr-FR"/>
        </w:rPr>
        <w:t>, 17 août 2009, ibid. p. 631 à 770.</w:t>
      </w:r>
    </w:p>
  </w:footnote>
  <w:footnote w:id="339">
    <w:p w14:paraId="35693447" w14:textId="1E4C19E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de manière générale, Organisation des Nations Unies, </w:t>
      </w:r>
      <w:r w:rsidRPr="001448A7">
        <w:rPr>
          <w:i/>
          <w:iCs/>
          <w:lang w:val="fr-FR"/>
        </w:rPr>
        <w:t xml:space="preserve">Materials on the Responsibility of States for </w:t>
      </w:r>
      <w:proofErr w:type="spellStart"/>
      <w:r w:rsidRPr="001448A7">
        <w:rPr>
          <w:i/>
          <w:iCs/>
          <w:lang w:val="fr-FR"/>
        </w:rPr>
        <w:t>Internationally</w:t>
      </w:r>
      <w:proofErr w:type="spellEnd"/>
      <w:r w:rsidRPr="001448A7">
        <w:rPr>
          <w:i/>
          <w:iCs/>
          <w:lang w:val="fr-FR"/>
        </w:rPr>
        <w:t xml:space="preserve"> </w:t>
      </w:r>
      <w:proofErr w:type="spellStart"/>
      <w:r w:rsidRPr="001448A7">
        <w:rPr>
          <w:i/>
          <w:iCs/>
          <w:lang w:val="fr-FR"/>
        </w:rPr>
        <w:t>Wrongful</w:t>
      </w:r>
      <w:proofErr w:type="spellEnd"/>
      <w:r w:rsidRPr="001448A7">
        <w:rPr>
          <w:i/>
          <w:iCs/>
          <w:lang w:val="fr-FR"/>
        </w:rPr>
        <w:t xml:space="preserve"> </w:t>
      </w:r>
      <w:proofErr w:type="spellStart"/>
      <w:r w:rsidRPr="001448A7">
        <w:rPr>
          <w:i/>
          <w:iCs/>
          <w:lang w:val="fr-FR"/>
        </w:rPr>
        <w:t>Acts</w:t>
      </w:r>
      <w:proofErr w:type="spellEnd"/>
      <w:r w:rsidRPr="001448A7">
        <w:rPr>
          <w:lang w:val="fr-FR"/>
        </w:rPr>
        <w:t xml:space="preserve"> (note </w:t>
      </w:r>
      <w:r w:rsidRPr="001448A7">
        <w:rPr>
          <w:lang w:val="fr-FR"/>
        </w:rPr>
        <w:fldChar w:fldCharType="begin"/>
      </w:r>
      <w:r w:rsidRPr="001448A7">
        <w:rPr>
          <w:lang w:val="fr-FR"/>
        </w:rPr>
        <w:instrText xml:space="preserve"> NOTEREF _Ref172535375 \h </w:instrText>
      </w:r>
      <w:r>
        <w:rPr>
          <w:lang w:val="fr-FR"/>
        </w:rPr>
        <w:instrText xml:space="preserve"> \* MERGEFORMAT </w:instrText>
      </w:r>
      <w:r w:rsidRPr="001448A7">
        <w:rPr>
          <w:lang w:val="fr-FR"/>
        </w:rPr>
      </w:r>
      <w:r w:rsidRPr="001448A7">
        <w:rPr>
          <w:lang w:val="fr-FR"/>
        </w:rPr>
        <w:fldChar w:fldCharType="separate"/>
      </w:r>
      <w:r w:rsidR="00EC4FDE">
        <w:rPr>
          <w:lang w:val="fr-FR"/>
        </w:rPr>
        <w:t>20</w:t>
      </w:r>
      <w:r w:rsidRPr="001448A7">
        <w:rPr>
          <w:lang w:val="fr-FR"/>
        </w:rPr>
        <w:fldChar w:fldCharType="end"/>
      </w:r>
      <w:r w:rsidRPr="001448A7">
        <w:rPr>
          <w:lang w:val="fr-FR"/>
        </w:rPr>
        <w:t xml:space="preserve"> </w:t>
      </w:r>
      <w:r w:rsidRPr="001448A7">
        <w:rPr>
          <w:i/>
          <w:iCs/>
          <w:lang w:val="fr-FR"/>
        </w:rPr>
        <w:t>supra</w:t>
      </w:r>
      <w:r w:rsidRPr="001448A7">
        <w:rPr>
          <w:lang w:val="fr-FR"/>
        </w:rPr>
        <w:t>), p. 396 à 414.</w:t>
      </w:r>
    </w:p>
  </w:footnote>
  <w:footnote w:id="340">
    <w:p w14:paraId="200751E6" w14:textId="693FCCD9"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Principes fondamentaux et directives concernant le droit à un recours et à réparation des victimes de violations flagrantes du droit international des droits de l</w:t>
      </w:r>
      <w:r w:rsidR="004937A0">
        <w:rPr>
          <w:lang w:val="fr-FR"/>
        </w:rPr>
        <w:t>’</w:t>
      </w:r>
      <w:r w:rsidRPr="001448A7">
        <w:rPr>
          <w:lang w:val="fr-FR"/>
        </w:rPr>
        <w:t xml:space="preserve">homme et de violations graves du droit international humanitaire, résolution </w:t>
      </w:r>
      <w:hyperlink r:id="rId201" w:history="1">
        <w:r w:rsidRPr="001448A7">
          <w:rPr>
            <w:rStyle w:val="Lienhypertexte"/>
            <w:lang w:val="fr-FR"/>
          </w:rPr>
          <w:t>60/147</w:t>
        </w:r>
      </w:hyperlink>
      <w:r w:rsidRPr="001448A7">
        <w:rPr>
          <w:lang w:val="fr-FR"/>
        </w:rPr>
        <w:t xml:space="preserve"> de l</w:t>
      </w:r>
      <w:r w:rsidR="004937A0">
        <w:rPr>
          <w:lang w:val="fr-FR"/>
        </w:rPr>
        <w:t>’</w:t>
      </w:r>
      <w:r w:rsidRPr="001448A7">
        <w:rPr>
          <w:lang w:val="fr-FR"/>
        </w:rPr>
        <w:t xml:space="preserve">Assemblée générale du 16 décembre 2005, annexe, par. 20. </w:t>
      </w:r>
    </w:p>
  </w:footnote>
  <w:footnote w:id="341">
    <w:p w14:paraId="53DDB0AE" w14:textId="575FD5FF"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Comité des droits de l</w:t>
      </w:r>
      <w:r w:rsidR="004937A0">
        <w:rPr>
          <w:lang w:val="fr-FR"/>
        </w:rPr>
        <w:t>’</w:t>
      </w:r>
      <w:r w:rsidRPr="001448A7">
        <w:rPr>
          <w:lang w:val="fr-FR"/>
        </w:rPr>
        <w:t>homme, observation générale n</w:t>
      </w:r>
      <w:r w:rsidRPr="001448A7">
        <w:rPr>
          <w:vertAlign w:val="superscript"/>
          <w:lang w:val="fr-FR"/>
        </w:rPr>
        <w:t>o</w:t>
      </w:r>
      <w:r w:rsidRPr="001448A7">
        <w:rPr>
          <w:lang w:val="fr-FR"/>
        </w:rPr>
        <w:t xml:space="preserve"> 31 (2004) [80] sur la nature de l</w:t>
      </w:r>
      <w:r w:rsidR="004937A0">
        <w:rPr>
          <w:lang w:val="fr-FR"/>
        </w:rPr>
        <w:t>’</w:t>
      </w:r>
      <w:r w:rsidRPr="001448A7">
        <w:rPr>
          <w:lang w:val="fr-FR"/>
        </w:rPr>
        <w:t xml:space="preserve">obligation générale imposée aux États parties au Pacte, adoptée le 29 mars 2004, rapport du Comité </w:t>
      </w:r>
      <w:r>
        <w:rPr>
          <w:lang w:val="fr-FR"/>
        </w:rPr>
        <w:t>des droits de l</w:t>
      </w:r>
      <w:r w:rsidR="004937A0">
        <w:rPr>
          <w:lang w:val="fr-FR"/>
        </w:rPr>
        <w:t>’</w:t>
      </w:r>
      <w:r>
        <w:rPr>
          <w:lang w:val="fr-FR"/>
        </w:rPr>
        <w:t>homme</w:t>
      </w:r>
      <w:r w:rsidRPr="001448A7">
        <w:rPr>
          <w:lang w:val="fr-FR"/>
        </w:rPr>
        <w:t xml:space="preserve">, vol. I, </w:t>
      </w:r>
      <w:r w:rsidRPr="001448A7">
        <w:rPr>
          <w:i/>
          <w:iCs/>
          <w:lang w:val="fr-FR"/>
        </w:rPr>
        <w:t>Documents officiels de l</w:t>
      </w:r>
      <w:r w:rsidR="004937A0">
        <w:rPr>
          <w:i/>
          <w:iCs/>
          <w:lang w:val="fr-FR"/>
        </w:rPr>
        <w:t>’</w:t>
      </w:r>
      <w:r w:rsidRPr="001448A7">
        <w:rPr>
          <w:i/>
          <w:iCs/>
          <w:lang w:val="fr-FR"/>
        </w:rPr>
        <w:t xml:space="preserve">Assemblée générale, cinquante-neuvième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40 </w:t>
      </w:r>
      <w:r w:rsidRPr="001448A7">
        <w:rPr>
          <w:lang w:val="fr-FR"/>
        </w:rPr>
        <w:t>(</w:t>
      </w:r>
      <w:hyperlink r:id="rId202" w:history="1">
        <w:r w:rsidRPr="001448A7">
          <w:rPr>
            <w:rStyle w:val="Lienhypertexte"/>
            <w:lang w:val="fr-FR"/>
          </w:rPr>
          <w:t>A/59/40</w:t>
        </w:r>
      </w:hyperlink>
      <w:r w:rsidRPr="001448A7">
        <w:rPr>
          <w:lang w:val="fr-FR"/>
        </w:rPr>
        <w:t>), annexe III, p. 195, par. 16 ; Comité contre la torture, observation générale n</w:t>
      </w:r>
      <w:r w:rsidRPr="001448A7">
        <w:rPr>
          <w:vertAlign w:val="superscript"/>
          <w:lang w:val="fr-FR"/>
        </w:rPr>
        <w:t>o</w:t>
      </w:r>
      <w:r w:rsidRPr="001448A7">
        <w:rPr>
          <w:lang w:val="fr-FR"/>
        </w:rPr>
        <w:t> 3 (2012) sur l</w:t>
      </w:r>
      <w:r w:rsidR="004937A0">
        <w:rPr>
          <w:lang w:val="fr-FR"/>
        </w:rPr>
        <w:t>’</w:t>
      </w:r>
      <w:r w:rsidRPr="001448A7">
        <w:rPr>
          <w:lang w:val="fr-FR"/>
        </w:rPr>
        <w:t>application de l</w:t>
      </w:r>
      <w:r w:rsidR="004937A0">
        <w:rPr>
          <w:lang w:val="fr-FR"/>
        </w:rPr>
        <w:t>’</w:t>
      </w:r>
      <w:r w:rsidRPr="001448A7">
        <w:rPr>
          <w:lang w:val="fr-FR"/>
        </w:rPr>
        <w:t xml:space="preserve">article 14 par les États parties, adoptée le 13 décembre 2012, rapport du Comité contre la torture, vol. I, </w:t>
      </w:r>
      <w:r w:rsidRPr="001448A7">
        <w:rPr>
          <w:i/>
          <w:iCs/>
          <w:lang w:val="fr-FR"/>
        </w:rPr>
        <w:t>Documents officiels de l</w:t>
      </w:r>
      <w:r w:rsidR="004937A0">
        <w:rPr>
          <w:i/>
          <w:iCs/>
          <w:lang w:val="fr-FR"/>
        </w:rPr>
        <w:t>’</w:t>
      </w:r>
      <w:r w:rsidRPr="001448A7">
        <w:rPr>
          <w:i/>
          <w:iCs/>
          <w:lang w:val="fr-FR"/>
        </w:rPr>
        <w:t xml:space="preserve">Assemblée générale, soixante-huitième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44</w:t>
      </w:r>
      <w:r w:rsidRPr="001448A7">
        <w:rPr>
          <w:lang w:val="fr-FR"/>
        </w:rPr>
        <w:t xml:space="preserve"> (</w:t>
      </w:r>
      <w:hyperlink r:id="rId203" w:history="1">
        <w:r w:rsidRPr="001448A7">
          <w:rPr>
            <w:rStyle w:val="Lienhypertexte"/>
            <w:lang w:val="fr-FR"/>
          </w:rPr>
          <w:t>A/68/44</w:t>
        </w:r>
      </w:hyperlink>
      <w:r w:rsidRPr="001448A7">
        <w:rPr>
          <w:lang w:val="fr-FR"/>
        </w:rPr>
        <w:t>), annexe X, p. 268 et 269, par. 9 et 10 ; Comité des droits économiques, sociaux et culturels, observation générale n</w:t>
      </w:r>
      <w:r w:rsidRPr="001448A7">
        <w:rPr>
          <w:vertAlign w:val="superscript"/>
          <w:lang w:val="fr-FR"/>
        </w:rPr>
        <w:t>o</w:t>
      </w:r>
      <w:r w:rsidRPr="001448A7">
        <w:rPr>
          <w:lang w:val="fr-FR"/>
        </w:rPr>
        <w:t xml:space="preserve"> 24 (2017) sur les obligations des États en vertu du Pacte international relatif aux droits économiques, sociaux et culturels dans le contexte des activités des entreprises (</w:t>
      </w:r>
      <w:hyperlink r:id="rId204" w:history="1">
        <w:r w:rsidRPr="001448A7">
          <w:rPr>
            <w:rStyle w:val="Lienhypertexte"/>
            <w:lang w:val="fr-FR"/>
          </w:rPr>
          <w:t>E/C.12/GC/24</w:t>
        </w:r>
      </w:hyperlink>
      <w:r w:rsidRPr="001448A7">
        <w:rPr>
          <w:lang w:val="fr-FR"/>
        </w:rPr>
        <w:t>), p. 14, par. 41, et p. 17, par. 53 ; Comité pour l</w:t>
      </w:r>
      <w:r w:rsidR="004937A0">
        <w:rPr>
          <w:lang w:val="fr-FR"/>
        </w:rPr>
        <w:t>’</w:t>
      </w:r>
      <w:r w:rsidRPr="001448A7">
        <w:rPr>
          <w:lang w:val="fr-FR"/>
        </w:rPr>
        <w:t>élimination de la discrimination à l</w:t>
      </w:r>
      <w:r w:rsidR="004937A0">
        <w:rPr>
          <w:lang w:val="fr-FR"/>
        </w:rPr>
        <w:t>’</w:t>
      </w:r>
      <w:r w:rsidRPr="001448A7">
        <w:rPr>
          <w:lang w:val="fr-FR"/>
        </w:rPr>
        <w:t>égard des femmes, recommandation générale n</w:t>
      </w:r>
      <w:r w:rsidRPr="001448A7">
        <w:rPr>
          <w:vertAlign w:val="superscript"/>
          <w:lang w:val="fr-FR"/>
        </w:rPr>
        <w:t>o</w:t>
      </w:r>
      <w:r w:rsidRPr="001448A7">
        <w:rPr>
          <w:lang w:val="fr-FR"/>
        </w:rPr>
        <w:t xml:space="preserve"> 38 (2020) sur la traite des femmes et des filles dans le contexte des migrations internationales (</w:t>
      </w:r>
      <w:hyperlink r:id="rId205" w:history="1">
        <w:r w:rsidRPr="001448A7">
          <w:rPr>
            <w:rStyle w:val="Lienhypertexte"/>
            <w:lang w:val="fr-FR"/>
          </w:rPr>
          <w:t>CEDAW/C/GC/38</w:t>
        </w:r>
      </w:hyperlink>
      <w:r w:rsidRPr="001448A7">
        <w:rPr>
          <w:lang w:val="fr-FR"/>
        </w:rPr>
        <w:t xml:space="preserve">), p. 12, par. 43, et p. 24 et 25, par. 101 et 108. </w:t>
      </w:r>
    </w:p>
  </w:footnote>
  <w:footnote w:id="342">
    <w:p w14:paraId="7ACFF207" w14:textId="0AC5F9EC"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Mise en place du Registre de l</w:t>
      </w:r>
      <w:r w:rsidR="004937A0">
        <w:rPr>
          <w:lang w:val="fr-FR"/>
        </w:rPr>
        <w:t>’</w:t>
      </w:r>
      <w:r w:rsidRPr="001448A7">
        <w:rPr>
          <w:lang w:val="fr-FR"/>
        </w:rPr>
        <w:t xml:space="preserve">Organisation des Nations Unies concernant les dommages causés par la construction du mur dans le territoire palestinien occupé, résolution </w:t>
      </w:r>
      <w:hyperlink r:id="rId206" w:history="1">
        <w:r w:rsidRPr="001448A7">
          <w:rPr>
            <w:rStyle w:val="Lienhypertexte"/>
            <w:lang w:val="fr-FR"/>
          </w:rPr>
          <w:t>ES-10/17</w:t>
        </w:r>
      </w:hyperlink>
      <w:r w:rsidRPr="001448A7">
        <w:rPr>
          <w:lang w:val="fr-FR"/>
        </w:rPr>
        <w:t xml:space="preserve"> de l</w:t>
      </w:r>
      <w:r w:rsidR="004937A0">
        <w:rPr>
          <w:lang w:val="fr-FR"/>
        </w:rPr>
        <w:t>’</w:t>
      </w:r>
      <w:r w:rsidRPr="001448A7">
        <w:rPr>
          <w:lang w:val="fr-FR"/>
        </w:rPr>
        <w:t>Assemblée générale du 15 décembre 2006 ; voir aussi, plus récemment, le rapport d</w:t>
      </w:r>
      <w:r w:rsidR="004937A0">
        <w:rPr>
          <w:lang w:val="fr-FR"/>
        </w:rPr>
        <w:t>’</w:t>
      </w:r>
      <w:r w:rsidRPr="001448A7">
        <w:rPr>
          <w:lang w:val="fr-FR"/>
        </w:rPr>
        <w:t>activité du Conseil du Registre de l</w:t>
      </w:r>
      <w:r w:rsidR="004937A0">
        <w:rPr>
          <w:lang w:val="fr-FR"/>
        </w:rPr>
        <w:t>’</w:t>
      </w:r>
      <w:r w:rsidRPr="001448A7">
        <w:rPr>
          <w:lang w:val="fr-FR"/>
        </w:rPr>
        <w:t>Organisation des Nations Unies concernant les dommages causés par la construction du mur dans le Territoire palestinien occupé, joint en annexe à la lettre datée du 26 mai 2023, adressée au Président de l</w:t>
      </w:r>
      <w:r w:rsidR="004937A0">
        <w:rPr>
          <w:lang w:val="fr-FR"/>
        </w:rPr>
        <w:t>’</w:t>
      </w:r>
      <w:r w:rsidRPr="001448A7">
        <w:rPr>
          <w:lang w:val="fr-FR"/>
        </w:rPr>
        <w:t>Assemblée générale par le Secrétaire général (</w:t>
      </w:r>
      <w:hyperlink r:id="rId207" w:history="1">
        <w:r w:rsidRPr="001448A7">
          <w:rPr>
            <w:rStyle w:val="Lienhypertexte"/>
            <w:lang w:val="fr-FR"/>
          </w:rPr>
          <w:t>A/ES-10/949</w:t>
        </w:r>
      </w:hyperlink>
      <w:r w:rsidRPr="001448A7">
        <w:rPr>
          <w:lang w:val="fr-FR"/>
        </w:rPr>
        <w:t>). Voir aussi Agression contre l</w:t>
      </w:r>
      <w:r w:rsidR="004937A0">
        <w:rPr>
          <w:lang w:val="fr-FR"/>
        </w:rPr>
        <w:t>’</w:t>
      </w:r>
      <w:r w:rsidRPr="001448A7">
        <w:rPr>
          <w:lang w:val="fr-FR"/>
        </w:rPr>
        <w:t>Ukraine</w:t>
      </w:r>
      <w:r w:rsidR="00827FD1">
        <w:rPr>
          <w:lang w:val="fr-FR"/>
        </w:rPr>
        <w:t> </w:t>
      </w:r>
      <w:r w:rsidRPr="001448A7">
        <w:rPr>
          <w:lang w:val="fr-FR"/>
        </w:rPr>
        <w:t xml:space="preserve">: recours et réparation, résolution </w:t>
      </w:r>
      <w:hyperlink r:id="rId208" w:history="1">
        <w:r w:rsidRPr="001448A7">
          <w:rPr>
            <w:rStyle w:val="Lienhypertexte"/>
            <w:lang w:val="fr-FR"/>
          </w:rPr>
          <w:t>ES-11/5</w:t>
        </w:r>
      </w:hyperlink>
      <w:r w:rsidRPr="001448A7">
        <w:rPr>
          <w:lang w:val="fr-FR"/>
        </w:rPr>
        <w:t xml:space="preserve"> de l</w:t>
      </w:r>
      <w:r w:rsidR="004937A0">
        <w:rPr>
          <w:lang w:val="fr-FR"/>
        </w:rPr>
        <w:t>’</w:t>
      </w:r>
      <w:r w:rsidRPr="001448A7">
        <w:rPr>
          <w:lang w:val="fr-FR"/>
        </w:rPr>
        <w:t>Assemblée générale du 14 novembre 2022, par. 4 ; Comité des ministres du Conseil de l</w:t>
      </w:r>
      <w:r w:rsidR="004937A0">
        <w:rPr>
          <w:lang w:val="fr-FR"/>
        </w:rPr>
        <w:t>’</w:t>
      </w:r>
      <w:r w:rsidRPr="001448A7">
        <w:rPr>
          <w:lang w:val="fr-FR"/>
        </w:rPr>
        <w:t>Europe, Résolution établissant l</w:t>
      </w:r>
      <w:r w:rsidR="004937A0">
        <w:rPr>
          <w:lang w:val="fr-FR"/>
        </w:rPr>
        <w:t>’</w:t>
      </w:r>
      <w:r w:rsidRPr="001448A7">
        <w:rPr>
          <w:lang w:val="fr-FR"/>
        </w:rPr>
        <w:t>Accord partiel élargi sur le Registre des dommages causés par l</w:t>
      </w:r>
      <w:r w:rsidR="004937A0">
        <w:rPr>
          <w:lang w:val="fr-FR"/>
        </w:rPr>
        <w:t>’</w:t>
      </w:r>
      <w:r w:rsidRPr="001448A7">
        <w:rPr>
          <w:lang w:val="fr-FR"/>
        </w:rPr>
        <w:t>agression de la Fédération de Russie contre l</w:t>
      </w:r>
      <w:r w:rsidR="004937A0">
        <w:rPr>
          <w:lang w:val="fr-FR"/>
        </w:rPr>
        <w:t>’</w:t>
      </w:r>
      <w:r w:rsidRPr="001448A7">
        <w:rPr>
          <w:lang w:val="fr-FR"/>
        </w:rPr>
        <w:t>Ukraine, adoptée le 12 mai 2023 (CM/Res(2023)3). Concernant la pratique des organes créés par l</w:t>
      </w:r>
      <w:r w:rsidR="004937A0">
        <w:rPr>
          <w:lang w:val="fr-FR"/>
        </w:rPr>
        <w:t>’</w:t>
      </w:r>
      <w:r w:rsidRPr="001448A7">
        <w:rPr>
          <w:lang w:val="fr-FR"/>
        </w:rPr>
        <w:t>Organisation des Nations Unies, notamment la Commission d</w:t>
      </w:r>
      <w:r w:rsidR="004937A0">
        <w:rPr>
          <w:lang w:val="fr-FR"/>
        </w:rPr>
        <w:t>’</w:t>
      </w:r>
      <w:r w:rsidRPr="001448A7">
        <w:rPr>
          <w:lang w:val="fr-FR"/>
        </w:rPr>
        <w:t>indemnisation des Nations Unies, voir le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108, par. 14 du commentaire de l</w:t>
      </w:r>
      <w:r w:rsidR="004937A0">
        <w:rPr>
          <w:lang w:val="fr-FR"/>
        </w:rPr>
        <w:t>’</w:t>
      </w:r>
      <w:r w:rsidRPr="001448A7">
        <w:rPr>
          <w:lang w:val="fr-FR"/>
        </w:rPr>
        <w:t>article 36, et p. 116, par. 4 du commentaire de l</w:t>
      </w:r>
      <w:r w:rsidR="004937A0">
        <w:rPr>
          <w:lang w:val="fr-FR"/>
        </w:rPr>
        <w:t>’</w:t>
      </w:r>
      <w:r w:rsidRPr="001448A7">
        <w:rPr>
          <w:lang w:val="fr-FR"/>
        </w:rPr>
        <w:t xml:space="preserve">article 38. </w:t>
      </w:r>
    </w:p>
  </w:footnote>
  <w:footnote w:id="343">
    <w:p w14:paraId="1684E930" w14:textId="2297EA9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document de travail établi par le Secrétariat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xml:space="preserve"> </w:t>
      </w:r>
      <w:r w:rsidRPr="001448A7">
        <w:rPr>
          <w:i/>
          <w:iCs/>
          <w:lang w:val="fr-FR"/>
        </w:rPr>
        <w:t>supra</w:t>
      </w:r>
      <w:r w:rsidRPr="001448A7">
        <w:rPr>
          <w:lang w:val="fr-FR"/>
        </w:rPr>
        <w:t>), par. 36 et 38.</w:t>
      </w:r>
    </w:p>
  </w:footnote>
  <w:footnote w:id="344">
    <w:p w14:paraId="03F2869F" w14:textId="7A5749BA"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31, par. 1 du commentaire général ; le projet d</w:t>
      </w:r>
      <w:r w:rsidR="004937A0">
        <w:rPr>
          <w:lang w:val="fr-FR"/>
        </w:rPr>
        <w:t>’</w:t>
      </w:r>
      <w:r w:rsidRPr="001448A7">
        <w:rPr>
          <w:lang w:val="fr-FR"/>
        </w:rPr>
        <w:t xml:space="preserve">articles sur la protection diplomatique, </w:t>
      </w:r>
      <w:r w:rsidRPr="001448A7">
        <w:rPr>
          <w:i/>
          <w:iCs/>
          <w:lang w:val="fr-FR"/>
        </w:rPr>
        <w:t>Annuaire ... 2006</w:t>
      </w:r>
      <w:r w:rsidRPr="001448A7">
        <w:rPr>
          <w:lang w:val="fr-FR"/>
        </w:rPr>
        <w:t>, vol. II (2</w:t>
      </w:r>
      <w:r w:rsidRPr="001448A7">
        <w:rPr>
          <w:vertAlign w:val="superscript"/>
          <w:lang w:val="fr-FR"/>
        </w:rPr>
        <w:t>e</w:t>
      </w:r>
      <w:r w:rsidRPr="001448A7">
        <w:rPr>
          <w:lang w:val="fr-FR"/>
        </w:rPr>
        <w:t xml:space="preserve"> partie), p. 25, par. 2 du commentaire de l</w:t>
      </w:r>
      <w:r w:rsidR="004937A0">
        <w:rPr>
          <w:lang w:val="fr-FR"/>
        </w:rPr>
        <w:t>’</w:t>
      </w:r>
      <w:r w:rsidRPr="001448A7">
        <w:rPr>
          <w:lang w:val="fr-FR"/>
        </w:rPr>
        <w:t xml:space="preserve">article premier. </w:t>
      </w:r>
    </w:p>
  </w:footnote>
  <w:footnote w:id="345">
    <w:p w14:paraId="0A232D60"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97, art. 31, p. 101, art. 34, et p. 105, art. 36. </w:t>
      </w:r>
    </w:p>
  </w:footnote>
  <w:footnote w:id="346">
    <w:p w14:paraId="0290646A" w14:textId="4DF4B7D1"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Ibid., p. 105, art. 36 ; projet d</w:t>
      </w:r>
      <w:r w:rsidR="004937A0">
        <w:rPr>
          <w:lang w:val="fr-FR"/>
        </w:rPr>
        <w:t>’</w:t>
      </w:r>
      <w:r w:rsidRPr="001448A7">
        <w:rPr>
          <w:lang w:val="fr-FR"/>
        </w:rPr>
        <w:t xml:space="preserve">articles sur la responsabilité des organisations internationales, </w:t>
      </w:r>
      <w:r w:rsidRPr="001448A7">
        <w:rPr>
          <w:i/>
          <w:iCs/>
          <w:lang w:val="fr-FR"/>
        </w:rPr>
        <w:t>Annuaire</w:t>
      </w:r>
      <w:r w:rsidR="001F4635">
        <w:rPr>
          <w:i/>
          <w:iCs/>
          <w:lang w:val="fr-FR"/>
        </w:rPr>
        <w:t> </w:t>
      </w:r>
      <w:r w:rsidRPr="001448A7">
        <w:rPr>
          <w:i/>
          <w:iCs/>
          <w:lang w:val="fr-FR"/>
        </w:rPr>
        <w:t>... 2011</w:t>
      </w:r>
      <w:r w:rsidRPr="001448A7">
        <w:rPr>
          <w:lang w:val="fr-FR"/>
        </w:rPr>
        <w:t>, vol. II (2</w:t>
      </w:r>
      <w:r w:rsidRPr="001448A7">
        <w:rPr>
          <w:vertAlign w:val="superscript"/>
          <w:lang w:val="fr-FR"/>
        </w:rPr>
        <w:t>e</w:t>
      </w:r>
      <w:r w:rsidRPr="001448A7">
        <w:rPr>
          <w:lang w:val="fr-FR"/>
        </w:rPr>
        <w:t xml:space="preserve"> partie), p. 80, art. 36.</w:t>
      </w:r>
    </w:p>
  </w:footnote>
  <w:footnote w:id="347">
    <w:p w14:paraId="7868F43F" w14:textId="34464EDF" w:rsidR="005D2955" w:rsidRPr="001448A7" w:rsidRDefault="005D2955" w:rsidP="00E9227E">
      <w:pPr>
        <w:pStyle w:val="Notedebasdepage"/>
        <w:rPr>
          <w:rFonts w:asciiTheme="majorBidi" w:hAnsiTheme="majorBidi" w:cstheme="majorBidi"/>
          <w: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Projet d</w:t>
      </w:r>
      <w:r w:rsidR="004937A0">
        <w:rPr>
          <w:lang w:val="fr-FR"/>
        </w:rPr>
        <w:t>’</w:t>
      </w:r>
      <w:r w:rsidRPr="001448A7">
        <w:rPr>
          <w:lang w:val="fr-FR"/>
        </w:rPr>
        <w:t xml:space="preserve">articles sur la protection diplomatique, </w:t>
      </w:r>
      <w:r w:rsidRPr="001448A7">
        <w:rPr>
          <w:i/>
          <w:iCs/>
          <w:lang w:val="fr-FR"/>
        </w:rPr>
        <w:t>Annuaire ... 2006</w:t>
      </w:r>
      <w:r w:rsidRPr="001448A7">
        <w:rPr>
          <w:lang w:val="fr-FR"/>
        </w:rPr>
        <w:t>, vol. II (2</w:t>
      </w:r>
      <w:r w:rsidRPr="001448A7">
        <w:rPr>
          <w:vertAlign w:val="superscript"/>
          <w:lang w:val="fr-FR"/>
        </w:rPr>
        <w:t>e</w:t>
      </w:r>
      <w:r w:rsidRPr="001448A7">
        <w:rPr>
          <w:lang w:val="fr-FR"/>
        </w:rPr>
        <w:t xml:space="preserve"> partie), p. 24, par. 2 du commentaire général (renvoyant à l</w:t>
      </w:r>
      <w:r w:rsidR="004937A0">
        <w:rPr>
          <w:lang w:val="fr-FR"/>
        </w:rPr>
        <w:t>’</w:t>
      </w:r>
      <w:r w:rsidRPr="001448A7">
        <w:rPr>
          <w:lang w:val="fr-FR"/>
        </w:rPr>
        <w:t>article 44 du projet d</w:t>
      </w:r>
      <w:r w:rsidR="004937A0">
        <w:rPr>
          <w:lang w:val="fr-FR"/>
        </w:rPr>
        <w:t>’</w:t>
      </w:r>
      <w:r w:rsidRPr="001448A7">
        <w:rPr>
          <w:lang w:val="fr-FR"/>
        </w:rPr>
        <w:t>articles de 2001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129). </w:t>
      </w:r>
    </w:p>
  </w:footnote>
  <w:footnote w:id="348">
    <w:p w14:paraId="6D6F0880" w14:textId="00F8C8E3"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document de travail établi par le Secrétariat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xml:space="preserve"> </w:t>
      </w:r>
      <w:r w:rsidRPr="001448A7">
        <w:rPr>
          <w:i/>
          <w:iCs/>
          <w:lang w:val="fr-FR"/>
        </w:rPr>
        <w:t>supra</w:t>
      </w:r>
      <w:r w:rsidRPr="001448A7">
        <w:rPr>
          <w:lang w:val="fr-FR"/>
        </w:rPr>
        <w:t>), par. 38.</w:t>
      </w:r>
    </w:p>
  </w:footnote>
  <w:footnote w:id="349">
    <w:p w14:paraId="57A611C2"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Ibid., par. 36 et 38.</w:t>
      </w:r>
    </w:p>
  </w:footnote>
  <w:footnote w:id="350">
    <w:p w14:paraId="190411AD" w14:textId="7301716C" w:rsidR="005D2955" w:rsidRPr="001448A7" w:rsidRDefault="005D2955" w:rsidP="00E9227E">
      <w:pPr>
        <w:pStyle w:val="Notedebasdepage"/>
        <w:rPr>
          <w:rFonts w:asciiTheme="majorBidi" w:hAnsiTheme="majorBidi" w:cstheme="majorBidi"/>
          <w:szCs w:val="18"/>
          <w:lang w:val="en-US"/>
        </w:rPr>
      </w:pPr>
      <w:r w:rsidRPr="001448A7">
        <w:rPr>
          <w:rFonts w:asciiTheme="majorBidi" w:hAnsiTheme="majorBidi" w:cstheme="majorBidi"/>
          <w:iCs/>
          <w:szCs w:val="18"/>
          <w:lang w:val="fr-FR"/>
        </w:rPr>
        <w:tab/>
      </w:r>
      <w:r w:rsidRPr="00E9227E">
        <w:rPr>
          <w:rStyle w:val="Appelnotedebasdep"/>
        </w:rPr>
        <w:footnoteRef/>
      </w:r>
      <w:r w:rsidRPr="001448A7">
        <w:rPr>
          <w:lang w:val="fr-FR"/>
        </w:rPr>
        <w:tab/>
        <w:t>Voir le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w:t>
      </w:r>
      <w:r w:rsidR="001F4635">
        <w:rPr>
          <w:i/>
          <w:iCs/>
          <w:lang w:val="fr-FR"/>
        </w:rPr>
        <w:t> </w:t>
      </w:r>
      <w:r w:rsidRPr="001448A7">
        <w:rPr>
          <w:i/>
          <w:iCs/>
          <w:lang w:val="fr-FR"/>
        </w:rPr>
        <w:t>… 2001</w:t>
      </w:r>
      <w:r w:rsidRPr="001448A7">
        <w:rPr>
          <w:lang w:val="fr-FR"/>
        </w:rPr>
        <w:t>, vol. II (2</w:t>
      </w:r>
      <w:r w:rsidRPr="001448A7">
        <w:rPr>
          <w:vertAlign w:val="superscript"/>
          <w:lang w:val="fr-FR"/>
        </w:rPr>
        <w:t>e</w:t>
      </w:r>
      <w:r w:rsidRPr="001448A7">
        <w:rPr>
          <w:lang w:val="fr-FR"/>
        </w:rPr>
        <w:t xml:space="preserve"> partie) et rectificatif, p. 32, par. 4 c) du commentaire général. Voir aussi le projet d</w:t>
      </w:r>
      <w:r w:rsidR="004937A0">
        <w:rPr>
          <w:lang w:val="fr-FR"/>
        </w:rPr>
        <w:t>’</w:t>
      </w:r>
      <w:r w:rsidRPr="001448A7">
        <w:rPr>
          <w:lang w:val="fr-FR"/>
        </w:rPr>
        <w:t>articles sur la prévention des dommages transfrontières résultant d</w:t>
      </w:r>
      <w:r w:rsidR="004937A0">
        <w:rPr>
          <w:lang w:val="fr-FR"/>
        </w:rPr>
        <w:t>’</w:t>
      </w:r>
      <w:r w:rsidRPr="001448A7">
        <w:rPr>
          <w:lang w:val="fr-FR"/>
        </w:rPr>
        <w:t>activités dangereuses, ibid., p. 159, par. 1 et 2 du commentaire général, et p. 161, par. 6 du commentaire de l</w:t>
      </w:r>
      <w:r w:rsidR="004937A0">
        <w:rPr>
          <w:lang w:val="fr-FR"/>
        </w:rPr>
        <w:t>’</w:t>
      </w:r>
      <w:r w:rsidRPr="001448A7">
        <w:rPr>
          <w:lang w:val="fr-FR"/>
        </w:rPr>
        <w:t>article premier ; le projet de principes sur la répartition des pertes en cas de dommage transfrontière découlant d</w:t>
      </w:r>
      <w:r w:rsidR="004937A0">
        <w:rPr>
          <w:lang w:val="fr-FR"/>
        </w:rPr>
        <w:t>’</w:t>
      </w:r>
      <w:r w:rsidRPr="001448A7">
        <w:rPr>
          <w:lang w:val="fr-FR"/>
        </w:rPr>
        <w:t xml:space="preserve">activités dangereuses, </w:t>
      </w:r>
      <w:r w:rsidRPr="001448A7">
        <w:rPr>
          <w:i/>
          <w:iCs/>
          <w:lang w:val="fr-FR"/>
        </w:rPr>
        <w:t>Annuaire … 2006</w:t>
      </w:r>
      <w:r w:rsidRPr="001448A7">
        <w:rPr>
          <w:lang w:val="fr-FR"/>
        </w:rPr>
        <w:t>, vol. II (2</w:t>
      </w:r>
      <w:r w:rsidRPr="001448A7">
        <w:rPr>
          <w:vertAlign w:val="superscript"/>
          <w:lang w:val="fr-FR"/>
        </w:rPr>
        <w:t>e</w:t>
      </w:r>
      <w:r w:rsidRPr="001448A7">
        <w:rPr>
          <w:lang w:val="fr-FR"/>
        </w:rPr>
        <w:t xml:space="preserve"> partie), p. 64, par. 6 du commentaire du principe 1 ; A. Boyle, « Liability for injurious consequences of acts not prohibited by international law », dans J. Crawford </w:t>
      </w:r>
      <w:r w:rsidRPr="001448A7">
        <w:rPr>
          <w:i/>
          <w:iCs/>
          <w:lang w:val="fr-FR"/>
        </w:rPr>
        <w:t>et al.</w:t>
      </w:r>
      <w:r w:rsidRPr="001448A7">
        <w:rPr>
          <w:lang w:val="fr-FR"/>
        </w:rPr>
        <w:t xml:space="preserve"> </w:t>
      </w:r>
      <w:r w:rsidRPr="001448A7">
        <w:rPr>
          <w:lang w:val="en-US"/>
        </w:rPr>
        <w:t xml:space="preserve">(dir. publ), </w:t>
      </w:r>
      <w:r w:rsidRPr="001448A7">
        <w:rPr>
          <w:i/>
          <w:iCs/>
          <w:lang w:val="en-US"/>
        </w:rPr>
        <w:t>The Law of International Responsibility</w:t>
      </w:r>
      <w:r w:rsidRPr="001448A7">
        <w:rPr>
          <w:lang w:val="en-US"/>
        </w:rPr>
        <w:t>, Oxford University Press, 2010, p. 95.</w:t>
      </w:r>
    </w:p>
  </w:footnote>
  <w:footnote w:id="351">
    <w:p w14:paraId="4C26D74A" w14:textId="08D7F07A"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Cs/>
          <w:szCs w:val="18"/>
          <w:lang w:val="en-US"/>
        </w:rPr>
        <w:tab/>
      </w:r>
      <w:r w:rsidRPr="00E9227E">
        <w:rPr>
          <w:rStyle w:val="Appelnotedebasdep"/>
        </w:rPr>
        <w:footnoteRef/>
      </w:r>
      <w:r w:rsidRPr="001448A7">
        <w:rPr>
          <w:lang w:val="fr-FR"/>
        </w:rPr>
        <w:tab/>
        <w:t>Voir le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31, par. 3 f) du commentaire général, et p. 151, par. 4 du commentaire de l</w:t>
      </w:r>
      <w:r w:rsidR="004937A0">
        <w:rPr>
          <w:lang w:val="fr-FR"/>
        </w:rPr>
        <w:t>’</w:t>
      </w:r>
      <w:r w:rsidRPr="001448A7">
        <w:rPr>
          <w:lang w:val="fr-FR"/>
        </w:rPr>
        <w:t>article 55.</w:t>
      </w:r>
    </w:p>
  </w:footnote>
  <w:footnote w:id="352">
    <w:p w14:paraId="091E09A1" w14:textId="542F1270"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Ahmadou Sadio Diallo, indemnisation</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331, par. 13 ; </w:t>
      </w:r>
      <w:r w:rsidRPr="001448A7">
        <w:rPr>
          <w:i/>
          <w:iCs/>
          <w:lang w:val="fr-FR"/>
        </w:rPr>
        <w:t>Certaines activités menées par le Nicaragua dans la région frontalière</w:t>
      </w:r>
      <w:r w:rsidRPr="001448A7">
        <w:rPr>
          <w:lang w:val="fr-FR"/>
        </w:rPr>
        <w:t xml:space="preserve"> (note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25 à 28, par. 29 à 35 et 41 ; </w:t>
      </w:r>
      <w:r w:rsidRPr="001448A7">
        <w:rPr>
          <w:i/>
          <w:iCs/>
          <w:lang w:val="fr-FR"/>
        </w:rPr>
        <w:t xml:space="preserve">Activités armées sur le territoire du Congo </w:t>
      </w:r>
      <w:r w:rsidRPr="001448A7">
        <w:rPr>
          <w:lang w:val="fr-FR"/>
        </w:rPr>
        <w:t xml:space="preserve">(note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p. 50, par. 99 à 102.</w:t>
      </w:r>
    </w:p>
  </w:footnote>
  <w:footnote w:id="353">
    <w:p w14:paraId="60640D80" w14:textId="2398381F"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Ahmadou Sadio Diallo, indemnisation</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331, par. 13, p. 334 et 335, par. 24, p. 337, par. 33, p. 339 et 340, par. 40, et p. 342, par. 49 ; </w:t>
      </w:r>
      <w:r w:rsidRPr="001448A7">
        <w:rPr>
          <w:i/>
          <w:iCs/>
          <w:lang w:val="fr-FR"/>
        </w:rPr>
        <w:t xml:space="preserve">Certaines activités menées par le Nicaragua dans la région frontalière </w:t>
      </w:r>
      <w:r w:rsidRPr="001448A7">
        <w:rPr>
          <w:lang w:val="fr-FR"/>
        </w:rPr>
        <w:t xml:space="preserve">(note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31, par. 52, et, de manière générale, p. 28 et suiv., part. III ; </w:t>
      </w:r>
      <w:r w:rsidRPr="001448A7">
        <w:rPr>
          <w:i/>
          <w:iCs/>
          <w:lang w:val="fr-FR"/>
        </w:rPr>
        <w:t>Activités armées sur le territoire du Congo</w:t>
      </w:r>
      <w:r w:rsidRPr="001448A7">
        <w:rPr>
          <w:lang w:val="fr-FR"/>
        </w:rPr>
        <w:t xml:space="preserve">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p. 137, par. 407, et, d</w:t>
      </w:r>
      <w:r w:rsidR="004937A0">
        <w:rPr>
          <w:lang w:val="fr-FR"/>
        </w:rPr>
        <w:t>’</w:t>
      </w:r>
      <w:r w:rsidRPr="001448A7">
        <w:rPr>
          <w:lang w:val="fr-FR"/>
        </w:rPr>
        <w:t>une manière générale, p. 58 et suiv., part. III.</w:t>
      </w:r>
    </w:p>
  </w:footnote>
  <w:footnote w:id="354">
    <w:p w14:paraId="7966C130" w14:textId="21871BA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Document de travail établi par le Secrétariat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sect. II.E. </w:t>
      </w:r>
    </w:p>
  </w:footnote>
  <w:footnote w:id="355">
    <w:p w14:paraId="760E3888" w14:textId="4375EB78"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 paragraphe 1 de l</w:t>
      </w:r>
      <w:r w:rsidR="004937A0">
        <w:rPr>
          <w:lang w:val="fr-FR"/>
        </w:rPr>
        <w:t>’</w:t>
      </w:r>
      <w:r w:rsidRPr="001448A7">
        <w:rPr>
          <w:lang w:val="fr-FR"/>
        </w:rPr>
        <w:t>article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w:t>
      </w:r>
      <w:r w:rsidR="008D6C4B">
        <w:rPr>
          <w:i/>
          <w:iCs/>
          <w:lang w:val="fr-FR"/>
        </w:rPr>
        <w:t xml:space="preserve"> </w:t>
      </w:r>
      <w:r w:rsidRPr="001448A7">
        <w:rPr>
          <w:i/>
          <w:iCs/>
          <w:lang w:val="fr-FR"/>
        </w:rPr>
        <w:t>… 2001</w:t>
      </w:r>
      <w:r w:rsidRPr="001448A7">
        <w:rPr>
          <w:lang w:val="fr-FR"/>
        </w:rPr>
        <w:t>, vol. II (2</w:t>
      </w:r>
      <w:r w:rsidRPr="001448A7">
        <w:rPr>
          <w:vertAlign w:val="superscript"/>
          <w:lang w:val="fr-FR"/>
        </w:rPr>
        <w:t>e</w:t>
      </w:r>
      <w:r w:rsidRPr="001448A7">
        <w:rPr>
          <w:lang w:val="fr-FR"/>
        </w:rPr>
        <w:t xml:space="preserve"> partie) et rectificatif, p. 105.</w:t>
      </w:r>
    </w:p>
  </w:footnote>
  <w:footnote w:id="356">
    <w:p w14:paraId="1A9BC167"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Pour plus de détails, voir </w:t>
      </w:r>
      <w:r w:rsidRPr="001448A7">
        <w:rPr>
          <w:i/>
          <w:iCs/>
          <w:lang w:val="fr-FR"/>
        </w:rPr>
        <w:t>infra</w:t>
      </w:r>
      <w:r w:rsidRPr="001448A7">
        <w:rPr>
          <w:lang w:val="fr-FR"/>
        </w:rPr>
        <w:t>, par. 13.</w:t>
      </w:r>
    </w:p>
  </w:footnote>
  <w:footnote w:id="357">
    <w:p w14:paraId="645759F8" w14:textId="2E5C2E05"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_Ref172537446 \h </w:instrText>
      </w:r>
      <w:r>
        <w:rPr>
          <w:lang w:val="fr-FR"/>
        </w:rPr>
        <w:instrText xml:space="preserve"> \* MERGEFORMAT </w:instrText>
      </w:r>
      <w:r w:rsidRPr="001448A7">
        <w:rPr>
          <w:lang w:val="fr-FR"/>
        </w:rPr>
      </w:r>
      <w:r w:rsidRPr="001448A7">
        <w:rPr>
          <w:lang w:val="fr-FR"/>
        </w:rPr>
        <w:fldChar w:fldCharType="separate"/>
      </w:r>
      <w:r w:rsidR="00EC4FDE">
        <w:rPr>
          <w:lang w:val="fr-FR"/>
        </w:rPr>
        <w:t>40</w:t>
      </w:r>
      <w:r w:rsidRPr="001448A7">
        <w:rPr>
          <w:lang w:val="fr-FR"/>
        </w:rPr>
        <w:fldChar w:fldCharType="end"/>
      </w:r>
      <w:r w:rsidRPr="001448A7">
        <w:rPr>
          <w:lang w:val="fr-FR"/>
        </w:rPr>
        <w:t>.</w:t>
      </w:r>
    </w:p>
  </w:footnote>
  <w:footnote w:id="358">
    <w:p w14:paraId="062358DD" w14:textId="57118BBC"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w:t>
      </w:r>
      <w:r w:rsidR="004937A0">
        <w:rPr>
          <w:lang w:val="fr-FR"/>
        </w:rPr>
        <w:t>’</w:t>
      </w:r>
      <w:r w:rsidRPr="001448A7">
        <w:rPr>
          <w:lang w:val="fr-FR"/>
        </w:rPr>
        <w:t>article 12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57.</w:t>
      </w:r>
    </w:p>
  </w:footnote>
  <w:footnote w:id="359">
    <w:p w14:paraId="1514BAA1" w14:textId="75D48E5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 paragraphe 3 de l</w:t>
      </w:r>
      <w:r w:rsidR="004937A0">
        <w:rPr>
          <w:lang w:val="fr-FR"/>
        </w:rPr>
        <w:t>’</w:t>
      </w:r>
      <w:r w:rsidRPr="001448A7">
        <w:rPr>
          <w:lang w:val="fr-FR"/>
        </w:rPr>
        <w:t>article 12 du projet d</w:t>
      </w:r>
      <w:r w:rsidR="004937A0">
        <w:rPr>
          <w:lang w:val="fr-FR"/>
        </w:rPr>
        <w:t>’</w:t>
      </w:r>
      <w:r w:rsidRPr="001448A7">
        <w:rPr>
          <w:lang w:val="fr-FR"/>
        </w:rPr>
        <w:t>articles sur la prévention et la répression des crimes contre l</w:t>
      </w:r>
      <w:r w:rsidR="004937A0">
        <w:rPr>
          <w:lang w:val="fr-FR"/>
        </w:rPr>
        <w:t>’</w:t>
      </w:r>
      <w:r w:rsidRPr="001448A7">
        <w:rPr>
          <w:lang w:val="fr-FR"/>
        </w:rPr>
        <w:t xml:space="preserve">humanité et les paragraphes 17 à 23 du commentaire y relatif, Rapport de la Commission du droit international sur les travaux de sa soixante et onzième session, </w:t>
      </w:r>
      <w:r w:rsidRPr="001448A7">
        <w:rPr>
          <w:i/>
          <w:iCs/>
          <w:lang w:val="fr-FR"/>
        </w:rPr>
        <w:t>Documents officiels de l</w:t>
      </w:r>
      <w:r w:rsidR="004937A0">
        <w:rPr>
          <w:i/>
          <w:iCs/>
          <w:lang w:val="fr-FR"/>
        </w:rPr>
        <w:t>’</w:t>
      </w:r>
      <w:r w:rsidRPr="001448A7">
        <w:rPr>
          <w:i/>
          <w:iCs/>
          <w:lang w:val="fr-FR"/>
        </w:rPr>
        <w:t>Assemblée générale</w:t>
      </w:r>
      <w:r w:rsidRPr="001448A7">
        <w:rPr>
          <w:lang w:val="fr-FR"/>
        </w:rPr>
        <w:t xml:space="preserve">, </w:t>
      </w:r>
      <w:r w:rsidRPr="001448A7">
        <w:rPr>
          <w:i/>
          <w:iCs/>
          <w:lang w:val="fr-FR"/>
        </w:rPr>
        <w:t xml:space="preserve">soixante-quatorzième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 </w:t>
      </w:r>
      <w:r w:rsidRPr="001448A7">
        <w:rPr>
          <w:lang w:val="fr-FR"/>
        </w:rPr>
        <w:t>(</w:t>
      </w:r>
      <w:hyperlink r:id="rId209" w:history="1">
        <w:r w:rsidRPr="001448A7">
          <w:rPr>
            <w:rStyle w:val="Lienhypertexte"/>
            <w:lang w:val="fr-FR"/>
          </w:rPr>
          <w:t>A/74/10</w:t>
        </w:r>
      </w:hyperlink>
      <w:r w:rsidRPr="001448A7">
        <w:rPr>
          <w:lang w:val="fr-FR"/>
        </w:rPr>
        <w:t>), chap. IV, par. 45 ; C. Grossman Guiloff, « Réparation due aux personnes victimes de violations flagrantes du droit international des droits de l</w:t>
      </w:r>
      <w:r w:rsidR="004937A0">
        <w:rPr>
          <w:lang w:val="fr-FR"/>
        </w:rPr>
        <w:t>’</w:t>
      </w:r>
      <w:r w:rsidRPr="001448A7">
        <w:rPr>
          <w:lang w:val="fr-FR"/>
        </w:rPr>
        <w:t>homme et de violations graves du droit international humanitaire », ibid., annexe B, par. 23 a) ; le paragraphe 4 de la conclusion 19 et le paragraphe 18 du commentaire de la conclusion 19 du projet de conclusions sur la détermination et les conséquences juridiques des normes impératives du droit international général (</w:t>
      </w:r>
      <w:r w:rsidRPr="001448A7">
        <w:rPr>
          <w:i/>
          <w:iCs/>
          <w:lang w:val="fr-FR"/>
        </w:rPr>
        <w:t>jus cogens</w:t>
      </w:r>
      <w:r w:rsidRPr="001448A7">
        <w:rPr>
          <w:lang w:val="fr-FR"/>
        </w:rPr>
        <w:t xml:space="preserve">) adopté par la Commission en seconde lecture, Rapport de la Commission du droit international sur les travaux de sa soixante-treizième session, </w:t>
      </w:r>
      <w:r w:rsidRPr="001448A7">
        <w:rPr>
          <w:i/>
          <w:iCs/>
          <w:lang w:val="fr-FR"/>
        </w:rPr>
        <w:t>Documents officiels de l</w:t>
      </w:r>
      <w:r w:rsidR="004937A0">
        <w:rPr>
          <w:i/>
          <w:iCs/>
          <w:lang w:val="fr-FR"/>
        </w:rPr>
        <w:t>’</w:t>
      </w:r>
      <w:r w:rsidRPr="001448A7">
        <w:rPr>
          <w:i/>
          <w:iCs/>
          <w:lang w:val="fr-FR"/>
        </w:rPr>
        <w:t xml:space="preserve">Assemblée générale, soixante-dix-septième session, </w:t>
      </w:r>
      <w:r>
        <w:rPr>
          <w:i/>
          <w:iCs/>
          <w:lang w:val="fr-FR"/>
        </w:rPr>
        <w:t>S</w:t>
      </w:r>
      <w:r w:rsidRPr="001448A7">
        <w:rPr>
          <w:i/>
          <w:iCs/>
          <w:lang w:val="fr-FR"/>
        </w:rPr>
        <w:t>upplément n</w:t>
      </w:r>
      <w:r w:rsidRPr="001448A7">
        <w:rPr>
          <w:i/>
          <w:iCs/>
          <w:vertAlign w:val="superscript"/>
          <w:lang w:val="fr-FR"/>
        </w:rPr>
        <w:t xml:space="preserve">o </w:t>
      </w:r>
      <w:r w:rsidRPr="001448A7">
        <w:rPr>
          <w:i/>
          <w:iCs/>
          <w:lang w:val="fr-FR"/>
        </w:rPr>
        <w:t>10</w:t>
      </w:r>
      <w:r w:rsidRPr="001448A7">
        <w:rPr>
          <w:lang w:val="fr-FR"/>
        </w:rPr>
        <w:t xml:space="preserve"> (</w:t>
      </w:r>
      <w:hyperlink r:id="rId210" w:history="1">
        <w:r w:rsidRPr="001448A7">
          <w:rPr>
            <w:rStyle w:val="Lienhypertexte"/>
            <w:lang w:val="fr-FR"/>
          </w:rPr>
          <w:t>A/77/10</w:t>
        </w:r>
      </w:hyperlink>
      <w:r w:rsidRPr="001448A7">
        <w:rPr>
          <w:lang w:val="fr-FR"/>
        </w:rPr>
        <w:t>), chap. IV, sect. E.2, par. 44 ; le paragraphe 1 du principe 9 et les paragraphes 5 à 8 du commentaire du principe 9 du projet de principes sur la protection de l</w:t>
      </w:r>
      <w:r w:rsidR="004937A0">
        <w:rPr>
          <w:lang w:val="fr-FR"/>
        </w:rPr>
        <w:t>’</w:t>
      </w:r>
      <w:r w:rsidRPr="001448A7">
        <w:rPr>
          <w:lang w:val="fr-FR"/>
        </w:rPr>
        <w:t xml:space="preserve">environnement en rapport avec les conflits armés adopté par la Commission en seconde lecture, ibid., chap. V, sect. E.2, par. 59. </w:t>
      </w:r>
    </w:p>
  </w:footnote>
  <w:footnote w:id="360">
    <w:p w14:paraId="574869A2" w14:textId="2A7D2990"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articles 30, 35 et 37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94, 102 et 113, respectivement.</w:t>
      </w:r>
    </w:p>
  </w:footnote>
  <w:footnote w:id="361">
    <w:p w14:paraId="10096012" w14:textId="3AB54B1C"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 xml:space="preserve">Voir </w:t>
      </w:r>
      <w:r w:rsidRPr="001448A7">
        <w:rPr>
          <w:i/>
          <w:iCs/>
          <w:lang w:val="fr-FR"/>
        </w:rPr>
        <w:t>Activités armées sur le territoire du Congo</w:t>
      </w:r>
      <w:r w:rsidRPr="001448A7">
        <w:rPr>
          <w:lang w:val="fr-FR"/>
        </w:rPr>
        <w:t xml:space="preserve">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p. 43, par. 70.</w:t>
      </w:r>
    </w:p>
  </w:footnote>
  <w:footnote w:id="362">
    <w:p w14:paraId="52B73B73" w14:textId="3CBA67C4"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 xml:space="preserve">Ibid., p. 50, par. 101. Voir aussi, concernant la réhabilitation, </w:t>
      </w:r>
      <w:r w:rsidRPr="001448A7">
        <w:rPr>
          <w:i/>
          <w:iCs/>
          <w:lang w:val="fr-FR"/>
        </w:rPr>
        <w:t>Ahmadou Sadio Diallo, indemnisation</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opinion individuelle de M. le juge Cançado Trindade, p. 347, p. 378 à 380, par. 81 à 85 ; Principes fondamentaux et directives ... (note </w:t>
      </w:r>
      <w:r w:rsidRPr="001448A7">
        <w:rPr>
          <w:lang w:val="fr-FR"/>
        </w:rPr>
        <w:fldChar w:fldCharType="begin"/>
      </w:r>
      <w:r w:rsidRPr="001448A7">
        <w:rPr>
          <w:lang w:val="fr-FR"/>
        </w:rPr>
        <w:instrText xml:space="preserve"> NOTEREF _Ref172537578 \h </w:instrText>
      </w:r>
      <w:r>
        <w:rPr>
          <w:lang w:val="fr-FR"/>
        </w:rPr>
        <w:instrText xml:space="preserve"> \* MERGEFORMAT </w:instrText>
      </w:r>
      <w:r w:rsidRPr="001448A7">
        <w:rPr>
          <w:lang w:val="fr-FR"/>
        </w:rPr>
      </w:r>
      <w:r w:rsidRPr="001448A7">
        <w:rPr>
          <w:lang w:val="fr-FR"/>
        </w:rPr>
        <w:fldChar w:fldCharType="separate"/>
      </w:r>
      <w:r w:rsidR="00EC4FDE">
        <w:rPr>
          <w:lang w:val="fr-FR"/>
        </w:rPr>
        <w:t>30</w:t>
      </w:r>
      <w:r w:rsidRPr="001448A7">
        <w:rPr>
          <w:lang w:val="fr-FR"/>
        </w:rPr>
        <w:fldChar w:fldCharType="end"/>
      </w:r>
      <w:r w:rsidRPr="001448A7">
        <w:rPr>
          <w:lang w:val="fr-FR"/>
        </w:rPr>
        <w:t xml:space="preserve"> </w:t>
      </w:r>
      <w:r w:rsidRPr="001448A7">
        <w:rPr>
          <w:i/>
          <w:iCs/>
          <w:lang w:val="fr-FR"/>
        </w:rPr>
        <w:t>supra</w:t>
      </w:r>
      <w:r w:rsidRPr="001448A7">
        <w:rPr>
          <w:lang w:val="fr-FR"/>
        </w:rPr>
        <w:t>), par. 21.</w:t>
      </w:r>
    </w:p>
  </w:footnote>
  <w:footnote w:id="363">
    <w:p w14:paraId="5A708B5C" w14:textId="04C83D84"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articles 13 et 27 b)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60 et 91, respectivement. Voir aussi Centre international pour le règlement des différends relatifs aux investissements, </w:t>
      </w:r>
      <w:r w:rsidRPr="001448A7">
        <w:rPr>
          <w:i/>
          <w:iCs/>
          <w:lang w:val="fr-FR"/>
        </w:rPr>
        <w:t>CMS Gas Transmission Company v. Argentine Republic</w:t>
      </w:r>
      <w:r w:rsidRPr="001448A7">
        <w:rPr>
          <w:lang w:val="fr-FR"/>
        </w:rPr>
        <w:t xml:space="preserve">, </w:t>
      </w:r>
      <w:r w:rsidRPr="001448A7">
        <w:rPr>
          <w:i/>
          <w:iCs/>
          <w:lang w:val="fr-FR"/>
        </w:rPr>
        <w:t>affaire n</w:t>
      </w:r>
      <w:r w:rsidRPr="001448A7">
        <w:rPr>
          <w:i/>
          <w:iCs/>
          <w:vertAlign w:val="superscript"/>
          <w:lang w:val="fr-FR"/>
        </w:rPr>
        <w:t>o</w:t>
      </w:r>
      <w:r w:rsidRPr="001448A7">
        <w:rPr>
          <w:i/>
          <w:iCs/>
          <w:lang w:val="fr-FR"/>
        </w:rPr>
        <w:t> ARB/01/08, décision d</w:t>
      </w:r>
      <w:r w:rsidR="004937A0">
        <w:rPr>
          <w:i/>
          <w:iCs/>
          <w:lang w:val="fr-FR"/>
        </w:rPr>
        <w:t>’</w:t>
      </w:r>
      <w:r w:rsidRPr="001448A7">
        <w:rPr>
          <w:i/>
          <w:iCs/>
          <w:lang w:val="fr-FR"/>
        </w:rPr>
        <w:t>annulation du 25 septembre 2007</w:t>
      </w:r>
      <w:r w:rsidRPr="001448A7">
        <w:rPr>
          <w:lang w:val="fr-FR"/>
        </w:rPr>
        <w:t xml:space="preserve">, par. 146 et 147 ; Centre international pour le règlement des différends relatifs aux investissements, </w:t>
      </w:r>
      <w:r w:rsidRPr="001448A7">
        <w:rPr>
          <w:i/>
          <w:iCs/>
          <w:lang w:val="fr-FR"/>
        </w:rPr>
        <w:t xml:space="preserve">EDF International SA </w:t>
      </w:r>
      <w:r w:rsidRPr="001448A7">
        <w:rPr>
          <w:lang w:val="fr-FR"/>
        </w:rPr>
        <w:t>et al.</w:t>
      </w:r>
      <w:r w:rsidRPr="001448A7">
        <w:rPr>
          <w:i/>
          <w:iCs/>
          <w:lang w:val="fr-FR"/>
        </w:rPr>
        <w:t xml:space="preserve"> v. Argentine Republic</w:t>
      </w:r>
      <w:r w:rsidRPr="001448A7">
        <w:rPr>
          <w:lang w:val="fr-FR"/>
        </w:rPr>
        <w:t xml:space="preserve">, </w:t>
      </w:r>
      <w:r w:rsidRPr="001448A7">
        <w:rPr>
          <w:i/>
          <w:iCs/>
          <w:lang w:val="fr-FR"/>
        </w:rPr>
        <w:t>affaire n</w:t>
      </w:r>
      <w:r w:rsidRPr="001448A7">
        <w:rPr>
          <w:i/>
          <w:iCs/>
          <w:vertAlign w:val="superscript"/>
          <w:lang w:val="fr-FR"/>
        </w:rPr>
        <w:t>o</w:t>
      </w:r>
      <w:r w:rsidRPr="001448A7">
        <w:rPr>
          <w:i/>
          <w:iCs/>
          <w:lang w:val="fr-FR"/>
        </w:rPr>
        <w:t> ARB/03/23, décision d</w:t>
      </w:r>
      <w:r w:rsidR="004937A0">
        <w:rPr>
          <w:i/>
          <w:iCs/>
          <w:lang w:val="fr-FR"/>
        </w:rPr>
        <w:t>’</w:t>
      </w:r>
      <w:r w:rsidRPr="001448A7">
        <w:rPr>
          <w:i/>
          <w:iCs/>
          <w:lang w:val="fr-FR"/>
        </w:rPr>
        <w:t>annulation du 5 février 2016,</w:t>
      </w:r>
      <w:r w:rsidRPr="001448A7">
        <w:rPr>
          <w:lang w:val="fr-FR"/>
        </w:rPr>
        <w:t xml:space="preserve"> par. 330</w:t>
      </w:r>
      <w:r>
        <w:rPr>
          <w:lang w:val="fr-FR"/>
        </w:rPr>
        <w:t>.</w:t>
      </w:r>
    </w:p>
  </w:footnote>
  <w:footnote w:id="364">
    <w:p w14:paraId="2A9F276F" w14:textId="61610143"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La pluralité d</w:t>
      </w:r>
      <w:r w:rsidR="004937A0">
        <w:rPr>
          <w:lang w:val="fr-FR"/>
        </w:rPr>
        <w:t>’</w:t>
      </w:r>
      <w:r w:rsidRPr="001448A7">
        <w:rPr>
          <w:lang w:val="fr-FR"/>
        </w:rPr>
        <w:t xml:space="preserve">acteurs responsables peut également avoir une incidence sur la détermination du contenu de la responsabilité, </w:t>
      </w:r>
      <w:r w:rsidRPr="001448A7">
        <w:rPr>
          <w:i/>
          <w:iCs/>
          <w:lang w:val="fr-FR"/>
        </w:rPr>
        <w:t>Activités armées sur le territoire du Congo</w:t>
      </w:r>
      <w:r w:rsidRPr="001448A7">
        <w:rPr>
          <w:lang w:val="fr-FR"/>
        </w:rPr>
        <w:t xml:space="preserve"> (voir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p. 49 et 50, par. 98 (où il est fait référence au commentaire de l</w:t>
      </w:r>
      <w:r w:rsidR="004937A0">
        <w:rPr>
          <w:lang w:val="fr-FR"/>
        </w:rPr>
        <w:t>’</w:t>
      </w:r>
      <w:r w:rsidRPr="001448A7">
        <w:rPr>
          <w:lang w:val="fr-FR"/>
        </w:rPr>
        <w:t>article 47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133).</w:t>
      </w:r>
    </w:p>
  </w:footnote>
  <w:footnote w:id="365">
    <w:p w14:paraId="36B88D17" w14:textId="02807250" w:rsidR="005D2955" w:rsidRPr="001448A7" w:rsidRDefault="005D2955" w:rsidP="00E9227E">
      <w:pPr>
        <w:pStyle w:val="Notedebasdepage"/>
        <w:rPr>
          <w:rFonts w:asciiTheme="majorBidi" w:hAnsiTheme="majorBidi" w:cstheme="majorBidi"/>
          <w:i/>
          <w:iCs/>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 paragraphe 1 de l</w:t>
      </w:r>
      <w:r w:rsidR="004937A0">
        <w:rPr>
          <w:lang w:val="fr-FR"/>
        </w:rPr>
        <w:t>’</w:t>
      </w:r>
      <w:r w:rsidRPr="001448A7">
        <w:rPr>
          <w:lang w:val="fr-FR"/>
        </w:rPr>
        <w:t>article 33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ibid., p. 101. </w:t>
      </w:r>
    </w:p>
  </w:footnote>
  <w:footnote w:id="366">
    <w:p w14:paraId="610974EF" w14:textId="729FF60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Voir ibid., le paragraphe 2 de l</w:t>
      </w:r>
      <w:r w:rsidR="004937A0">
        <w:rPr>
          <w:lang w:val="fr-FR"/>
        </w:rPr>
        <w:t>’</w:t>
      </w:r>
      <w:r w:rsidRPr="001448A7">
        <w:rPr>
          <w:lang w:val="fr-FR"/>
        </w:rPr>
        <w:t>article 33 et le paragraphe 4 du commentaire de l</w:t>
      </w:r>
      <w:r w:rsidR="004937A0">
        <w:rPr>
          <w:lang w:val="fr-FR"/>
        </w:rPr>
        <w:t>’</w:t>
      </w:r>
      <w:r w:rsidRPr="001448A7">
        <w:rPr>
          <w:lang w:val="fr-FR"/>
        </w:rPr>
        <w:t xml:space="preserve">article 33, p. 101. </w:t>
      </w:r>
    </w:p>
  </w:footnote>
  <w:footnote w:id="367">
    <w:p w14:paraId="42D7DCE6" w14:textId="276D1CA9"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Ibid., commentaire de l</w:t>
      </w:r>
      <w:r w:rsidR="004937A0">
        <w:rPr>
          <w:lang w:val="fr-FR"/>
        </w:rPr>
        <w:t>’</w:t>
      </w:r>
      <w:r w:rsidRPr="001448A7">
        <w:rPr>
          <w:lang w:val="fr-FR"/>
        </w:rPr>
        <w:t xml:space="preserve">article 36, par. 6, p. 106 , par. 19, p. 109, par. 27 et 32, p. 111 et 112, et notes 515, 516, 520 à 522, 524, 546, 547, 549, 550, 553, 555 à 560, 564 à 566, 570, 576 et 579, p. 105 et suiv. Voir aussi le troisième rapport sur la responsabilité des États, par M. James Crawford, Rapporteur spécial, </w:t>
      </w:r>
      <w:r w:rsidRPr="001448A7">
        <w:rPr>
          <w:i/>
          <w:iCs/>
          <w:lang w:val="fr-FR"/>
        </w:rPr>
        <w:t>Annuaire ... 2000</w:t>
      </w:r>
      <w:r w:rsidRPr="001448A7">
        <w:rPr>
          <w:lang w:val="fr-FR"/>
        </w:rPr>
        <w:t>, vol. II (1</w:t>
      </w:r>
      <w:r w:rsidRPr="001448A7">
        <w:rPr>
          <w:vertAlign w:val="superscript"/>
          <w:lang w:val="fr-FR"/>
        </w:rPr>
        <w:t>re</w:t>
      </w:r>
      <w:r w:rsidRPr="001448A7">
        <w:rPr>
          <w:lang w:val="fr-FR"/>
        </w:rPr>
        <w:t xml:space="preserve"> partie), document </w:t>
      </w:r>
      <w:hyperlink r:id="rId211" w:history="1">
        <w:r w:rsidRPr="001448A7">
          <w:rPr>
            <w:rStyle w:val="Lienhypertexte"/>
            <w:lang w:val="fr-FR"/>
          </w:rPr>
          <w:t>A/CN.4/507</w:t>
        </w:r>
      </w:hyperlink>
      <w:r w:rsidRPr="001448A7">
        <w:rPr>
          <w:lang w:val="fr-FR"/>
        </w:rPr>
        <w:t xml:space="preserve"> et </w:t>
      </w:r>
      <w:hyperlink r:id="rId212" w:history="1">
        <w:r w:rsidRPr="001448A7">
          <w:rPr>
            <w:rStyle w:val="Lienhypertexte"/>
            <w:lang w:val="fr-FR"/>
          </w:rPr>
          <w:t>Add.1</w:t>
        </w:r>
      </w:hyperlink>
      <w:r w:rsidRPr="001448A7">
        <w:rPr>
          <w:lang w:val="fr-FR"/>
        </w:rPr>
        <w:t xml:space="preserve"> à 4, p. 52 à 54, par. 156 à 158. </w:t>
      </w:r>
    </w:p>
  </w:footnote>
  <w:footnote w:id="368">
    <w:p w14:paraId="6E4248DB" w14:textId="2F78B5F4"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r>
      <w:r w:rsidRPr="001448A7">
        <w:rPr>
          <w:i/>
          <w:iCs/>
          <w:lang w:val="fr-FR"/>
        </w:rPr>
        <w:t>Ahmadou Sadio Diallo, indemnisation</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331, par. 13, et déclaration de M. le juge Greenwood, p. 391, à la page 394, par. 8. </w:t>
      </w:r>
    </w:p>
  </w:footnote>
  <w:footnote w:id="369">
    <w:p w14:paraId="7FF1E993" w14:textId="346A3927"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szCs w:val="18"/>
          <w:lang w:val="fr-FR"/>
        </w:rPr>
        <w:tab/>
      </w:r>
      <w:r w:rsidRPr="00E9227E">
        <w:rPr>
          <w:rStyle w:val="Appelnotedebasdep"/>
        </w:rPr>
        <w:footnoteRef/>
      </w:r>
      <w:r w:rsidRPr="001448A7">
        <w:rPr>
          <w:lang w:val="en-US"/>
        </w:rPr>
        <w:tab/>
        <w:t xml:space="preserve">Organisation des Nations Unies, </w:t>
      </w:r>
      <w:r w:rsidRPr="001448A7">
        <w:rPr>
          <w:i/>
          <w:iCs/>
          <w:lang w:val="en-US"/>
        </w:rPr>
        <w:t xml:space="preserve">Materials on the Responsibility of States for Internationally Wrongful Acts </w:t>
      </w:r>
      <w:r w:rsidRPr="001448A7">
        <w:rPr>
          <w:lang w:val="en-US"/>
        </w:rPr>
        <w:t xml:space="preserve">(note </w:t>
      </w:r>
      <w:r w:rsidRPr="001448A7">
        <w:rPr>
          <w:lang w:val="en-US"/>
        </w:rPr>
        <w:fldChar w:fldCharType="begin"/>
      </w:r>
      <w:r w:rsidRPr="001448A7">
        <w:rPr>
          <w:lang w:val="en-US"/>
        </w:rPr>
        <w:instrText xml:space="preserve"> NOTEREF _Ref172535375 \h </w:instrText>
      </w:r>
      <w:r>
        <w:rPr>
          <w:lang w:val="en-US"/>
        </w:rPr>
        <w:instrText xml:space="preserve"> \* MERGEFORMAT </w:instrText>
      </w:r>
      <w:r w:rsidRPr="001448A7">
        <w:rPr>
          <w:lang w:val="en-US"/>
        </w:rPr>
      </w:r>
      <w:r w:rsidRPr="001448A7">
        <w:rPr>
          <w:lang w:val="en-US"/>
        </w:rPr>
        <w:fldChar w:fldCharType="separate"/>
      </w:r>
      <w:r w:rsidR="00EC4FDE">
        <w:rPr>
          <w:lang w:val="en-US"/>
        </w:rPr>
        <w:t>20</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p. 396 à 414. </w:t>
      </w:r>
      <w:r w:rsidRPr="001448A7">
        <w:rPr>
          <w:lang w:val="fr-FR"/>
        </w:rPr>
        <w:t xml:space="preserve">Voir aussi Grossman </w:t>
      </w:r>
      <w:proofErr w:type="spellStart"/>
      <w:r w:rsidRPr="001448A7">
        <w:rPr>
          <w:lang w:val="fr-FR"/>
        </w:rPr>
        <w:t>Guiloff</w:t>
      </w:r>
      <w:proofErr w:type="spellEnd"/>
      <w:r w:rsidRPr="001448A7">
        <w:rPr>
          <w:lang w:val="fr-FR"/>
        </w:rPr>
        <w:t xml:space="preserve"> (note </w:t>
      </w:r>
      <w:r w:rsidRPr="001448A7">
        <w:rPr>
          <w:lang w:val="fr-FR"/>
        </w:rPr>
        <w:fldChar w:fldCharType="begin"/>
      </w:r>
      <w:r w:rsidRPr="001448A7">
        <w:rPr>
          <w:lang w:val="fr-FR"/>
        </w:rPr>
        <w:instrText xml:space="preserve"> NOTEREF _Ref172538024 \h </w:instrText>
      </w:r>
      <w:r>
        <w:rPr>
          <w:lang w:val="fr-FR"/>
        </w:rPr>
        <w:instrText xml:space="preserve"> \* MERGEFORMAT </w:instrText>
      </w:r>
      <w:r w:rsidRPr="001448A7">
        <w:rPr>
          <w:lang w:val="fr-FR"/>
        </w:rPr>
      </w:r>
      <w:r w:rsidRPr="001448A7">
        <w:rPr>
          <w:lang w:val="fr-FR"/>
        </w:rPr>
        <w:fldChar w:fldCharType="separate"/>
      </w:r>
      <w:r w:rsidR="00EC4FDE">
        <w:rPr>
          <w:lang w:val="fr-FR"/>
        </w:rPr>
        <w:t>49</w:t>
      </w:r>
      <w:r w:rsidRPr="001448A7">
        <w:rPr>
          <w:lang w:val="fr-FR"/>
        </w:rPr>
        <w:fldChar w:fldCharType="end"/>
      </w:r>
      <w:r w:rsidRPr="001448A7">
        <w:rPr>
          <w:lang w:val="fr-FR"/>
        </w:rPr>
        <w:t xml:space="preserve"> </w:t>
      </w:r>
      <w:r w:rsidRPr="001448A7">
        <w:rPr>
          <w:i/>
          <w:iCs/>
          <w:lang w:val="fr-FR"/>
        </w:rPr>
        <w:t>supra</w:t>
      </w:r>
      <w:r w:rsidRPr="001448A7">
        <w:rPr>
          <w:lang w:val="fr-FR"/>
        </w:rPr>
        <w:t>), par. 20.</w:t>
      </w:r>
    </w:p>
  </w:footnote>
  <w:footnote w:id="370">
    <w:p w14:paraId="7E9A9B84" w14:textId="2B7CDC9D"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Réparation des dommages subis au service des Nations Unies,</w:t>
      </w:r>
      <w:r w:rsidRPr="001448A7">
        <w:rPr>
          <w:lang w:val="fr-FR"/>
        </w:rPr>
        <w:t xml:space="preserve"> </w:t>
      </w:r>
      <w:r w:rsidRPr="001448A7">
        <w:rPr>
          <w:i/>
          <w:iCs/>
          <w:lang w:val="fr-FR"/>
        </w:rPr>
        <w:t>avis consultatif, C.I.J. Recueil 1949</w:t>
      </w:r>
      <w:r w:rsidRPr="001448A7">
        <w:rPr>
          <w:lang w:val="fr-FR"/>
        </w:rPr>
        <w:t xml:space="preserve">, p. 174, à la page 181 ; </w:t>
      </w:r>
      <w:r w:rsidRPr="001448A7">
        <w:rPr>
          <w:i/>
          <w:iCs/>
          <w:lang w:val="fr-FR"/>
        </w:rPr>
        <w:t>Différend relatif à l</w:t>
      </w:r>
      <w:r w:rsidR="004937A0">
        <w:rPr>
          <w:i/>
          <w:iCs/>
          <w:lang w:val="fr-FR"/>
        </w:rPr>
        <w:t>’</w:t>
      </w:r>
      <w:r w:rsidRPr="001448A7">
        <w:rPr>
          <w:i/>
          <w:iCs/>
          <w:lang w:val="fr-FR"/>
        </w:rPr>
        <w:t>immunité de juridiction d</w:t>
      </w:r>
      <w:r w:rsidR="004937A0">
        <w:rPr>
          <w:i/>
          <w:iCs/>
          <w:lang w:val="fr-FR"/>
        </w:rPr>
        <w:t>’</w:t>
      </w:r>
      <w:r w:rsidRPr="001448A7">
        <w:rPr>
          <w:i/>
          <w:iCs/>
          <w:lang w:val="fr-FR"/>
        </w:rPr>
        <w:t>un rapporteur spécial de la Commission des droits de l</w:t>
      </w:r>
      <w:r w:rsidR="004937A0">
        <w:rPr>
          <w:i/>
          <w:iCs/>
          <w:lang w:val="fr-FR"/>
        </w:rPr>
        <w:t>’</w:t>
      </w:r>
      <w:r w:rsidRPr="001448A7">
        <w:rPr>
          <w:i/>
          <w:iCs/>
          <w:lang w:val="fr-FR"/>
        </w:rPr>
        <w:t>homme, avis consultatif, C.I.J. Recueil 1999</w:t>
      </w:r>
      <w:r w:rsidRPr="001448A7">
        <w:rPr>
          <w:lang w:val="fr-FR"/>
        </w:rPr>
        <w:t xml:space="preserve">, p. 62, aux pages 88 et 89, par. 66. </w:t>
      </w:r>
    </w:p>
  </w:footnote>
  <w:footnote w:id="371">
    <w:p w14:paraId="0C4D258C" w14:textId="03B852E5"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À ceci près que le terme « État » a été remplacé par le terme « organisation internationale »</w:t>
      </w:r>
      <w:r w:rsidR="00827FD1">
        <w:rPr>
          <w:lang w:val="fr-FR"/>
        </w:rPr>
        <w:t> </w:t>
      </w:r>
      <w:r w:rsidRPr="001448A7">
        <w:rPr>
          <w:lang w:val="fr-FR"/>
        </w:rPr>
        <w:t>: voir le projet d</w:t>
      </w:r>
      <w:r w:rsidR="004937A0">
        <w:rPr>
          <w:lang w:val="fr-FR"/>
        </w:rPr>
        <w:t>’</w:t>
      </w:r>
      <w:r w:rsidRPr="001448A7">
        <w:rPr>
          <w:lang w:val="fr-FR"/>
        </w:rPr>
        <w:t xml:space="preserve">articles sur la responsabilité des organisations internationales, </w:t>
      </w:r>
      <w:r w:rsidRPr="001448A7">
        <w:rPr>
          <w:i/>
          <w:iCs/>
          <w:lang w:val="fr-FR"/>
        </w:rPr>
        <w:t>Annuaire ... 2011</w:t>
      </w:r>
      <w:r w:rsidRPr="001448A7">
        <w:rPr>
          <w:lang w:val="fr-FR"/>
        </w:rPr>
        <w:t>, vol. II (2</w:t>
      </w:r>
      <w:r w:rsidRPr="001448A7">
        <w:rPr>
          <w:vertAlign w:val="superscript"/>
          <w:lang w:val="fr-FR"/>
        </w:rPr>
        <w:t>e</w:t>
      </w:r>
      <w:r w:rsidRPr="001448A7">
        <w:rPr>
          <w:lang w:val="fr-FR"/>
        </w:rPr>
        <w:t> partie) et rectificatif, p. 80, par. 4 du commentaire de l</w:t>
      </w:r>
      <w:r w:rsidR="004937A0">
        <w:rPr>
          <w:lang w:val="fr-FR"/>
        </w:rPr>
        <w:t>’</w:t>
      </w:r>
      <w:r w:rsidRPr="001448A7">
        <w:rPr>
          <w:lang w:val="fr-FR"/>
        </w:rPr>
        <w:t>article 36. Ces articles ont également été repris moyennant des modifications minimes d</w:t>
      </w:r>
      <w:r w:rsidR="004937A0">
        <w:rPr>
          <w:lang w:val="fr-FR"/>
        </w:rPr>
        <w:t>’</w:t>
      </w:r>
      <w:r w:rsidRPr="001448A7">
        <w:rPr>
          <w:lang w:val="fr-FR"/>
        </w:rPr>
        <w:t>autres points relatifs au contenu de la responsabilité qui sont pertinents pour l</w:t>
      </w:r>
      <w:r w:rsidR="004937A0">
        <w:rPr>
          <w:lang w:val="fr-FR"/>
        </w:rPr>
        <w:t>’</w:t>
      </w:r>
      <w:r w:rsidRPr="001448A7">
        <w:rPr>
          <w:lang w:val="fr-FR"/>
        </w:rPr>
        <w:t>indemnisation, voir ibid., p. 78, par. 8 du commentaire de l</w:t>
      </w:r>
      <w:r w:rsidR="004937A0">
        <w:rPr>
          <w:lang w:val="fr-FR"/>
        </w:rPr>
        <w:t>’</w:t>
      </w:r>
      <w:r w:rsidRPr="001448A7">
        <w:rPr>
          <w:lang w:val="fr-FR"/>
        </w:rPr>
        <w:t>article 31, p. 81, commentaire de l</w:t>
      </w:r>
      <w:r w:rsidR="004937A0">
        <w:rPr>
          <w:lang w:val="fr-FR"/>
        </w:rPr>
        <w:t>’</w:t>
      </w:r>
      <w:r w:rsidRPr="001448A7">
        <w:rPr>
          <w:lang w:val="fr-FR"/>
        </w:rPr>
        <w:t>article 38, et p. 81 et 82, par. 1 du commentaire de l</w:t>
      </w:r>
      <w:r w:rsidR="004937A0">
        <w:rPr>
          <w:lang w:val="fr-FR"/>
        </w:rPr>
        <w:t>’</w:t>
      </w:r>
      <w:r w:rsidRPr="001448A7">
        <w:rPr>
          <w:lang w:val="fr-FR"/>
        </w:rPr>
        <w:t>article 39.</w:t>
      </w:r>
    </w:p>
  </w:footnote>
  <w:footnote w:id="372">
    <w:p w14:paraId="06A61274" w14:textId="5D6F63FE"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w:t>
      </w:r>
      <w:r w:rsidR="004937A0">
        <w:rPr>
          <w:lang w:val="fr-FR"/>
        </w:rPr>
        <w:t>’</w:t>
      </w:r>
      <w:r w:rsidRPr="001448A7">
        <w:rPr>
          <w:lang w:val="fr-FR"/>
        </w:rPr>
        <w:t>étude du Secrétariat sur le règlement des différends auxquels des organisations internationales sont parties (</w:t>
      </w:r>
      <w:hyperlink r:id="rId213" w:history="1">
        <w:r w:rsidRPr="001448A7">
          <w:rPr>
            <w:rStyle w:val="Lienhypertexte"/>
            <w:lang w:val="fr-FR"/>
          </w:rPr>
          <w:t>A/CN.4/764</w:t>
        </w:r>
      </w:hyperlink>
      <w:r w:rsidRPr="001448A7">
        <w:rPr>
          <w:lang w:val="fr-FR"/>
        </w:rPr>
        <w:t xml:space="preserve">). </w:t>
      </w:r>
    </w:p>
  </w:footnote>
  <w:footnote w:id="373">
    <w:p w14:paraId="2C1E8E29" w14:textId="77777777" w:rsidR="005D2955" w:rsidRPr="001448A7" w:rsidRDefault="005D2955" w:rsidP="00E9227E">
      <w:pPr>
        <w:pStyle w:val="Notedebasdepage"/>
        <w:rPr>
          <w:rFonts w:asciiTheme="majorBidi" w:eastAsia="Calibr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 xml:space="preserve">Cour pénale internationale, Chambre de première instance IX, </w:t>
      </w:r>
      <w:r w:rsidRPr="001448A7">
        <w:rPr>
          <w:i/>
          <w:iCs/>
          <w:lang w:val="fr-FR"/>
        </w:rPr>
        <w:t>Le Procureur c. Dominic Ongwen</w:t>
      </w:r>
      <w:r w:rsidRPr="001448A7">
        <w:rPr>
          <w:lang w:val="fr-FR"/>
        </w:rPr>
        <w:t>, affaire n</w:t>
      </w:r>
      <w:r w:rsidRPr="001448A7">
        <w:rPr>
          <w:vertAlign w:val="superscript"/>
          <w:lang w:val="fr-FR"/>
        </w:rPr>
        <w:t>o</w:t>
      </w:r>
      <w:r w:rsidRPr="001448A7">
        <w:rPr>
          <w:lang w:val="fr-FR"/>
        </w:rPr>
        <w:t xml:space="preserve"> ICC-02/04-01/15-2074, </w:t>
      </w:r>
      <w:r w:rsidRPr="001448A7">
        <w:rPr>
          <w:i/>
          <w:iCs/>
          <w:lang w:val="fr-FR"/>
        </w:rPr>
        <w:t xml:space="preserve">Reparations Order, </w:t>
      </w:r>
      <w:r w:rsidRPr="001448A7">
        <w:rPr>
          <w:lang w:val="fr-FR"/>
        </w:rPr>
        <w:t>28 février 2024, par. 56 à 58 et 77 à 87.</w:t>
      </w:r>
    </w:p>
  </w:footnote>
  <w:footnote w:id="374">
    <w:p w14:paraId="2B408034" w14:textId="08B0E2E0"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97, par. 2 de l</w:t>
      </w:r>
      <w:r w:rsidR="004937A0">
        <w:rPr>
          <w:lang w:val="fr-FR"/>
        </w:rPr>
        <w:t>’</w:t>
      </w:r>
      <w:r w:rsidRPr="001448A7">
        <w:rPr>
          <w:lang w:val="fr-FR"/>
        </w:rPr>
        <w:t>article 31, et p. 119, par. 5 du commentaire général du chapitre III de la deuxième partie. Voir aussi, sur le choix de la forme de réparation, ibid., p. 128, par. 2 b) de l</w:t>
      </w:r>
      <w:r w:rsidR="004937A0">
        <w:rPr>
          <w:lang w:val="fr-FR"/>
        </w:rPr>
        <w:t>’</w:t>
      </w:r>
      <w:r w:rsidRPr="001448A7">
        <w:rPr>
          <w:lang w:val="fr-FR"/>
        </w:rPr>
        <w:t xml:space="preserve">article 43. </w:t>
      </w:r>
    </w:p>
  </w:footnote>
  <w:footnote w:id="375">
    <w:p w14:paraId="64832567" w14:textId="577ADC16"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Ibid., p. 97, par. 2 de l</w:t>
      </w:r>
      <w:r w:rsidR="004937A0">
        <w:rPr>
          <w:lang w:val="fr-FR"/>
        </w:rPr>
        <w:t>’</w:t>
      </w:r>
      <w:r w:rsidRPr="001448A7">
        <w:rPr>
          <w:lang w:val="fr-FR"/>
        </w:rPr>
        <w:t>article 31 et p. 106, par. 4 du commentaire de l</w:t>
      </w:r>
      <w:r w:rsidR="004937A0">
        <w:rPr>
          <w:lang w:val="fr-FR"/>
        </w:rPr>
        <w:t>’</w:t>
      </w:r>
      <w:r w:rsidRPr="001448A7">
        <w:rPr>
          <w:lang w:val="fr-FR"/>
        </w:rPr>
        <w:t xml:space="preserve">article 36. </w:t>
      </w:r>
    </w:p>
  </w:footnote>
  <w:footnote w:id="376">
    <w:p w14:paraId="163ECA72" w14:textId="4E2A92A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Activités armées sur le territoire du Congo</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p. 130, par. 381, et opinion individuelle de M. le juge Robinson, p. 165, aux pages 183 et 184, par. 44 à 46.</w:t>
      </w:r>
    </w:p>
  </w:footnote>
  <w:footnote w:id="377">
    <w:p w14:paraId="01E92BB8" w14:textId="7A026AB3"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97, par. 1 de l</w:t>
      </w:r>
      <w:r w:rsidR="004937A0">
        <w:rPr>
          <w:lang w:val="fr-FR"/>
        </w:rPr>
        <w:t>’</w:t>
      </w:r>
      <w:r w:rsidRPr="001448A7">
        <w:rPr>
          <w:lang w:val="fr-FR"/>
        </w:rPr>
        <w:t>article 31 et p. 107 et 108 , par. 9 à 13 du commentaire de l</w:t>
      </w:r>
      <w:r w:rsidR="004937A0">
        <w:rPr>
          <w:lang w:val="fr-FR"/>
        </w:rPr>
        <w:t>’</w:t>
      </w:r>
      <w:r w:rsidRPr="001448A7">
        <w:rPr>
          <w:lang w:val="fr-FR"/>
        </w:rPr>
        <w:t xml:space="preserve">article 36 ; document de travail établi par le Secrétariat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par. 41. En ce qui concerne l</w:t>
      </w:r>
      <w:r w:rsidR="004937A0">
        <w:rPr>
          <w:lang w:val="fr-FR"/>
        </w:rPr>
        <w:t>’</w:t>
      </w:r>
      <w:r w:rsidRPr="001448A7">
        <w:rPr>
          <w:lang w:val="fr-FR"/>
        </w:rPr>
        <w:t>incidence du droit de l</w:t>
      </w:r>
      <w:r w:rsidR="004937A0">
        <w:rPr>
          <w:lang w:val="fr-FR"/>
        </w:rPr>
        <w:t>’</w:t>
      </w:r>
      <w:r w:rsidRPr="001448A7">
        <w:rPr>
          <w:lang w:val="fr-FR"/>
        </w:rPr>
        <w:t xml:space="preserve">occupation sur le lien de causalité requis, voir </w:t>
      </w:r>
      <w:r w:rsidRPr="001448A7">
        <w:rPr>
          <w:i/>
          <w:iCs/>
          <w:lang w:val="fr-FR"/>
        </w:rPr>
        <w:t>Activités armées sur le territoire du Congo</w:t>
      </w:r>
      <w:r w:rsidRPr="001448A7">
        <w:rPr>
          <w:lang w:val="fr-FR"/>
        </w:rPr>
        <w:t xml:space="preserve">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44 et 45, par. 78, et opinion individuelle de M. le juge Yusuf, p. 145, aux pages 146 et suiv., sect. II. </w:t>
      </w:r>
    </w:p>
  </w:footnote>
  <w:footnote w:id="378">
    <w:p w14:paraId="693EDD13" w14:textId="72DBD8C6"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bookmarkStart w:id="256" w:name="_Hlk138531846"/>
      <w:r w:rsidRPr="001448A7">
        <w:rPr>
          <w:lang w:val="fr-FR"/>
        </w:rPr>
        <w:tab/>
        <w:t xml:space="preserve">Ibid., p. 137, par. 407, et opinion individuelle de M. le juge Yusuf, p. 154, par. 23. Voir aussi </w:t>
      </w:r>
      <w:r w:rsidRPr="001448A7">
        <w:rPr>
          <w:i/>
          <w:iCs/>
          <w:lang w:val="fr-FR"/>
        </w:rPr>
        <w:t>Sentence finale, Réclamations de dommages de l</w:t>
      </w:r>
      <w:r w:rsidR="004937A0">
        <w:rPr>
          <w:i/>
          <w:iCs/>
          <w:lang w:val="fr-FR"/>
        </w:rPr>
        <w:t>’</w:t>
      </w:r>
      <w:r w:rsidRPr="001448A7">
        <w:rPr>
          <w:i/>
          <w:iCs/>
          <w:lang w:val="fr-FR"/>
        </w:rPr>
        <w:t>Érythrée</w:t>
      </w:r>
      <w:r w:rsidRPr="001448A7">
        <w:rPr>
          <w:lang w:val="fr-FR"/>
        </w:rPr>
        <w:t xml:space="preserve"> (note </w:t>
      </w:r>
      <w:r w:rsidRPr="001448A7">
        <w:rPr>
          <w:lang w:val="fr-FR"/>
        </w:rPr>
        <w:fldChar w:fldCharType="begin"/>
      </w:r>
      <w:r w:rsidRPr="001448A7">
        <w:rPr>
          <w:lang w:val="fr-FR"/>
        </w:rPr>
        <w:instrText xml:space="preserve"> NOTEREF _Ref172539195 \h </w:instrText>
      </w:r>
      <w:r>
        <w:rPr>
          <w:lang w:val="fr-FR"/>
        </w:rPr>
        <w:instrText xml:space="preserve"> \* MERGEFORMAT </w:instrText>
      </w:r>
      <w:r w:rsidRPr="001448A7">
        <w:rPr>
          <w:lang w:val="fr-FR"/>
        </w:rPr>
      </w:r>
      <w:r w:rsidRPr="001448A7">
        <w:rPr>
          <w:lang w:val="fr-FR"/>
        </w:rPr>
        <w:fldChar w:fldCharType="separate"/>
      </w:r>
      <w:r w:rsidR="00EC4FDE">
        <w:rPr>
          <w:lang w:val="fr-FR"/>
        </w:rPr>
        <w:t>28</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par. 19 à 23 ; </w:t>
      </w:r>
      <w:r w:rsidRPr="001448A7">
        <w:rPr>
          <w:i/>
          <w:iCs/>
          <w:lang w:val="fr-FR"/>
        </w:rPr>
        <w:t>Sentence finale, Réclamations de dommages de l</w:t>
      </w:r>
      <w:r w:rsidR="004937A0">
        <w:rPr>
          <w:i/>
          <w:iCs/>
          <w:lang w:val="fr-FR"/>
        </w:rPr>
        <w:t>’</w:t>
      </w:r>
      <w:r w:rsidRPr="001448A7">
        <w:rPr>
          <w:i/>
          <w:iCs/>
          <w:lang w:val="fr-FR"/>
        </w:rPr>
        <w:t>Éthiopie (</w:t>
      </w:r>
      <w:r w:rsidRPr="001448A7">
        <w:rPr>
          <w:lang w:val="fr-FR"/>
        </w:rPr>
        <w:t xml:space="preserve">ibid.), par. 19 à 23 ; </w:t>
      </w:r>
      <w:r w:rsidRPr="001448A7">
        <w:rPr>
          <w:i/>
          <w:iCs/>
          <w:lang w:val="fr-FR"/>
        </w:rPr>
        <w:t xml:space="preserve">Arbitrage </w:t>
      </w:r>
      <w:proofErr w:type="spellStart"/>
      <w:r w:rsidRPr="001448A7">
        <w:rPr>
          <w:i/>
          <w:iCs/>
          <w:lang w:val="fr-FR"/>
        </w:rPr>
        <w:t>Duzgit</w:t>
      </w:r>
      <w:proofErr w:type="spellEnd"/>
      <w:r w:rsidRPr="001448A7">
        <w:rPr>
          <w:i/>
          <w:iCs/>
          <w:lang w:val="fr-FR"/>
        </w:rPr>
        <w:t xml:space="preserve"> </w:t>
      </w:r>
      <w:proofErr w:type="spellStart"/>
      <w:r w:rsidRPr="001448A7">
        <w:rPr>
          <w:i/>
          <w:iCs/>
          <w:lang w:val="fr-FR"/>
        </w:rPr>
        <w:t>Integrity</w:t>
      </w:r>
      <w:proofErr w:type="spellEnd"/>
      <w:r w:rsidRPr="001448A7">
        <w:rPr>
          <w:lang w:val="fr-FR"/>
        </w:rPr>
        <w:t xml:space="preserve">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opinion dissidente de M. le juge Kateka, par. 24 à 26. </w:t>
      </w:r>
      <w:bookmarkEnd w:id="256"/>
    </w:p>
  </w:footnote>
  <w:footnote w:id="379">
    <w:p w14:paraId="2BB41AB1" w14:textId="14B5FAF6"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t xml:space="preserve">Voir </w:t>
      </w:r>
      <w:r w:rsidRPr="001448A7">
        <w:rPr>
          <w:i/>
          <w:iCs/>
          <w:lang w:val="fr-FR"/>
        </w:rPr>
        <w:t>Ahmadou Sadio Diallo, indemnisation</w:t>
      </w:r>
      <w:r w:rsidRPr="001448A7">
        <w:rPr>
          <w:lang w:val="fr-FR"/>
        </w:rPr>
        <w:t xml:space="preserve"> (note 13 </w:t>
      </w:r>
      <w:r w:rsidRPr="001448A7">
        <w:rPr>
          <w:i/>
          <w:iCs/>
          <w:lang w:val="fr-FR"/>
        </w:rPr>
        <w:t>supra</w:t>
      </w:r>
      <w:r w:rsidRPr="001448A7">
        <w:rPr>
          <w:lang w:val="fr-FR"/>
        </w:rPr>
        <w:t xml:space="preserve">), p. 334 et 335, par. 24, et déclaration de M. le juge Greenwood, p. 391, aux pages 393 et 394, par. 5, 7 et 9 ; </w:t>
      </w:r>
      <w:r w:rsidRPr="001448A7">
        <w:rPr>
          <w:i/>
          <w:iCs/>
          <w:lang w:val="fr-FR"/>
        </w:rPr>
        <w:t xml:space="preserve">Certaines activités menées par le Nicaragua dans la région frontalière </w:t>
      </w:r>
      <w:r w:rsidRPr="001448A7">
        <w:rPr>
          <w:lang w:val="fr-FR"/>
        </w:rPr>
        <w:t xml:space="preserve">(note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26 et 27, par. 35 ; </w:t>
      </w:r>
      <w:r w:rsidRPr="001448A7">
        <w:rPr>
          <w:i/>
          <w:iCs/>
          <w:lang w:val="fr-FR"/>
        </w:rPr>
        <w:t>Activités armées sur le territoire du Congo</w:t>
      </w:r>
      <w:r w:rsidRPr="001448A7">
        <w:rPr>
          <w:lang w:val="fr-FR"/>
        </w:rPr>
        <w:t xml:space="preserve">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p. 51 et 52, par. 106, p. 70 et 71, par. 164 et 166, p. 76, par. 181, p. 79, par. 193, p. 83, par. 206, p. 88 et 89, par. 225, p. 98, par. 258, et p. 127, par. 365.</w:t>
      </w:r>
    </w:p>
  </w:footnote>
  <w:footnote w:id="380">
    <w:p w14:paraId="3770BB4A" w14:textId="7918F49D"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deuxième rapport sur la responsabilité des État, par M. Gaetano Arangio-Ruiz, Rapporteur spécial, </w:t>
      </w:r>
      <w:r w:rsidRPr="001448A7">
        <w:rPr>
          <w:i/>
          <w:iCs/>
          <w:lang w:val="fr-FR"/>
        </w:rPr>
        <w:t>Annuaire ... 1989</w:t>
      </w:r>
      <w:r w:rsidRPr="001448A7">
        <w:rPr>
          <w:lang w:val="fr-FR"/>
        </w:rPr>
        <w:t>, vol. II (1</w:t>
      </w:r>
      <w:r w:rsidRPr="001448A7">
        <w:rPr>
          <w:vertAlign w:val="superscript"/>
          <w:lang w:val="fr-FR"/>
        </w:rPr>
        <w:t xml:space="preserve">re </w:t>
      </w:r>
      <w:r w:rsidRPr="001448A7">
        <w:rPr>
          <w:lang w:val="fr-FR"/>
        </w:rPr>
        <w:t xml:space="preserve">partie), document </w:t>
      </w:r>
      <w:hyperlink r:id="rId214" w:history="1">
        <w:r w:rsidRPr="001448A7">
          <w:rPr>
            <w:rStyle w:val="Lienhypertexte"/>
            <w:lang w:val="fr-FR"/>
          </w:rPr>
          <w:t>A/CN.4/425</w:t>
        </w:r>
      </w:hyperlink>
      <w:r w:rsidRPr="001448A7">
        <w:rPr>
          <w:lang w:val="fr-FR"/>
        </w:rPr>
        <w:t xml:space="preserve"> et </w:t>
      </w:r>
      <w:hyperlink r:id="rId215" w:history="1">
        <w:r w:rsidRPr="001448A7">
          <w:rPr>
            <w:rStyle w:val="Lienhypertexte"/>
            <w:lang w:val="fr-FR"/>
          </w:rPr>
          <w:t>Add.1</w:t>
        </w:r>
      </w:hyperlink>
      <w:r w:rsidRPr="001448A7">
        <w:rPr>
          <w:rStyle w:val="Lienhypertexte"/>
        </w:rPr>
        <w:t>,</w:t>
      </w:r>
      <w:r w:rsidRPr="001448A7">
        <w:rPr>
          <w:lang w:val="fr-FR"/>
        </w:rPr>
        <w:t xml:space="preserve"> p. 10 et 11, par. 27 à 29 ; </w:t>
      </w:r>
      <w:r w:rsidRPr="001448A7">
        <w:rPr>
          <w:i/>
          <w:iCs/>
          <w:lang w:val="fr-FR"/>
        </w:rPr>
        <w:t>The Islamic Republic of Iran v. the United States of America</w:t>
      </w:r>
      <w:r w:rsidRPr="001448A7">
        <w:rPr>
          <w:lang w:val="fr-FR"/>
        </w:rPr>
        <w:t xml:space="preserve">, </w:t>
      </w:r>
      <w:r w:rsidRPr="001448A7">
        <w:rPr>
          <w:i/>
          <w:iCs/>
          <w:lang w:val="fr-FR"/>
        </w:rPr>
        <w:t>affaires n</w:t>
      </w:r>
      <w:r w:rsidRPr="001448A7">
        <w:rPr>
          <w:i/>
          <w:iCs/>
          <w:vertAlign w:val="superscript"/>
          <w:lang w:val="fr-FR"/>
        </w:rPr>
        <w:t>o</w:t>
      </w:r>
      <w:r w:rsidRPr="001448A7">
        <w:rPr>
          <w:i/>
          <w:iCs/>
          <w:lang w:val="fr-FR"/>
        </w:rPr>
        <w:t xml:space="preserve"> A15 (II:A), A26 (IV) et B43, sentence partielle n</w:t>
      </w:r>
      <w:r w:rsidRPr="001448A7">
        <w:rPr>
          <w:i/>
          <w:iCs/>
          <w:vertAlign w:val="superscript"/>
          <w:lang w:val="fr-FR"/>
        </w:rPr>
        <w:t>o</w:t>
      </w:r>
      <w:r w:rsidRPr="001448A7">
        <w:rPr>
          <w:i/>
          <w:iCs/>
          <w:lang w:val="fr-FR"/>
        </w:rPr>
        <w:t xml:space="preserve"> 604-A15 (II:A)/A26 (IV)/B43-FT du 10 mars 2020</w:t>
      </w:r>
      <w:r w:rsidRPr="001448A7">
        <w:rPr>
          <w:lang w:val="fr-FR"/>
        </w:rPr>
        <w:t xml:space="preserve">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459, par. 1793 et 1794, p. 461 et 462, par. 1797, p. 505, par. 1946 et p. 542 et 543, par. 2087. </w:t>
      </w:r>
    </w:p>
  </w:footnote>
  <w:footnote w:id="381">
    <w:p w14:paraId="7ACDC831"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P. Nevill, « Award of interest by international courts and tribunals », </w:t>
      </w:r>
      <w:r w:rsidRPr="001448A7">
        <w:rPr>
          <w:i/>
          <w:iCs/>
          <w:lang w:val="fr-FR"/>
        </w:rPr>
        <w:t>British Year Book of International Law</w:t>
      </w:r>
      <w:r w:rsidRPr="001448A7">
        <w:rPr>
          <w:lang w:val="fr-FR"/>
        </w:rPr>
        <w:t>, vol. 78, n</w:t>
      </w:r>
      <w:r w:rsidRPr="001448A7">
        <w:rPr>
          <w:vertAlign w:val="superscript"/>
          <w:lang w:val="fr-FR"/>
        </w:rPr>
        <w:t>o</w:t>
      </w:r>
      <w:r w:rsidRPr="001448A7">
        <w:rPr>
          <w:lang w:val="fr-FR"/>
        </w:rPr>
        <w:t xml:space="preserve"> 1 (2007), p. 255 à 341 ; D. Dreyssé, </w:t>
      </w:r>
      <w:r w:rsidRPr="001448A7">
        <w:rPr>
          <w:i/>
          <w:iCs/>
          <w:lang w:val="fr-FR"/>
        </w:rPr>
        <w:t>Le comportement de la victime dans le droit de la responsabilité internationale</w:t>
      </w:r>
      <w:r w:rsidRPr="001448A7">
        <w:rPr>
          <w:lang w:val="fr-FR"/>
        </w:rPr>
        <w:t xml:space="preserve">, Paris, Dalloz, 2021. </w:t>
      </w:r>
    </w:p>
  </w:footnote>
  <w:footnote w:id="382">
    <w:p w14:paraId="4385F67D" w14:textId="15F7EBB4" w:rsidR="005D2955" w:rsidRPr="001448A7" w:rsidRDefault="005D2955" w:rsidP="00E9227E">
      <w:pPr>
        <w:pStyle w:val="Notedebasdepage"/>
        <w:rPr>
          <w:rFonts w:asciiTheme="majorBidi" w:hAnsiTheme="majorBidi" w:cstheme="majorBidi"/>
          <w:szCs w:val="18"/>
          <w:lang w:val="fr-FR"/>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r>
      <w:r w:rsidRPr="001448A7">
        <w:rPr>
          <w:i/>
          <w:iCs/>
          <w:lang w:val="fr-FR"/>
        </w:rPr>
        <w:t>Ahmadou Sadio Diallo, indemnisation</w:t>
      </w:r>
      <w:r w:rsidRPr="001448A7">
        <w:rPr>
          <w:lang w:val="fr-FR"/>
        </w:rPr>
        <w:t xml:space="preserve"> (voir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et déclaration de M. le juge Greenwood, p. 391, aux pages 393 et 394, par. 7, 8 et 9. Voir aussi </w:t>
      </w:r>
      <w:r w:rsidRPr="001448A7">
        <w:rPr>
          <w:i/>
          <w:iCs/>
          <w:lang w:val="fr-FR"/>
        </w:rPr>
        <w:t>Arctic Sunrise, sentence sur l</w:t>
      </w:r>
      <w:r w:rsidR="004937A0">
        <w:rPr>
          <w:i/>
          <w:iCs/>
          <w:lang w:val="fr-FR"/>
        </w:rPr>
        <w:t>’</w:t>
      </w:r>
      <w:r w:rsidRPr="001448A7">
        <w:rPr>
          <w:i/>
          <w:iCs/>
          <w:lang w:val="fr-FR"/>
        </w:rPr>
        <w:t>indemnisation</w:t>
      </w:r>
      <w:r w:rsidRPr="001448A7">
        <w:rPr>
          <w:lang w:val="fr-FR"/>
        </w:rPr>
        <w:t xml:space="preserve">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338, par. 73. </w:t>
      </w:r>
    </w:p>
  </w:footnote>
  <w:footnote w:id="383">
    <w:p w14:paraId="054DE877" w14:textId="7CAD0E2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Document de travail établi par le Secrétariat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xml:space="preserve"> </w:t>
      </w:r>
      <w:r w:rsidRPr="001448A7">
        <w:rPr>
          <w:i/>
          <w:iCs/>
          <w:lang w:val="fr-FR"/>
        </w:rPr>
        <w:t>supra</w:t>
      </w:r>
      <w:r w:rsidRPr="001448A7">
        <w:rPr>
          <w:lang w:val="fr-FR"/>
        </w:rPr>
        <w:t>), par. 41.</w:t>
      </w:r>
    </w:p>
  </w:footnote>
  <w:footnote w:id="384">
    <w:p w14:paraId="18DBC28C" w14:textId="77777777"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Ibid.</w:t>
      </w:r>
    </w:p>
  </w:footnote>
  <w:footnote w:id="385">
    <w:p w14:paraId="41C339DE" w14:textId="3641D460"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27 et 32 du commentaire de l</w:t>
      </w:r>
      <w:r w:rsidR="004937A0">
        <w:rPr>
          <w:lang w:val="fr-FR"/>
        </w:rPr>
        <w:t>’</w:t>
      </w:r>
      <w:r w:rsidRPr="001448A7">
        <w:rPr>
          <w:lang w:val="fr-FR"/>
        </w:rPr>
        <w:t>article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111 et 112 (approuvés dans </w:t>
      </w:r>
      <w:r w:rsidRPr="001448A7">
        <w:rPr>
          <w:i/>
          <w:iCs/>
          <w:lang w:val="fr-FR"/>
        </w:rPr>
        <w:t>Ahmadou Sadio Diallo, indemnisation</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p. 342, par. 49). </w:t>
      </w:r>
    </w:p>
  </w:footnote>
  <w:footnote w:id="386">
    <w:p w14:paraId="798FDEA6" w14:textId="2904969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 paragraphe 33 du commentaire de l</w:t>
      </w:r>
      <w:r w:rsidR="004937A0">
        <w:rPr>
          <w:lang w:val="fr-FR"/>
        </w:rPr>
        <w:t>’</w:t>
      </w:r>
      <w:r w:rsidRPr="001448A7">
        <w:rPr>
          <w:lang w:val="fr-FR"/>
        </w:rPr>
        <w:t>article 36 et le paragraphe 11 du commentaire de l</w:t>
      </w:r>
      <w:r w:rsidR="004937A0">
        <w:rPr>
          <w:lang w:val="fr-FR"/>
        </w:rPr>
        <w:t>’</w:t>
      </w:r>
      <w:r w:rsidRPr="001448A7">
        <w:rPr>
          <w:lang w:val="fr-FR"/>
        </w:rPr>
        <w:t>article 38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partie) et rectificatif, p. 112 et 117, respectivement.</w:t>
      </w:r>
    </w:p>
  </w:footnote>
  <w:footnote w:id="387">
    <w:p w14:paraId="1F5D80D1" w14:textId="1B1F96B2"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szCs w:val="18"/>
          <w:lang w:val="fr-FR"/>
        </w:rPr>
        <w:tab/>
      </w:r>
      <w:r w:rsidRPr="00E9227E">
        <w:rPr>
          <w:rStyle w:val="Appelnotedebasdep"/>
        </w:rPr>
        <w:footnoteRef/>
      </w:r>
      <w:r w:rsidRPr="001448A7">
        <w:rPr>
          <w:lang w:val="fr-FR"/>
        </w:rPr>
        <w:tab/>
        <w:t>Voir les paragraphes 27 à 31 du commentaire de l</w:t>
      </w:r>
      <w:r w:rsidR="004937A0">
        <w:rPr>
          <w:lang w:val="fr-FR"/>
        </w:rPr>
        <w:t>’</w:t>
      </w:r>
      <w:r w:rsidRPr="001448A7">
        <w:rPr>
          <w:lang w:val="fr-FR"/>
        </w:rPr>
        <w:t xml:space="preserve">article 36, ibid., p. 111 et 112. </w:t>
      </w:r>
    </w:p>
  </w:footnote>
  <w:footnote w:id="388">
    <w:p w14:paraId="612384CD" w14:textId="77777777" w:rsidR="005D2955" w:rsidRPr="001448A7" w:rsidRDefault="005D2955" w:rsidP="00E9227E">
      <w:pPr>
        <w:pStyle w:val="Notedebasdepage"/>
        <w:rPr>
          <w:rFonts w:asciiTheme="majorBidi" w:hAnsiTheme="majorBidi" w:cstheme="majorBidi"/>
          <w:szCs w:val="18"/>
          <w:lang w:val="en-US"/>
        </w:rPr>
      </w:pPr>
      <w:r w:rsidRPr="001448A7">
        <w:rPr>
          <w:rFonts w:asciiTheme="majorBidi" w:hAnsiTheme="majorBidi" w:cstheme="majorBidi"/>
          <w:szCs w:val="18"/>
          <w:lang w:val="fr-FR"/>
        </w:rPr>
        <w:tab/>
      </w:r>
      <w:r w:rsidRPr="00E9227E">
        <w:rPr>
          <w:rStyle w:val="Appelnotedebasdep"/>
        </w:rPr>
        <w:footnoteRef/>
      </w:r>
      <w:r w:rsidRPr="001448A7">
        <w:rPr>
          <w:lang w:val="en-US"/>
        </w:rPr>
        <w:tab/>
        <w:t xml:space="preserve">Voir A. C. Smutny, « Some observations on the principles relating to compensation in the investment treaty context », </w:t>
      </w:r>
      <w:r w:rsidRPr="001448A7">
        <w:rPr>
          <w:i/>
          <w:iCs/>
          <w:lang w:val="en-US"/>
        </w:rPr>
        <w:t>ICSID Review - Foreign Investment Law Journal</w:t>
      </w:r>
      <w:r w:rsidRPr="001448A7">
        <w:rPr>
          <w:lang w:val="en-US"/>
        </w:rPr>
        <w:t>, vol. 22 (2007), p. 1, aux pages 11 à 14.</w:t>
      </w:r>
    </w:p>
  </w:footnote>
  <w:footnote w:id="389">
    <w:p w14:paraId="2AAA9320" w14:textId="5D1D2A2E"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en-US"/>
        </w:rPr>
        <w:tab/>
      </w:r>
      <w:r w:rsidRPr="00E9227E">
        <w:rPr>
          <w:rStyle w:val="Appelnotedebasdep"/>
        </w:rPr>
        <w:footnoteRef/>
      </w:r>
      <w:r w:rsidRPr="001448A7">
        <w:rPr>
          <w:lang w:val="fr-FR"/>
        </w:rPr>
        <w:tab/>
        <w:t xml:space="preserve">Document de travail établi par le Secrétariat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xml:space="preserve"> </w:t>
      </w:r>
      <w:r w:rsidRPr="001448A7">
        <w:rPr>
          <w:i/>
          <w:iCs/>
          <w:lang w:val="fr-FR"/>
        </w:rPr>
        <w:t>supra</w:t>
      </w:r>
      <w:r w:rsidRPr="001448A7">
        <w:rPr>
          <w:lang w:val="fr-FR"/>
        </w:rPr>
        <w:t>), par. 41.</w:t>
      </w:r>
    </w:p>
  </w:footnote>
  <w:footnote w:id="390">
    <w:p w14:paraId="6CDB069E" w14:textId="125709AD"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8 et 9 du commentaire de l</w:t>
      </w:r>
      <w:r w:rsidR="004937A0">
        <w:rPr>
          <w:lang w:val="fr-FR"/>
        </w:rPr>
        <w:t>’</w:t>
      </w:r>
      <w:r w:rsidRPr="001448A7">
        <w:rPr>
          <w:lang w:val="fr-FR"/>
        </w:rPr>
        <w:t>article 38 du projet d</w:t>
      </w:r>
      <w:r w:rsidR="004937A0">
        <w:rPr>
          <w:lang w:val="fr-FR"/>
        </w:rPr>
        <w:t>’</w:t>
      </w:r>
      <w:r w:rsidRPr="001448A7">
        <w:rPr>
          <w:lang w:val="fr-FR"/>
        </w:rPr>
        <w:t>articles sur la responsabilité de l</w:t>
      </w:r>
      <w:r w:rsidR="004937A0">
        <w:rPr>
          <w:lang w:val="fr-FR"/>
        </w:rPr>
        <w:t>’</w:t>
      </w:r>
      <w:r w:rsidRPr="001448A7">
        <w:rPr>
          <w:lang w:val="fr-FR"/>
        </w:rPr>
        <w:t>État pour fait internationalement illicite,</w:t>
      </w:r>
      <w:r w:rsidRPr="001448A7">
        <w:rPr>
          <w:i/>
          <w:iCs/>
          <w:lang w:val="fr-FR"/>
        </w:rPr>
        <w:t xml:space="preserve"> Annuaire… 2001</w:t>
      </w:r>
      <w:r w:rsidRPr="001448A7">
        <w:rPr>
          <w:lang w:val="fr-FR"/>
        </w:rPr>
        <w:t>, vol. II (2</w:t>
      </w:r>
      <w:r w:rsidRPr="001448A7">
        <w:rPr>
          <w:vertAlign w:val="superscript"/>
          <w:lang w:val="fr-FR"/>
        </w:rPr>
        <w:t>e</w:t>
      </w:r>
      <w:r w:rsidRPr="001448A7">
        <w:rPr>
          <w:lang w:val="fr-FR"/>
        </w:rPr>
        <w:t xml:space="preserve"> partie) et rectificatif, p. 116 et 117. Dans des affaires interétatiques qui ont été jugées après 2001, il a été fait droit à des demandes d</w:t>
      </w:r>
      <w:r w:rsidR="004937A0">
        <w:rPr>
          <w:lang w:val="fr-FR"/>
        </w:rPr>
        <w:t>’</w:t>
      </w:r>
      <w:r w:rsidRPr="001448A7">
        <w:rPr>
          <w:lang w:val="fr-FR"/>
        </w:rPr>
        <w:t>intérêts composés dans des différends en matière de droit de la mer, alors que le Tribunal des réclamations Iran-États-Unis les a rejetés et que la Cour internationale de Justice n</w:t>
      </w:r>
      <w:r w:rsidR="004937A0">
        <w:rPr>
          <w:lang w:val="fr-FR"/>
        </w:rPr>
        <w:t>’</w:t>
      </w:r>
      <w:r w:rsidRPr="001448A7">
        <w:rPr>
          <w:lang w:val="fr-FR"/>
        </w:rPr>
        <w:t>a pas eu à se prononcer sur cette question ; dans les arbitrages entre investisseurs et États, les intérêts composés sont de plus en plus souvent accordés lorsqu</w:t>
      </w:r>
      <w:r w:rsidR="004937A0">
        <w:rPr>
          <w:lang w:val="fr-FR"/>
        </w:rPr>
        <w:t>’</w:t>
      </w:r>
      <w:r w:rsidRPr="001448A7">
        <w:rPr>
          <w:lang w:val="fr-FR"/>
        </w:rPr>
        <w:t xml:space="preserve">ils sont demandés, quoique pas immanquablement. Voir M. Paparinskis, « Article 38 », dans P. Bodeau-Livinec et P. Galvão Teles (dir. publ.), </w:t>
      </w:r>
      <w:r w:rsidRPr="001448A7">
        <w:rPr>
          <w:i/>
          <w:iCs/>
          <w:lang w:val="fr-FR"/>
        </w:rPr>
        <w:t>Articles on State Responsibility for Internationally Wrongful Acts: a Commentary</w:t>
      </w:r>
      <w:r w:rsidRPr="001448A7">
        <w:rPr>
          <w:lang w:val="fr-FR"/>
        </w:rPr>
        <w:t xml:space="preserve">, Oxford University Press, à paraître. </w:t>
      </w:r>
    </w:p>
  </w:footnote>
  <w:footnote w:id="391">
    <w:p w14:paraId="2999CCFE" w14:textId="1DD73F9A"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7 à 34 du commentaire de l</w:t>
      </w:r>
      <w:r w:rsidR="004937A0">
        <w:rPr>
          <w:lang w:val="fr-FR"/>
        </w:rPr>
        <w:t>’</w:t>
      </w:r>
      <w:r w:rsidRPr="001448A7">
        <w:rPr>
          <w:lang w:val="fr-FR"/>
        </w:rPr>
        <w:t>article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w:t>
      </w:r>
      <w:r w:rsidR="008D6C4B">
        <w:rPr>
          <w:i/>
          <w:iCs/>
          <w:lang w:val="fr-FR"/>
        </w:rPr>
        <w:t xml:space="preserve"> </w:t>
      </w:r>
      <w:r w:rsidRPr="001448A7">
        <w:rPr>
          <w:i/>
          <w:iCs/>
          <w:lang w:val="fr-FR"/>
        </w:rPr>
        <w:t>… 2001</w:t>
      </w:r>
      <w:r w:rsidRPr="001448A7">
        <w:rPr>
          <w:lang w:val="fr-FR"/>
        </w:rPr>
        <w:t>, vol. II (2</w:t>
      </w:r>
      <w:r w:rsidRPr="001448A7">
        <w:rPr>
          <w:vertAlign w:val="superscript"/>
          <w:lang w:val="fr-FR"/>
        </w:rPr>
        <w:t>e</w:t>
      </w:r>
      <w:r w:rsidRPr="001448A7">
        <w:rPr>
          <w:lang w:val="fr-FR"/>
        </w:rPr>
        <w:t xml:space="preserve"> partie) et rectificatif, p. 106 à 113 ; les paragraphes 5 à 8 du commentaire du principe 9 du projet de principes sur la protection de l</w:t>
      </w:r>
      <w:r w:rsidR="004937A0">
        <w:rPr>
          <w:lang w:val="fr-FR"/>
        </w:rPr>
        <w:t>’</w:t>
      </w:r>
      <w:r w:rsidRPr="001448A7">
        <w:rPr>
          <w:lang w:val="fr-FR"/>
        </w:rPr>
        <w:t xml:space="preserve">environnement en rapport avec les conflits armés, rapport de la Commission du droit international sur les travaux de sa soixante-treizième session, </w:t>
      </w:r>
      <w:r w:rsidRPr="001448A7">
        <w:rPr>
          <w:i/>
          <w:iCs/>
          <w:lang w:val="fr-FR"/>
        </w:rPr>
        <w:t>Documents officiels de l</w:t>
      </w:r>
      <w:r w:rsidR="004937A0">
        <w:rPr>
          <w:i/>
          <w:iCs/>
          <w:lang w:val="fr-FR"/>
        </w:rPr>
        <w:t>’</w:t>
      </w:r>
      <w:r w:rsidRPr="001448A7">
        <w:rPr>
          <w:i/>
          <w:iCs/>
          <w:lang w:val="fr-FR"/>
        </w:rPr>
        <w:t xml:space="preserve">Assemblée générale, soixante-dix-septième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w:t>
      </w:r>
      <w:r w:rsidRPr="001448A7">
        <w:rPr>
          <w:lang w:val="fr-FR"/>
        </w:rPr>
        <w:t xml:space="preserve"> (</w:t>
      </w:r>
      <w:hyperlink r:id="rId216" w:history="1">
        <w:r w:rsidRPr="001448A7">
          <w:rPr>
            <w:rStyle w:val="Lienhypertexte"/>
            <w:lang w:val="fr-FR"/>
          </w:rPr>
          <w:t>A/77/10</w:t>
        </w:r>
      </w:hyperlink>
      <w:r w:rsidRPr="001448A7">
        <w:rPr>
          <w:lang w:val="fr-FR"/>
        </w:rPr>
        <w:t>), chap. V, sect. E.2, par. 59.</w:t>
      </w:r>
    </w:p>
  </w:footnote>
  <w:footnote w:id="392">
    <w:p w14:paraId="0C59EDD7" w14:textId="594A5451"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Activités armées sur le territoire du Congo</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p. 51 et suiv., par. 106, 107, 166, 181, 193, 206, 221, 225, 226, 253, 258, 298, 310, 322, 332, 344, 363, 365, 366, 392 et 405 ; déclaration de M. le juge Tomka, p. 140, aux pages 142 et 143, par. 9 ; opinion individuelle de M. le juge Yusuf, p. 145, aux pages 153 à 164, sect. III et IV ; opinion individuelle de M. le juge Robinson, p. 165 ; déclaration de M. le juge Salam, p. 185, à la page 189, par. 17, et à la page 191, par. 23 ; opinion individuelle de M. le juge Iwasawa, p. 192, à la page 193, par. 4 et 5, et aux pages 195 et 196, par. 10 ; opinion dissidente de M. le juge ad hoc Daudet, p. 200, aux pages 207 et 208, par. 27 et 29. </w:t>
      </w:r>
    </w:p>
  </w:footnote>
  <w:footnote w:id="393">
    <w:p w14:paraId="7106021B" w14:textId="76FF9C6C"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Annuaire … 1997</w:t>
      </w:r>
      <w:r w:rsidRPr="001448A7">
        <w:rPr>
          <w:lang w:val="fr-FR"/>
        </w:rPr>
        <w:t>, vol II (2</w:t>
      </w:r>
      <w:r w:rsidRPr="001448A7">
        <w:rPr>
          <w:vertAlign w:val="superscript"/>
          <w:lang w:val="fr-FR"/>
        </w:rPr>
        <w:t>e</w:t>
      </w:r>
      <w:r w:rsidRPr="001448A7">
        <w:rPr>
          <w:lang w:val="fr-FR"/>
        </w:rPr>
        <w:t xml:space="preserve"> partie), p. 72 et 73, par. 238 ; Rapport de la Commission du droit international sur les travaux de sa soixante-treizième session, </w:t>
      </w:r>
      <w:r w:rsidRPr="001448A7">
        <w:rPr>
          <w:i/>
          <w:iCs/>
          <w:lang w:val="fr-FR"/>
        </w:rPr>
        <w:t>Documents officiels de l</w:t>
      </w:r>
      <w:r w:rsidR="004937A0">
        <w:rPr>
          <w:i/>
          <w:iCs/>
          <w:lang w:val="fr-FR"/>
        </w:rPr>
        <w:t>’</w:t>
      </w:r>
      <w:r w:rsidRPr="001448A7">
        <w:rPr>
          <w:i/>
          <w:iCs/>
          <w:lang w:val="fr-FR"/>
        </w:rPr>
        <w:t>Assemblée générale, soixante-dix-septième session, Supplément n</w:t>
      </w:r>
      <w:r w:rsidRPr="001448A7">
        <w:rPr>
          <w:i/>
          <w:iCs/>
          <w:vertAlign w:val="superscript"/>
          <w:lang w:val="fr-FR"/>
        </w:rPr>
        <w:t>o</w:t>
      </w:r>
      <w:r w:rsidRPr="001448A7">
        <w:rPr>
          <w:i/>
          <w:iCs/>
          <w:lang w:val="fr-FR"/>
        </w:rPr>
        <w:t> 10</w:t>
      </w:r>
      <w:r w:rsidRPr="001448A7">
        <w:rPr>
          <w:lang w:val="fr-FR"/>
        </w:rPr>
        <w:t xml:space="preserve"> (</w:t>
      </w:r>
      <w:hyperlink r:id="rId217" w:history="1">
        <w:r w:rsidRPr="001448A7">
          <w:rPr>
            <w:rStyle w:val="Lienhypertexte"/>
            <w:lang w:val="fr-FR"/>
          </w:rPr>
          <w:t>A/77/10</w:t>
        </w:r>
      </w:hyperlink>
      <w:r w:rsidRPr="001448A7">
        <w:rPr>
          <w:lang w:val="fr-FR"/>
        </w:rPr>
        <w:t>), chap. X, sect. C, par. 252.</w:t>
      </w:r>
    </w:p>
  </w:footnote>
  <w:footnote w:id="394">
    <w:p w14:paraId="0E8BBE12" w14:textId="5112F41F"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Document de travail établi par le Secrétariat (voir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par. 38 (« Une telle évolution met en évidence à la fois le besoin et la possibilité d</w:t>
      </w:r>
      <w:r w:rsidR="004937A0">
        <w:rPr>
          <w:lang w:val="fr-FR"/>
        </w:rPr>
        <w:t>’</w:t>
      </w:r>
      <w:r w:rsidRPr="001448A7">
        <w:rPr>
          <w:lang w:val="fr-FR"/>
        </w:rPr>
        <w:t>adopter une méthode plus générale de déterminer le quantum de l</w:t>
      </w:r>
      <w:r w:rsidR="004937A0">
        <w:rPr>
          <w:lang w:val="fr-FR"/>
        </w:rPr>
        <w:t>’</w:t>
      </w:r>
      <w:r w:rsidRPr="001448A7">
        <w:rPr>
          <w:lang w:val="fr-FR"/>
        </w:rPr>
        <w:t>indemnité en droit de la responsabilité internationale. »).</w:t>
      </w:r>
    </w:p>
  </w:footnote>
  <w:footnote w:id="395">
    <w:p w14:paraId="2207808C" w14:textId="3EFD2392"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Cs/>
          <w:szCs w:val="18"/>
          <w:lang w:val="fr-FR"/>
        </w:rPr>
        <w:tab/>
      </w:r>
      <w:r w:rsidRPr="00E9227E">
        <w:rPr>
          <w:rStyle w:val="Appelnotedebasdep"/>
        </w:rPr>
        <w:footnoteRef/>
      </w:r>
      <w:r w:rsidRPr="001448A7">
        <w:rPr>
          <w:lang w:val="en-US"/>
        </w:rPr>
        <w:tab/>
        <w:t xml:space="preserve">Voir, Organisation des Nations Unies, </w:t>
      </w:r>
      <w:r w:rsidRPr="001448A7">
        <w:rPr>
          <w:i/>
          <w:iCs/>
          <w:lang w:val="en-US"/>
        </w:rPr>
        <w:t>Materials on the Responsibility of States for Internationally Wrongful Acts</w:t>
      </w:r>
      <w:r w:rsidRPr="001448A7">
        <w:rPr>
          <w:lang w:val="en-US"/>
        </w:rPr>
        <w:t xml:space="preserve"> (note </w:t>
      </w:r>
      <w:r w:rsidRPr="001448A7">
        <w:rPr>
          <w:lang w:val="en-US"/>
        </w:rPr>
        <w:fldChar w:fldCharType="begin"/>
      </w:r>
      <w:r w:rsidRPr="001448A7">
        <w:rPr>
          <w:lang w:val="en-US"/>
        </w:rPr>
        <w:instrText xml:space="preserve"> NOTEREF _Ref172535375 \h </w:instrText>
      </w:r>
      <w:r>
        <w:rPr>
          <w:lang w:val="en-US"/>
        </w:rPr>
        <w:instrText xml:space="preserve"> \* MERGEFORMAT </w:instrText>
      </w:r>
      <w:r w:rsidRPr="001448A7">
        <w:rPr>
          <w:lang w:val="en-US"/>
        </w:rPr>
      </w:r>
      <w:r w:rsidRPr="001448A7">
        <w:rPr>
          <w:lang w:val="en-US"/>
        </w:rPr>
        <w:fldChar w:fldCharType="separate"/>
      </w:r>
      <w:r w:rsidR="00EC4FDE">
        <w:rPr>
          <w:lang w:val="en-US"/>
        </w:rPr>
        <w:t>20</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p. 383 à 414 (art. 36). </w:t>
      </w:r>
      <w:r w:rsidRPr="001448A7">
        <w:rPr>
          <w:lang w:val="fr-FR"/>
        </w:rPr>
        <w:t>Voir aussi ibid., p. 320 à 354 (art. 31), 362 à 369 (art. 34), 422 à 437 (art. 38) et 438 à 445 (art. 39).</w:t>
      </w:r>
    </w:p>
  </w:footnote>
  <w:footnote w:id="396">
    <w:p w14:paraId="14DB43B1" w14:textId="6417884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 xml:space="preserve">supra </w:t>
      </w:r>
      <w:r w:rsidRPr="001448A7">
        <w:rPr>
          <w:lang w:val="fr-FR"/>
        </w:rPr>
        <w:t xml:space="preserve">les notes </w:t>
      </w:r>
      <w:r w:rsidRPr="001448A7">
        <w:rPr>
          <w:lang w:val="fr-FR"/>
        </w:rPr>
        <w:fldChar w:fldCharType="begin"/>
      </w:r>
      <w:r w:rsidRPr="001448A7">
        <w:rPr>
          <w:lang w:val="fr-FR"/>
        </w:rPr>
        <w:instrText xml:space="preserve"> NOTEREF _Ref172535375 \h </w:instrText>
      </w:r>
      <w:r>
        <w:rPr>
          <w:lang w:val="fr-FR"/>
        </w:rPr>
        <w:instrText xml:space="preserve"> \* MERGEFORMAT </w:instrText>
      </w:r>
      <w:r w:rsidRPr="001448A7">
        <w:rPr>
          <w:lang w:val="fr-FR"/>
        </w:rPr>
      </w:r>
      <w:r w:rsidRPr="001448A7">
        <w:rPr>
          <w:lang w:val="fr-FR"/>
        </w:rPr>
        <w:fldChar w:fldCharType="separate"/>
      </w:r>
      <w:r w:rsidR="00EC4FDE">
        <w:rPr>
          <w:lang w:val="fr-FR"/>
        </w:rPr>
        <w:t>20</w:t>
      </w:r>
      <w:r w:rsidRPr="001448A7">
        <w:rPr>
          <w:lang w:val="fr-FR"/>
        </w:rPr>
        <w:fldChar w:fldCharType="end"/>
      </w:r>
      <w:r w:rsidRPr="001448A7">
        <w:rPr>
          <w:lang w:val="fr-FR"/>
        </w:rPr>
        <w:t xml:space="preserve"> à </w:t>
      </w:r>
      <w:r w:rsidRPr="001448A7">
        <w:rPr>
          <w:lang w:val="fr-FR"/>
        </w:rPr>
        <w:fldChar w:fldCharType="begin"/>
      </w:r>
      <w:r w:rsidRPr="001448A7">
        <w:rPr>
          <w:lang w:val="fr-FR"/>
        </w:rPr>
        <w:instrText xml:space="preserve"> NOTEREF _Ref172541028 \h </w:instrText>
      </w:r>
      <w:r>
        <w:rPr>
          <w:lang w:val="fr-FR"/>
        </w:rPr>
        <w:instrText xml:space="preserve"> \* MERGEFORMAT </w:instrText>
      </w:r>
      <w:r w:rsidRPr="001448A7">
        <w:rPr>
          <w:lang w:val="fr-FR"/>
        </w:rPr>
      </w:r>
      <w:r w:rsidRPr="001448A7">
        <w:rPr>
          <w:lang w:val="fr-FR"/>
        </w:rPr>
        <w:fldChar w:fldCharType="separate"/>
      </w:r>
      <w:r w:rsidR="00EC4FDE">
        <w:rPr>
          <w:lang w:val="fr-FR"/>
        </w:rPr>
        <w:t>32</w:t>
      </w:r>
      <w:r w:rsidRPr="001448A7">
        <w:rPr>
          <w:lang w:val="fr-FR"/>
        </w:rPr>
        <w:fldChar w:fldCharType="end"/>
      </w:r>
      <w:r w:rsidRPr="001448A7">
        <w:rPr>
          <w:lang w:val="fr-FR"/>
        </w:rPr>
        <w:t>.</w:t>
      </w:r>
    </w:p>
  </w:footnote>
  <w:footnote w:id="397">
    <w:p w14:paraId="3AC0A60F" w14:textId="68BB6F91" w:rsidR="005D2955" w:rsidRPr="001448A7" w:rsidRDefault="005D2955" w:rsidP="00E9227E">
      <w:pPr>
        <w:pStyle w:val="Notedebasdepage"/>
        <w:rPr>
          <w:rFonts w:asciiTheme="majorBidi" w:hAnsiTheme="majorBidi" w:cstheme="majorBidi"/>
          <w:szCs w:val="18"/>
          <w:lang w:val="fr-FR"/>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Application of the Convention against Torture and Other Cruel, Inhuman or Degrading Treatment or Punishment (Canada and the Netherlands v. Syrian Arab Republic), Joint Application Instituting Proceedings filed with the Registry on 8 June 2023</w:t>
      </w:r>
      <w:r w:rsidRPr="001448A7">
        <w:rPr>
          <w:lang w:val="fr-FR"/>
        </w:rPr>
        <w:t>, disponible sur le site Web de la Cour internationale de Justice (</w:t>
      </w:r>
      <w:hyperlink r:id="rId218" w:history="1">
        <w:r w:rsidRPr="001448A7">
          <w:rPr>
            <w:rStyle w:val="Lienhypertexte"/>
            <w:lang w:val="fr-FR"/>
          </w:rPr>
          <w:t>https://www.icj-cij.org</w:t>
        </w:r>
      </w:hyperlink>
      <w:r w:rsidRPr="001448A7">
        <w:rPr>
          <w:lang w:val="fr-FR"/>
        </w:rPr>
        <w:t>), dans l</w:t>
      </w:r>
      <w:r w:rsidR="004937A0">
        <w:rPr>
          <w:lang w:val="fr-FR"/>
        </w:rPr>
        <w:t>’</w:t>
      </w:r>
      <w:r w:rsidRPr="001448A7">
        <w:rPr>
          <w:lang w:val="fr-FR"/>
        </w:rPr>
        <w:t>onglet Affaires, par. 60 (al. f)</w:t>
      </w:r>
      <w:r w:rsidR="00EA2885">
        <w:rPr>
          <w:lang w:val="fr-FR"/>
        </w:rPr>
        <w:t>)</w:t>
      </w:r>
      <w:r w:rsidRPr="001448A7">
        <w:rPr>
          <w:lang w:val="fr-FR"/>
        </w:rPr>
        <w:t xml:space="preserve"> ; </w:t>
      </w:r>
      <w:r w:rsidRPr="001448A7">
        <w:rPr>
          <w:i/>
          <w:iCs/>
          <w:lang w:val="fr-FR"/>
        </w:rPr>
        <w:t>Violations alléguées des immunités des États (République islamique d</w:t>
      </w:r>
      <w:r w:rsidR="004937A0">
        <w:rPr>
          <w:i/>
          <w:iCs/>
          <w:lang w:val="fr-FR"/>
        </w:rPr>
        <w:t>’</w:t>
      </w:r>
      <w:r w:rsidRPr="001448A7">
        <w:rPr>
          <w:i/>
          <w:iCs/>
          <w:lang w:val="fr-FR"/>
        </w:rPr>
        <w:t>Iran c. Canada), requête introductive d</w:t>
      </w:r>
      <w:r w:rsidR="004937A0">
        <w:rPr>
          <w:i/>
          <w:iCs/>
          <w:lang w:val="fr-FR"/>
        </w:rPr>
        <w:t>’</w:t>
      </w:r>
      <w:r w:rsidRPr="001448A7">
        <w:rPr>
          <w:i/>
          <w:iCs/>
          <w:lang w:val="fr-FR"/>
        </w:rPr>
        <w:t>instance enregistrée au greffe de la Cour le 27 juin 2023</w:t>
      </w:r>
      <w:r w:rsidRPr="001448A7">
        <w:rPr>
          <w:lang w:val="fr-FR"/>
        </w:rPr>
        <w:t>, ibid., par. 26 (al. f)</w:t>
      </w:r>
      <w:r w:rsidR="00EA2885">
        <w:rPr>
          <w:lang w:val="fr-FR"/>
        </w:rPr>
        <w:t>)</w:t>
      </w:r>
      <w:r w:rsidRPr="001448A7">
        <w:rPr>
          <w:lang w:val="fr-FR"/>
        </w:rPr>
        <w:t xml:space="preserve"> </w:t>
      </w:r>
      <w:r w:rsidRPr="001448A7">
        <w:rPr>
          <w:i/>
          <w:iCs/>
          <w:lang w:val="fr-FR"/>
        </w:rPr>
        <w:t>Incident aérien du 8 janvier 2020 (Canada, Royaume-Uni, Suède et Ukraine c. République islamique d</w:t>
      </w:r>
      <w:r w:rsidR="004937A0">
        <w:rPr>
          <w:i/>
          <w:iCs/>
          <w:lang w:val="fr-FR"/>
        </w:rPr>
        <w:t>’</w:t>
      </w:r>
      <w:r w:rsidRPr="001448A7">
        <w:rPr>
          <w:i/>
          <w:iCs/>
          <w:lang w:val="fr-FR"/>
        </w:rPr>
        <w:t>Iran), Application Instituting Proceedings concerning a Dispute under the Convention for the Suppression of Unlawful Acts against the Safety of Civil Aviation filed with the Registry on 4 July 2023</w:t>
      </w:r>
      <w:r w:rsidRPr="001448A7">
        <w:rPr>
          <w:lang w:val="fr-FR"/>
        </w:rPr>
        <w:t>, ibid., par. 41 c) ii).</w:t>
      </w:r>
    </w:p>
  </w:footnote>
  <w:footnote w:id="398">
    <w:p w14:paraId="0BAF4F3D" w14:textId="2603B18D" w:rsidR="005D2955" w:rsidRPr="001448A7" w:rsidRDefault="005D2955" w:rsidP="00E9227E">
      <w:pPr>
        <w:pStyle w:val="Notedebasdepage"/>
        <w:rPr>
          <w:rFonts w:asciiTheme="majorBidi" w:hAnsiTheme="majorBidi" w:cstheme="majorBidi"/>
          <w:szCs w:val="18"/>
          <w:lang w:val="en-US"/>
        </w:rPr>
      </w:pPr>
      <w:r w:rsidRPr="001448A7">
        <w:rPr>
          <w:rFonts w:asciiTheme="majorBidi" w:hAnsiTheme="majorBidi" w:cstheme="majorBidi"/>
          <w:szCs w:val="18"/>
          <w:lang w:val="fr-FR"/>
        </w:rPr>
        <w:tab/>
      </w:r>
      <w:r w:rsidRPr="00E9227E">
        <w:rPr>
          <w:rStyle w:val="Appelnotedebasdep"/>
        </w:rPr>
        <w:footnoteRef/>
      </w:r>
      <w:r w:rsidRPr="001448A7">
        <w:rPr>
          <w:lang w:val="en-US"/>
        </w:rPr>
        <w:tab/>
        <w:t xml:space="preserve">Brattle Group, </w:t>
      </w:r>
      <w:r w:rsidRPr="001448A7">
        <w:rPr>
          <w:i/>
          <w:iCs/>
          <w:lang w:val="en-US"/>
        </w:rPr>
        <w:t>The Report on Reparation for Transatlantic Chattel Slavery in the Americas and the Caribbean</w:t>
      </w:r>
      <w:r w:rsidRPr="001448A7">
        <w:rPr>
          <w:lang w:val="en-US"/>
        </w:rPr>
        <w:t xml:space="preserve">, 8 juin 2023, disponible à </w:t>
      </w:r>
      <w:proofErr w:type="spellStart"/>
      <w:r w:rsidRPr="001448A7">
        <w:rPr>
          <w:lang w:val="en-US"/>
        </w:rPr>
        <w:t>l</w:t>
      </w:r>
      <w:r w:rsidR="004937A0">
        <w:rPr>
          <w:lang w:val="en-US"/>
        </w:rPr>
        <w:t>’</w:t>
      </w:r>
      <w:r w:rsidRPr="001448A7">
        <w:rPr>
          <w:lang w:val="en-US"/>
        </w:rPr>
        <w:t>adresse</w:t>
      </w:r>
      <w:proofErr w:type="spellEnd"/>
      <w:r w:rsidRPr="001448A7">
        <w:rPr>
          <w:lang w:val="en-US"/>
        </w:rPr>
        <w:t xml:space="preserve"> </w:t>
      </w:r>
      <w:proofErr w:type="spellStart"/>
      <w:r w:rsidRPr="001448A7">
        <w:rPr>
          <w:lang w:val="en-US"/>
        </w:rPr>
        <w:t>suivante</w:t>
      </w:r>
      <w:proofErr w:type="spellEnd"/>
      <w:r w:rsidR="00827FD1">
        <w:rPr>
          <w:lang w:val="en-US"/>
        </w:rPr>
        <w:t> </w:t>
      </w:r>
      <w:r w:rsidRPr="001448A7">
        <w:rPr>
          <w:lang w:val="en-US"/>
        </w:rPr>
        <w:t xml:space="preserve">: </w:t>
      </w:r>
      <w:hyperlink r:id="rId219" w:history="1">
        <w:r w:rsidRPr="001448A7">
          <w:rPr>
            <w:rStyle w:val="Lienhypertexte"/>
            <w:lang w:val="en-US"/>
          </w:rPr>
          <w:t>https://uwitv.global/news/reparations-symposium-brattle-paper</w:t>
        </w:r>
      </w:hyperlink>
      <w:r w:rsidRPr="001448A7">
        <w:rPr>
          <w:lang w:val="en-US"/>
        </w:rPr>
        <w:t>.</w:t>
      </w:r>
    </w:p>
  </w:footnote>
  <w:footnote w:id="399">
    <w:p w14:paraId="5F7F9D11" w14:textId="206DBFD1"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en-US"/>
        </w:rPr>
        <w:tab/>
      </w:r>
      <w:r w:rsidRPr="00E9227E">
        <w:rPr>
          <w:rStyle w:val="Appelnotedebasdep"/>
        </w:rPr>
        <w:footnoteRef/>
      </w:r>
      <w:r w:rsidRPr="001448A7">
        <w:rPr>
          <w:lang w:val="fr-FR"/>
        </w:rPr>
        <w:tab/>
        <w:t>CNUDCI, Résumé de la réunion intersessions sur la réforme du règlement des différends entre investisseurs et États (RDIE) présenté par le Gouvernement belge (</w:t>
      </w:r>
      <w:hyperlink r:id="rId220" w:history="1">
        <w:r w:rsidRPr="001448A7">
          <w:rPr>
            <w:rStyle w:val="Lienhypertexte"/>
            <w:lang w:val="fr-FR"/>
          </w:rPr>
          <w:t>A/CN.9/WG.III/WP.242</w:t>
        </w:r>
      </w:hyperlink>
      <w:r w:rsidRPr="001448A7">
        <w:rPr>
          <w:lang w:val="fr-FR"/>
        </w:rPr>
        <w:t>), par. 46 (« on a dit qu</w:t>
      </w:r>
      <w:r w:rsidR="004937A0">
        <w:rPr>
          <w:lang w:val="fr-FR"/>
        </w:rPr>
        <w:t>’</w:t>
      </w:r>
      <w:r w:rsidRPr="001448A7">
        <w:rPr>
          <w:lang w:val="fr-FR"/>
        </w:rPr>
        <w:t>il faudrait veiller à ce que ce projet [de disposition 23 sur l</w:t>
      </w:r>
      <w:r w:rsidR="004937A0">
        <w:rPr>
          <w:lang w:val="fr-FR"/>
        </w:rPr>
        <w:t>’</w:t>
      </w:r>
      <w:r w:rsidRPr="001448A7">
        <w:rPr>
          <w:lang w:val="fr-FR"/>
        </w:rPr>
        <w:t>évaluation des réparations et des compensations] s</w:t>
      </w:r>
      <w:r w:rsidR="004937A0">
        <w:rPr>
          <w:lang w:val="fr-FR"/>
        </w:rPr>
        <w:t>’</w:t>
      </w:r>
      <w:r w:rsidRPr="001448A7">
        <w:rPr>
          <w:lang w:val="fr-FR"/>
        </w:rPr>
        <w:t>aligne sur les principes de droit international coutumier concernant la réparation intégrale du préjudice causé par des faits internationalement illicites »). Voir également CNUDCI, Éventuelle réforme du règlement des différends entre investisseurs et États (RDIE)</w:t>
      </w:r>
      <w:r w:rsidR="00827FD1">
        <w:rPr>
          <w:lang w:val="fr-FR"/>
        </w:rPr>
        <w:t> </w:t>
      </w:r>
      <w:r w:rsidRPr="001448A7">
        <w:rPr>
          <w:lang w:val="fr-FR"/>
        </w:rPr>
        <w:t>: évaluation des dommages et indemnisation, Note du Secrétariat (</w:t>
      </w:r>
      <w:hyperlink r:id="rId221" w:history="1">
        <w:r w:rsidRPr="001448A7">
          <w:rPr>
            <w:rStyle w:val="Lienhypertexte"/>
            <w:lang w:val="fr-FR"/>
          </w:rPr>
          <w:t>A/CN.9/WG.III/WP.220</w:t>
        </w:r>
      </w:hyperlink>
      <w:r w:rsidRPr="001448A7">
        <w:rPr>
          <w:lang w:val="fr-FR"/>
        </w:rPr>
        <w:t>), par. 8, 15 à 17, 31, 35, 38, 43, 49, 57 et 61 ; Rapport du Groupe de travail III (Réforme du règlement des différends entre investisseurs et États) sur les travaux de sa quarante-troisième session (Vienne, 5-16 septembre 2022) (</w:t>
      </w:r>
      <w:hyperlink r:id="rId222" w:history="1">
        <w:r w:rsidRPr="001448A7">
          <w:rPr>
            <w:rStyle w:val="Lienhypertexte"/>
            <w:lang w:val="fr-FR"/>
          </w:rPr>
          <w:t>A/CN.9/1124</w:t>
        </w:r>
      </w:hyperlink>
      <w:r w:rsidRPr="001448A7">
        <w:rPr>
          <w:lang w:val="fr-FR"/>
        </w:rPr>
        <w:t>), chap. VI ; et Rapport du Groupe de travail III (Réforme du règlement des différends entre investisseurs et États) sur les travaux de sa quarante-sixième session (Vienne, 9-13 octobre 2023) (</w:t>
      </w:r>
      <w:hyperlink r:id="rId223" w:history="1">
        <w:r w:rsidRPr="001448A7">
          <w:rPr>
            <w:rStyle w:val="Lienhypertexte"/>
            <w:lang w:val="fr-FR"/>
          </w:rPr>
          <w:t>A/CN.9/1160</w:t>
        </w:r>
      </w:hyperlink>
      <w:r w:rsidRPr="001448A7">
        <w:rPr>
          <w:lang w:val="fr-FR"/>
        </w:rPr>
        <w:t>), chap. IV.C.</w:t>
      </w:r>
    </w:p>
  </w:footnote>
  <w:footnote w:id="400">
    <w:p w14:paraId="3DB98113" w14:textId="758C301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Document de travail établi par le secrétariat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par. 39.</w:t>
      </w:r>
    </w:p>
  </w:footnote>
  <w:footnote w:id="401">
    <w:p w14:paraId="10997EF6" w14:textId="13ECC0CE"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Organisation des Nations Unies, </w:t>
      </w:r>
      <w:r w:rsidRPr="001448A7">
        <w:rPr>
          <w:i/>
          <w:iCs/>
          <w:lang w:val="fr-FR"/>
        </w:rPr>
        <w:t xml:space="preserve">Materials on the Responsibility of States for </w:t>
      </w:r>
      <w:proofErr w:type="spellStart"/>
      <w:r w:rsidRPr="001448A7">
        <w:rPr>
          <w:i/>
          <w:iCs/>
          <w:lang w:val="fr-FR"/>
        </w:rPr>
        <w:t>Internationally</w:t>
      </w:r>
      <w:proofErr w:type="spellEnd"/>
      <w:r w:rsidRPr="001448A7">
        <w:rPr>
          <w:i/>
          <w:iCs/>
          <w:lang w:val="fr-FR"/>
        </w:rPr>
        <w:t xml:space="preserve"> </w:t>
      </w:r>
      <w:proofErr w:type="spellStart"/>
      <w:r w:rsidRPr="001448A7">
        <w:rPr>
          <w:i/>
          <w:iCs/>
          <w:lang w:val="fr-FR"/>
        </w:rPr>
        <w:t>Wrongful</w:t>
      </w:r>
      <w:proofErr w:type="spellEnd"/>
      <w:r w:rsidRPr="001448A7">
        <w:rPr>
          <w:i/>
          <w:iCs/>
          <w:lang w:val="fr-FR"/>
        </w:rPr>
        <w:t xml:space="preserve"> </w:t>
      </w:r>
      <w:proofErr w:type="spellStart"/>
      <w:r w:rsidRPr="001448A7">
        <w:rPr>
          <w:i/>
          <w:iCs/>
          <w:lang w:val="fr-FR"/>
        </w:rPr>
        <w:t>Acts</w:t>
      </w:r>
      <w:proofErr w:type="spellEnd"/>
      <w:r w:rsidRPr="001448A7">
        <w:rPr>
          <w:lang w:val="fr-FR"/>
        </w:rPr>
        <w:t xml:space="preserve"> (note </w:t>
      </w:r>
      <w:r w:rsidRPr="001448A7">
        <w:rPr>
          <w:lang w:val="fr-FR"/>
        </w:rPr>
        <w:fldChar w:fldCharType="begin"/>
      </w:r>
      <w:r w:rsidRPr="001448A7">
        <w:rPr>
          <w:lang w:val="fr-FR"/>
        </w:rPr>
        <w:instrText xml:space="preserve"> NOTEREF _Ref172535375 \h </w:instrText>
      </w:r>
      <w:r>
        <w:rPr>
          <w:lang w:val="fr-FR"/>
        </w:rPr>
        <w:instrText xml:space="preserve"> \* MERGEFORMAT </w:instrText>
      </w:r>
      <w:r w:rsidRPr="001448A7">
        <w:rPr>
          <w:lang w:val="fr-FR"/>
        </w:rPr>
      </w:r>
      <w:r w:rsidRPr="001448A7">
        <w:rPr>
          <w:lang w:val="fr-FR"/>
        </w:rPr>
        <w:fldChar w:fldCharType="separate"/>
      </w:r>
      <w:r w:rsidR="00EC4FDE">
        <w:rPr>
          <w:lang w:val="fr-FR"/>
        </w:rPr>
        <w:t>20</w:t>
      </w:r>
      <w:r w:rsidRPr="001448A7">
        <w:rPr>
          <w:lang w:val="fr-FR"/>
        </w:rPr>
        <w:fldChar w:fldCharType="end"/>
      </w:r>
      <w:r w:rsidRPr="001448A7">
        <w:rPr>
          <w:lang w:val="fr-FR"/>
        </w:rPr>
        <w:t xml:space="preserve"> </w:t>
      </w:r>
      <w:r w:rsidRPr="001448A7">
        <w:rPr>
          <w:i/>
          <w:iCs/>
          <w:lang w:val="fr-FR"/>
        </w:rPr>
        <w:t>supra</w:t>
      </w:r>
      <w:r w:rsidRPr="001448A7">
        <w:rPr>
          <w:lang w:val="fr-FR"/>
        </w:rPr>
        <w:t>), p. 396 à 414.</w:t>
      </w:r>
    </w:p>
  </w:footnote>
  <w:footnote w:id="402">
    <w:p w14:paraId="6BA85AA9" w14:textId="6F9396D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la conclusion 3 des projets de conclusion sur les moyens auxiliaires de détermination des règles de droit international adopté provisoirement par la Commission, Rapport de la Commission du droit international sur les travaux de sa soixante-quatorzième session, </w:t>
      </w:r>
      <w:r w:rsidRPr="001448A7">
        <w:rPr>
          <w:i/>
          <w:iCs/>
          <w:lang w:val="fr-FR"/>
        </w:rPr>
        <w:t>Documents officiels de l</w:t>
      </w:r>
      <w:r w:rsidR="004937A0">
        <w:rPr>
          <w:i/>
          <w:iCs/>
          <w:lang w:val="fr-FR"/>
        </w:rPr>
        <w:t>’</w:t>
      </w:r>
      <w:r w:rsidRPr="001448A7">
        <w:rPr>
          <w:i/>
          <w:iCs/>
          <w:lang w:val="fr-FR"/>
        </w:rPr>
        <w:t>Assemblée générale, soixante-dix-huitième session, Supplément n</w:t>
      </w:r>
      <w:r w:rsidRPr="001448A7">
        <w:rPr>
          <w:i/>
          <w:iCs/>
          <w:vertAlign w:val="superscript"/>
          <w:lang w:val="fr-FR"/>
        </w:rPr>
        <w:t>o</w:t>
      </w:r>
      <w:r w:rsidRPr="001448A7">
        <w:rPr>
          <w:i/>
          <w:iCs/>
          <w:lang w:val="fr-FR"/>
        </w:rPr>
        <w:t> 10</w:t>
      </w:r>
      <w:r w:rsidRPr="001448A7">
        <w:rPr>
          <w:lang w:val="fr-FR"/>
        </w:rPr>
        <w:t xml:space="preserve"> (</w:t>
      </w:r>
      <w:hyperlink r:id="rId224" w:history="1">
        <w:r w:rsidRPr="001448A7">
          <w:rPr>
            <w:rStyle w:val="Lienhypertexte"/>
            <w:lang w:val="fr-FR"/>
          </w:rPr>
          <w:t>A/78/10</w:t>
        </w:r>
      </w:hyperlink>
      <w:r w:rsidRPr="001448A7">
        <w:rPr>
          <w:lang w:val="fr-FR"/>
        </w:rPr>
        <w:t>), chap. VII, sect. C.2, par. 127.</w:t>
      </w:r>
    </w:p>
  </w:footnote>
  <w:footnote w:id="403">
    <w:p w14:paraId="34AB078C" w14:textId="0F02320F" w:rsidR="005D2955" w:rsidRPr="001448A7" w:rsidRDefault="005D2955" w:rsidP="00E9227E">
      <w:pPr>
        <w:pStyle w:val="Notedebasdepage"/>
        <w:rPr>
          <w:rFonts w:asciiTheme="majorBidi" w:hAnsiTheme="majorBidi" w:cstheme="majorBidi"/>
          <w:szCs w:val="18"/>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r>
      <w:r w:rsidRPr="001448A7">
        <w:rPr>
          <w:i/>
          <w:iCs/>
          <w:lang w:val="fr-FR"/>
        </w:rPr>
        <w:t xml:space="preserve">Ahmadou Sadio Diallo, indemnisation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 xml:space="preserve">Certaines activités menées par le Nicaragua dans la région frontalière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 </w:t>
      </w:r>
      <w:r w:rsidRPr="001448A7">
        <w:rPr>
          <w:i/>
          <w:iCs/>
          <w:lang w:val="fr-FR"/>
        </w:rPr>
        <w:t>Activités armées sur le territoire du Congo</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Voir aussi </w:t>
      </w:r>
      <w:r w:rsidRPr="001448A7">
        <w:rPr>
          <w:i/>
          <w:iCs/>
          <w:lang w:val="fr-FR"/>
        </w:rPr>
        <w:t>Sentence finale, Réclamations de dommages de l</w:t>
      </w:r>
      <w:r w:rsidR="004937A0">
        <w:rPr>
          <w:i/>
          <w:iCs/>
          <w:lang w:val="fr-FR"/>
        </w:rPr>
        <w:t>’</w:t>
      </w:r>
      <w:r w:rsidRPr="001448A7">
        <w:rPr>
          <w:i/>
          <w:iCs/>
          <w:lang w:val="fr-FR"/>
        </w:rPr>
        <w:t>Érythrée</w:t>
      </w:r>
      <w:r w:rsidRPr="001448A7">
        <w:rPr>
          <w:lang w:val="fr-FR"/>
        </w:rPr>
        <w:t xml:space="preserve"> (note </w:t>
      </w:r>
      <w:r w:rsidRPr="001448A7">
        <w:rPr>
          <w:lang w:val="fr-FR"/>
        </w:rPr>
        <w:fldChar w:fldCharType="begin"/>
      </w:r>
      <w:r w:rsidRPr="001448A7">
        <w:rPr>
          <w:lang w:val="fr-FR"/>
        </w:rPr>
        <w:instrText xml:space="preserve"> NOTEREF _Ref172539195 \h </w:instrText>
      </w:r>
      <w:r>
        <w:rPr>
          <w:lang w:val="fr-FR"/>
        </w:rPr>
        <w:instrText xml:space="preserve"> \* MERGEFORMAT </w:instrText>
      </w:r>
      <w:r w:rsidRPr="001448A7">
        <w:rPr>
          <w:lang w:val="fr-FR"/>
        </w:rPr>
      </w:r>
      <w:r w:rsidRPr="001448A7">
        <w:rPr>
          <w:lang w:val="fr-FR"/>
        </w:rPr>
        <w:fldChar w:fldCharType="separate"/>
      </w:r>
      <w:r w:rsidR="00EC4FDE">
        <w:rPr>
          <w:lang w:val="fr-FR"/>
        </w:rPr>
        <w:t>28</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 </w:t>
      </w:r>
      <w:r w:rsidRPr="001448A7">
        <w:rPr>
          <w:i/>
          <w:iCs/>
          <w:lang w:val="fr-FR"/>
        </w:rPr>
        <w:t>Sentence finale, Réclamations de l</w:t>
      </w:r>
      <w:r w:rsidR="004937A0">
        <w:rPr>
          <w:i/>
          <w:iCs/>
          <w:lang w:val="fr-FR"/>
        </w:rPr>
        <w:t>’</w:t>
      </w:r>
      <w:r w:rsidRPr="001448A7">
        <w:rPr>
          <w:i/>
          <w:iCs/>
          <w:lang w:val="fr-FR"/>
        </w:rPr>
        <w:t>Éthiopie</w:t>
      </w:r>
      <w:r w:rsidRPr="001448A7">
        <w:rPr>
          <w:lang w:val="fr-FR"/>
        </w:rPr>
        <w:t xml:space="preserve"> (ibid.) ; et </w:t>
      </w:r>
      <w:r w:rsidRPr="001448A7">
        <w:rPr>
          <w:i/>
          <w:iCs/>
          <w:lang w:val="fr-FR"/>
        </w:rPr>
        <w:t>Navire « Virginia G » (Panama/Guinée-Bissau)</w:t>
      </w:r>
      <w:r w:rsidRPr="001448A7">
        <w:rPr>
          <w:lang w:val="fr-FR"/>
        </w:rPr>
        <w:t xml:space="preserve">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w:t>
      </w:r>
    </w:p>
  </w:footnote>
  <w:footnote w:id="404">
    <w:p w14:paraId="204D4CF8" w14:textId="50548EA9"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Par exemple, </w:t>
      </w:r>
      <w:r w:rsidRPr="001448A7">
        <w:rPr>
          <w:i/>
          <w:iCs/>
          <w:lang w:val="fr-FR"/>
        </w:rPr>
        <w:t>The Islamic Republic of Iran v. the United States of America, affaires n</w:t>
      </w:r>
      <w:r w:rsidRPr="001448A7">
        <w:rPr>
          <w:i/>
          <w:iCs/>
          <w:vertAlign w:val="superscript"/>
          <w:lang w:val="fr-FR"/>
        </w:rPr>
        <w:t>os</w:t>
      </w:r>
      <w:r w:rsidRPr="001448A7">
        <w:rPr>
          <w:i/>
          <w:iCs/>
          <w:lang w:val="fr-FR"/>
        </w:rPr>
        <w:t xml:space="preserve"> A15 (IV) et A24, sentence finale </w:t>
      </w:r>
      <w:r w:rsidRPr="001448A7">
        <w:rPr>
          <w:rFonts w:eastAsia="MS Mincho"/>
          <w:i/>
          <w:iCs/>
          <w:lang w:val="fr-FR"/>
        </w:rPr>
        <w:t>n</w:t>
      </w:r>
      <w:r w:rsidRPr="001448A7">
        <w:rPr>
          <w:rFonts w:eastAsia="MS Mincho"/>
          <w:i/>
          <w:iCs/>
          <w:vertAlign w:val="superscript"/>
          <w:lang w:val="fr-FR"/>
        </w:rPr>
        <w:t>o</w:t>
      </w:r>
      <w:r w:rsidRPr="001448A7">
        <w:rPr>
          <w:i/>
          <w:iCs/>
          <w:lang w:val="fr-FR"/>
        </w:rPr>
        <w:t xml:space="preserve"> 602-A15(IV)/A24-FT du 2 juillet 2014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 </w:t>
      </w:r>
      <w:r w:rsidRPr="001448A7">
        <w:rPr>
          <w:i/>
          <w:iCs/>
          <w:lang w:val="fr-FR"/>
        </w:rPr>
        <w:t xml:space="preserve">The </w:t>
      </w:r>
      <w:proofErr w:type="spellStart"/>
      <w:r w:rsidRPr="001448A7">
        <w:rPr>
          <w:i/>
          <w:iCs/>
          <w:lang w:val="fr-FR"/>
        </w:rPr>
        <w:t>Islamic</w:t>
      </w:r>
      <w:proofErr w:type="spellEnd"/>
      <w:r w:rsidRPr="001448A7">
        <w:rPr>
          <w:i/>
          <w:iCs/>
          <w:lang w:val="fr-FR"/>
        </w:rPr>
        <w:t xml:space="preserve"> Republic of Iran v. the United States of America, affaires n</w:t>
      </w:r>
      <w:r w:rsidRPr="001448A7">
        <w:rPr>
          <w:i/>
          <w:iCs/>
          <w:vertAlign w:val="superscript"/>
          <w:lang w:val="fr-FR"/>
        </w:rPr>
        <w:t>os</w:t>
      </w:r>
      <w:r w:rsidRPr="001448A7">
        <w:rPr>
          <w:i/>
          <w:iCs/>
          <w:lang w:val="fr-FR"/>
        </w:rPr>
        <w:t xml:space="preserve"> A15 (II:A), A26 (IV) et B43, sentence partielle n</w:t>
      </w:r>
      <w:r w:rsidRPr="001448A7">
        <w:rPr>
          <w:i/>
          <w:iCs/>
          <w:vertAlign w:val="superscript"/>
          <w:lang w:val="fr-FR"/>
        </w:rPr>
        <w:t>o</w:t>
      </w:r>
      <w:r w:rsidRPr="001448A7">
        <w:rPr>
          <w:i/>
          <w:iCs/>
          <w:lang w:val="fr-FR"/>
        </w:rPr>
        <w:t xml:space="preserve"> 604-A15 (II:A)/A26 (IV)/B43-FT du 10 mars 2020</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 </w:t>
      </w:r>
      <w:r w:rsidRPr="001448A7">
        <w:rPr>
          <w:i/>
          <w:iCs/>
          <w:lang w:val="fr-FR"/>
        </w:rPr>
        <w:t>Navire « </w:t>
      </w:r>
      <w:proofErr w:type="spellStart"/>
      <w:r w:rsidRPr="001448A7">
        <w:rPr>
          <w:i/>
          <w:iCs/>
          <w:lang w:val="fr-FR"/>
        </w:rPr>
        <w:t>Norstar</w:t>
      </w:r>
      <w:proofErr w:type="spellEnd"/>
      <w:r w:rsidRPr="001448A7">
        <w:rPr>
          <w:i/>
          <w:iCs/>
          <w:lang w:val="fr-FR"/>
        </w:rPr>
        <w:t> » (Panama c. Italie)</w:t>
      </w:r>
      <w:r w:rsidRPr="001448A7">
        <w:rPr>
          <w:lang w:val="fr-FR"/>
        </w:rPr>
        <w:t xml:space="preserve">, </w:t>
      </w:r>
      <w:r w:rsidRPr="001448A7">
        <w:rPr>
          <w:i/>
          <w:iCs/>
          <w:lang w:val="fr-FR"/>
        </w:rPr>
        <w:t xml:space="preserve">arrêt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Voir aussi </w:t>
      </w:r>
      <w:r w:rsidRPr="001448A7">
        <w:rPr>
          <w:i/>
          <w:iCs/>
          <w:lang w:val="fr-FR"/>
        </w:rPr>
        <w:t xml:space="preserve">Certains actifs iraniens </w:t>
      </w:r>
      <w:r w:rsidRPr="001448A7">
        <w:rPr>
          <w:lang w:val="fr-FR"/>
        </w:rPr>
        <w:t>(note </w:t>
      </w:r>
      <w:r w:rsidRPr="001448A7">
        <w:rPr>
          <w:lang w:val="fr-FR"/>
        </w:rPr>
        <w:fldChar w:fldCharType="begin"/>
      </w:r>
      <w:r w:rsidRPr="001448A7">
        <w:rPr>
          <w:lang w:val="fr-FR"/>
        </w:rPr>
        <w:instrText xml:space="preserve"> NOTEREF _Ref172541388 \h </w:instrText>
      </w:r>
      <w:r>
        <w:rPr>
          <w:lang w:val="fr-FR"/>
        </w:rPr>
        <w:instrText xml:space="preserve"> \* MERGEFORMAT </w:instrText>
      </w:r>
      <w:r w:rsidRPr="001448A7">
        <w:rPr>
          <w:lang w:val="fr-FR"/>
        </w:rPr>
      </w:r>
      <w:r w:rsidRPr="001448A7">
        <w:rPr>
          <w:lang w:val="fr-FR"/>
        </w:rPr>
        <w:fldChar w:fldCharType="separate"/>
      </w:r>
      <w:r w:rsidR="00EC4FDE">
        <w:rPr>
          <w:lang w:val="fr-FR"/>
        </w:rPr>
        <w:t>24</w:t>
      </w:r>
      <w:r w:rsidRPr="001448A7">
        <w:rPr>
          <w:lang w:val="fr-FR"/>
        </w:rPr>
        <w:fldChar w:fldCharType="end"/>
      </w:r>
      <w:r w:rsidRPr="001448A7">
        <w:rPr>
          <w:lang w:val="fr-FR"/>
        </w:rPr>
        <w:t xml:space="preserve"> </w:t>
      </w:r>
      <w:r w:rsidRPr="001448A7">
        <w:rPr>
          <w:i/>
          <w:iCs/>
          <w:lang w:val="fr-FR"/>
        </w:rPr>
        <w:t>supra</w:t>
      </w:r>
      <w:r w:rsidRPr="001448A7">
        <w:rPr>
          <w:lang w:val="fr-FR"/>
        </w:rPr>
        <w:t>).</w:t>
      </w:r>
    </w:p>
  </w:footnote>
  <w:footnote w:id="405">
    <w:p w14:paraId="508E8808" w14:textId="1599326D" w:rsidR="005D2955" w:rsidRPr="001448A7" w:rsidRDefault="005D2955" w:rsidP="00E9227E">
      <w:pPr>
        <w:pStyle w:val="Notedebasdepage"/>
        <w:rPr>
          <w:rFonts w:asciiTheme="majorBidi" w:hAnsiTheme="majorBidi" w:cstheme="majorBidi"/>
          <w:szCs w:val="18"/>
        </w:rPr>
      </w:pPr>
      <w:r w:rsidRPr="001448A7">
        <w:rPr>
          <w:rFonts w:asciiTheme="majorBidi" w:eastAsia="Calibri" w:hAnsiTheme="majorBidi" w:cstheme="majorBidi"/>
          <w:i/>
          <w:szCs w:val="18"/>
          <w:lang w:val="fr-FR"/>
        </w:rPr>
        <w:tab/>
      </w:r>
      <w:r w:rsidRPr="00E9227E">
        <w:rPr>
          <w:rStyle w:val="Appelnotedebasdep"/>
        </w:rPr>
        <w:footnoteRef/>
      </w:r>
      <w:r w:rsidRPr="001448A7">
        <w:rPr>
          <w:lang w:val="fr-FR"/>
        </w:rPr>
        <w:tab/>
      </w:r>
      <w:r w:rsidRPr="001448A7">
        <w:rPr>
          <w:i/>
          <w:iCs/>
          <w:lang w:val="fr-FR"/>
        </w:rPr>
        <w:t>Ahmadou Sadio Diallo, indemnisation</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p. 331, par. 13, p. 333 et 334, par. 18 à 24, p. 337, par. 33 et p. 339 et 340, par. 40 ; opinion individuelle de M. le juge Cançado Trindade, p. 370 à 378, par. 60 à 80 ; déclaration de M. le juge Yusuf, p. 385, à la page 386, par. 5, et p. 389, par. 15 ; et déclaration de M. le juge Greenwood, p. 394, par. 9.</w:t>
      </w:r>
    </w:p>
  </w:footnote>
  <w:footnote w:id="406">
    <w:p w14:paraId="07056EC1" w14:textId="0648F231" w:rsidR="005D2955" w:rsidRPr="001448A7" w:rsidRDefault="005D2955" w:rsidP="00E9227E">
      <w:pPr>
        <w:pStyle w:val="Notedebasdepage"/>
        <w:rPr>
          <w:rFonts w:asciiTheme="majorBidi" w:hAnsiTheme="majorBidi" w:cstheme="majorBidi"/>
          <w:szCs w:val="18"/>
          <w:lang w:val="en-US"/>
        </w:rPr>
      </w:pPr>
      <w:r w:rsidRPr="001448A7">
        <w:rPr>
          <w:rFonts w:asciiTheme="majorBidi" w:hAnsiTheme="majorBidi" w:cstheme="majorBidi"/>
          <w:szCs w:val="18"/>
          <w:lang w:val="fr-FR"/>
        </w:rPr>
        <w:tab/>
      </w:r>
      <w:r w:rsidRPr="00E9227E">
        <w:rPr>
          <w:rStyle w:val="Appelnotedebasdep"/>
        </w:rPr>
        <w:footnoteRef/>
      </w:r>
      <w:r w:rsidRPr="000553A8">
        <w:rPr>
          <w:lang w:val="en-US"/>
        </w:rPr>
        <w:tab/>
      </w:r>
      <w:proofErr w:type="spellStart"/>
      <w:r w:rsidRPr="000553A8">
        <w:rPr>
          <w:lang w:val="en-US"/>
        </w:rPr>
        <w:t>Voir</w:t>
      </w:r>
      <w:proofErr w:type="spellEnd"/>
      <w:r w:rsidRPr="000553A8">
        <w:rPr>
          <w:lang w:val="en-US"/>
        </w:rPr>
        <w:t xml:space="preserve"> Whiteman (note </w:t>
      </w:r>
      <w:r w:rsidRPr="001448A7">
        <w:rPr>
          <w:lang w:val="fr-FR"/>
        </w:rPr>
        <w:fldChar w:fldCharType="begin"/>
      </w:r>
      <w:r w:rsidRPr="000553A8">
        <w:rPr>
          <w:lang w:val="en-US"/>
        </w:rPr>
        <w:instrText xml:space="preserve"> NOTEREF _Ref172533008 \h  \* MERGEFORMAT </w:instrText>
      </w:r>
      <w:r w:rsidRPr="001448A7">
        <w:rPr>
          <w:lang w:val="fr-FR"/>
        </w:rPr>
      </w:r>
      <w:r w:rsidRPr="001448A7">
        <w:rPr>
          <w:lang w:val="fr-FR"/>
        </w:rPr>
        <w:fldChar w:fldCharType="separate"/>
      </w:r>
      <w:r w:rsidR="00EC4FDE">
        <w:rPr>
          <w:lang w:val="en-US"/>
        </w:rPr>
        <w:t>1</w:t>
      </w:r>
      <w:r w:rsidRPr="001448A7">
        <w:rPr>
          <w:lang w:val="fr-FR"/>
        </w:rPr>
        <w:fldChar w:fldCharType="end"/>
      </w:r>
      <w:r w:rsidRPr="000553A8">
        <w:rPr>
          <w:lang w:val="en-US"/>
        </w:rPr>
        <w:t xml:space="preserve"> </w:t>
      </w:r>
      <w:r w:rsidRPr="000553A8">
        <w:rPr>
          <w:i/>
          <w:iCs/>
          <w:lang w:val="en-US"/>
        </w:rPr>
        <w:t>supra</w:t>
      </w:r>
      <w:r w:rsidRPr="000553A8">
        <w:rPr>
          <w:lang w:val="en-US"/>
        </w:rPr>
        <w:t xml:space="preserve">) ; B. Bollecker-Stern, </w:t>
      </w:r>
      <w:r w:rsidRPr="000553A8">
        <w:rPr>
          <w:i/>
          <w:iCs/>
          <w:lang w:val="en-US"/>
        </w:rPr>
        <w:t>Le préjudice dans la théorie de la responsabilité internationale</w:t>
      </w:r>
      <w:r w:rsidRPr="000553A8">
        <w:rPr>
          <w:lang w:val="en-US"/>
        </w:rPr>
        <w:t xml:space="preserve">, Paris, Pédone, 1973 ; C. Gray, </w:t>
      </w:r>
      <w:r w:rsidRPr="000553A8">
        <w:rPr>
          <w:i/>
          <w:iCs/>
          <w:lang w:val="en-US"/>
        </w:rPr>
        <w:t>Judicial Remedies in International Law</w:t>
      </w:r>
      <w:r w:rsidRPr="000553A8">
        <w:rPr>
          <w:lang w:val="en-US"/>
        </w:rPr>
        <w:t xml:space="preserve">, Oxford, Clarendon Press, 1987 ; P. N. Okowa, </w:t>
      </w:r>
      <w:r w:rsidRPr="000553A8">
        <w:rPr>
          <w:i/>
          <w:iCs/>
          <w:lang w:val="en-US"/>
        </w:rPr>
        <w:t>State Responsibility for Transboundary Air Pollution in International Law</w:t>
      </w:r>
      <w:r w:rsidRPr="000553A8">
        <w:rPr>
          <w:lang w:val="en-US"/>
        </w:rPr>
        <w:t xml:space="preserve">, Oxford, University Press, 2000, chap. 6, p. 171 à 202 ; Shelton, « Righting wrongs... » </w:t>
      </w:r>
      <w:r w:rsidRPr="001448A7">
        <w:rPr>
          <w:lang w:val="en-US"/>
        </w:rPr>
        <w:t xml:space="preserve">(note </w:t>
      </w:r>
      <w:r w:rsidRPr="001448A7">
        <w:rPr>
          <w:lang w:val="en-US"/>
        </w:rPr>
        <w:fldChar w:fldCharType="begin"/>
      </w:r>
      <w:r w:rsidRPr="001448A7">
        <w:rPr>
          <w:lang w:val="en-US"/>
        </w:rPr>
        <w:instrText xml:space="preserve"> NOTEREF _Ref172541658 \h </w:instrText>
      </w:r>
      <w:r>
        <w:rPr>
          <w:lang w:val="en-US"/>
        </w:rPr>
        <w:instrText xml:space="preserve"> \* MERGEFORMAT </w:instrText>
      </w:r>
      <w:r w:rsidRPr="001448A7">
        <w:rPr>
          <w:lang w:val="en-US"/>
        </w:rPr>
      </w:r>
      <w:r w:rsidRPr="001448A7">
        <w:rPr>
          <w:lang w:val="en-US"/>
        </w:rPr>
        <w:fldChar w:fldCharType="separate"/>
      </w:r>
      <w:r w:rsidR="00EC4FDE">
        <w:rPr>
          <w:lang w:val="en-US"/>
        </w:rPr>
        <w:t>17</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 Xue H., </w:t>
      </w:r>
      <w:r w:rsidRPr="001448A7">
        <w:rPr>
          <w:i/>
          <w:iCs/>
          <w:lang w:val="en-US"/>
        </w:rPr>
        <w:t>Transboundary Damage in International Law</w:t>
      </w:r>
      <w:r w:rsidRPr="001448A7">
        <w:rPr>
          <w:lang w:val="en-US"/>
        </w:rPr>
        <w:t xml:space="preserve">, Cambridge University Press, 2003 ; Nevill (note </w:t>
      </w:r>
      <w:r w:rsidRPr="001448A7">
        <w:rPr>
          <w:lang w:val="en-US"/>
        </w:rPr>
        <w:fldChar w:fldCharType="begin"/>
      </w:r>
      <w:r w:rsidRPr="001448A7">
        <w:rPr>
          <w:lang w:val="en-US"/>
        </w:rPr>
        <w:instrText xml:space="preserve"> NOTEREF _Ref172541674 \h </w:instrText>
      </w:r>
      <w:r>
        <w:rPr>
          <w:lang w:val="en-US"/>
        </w:rPr>
        <w:instrText xml:space="preserve"> \* MERGEFORMAT </w:instrText>
      </w:r>
      <w:r w:rsidRPr="001448A7">
        <w:rPr>
          <w:lang w:val="en-US"/>
        </w:rPr>
      </w:r>
      <w:r w:rsidRPr="001448A7">
        <w:rPr>
          <w:lang w:val="en-US"/>
        </w:rPr>
        <w:fldChar w:fldCharType="separate"/>
      </w:r>
      <w:r w:rsidR="00EC4FDE">
        <w:rPr>
          <w:lang w:val="en-US"/>
        </w:rPr>
        <w:t>71</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 Smutny (note </w:t>
      </w:r>
      <w:r w:rsidRPr="001448A7">
        <w:rPr>
          <w:lang w:val="en-US"/>
        </w:rPr>
        <w:fldChar w:fldCharType="begin"/>
      </w:r>
      <w:r w:rsidRPr="001448A7">
        <w:rPr>
          <w:lang w:val="en-US"/>
        </w:rPr>
        <w:instrText xml:space="preserve"> NOTEREF _Ref172541684 \h </w:instrText>
      </w:r>
      <w:r>
        <w:rPr>
          <w:lang w:val="en-US"/>
        </w:rPr>
        <w:instrText xml:space="preserve"> \* MERGEFORMAT </w:instrText>
      </w:r>
      <w:r w:rsidRPr="001448A7">
        <w:rPr>
          <w:lang w:val="en-US"/>
        </w:rPr>
      </w:r>
      <w:r w:rsidRPr="001448A7">
        <w:rPr>
          <w:lang w:val="en-US"/>
        </w:rPr>
        <w:fldChar w:fldCharType="separate"/>
      </w:r>
      <w:r w:rsidR="00EC4FDE">
        <w:rPr>
          <w:lang w:val="en-US"/>
        </w:rPr>
        <w:t>78</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 I. Marboe, </w:t>
      </w:r>
      <w:r w:rsidRPr="001448A7">
        <w:rPr>
          <w:i/>
          <w:iCs/>
          <w:lang w:val="en-US"/>
        </w:rPr>
        <w:t>Die Berechnung von Entschädigung und Schadenersatz in der internationalen Rechtsprechung</w:t>
      </w:r>
      <w:r w:rsidRPr="001448A7">
        <w:rPr>
          <w:lang w:val="en-US"/>
        </w:rPr>
        <w:t xml:space="preserve">, Francfort-sur-le-Main, Peter Lang, 2009 ; Higgins (note </w:t>
      </w:r>
      <w:r w:rsidRPr="001448A7">
        <w:rPr>
          <w:lang w:val="en-US"/>
        </w:rPr>
        <w:fldChar w:fldCharType="begin"/>
      </w:r>
      <w:r w:rsidRPr="001448A7">
        <w:rPr>
          <w:lang w:val="en-US"/>
        </w:rPr>
        <w:instrText xml:space="preserve"> NOTEREF _Ref172541658 \h </w:instrText>
      </w:r>
      <w:r>
        <w:rPr>
          <w:lang w:val="en-US"/>
        </w:rPr>
        <w:instrText xml:space="preserve"> \* MERGEFORMAT </w:instrText>
      </w:r>
      <w:r w:rsidRPr="001448A7">
        <w:rPr>
          <w:lang w:val="en-US"/>
        </w:rPr>
      </w:r>
      <w:r w:rsidRPr="001448A7">
        <w:rPr>
          <w:lang w:val="en-US"/>
        </w:rPr>
        <w:fldChar w:fldCharType="separate"/>
      </w:r>
      <w:r w:rsidR="00EC4FDE">
        <w:rPr>
          <w:lang w:val="en-US"/>
        </w:rPr>
        <w:t>17</w:t>
      </w:r>
      <w:r w:rsidRPr="001448A7">
        <w:rPr>
          <w:lang w:val="en-US"/>
        </w:rPr>
        <w:fldChar w:fldCharType="end"/>
      </w:r>
      <w:r w:rsidRPr="001448A7">
        <w:rPr>
          <w:lang w:val="en-US"/>
        </w:rPr>
        <w:t xml:space="preserve"> </w:t>
      </w:r>
      <w:r w:rsidRPr="001448A7">
        <w:rPr>
          <w:i/>
          <w:iCs/>
          <w:lang w:val="en-US"/>
        </w:rPr>
        <w:t>supra</w:t>
      </w:r>
      <w:r w:rsidRPr="001448A7">
        <w:rPr>
          <w:lang w:val="en-US"/>
        </w:rPr>
        <w:t xml:space="preserve">) ; C. L. Beharry (ed.), </w:t>
      </w:r>
      <w:r w:rsidRPr="001448A7">
        <w:rPr>
          <w:i/>
          <w:iCs/>
          <w:lang w:val="en-US"/>
        </w:rPr>
        <w:t>Contemporary and Emerging Issues on the Law of Damages and Valuation in International Investment Arbitration</w:t>
      </w:r>
      <w:r w:rsidRPr="001448A7">
        <w:rPr>
          <w:lang w:val="en-US"/>
        </w:rPr>
        <w:t xml:space="preserve">, Leiden, Brill Nijhoff, 2018 ; V. Fikfak, « Changing state behaviour: damages before the European Court of Human Rights », </w:t>
      </w:r>
      <w:r w:rsidRPr="001448A7">
        <w:rPr>
          <w:i/>
          <w:iCs/>
          <w:lang w:val="en-US"/>
        </w:rPr>
        <w:t>European Journal of International Law</w:t>
      </w:r>
      <w:r w:rsidRPr="001448A7">
        <w:rPr>
          <w:lang w:val="en-US"/>
        </w:rPr>
        <w:t>, vol. 29, n</w:t>
      </w:r>
      <w:r w:rsidRPr="001448A7">
        <w:rPr>
          <w:vertAlign w:val="superscript"/>
          <w:lang w:val="en-US"/>
        </w:rPr>
        <w:t>o</w:t>
      </w:r>
      <w:r w:rsidRPr="001448A7">
        <w:rPr>
          <w:lang w:val="en-US"/>
        </w:rPr>
        <w:t xml:space="preserve"> 4 (novembre 2018), p. 1091 à 1125 ; </w:t>
      </w:r>
      <w:proofErr w:type="spellStart"/>
      <w:r w:rsidRPr="001448A7">
        <w:rPr>
          <w:lang w:val="en-US"/>
        </w:rPr>
        <w:t>Dreyssé</w:t>
      </w:r>
      <w:proofErr w:type="spellEnd"/>
      <w:r w:rsidRPr="001448A7">
        <w:rPr>
          <w:lang w:val="en-US"/>
        </w:rPr>
        <w:t xml:space="preserve"> (note </w:t>
      </w:r>
      <w:r w:rsidRPr="001448A7">
        <w:rPr>
          <w:lang w:val="en-US"/>
        </w:rPr>
        <w:fldChar w:fldCharType="begin"/>
      </w:r>
      <w:r w:rsidRPr="001448A7">
        <w:rPr>
          <w:lang w:val="en-US"/>
        </w:rPr>
        <w:instrText xml:space="preserve"> NOTEREF _Ref172541674 \h </w:instrText>
      </w:r>
      <w:r>
        <w:rPr>
          <w:lang w:val="en-US"/>
        </w:rPr>
        <w:instrText xml:space="preserve"> \* MERGEFORMAT </w:instrText>
      </w:r>
      <w:r w:rsidRPr="001448A7">
        <w:rPr>
          <w:lang w:val="en-US"/>
        </w:rPr>
      </w:r>
      <w:r w:rsidRPr="001448A7">
        <w:rPr>
          <w:lang w:val="en-US"/>
        </w:rPr>
        <w:fldChar w:fldCharType="separate"/>
      </w:r>
      <w:r w:rsidR="00EC4FDE">
        <w:rPr>
          <w:lang w:val="en-US"/>
        </w:rPr>
        <w:t>71</w:t>
      </w:r>
      <w:r w:rsidRPr="001448A7">
        <w:rPr>
          <w:lang w:val="en-US"/>
        </w:rPr>
        <w:fldChar w:fldCharType="end"/>
      </w:r>
      <w:r w:rsidRPr="001448A7">
        <w:rPr>
          <w:lang w:val="en-US"/>
        </w:rPr>
        <w:t xml:space="preserve"> </w:t>
      </w:r>
      <w:r w:rsidRPr="001448A7">
        <w:rPr>
          <w:i/>
          <w:iCs/>
          <w:lang w:val="en-US"/>
        </w:rPr>
        <w:t>supra</w:t>
      </w:r>
      <w:r w:rsidRPr="001448A7">
        <w:rPr>
          <w:lang w:val="en-US"/>
        </w:rPr>
        <w:t>).</w:t>
      </w:r>
    </w:p>
  </w:footnote>
  <w:footnote w:id="407">
    <w:p w14:paraId="76769F67" w14:textId="42283F85"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en-US"/>
        </w:rPr>
        <w:tab/>
      </w:r>
      <w:r w:rsidRPr="00E9227E">
        <w:rPr>
          <w:rStyle w:val="Appelnotedebasdep"/>
        </w:rPr>
        <w:footnoteRef/>
      </w:r>
      <w:r w:rsidRPr="001448A7">
        <w:rPr>
          <w:lang w:val="fr-FR"/>
        </w:rPr>
        <w:tab/>
        <w:t xml:space="preserve">Document de travail établi par le Secrétariat (voir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par. 38 (« Depuis l</w:t>
      </w:r>
      <w:r w:rsidR="004937A0">
        <w:rPr>
          <w:lang w:val="fr-FR"/>
        </w:rPr>
        <w:t>’</w:t>
      </w:r>
      <w:r w:rsidRPr="001448A7">
        <w:rPr>
          <w:lang w:val="fr-FR"/>
        </w:rPr>
        <w:t>adoption des articles de 2001, la jurisprudence internationale sur la fixation du quantum de l</w:t>
      </w:r>
      <w:r w:rsidR="004937A0">
        <w:rPr>
          <w:lang w:val="fr-FR"/>
        </w:rPr>
        <w:t>’</w:t>
      </w:r>
      <w:r w:rsidRPr="001448A7">
        <w:rPr>
          <w:lang w:val="fr-FR"/>
        </w:rPr>
        <w:t>indemnisation s</w:t>
      </w:r>
      <w:r w:rsidR="004937A0">
        <w:rPr>
          <w:lang w:val="fr-FR"/>
        </w:rPr>
        <w:t>’</w:t>
      </w:r>
      <w:r w:rsidRPr="001448A7">
        <w:rPr>
          <w:lang w:val="fr-FR"/>
        </w:rPr>
        <w:t>est développée et diversifiée, ce qui rend le sujet concret et suffisamment facile à traiter du point de vue de la codification et du développement progressif. »).</w:t>
      </w:r>
    </w:p>
  </w:footnote>
  <w:footnote w:id="408">
    <w:p w14:paraId="3FCE2296" w14:textId="79F38FCA" w:rsidR="005D2955" w:rsidRPr="001448A7" w:rsidRDefault="005D2955" w:rsidP="00E9227E">
      <w:pPr>
        <w:pStyle w:val="Notedebasdepage"/>
        <w:rPr>
          <w:rFonts w:asciiTheme="majorBidi" w:hAnsiTheme="majorBidi" w:cstheme="majorBidi"/>
          <w:szCs w:val="18"/>
          <w:lang w:val="en-US"/>
        </w:rPr>
      </w:pPr>
      <w:r w:rsidRPr="001448A7">
        <w:rPr>
          <w:rFonts w:asciiTheme="majorBidi" w:hAnsiTheme="majorBidi" w:cstheme="majorBidi"/>
          <w:szCs w:val="18"/>
          <w:lang w:val="fr-FR"/>
        </w:rPr>
        <w:tab/>
      </w:r>
      <w:r w:rsidRPr="00E9227E">
        <w:rPr>
          <w:rStyle w:val="Appelnotedebasdep"/>
        </w:rPr>
        <w:footnoteRef/>
      </w:r>
      <w:r w:rsidRPr="001448A7">
        <w:rPr>
          <w:lang w:val="en-US"/>
        </w:rPr>
        <w:tab/>
        <w:t xml:space="preserve">Voir Organisation des Nations Unies, </w:t>
      </w:r>
      <w:r w:rsidRPr="001448A7">
        <w:rPr>
          <w:i/>
          <w:iCs/>
          <w:lang w:val="en-US"/>
        </w:rPr>
        <w:t>Materials on the Responsibility of States for Internationally Wrongful Acts</w:t>
      </w:r>
      <w:r w:rsidRPr="001448A7">
        <w:rPr>
          <w:lang w:val="en-US"/>
        </w:rPr>
        <w:t xml:space="preserve"> (note </w:t>
      </w:r>
      <w:r w:rsidRPr="001448A7">
        <w:rPr>
          <w:lang w:val="en-US"/>
        </w:rPr>
        <w:fldChar w:fldCharType="begin"/>
      </w:r>
      <w:r w:rsidRPr="001448A7">
        <w:rPr>
          <w:lang w:val="en-US"/>
        </w:rPr>
        <w:instrText xml:space="preserve"> NOTEREF _Ref172535375 \h </w:instrText>
      </w:r>
      <w:r>
        <w:rPr>
          <w:lang w:val="en-US"/>
        </w:rPr>
        <w:instrText xml:space="preserve"> \* MERGEFORMAT </w:instrText>
      </w:r>
      <w:r w:rsidRPr="001448A7">
        <w:rPr>
          <w:lang w:val="en-US"/>
        </w:rPr>
      </w:r>
      <w:r w:rsidRPr="001448A7">
        <w:rPr>
          <w:lang w:val="en-US"/>
        </w:rPr>
        <w:fldChar w:fldCharType="separate"/>
      </w:r>
      <w:r w:rsidR="00EC4FDE">
        <w:rPr>
          <w:lang w:val="en-US"/>
        </w:rPr>
        <w:t>20</w:t>
      </w:r>
      <w:r w:rsidRPr="001448A7">
        <w:rPr>
          <w:lang w:val="en-US"/>
        </w:rPr>
        <w:fldChar w:fldCharType="end"/>
      </w:r>
      <w:r w:rsidRPr="001448A7">
        <w:rPr>
          <w:lang w:val="en-US"/>
        </w:rPr>
        <w:t xml:space="preserve"> </w:t>
      </w:r>
      <w:r w:rsidRPr="001448A7">
        <w:rPr>
          <w:i/>
          <w:iCs/>
          <w:lang w:val="en-US"/>
        </w:rPr>
        <w:t>supra</w:t>
      </w:r>
      <w:r w:rsidRPr="001448A7">
        <w:rPr>
          <w:lang w:val="en-US"/>
        </w:rPr>
        <w:t>).</w:t>
      </w:r>
    </w:p>
  </w:footnote>
  <w:footnote w:id="409">
    <w:p w14:paraId="6211AB2F" w14:textId="70B61F8E" w:rsidR="005D2955" w:rsidRPr="001448A7" w:rsidRDefault="005D2955" w:rsidP="00E9227E">
      <w:pPr>
        <w:pStyle w:val="Notedebasdepage"/>
        <w:rPr>
          <w:rFonts w:asciiTheme="majorBidi" w:hAnsiTheme="majorBidi" w:cstheme="majorBidi"/>
          <w:i/>
          <w:szCs w:val="18"/>
        </w:rPr>
      </w:pPr>
      <w:r w:rsidRPr="001448A7">
        <w:rPr>
          <w:rFonts w:asciiTheme="majorBidi" w:hAnsiTheme="majorBidi" w:cstheme="majorBidi"/>
          <w:szCs w:val="18"/>
          <w:lang w:val="en-US"/>
        </w:rPr>
        <w:tab/>
      </w:r>
      <w:r w:rsidRPr="00E9227E">
        <w:rPr>
          <w:rStyle w:val="Appelnotedebasdep"/>
        </w:rPr>
        <w:footnoteRef/>
      </w:r>
      <w:r w:rsidRPr="001448A7">
        <w:rPr>
          <w:lang w:val="fr-FR"/>
        </w:rPr>
        <w:tab/>
        <w:t xml:space="preserve">Voir </w:t>
      </w:r>
      <w:r w:rsidRPr="001448A7">
        <w:rPr>
          <w:i/>
          <w:iCs/>
          <w:lang w:val="fr-FR"/>
        </w:rPr>
        <w:t>Ahmadou Sadio Diallo (République de Guinée c. République démocratique du Congo), exceptions préliminaires, arrêt, C.I.J. Recueil 2007</w:t>
      </w:r>
      <w:r w:rsidRPr="001448A7">
        <w:rPr>
          <w:lang w:val="fr-FR"/>
        </w:rPr>
        <w:t xml:space="preserve">, p. 582, à la page 599, par. 39 ; </w:t>
      </w:r>
      <w:r w:rsidRPr="001448A7">
        <w:rPr>
          <w:i/>
          <w:iCs/>
          <w:lang w:val="fr-FR"/>
        </w:rPr>
        <w:t>Application de la convention internationale pour la répression du financement du terrorisme et de la convention internationale sur l</w:t>
      </w:r>
      <w:r w:rsidR="004937A0">
        <w:rPr>
          <w:i/>
          <w:iCs/>
          <w:lang w:val="fr-FR"/>
        </w:rPr>
        <w:t>’</w:t>
      </w:r>
      <w:r w:rsidRPr="001448A7">
        <w:rPr>
          <w:i/>
          <w:iCs/>
          <w:lang w:val="fr-FR"/>
        </w:rPr>
        <w:t>élimination de toutes les formes de discrimination raciale (Ukraine c. Fédération de Russie), exceptions préliminaires, arrêt, C.I.J. Recueil 2019</w:t>
      </w:r>
      <w:r w:rsidRPr="001448A7">
        <w:rPr>
          <w:lang w:val="fr-FR"/>
        </w:rPr>
        <w:t xml:space="preserve">, p. 558, à la p. 605, par. 129 ; et </w:t>
      </w:r>
      <w:r w:rsidRPr="001448A7">
        <w:rPr>
          <w:i/>
          <w:iCs/>
          <w:lang w:val="fr-FR"/>
        </w:rPr>
        <w:t>Certains actifs iraniens</w:t>
      </w:r>
      <w:r w:rsidRPr="001448A7">
        <w:rPr>
          <w:lang w:val="fr-FR"/>
        </w:rPr>
        <w:t xml:space="preserve"> (note </w:t>
      </w:r>
      <w:r w:rsidRPr="001448A7">
        <w:rPr>
          <w:lang w:val="fr-FR"/>
        </w:rPr>
        <w:fldChar w:fldCharType="begin"/>
      </w:r>
      <w:r w:rsidRPr="001448A7">
        <w:rPr>
          <w:lang w:val="fr-FR"/>
        </w:rPr>
        <w:instrText xml:space="preserve"> NOTEREF _Ref172541388 \h </w:instrText>
      </w:r>
      <w:r>
        <w:rPr>
          <w:lang w:val="fr-FR"/>
        </w:rPr>
        <w:instrText xml:space="preserve"> \* MERGEFORMAT </w:instrText>
      </w:r>
      <w:r w:rsidRPr="001448A7">
        <w:rPr>
          <w:lang w:val="fr-FR"/>
        </w:rPr>
      </w:r>
      <w:r w:rsidRPr="001448A7">
        <w:rPr>
          <w:lang w:val="fr-FR"/>
        </w:rPr>
        <w:fldChar w:fldCharType="separate"/>
      </w:r>
      <w:r w:rsidR="00EC4FDE">
        <w:rPr>
          <w:lang w:val="fr-FR"/>
        </w:rPr>
        <w:t>24</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par. 61, 66 et 68. Voir aussi </w:t>
      </w:r>
      <w:r w:rsidRPr="001448A7">
        <w:rPr>
          <w:i/>
          <w:iCs/>
          <w:lang w:val="fr-FR"/>
        </w:rPr>
        <w:t xml:space="preserve">Navire « Virginia G » </w:t>
      </w:r>
      <w:r w:rsidRPr="001448A7">
        <w:rPr>
          <w:lang w:val="fr-FR"/>
        </w:rPr>
        <w:t xml:space="preserve">(note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53, par. 153 ; </w:t>
      </w:r>
      <w:r w:rsidRPr="001448A7">
        <w:rPr>
          <w:i/>
          <w:iCs/>
          <w:lang w:val="fr-FR"/>
        </w:rPr>
        <w:t>Chypre c. Turquie</w:t>
      </w:r>
      <w:r w:rsidRPr="001448A7">
        <w:rPr>
          <w:lang w:val="fr-FR"/>
        </w:rPr>
        <w:t xml:space="preserve"> (note </w:t>
      </w:r>
      <w:r w:rsidRPr="001448A7">
        <w:rPr>
          <w:lang w:val="fr-FR"/>
        </w:rPr>
        <w:fldChar w:fldCharType="begin"/>
      </w:r>
      <w:r w:rsidRPr="001448A7">
        <w:rPr>
          <w:lang w:val="fr-FR"/>
        </w:rPr>
        <w:instrText xml:space="preserve"> NOTEREF _Ref172541891 \h </w:instrText>
      </w:r>
      <w:r>
        <w:rPr>
          <w:lang w:val="fr-FR"/>
        </w:rPr>
        <w:instrText xml:space="preserve"> \* MERGEFORMAT </w:instrText>
      </w:r>
      <w:r w:rsidRPr="001448A7">
        <w:rPr>
          <w:lang w:val="fr-FR"/>
        </w:rPr>
      </w:r>
      <w:r w:rsidRPr="001448A7">
        <w:rPr>
          <w:lang w:val="fr-FR"/>
        </w:rPr>
        <w:fldChar w:fldCharType="separate"/>
      </w:r>
      <w:r w:rsidR="00EC4FDE">
        <w:rPr>
          <w:lang w:val="fr-FR"/>
        </w:rPr>
        <w:t>26</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par. 45 et 46 ; </w:t>
      </w:r>
      <w:r w:rsidRPr="001448A7">
        <w:rPr>
          <w:i/>
          <w:iCs/>
          <w:lang w:val="fr-FR"/>
        </w:rPr>
        <w:t>Arctic Sunrise, sentence sur le fond du 14 août 2015</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p. 210, à la page 256, note 168 ; </w:t>
      </w:r>
      <w:r w:rsidRPr="001448A7">
        <w:rPr>
          <w:i/>
          <w:iCs/>
          <w:lang w:val="fr-FR"/>
        </w:rPr>
        <w:t>Navire « Norstar » (Panama c. Italie), Exceptions préliminaires, TIDM Recueil 2016</w:t>
      </w:r>
      <w:r w:rsidRPr="001448A7">
        <w:rPr>
          <w:lang w:val="fr-FR"/>
        </w:rPr>
        <w:t>, p. 44, à la page 102, par. 266 ; Cour européenne des droits de l</w:t>
      </w:r>
      <w:r w:rsidR="004937A0">
        <w:rPr>
          <w:lang w:val="fr-FR"/>
        </w:rPr>
        <w:t>’</w:t>
      </w:r>
      <w:r w:rsidRPr="001448A7">
        <w:rPr>
          <w:lang w:val="fr-FR"/>
        </w:rPr>
        <w:t xml:space="preserve">homme, Grande Chambre, </w:t>
      </w:r>
      <w:r w:rsidRPr="001448A7">
        <w:rPr>
          <w:i/>
          <w:iCs/>
          <w:lang w:val="fr-FR"/>
        </w:rPr>
        <w:t>H. F. et autres c. France, requêtes n</w:t>
      </w:r>
      <w:r w:rsidRPr="001448A7">
        <w:rPr>
          <w:i/>
          <w:iCs/>
          <w:vertAlign w:val="superscript"/>
          <w:lang w:val="fr-FR"/>
        </w:rPr>
        <w:t>os</w:t>
      </w:r>
      <w:r w:rsidRPr="001448A7">
        <w:rPr>
          <w:i/>
          <w:iCs/>
          <w:lang w:val="fr-FR"/>
        </w:rPr>
        <w:t> 24384/19 et 44234/20, arrêt du 14 septembre 2022</w:t>
      </w:r>
      <w:r w:rsidRPr="001448A7">
        <w:rPr>
          <w:lang w:val="fr-FR"/>
        </w:rPr>
        <w:t xml:space="preserve">, par. 87 à 92, 211 et 257. </w:t>
      </w:r>
    </w:p>
  </w:footnote>
  <w:footnote w:id="410">
    <w:p w14:paraId="5AE109FB" w14:textId="196A4184"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En 2023, l</w:t>
      </w:r>
      <w:r w:rsidR="004937A0">
        <w:rPr>
          <w:lang w:val="fr-FR"/>
        </w:rPr>
        <w:t>’</w:t>
      </w:r>
      <w:r w:rsidRPr="001448A7">
        <w:rPr>
          <w:lang w:val="fr-FR"/>
        </w:rPr>
        <w:t>Institut de droit international a établi la Douzième Commission</w:t>
      </w:r>
      <w:r w:rsidR="00827FD1">
        <w:rPr>
          <w:lang w:val="fr-FR"/>
        </w:rPr>
        <w:t> </w:t>
      </w:r>
      <w:r w:rsidRPr="001448A7">
        <w:rPr>
          <w:lang w:val="fr-FR"/>
        </w:rPr>
        <w:t xml:space="preserve">: La détermination du quantum dans les procédures judiciaires internationales, voir </w:t>
      </w:r>
      <w:hyperlink r:id="rId225" w:history="1">
        <w:r w:rsidRPr="001448A7">
          <w:rPr>
            <w:rStyle w:val="Lienhypertexte"/>
            <w:lang w:val="fr-FR"/>
          </w:rPr>
          <w:t>https://www.idi-iil.org/fr/ commissions/page/2/</w:t>
        </w:r>
        <w:r w:rsidRPr="001448A7">
          <w:rPr>
            <w:rStyle w:val="Lienhypertexte"/>
            <w:color w:val="FF0000"/>
            <w:lang w:val="fr-FR"/>
          </w:rPr>
          <w:t>.</w:t>
        </w:r>
      </w:hyperlink>
    </w:p>
  </w:footnote>
  <w:footnote w:id="411">
    <w:p w14:paraId="0648CF35" w14:textId="2143E221"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Grossman Guiloff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_Ref172538024 \h </w:instrText>
      </w:r>
      <w:r>
        <w:rPr>
          <w:lang w:val="fr-FR"/>
        </w:rPr>
        <w:instrText xml:space="preserve"> \* MERGEFORMAT </w:instrText>
      </w:r>
      <w:r w:rsidRPr="001448A7">
        <w:rPr>
          <w:lang w:val="fr-FR"/>
        </w:rPr>
      </w:r>
      <w:r w:rsidRPr="001448A7">
        <w:rPr>
          <w:lang w:val="fr-FR"/>
        </w:rPr>
        <w:fldChar w:fldCharType="separate"/>
      </w:r>
      <w:r w:rsidR="00EC4FDE">
        <w:rPr>
          <w:lang w:val="fr-FR"/>
        </w:rPr>
        <w:t>49</w:t>
      </w:r>
      <w:r w:rsidRPr="001448A7">
        <w:rPr>
          <w:lang w:val="fr-FR"/>
        </w:rPr>
        <w:fldChar w:fldCharType="end"/>
      </w:r>
      <w:r w:rsidRPr="001448A7">
        <w:rPr>
          <w:lang w:val="fr-FR"/>
        </w:rPr>
        <w:t>), par. 23 a).</w:t>
      </w:r>
    </w:p>
  </w:footnote>
  <w:footnote w:id="412">
    <w:p w14:paraId="3241E2BF" w14:textId="573850D3"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17 à 23 du commentaire de l</w:t>
      </w:r>
      <w:r w:rsidR="004937A0">
        <w:rPr>
          <w:lang w:val="fr-FR"/>
        </w:rPr>
        <w:t>’</w:t>
      </w:r>
      <w:r w:rsidRPr="001448A7">
        <w:rPr>
          <w:lang w:val="fr-FR"/>
        </w:rPr>
        <w:t>article 12 du projet d</w:t>
      </w:r>
      <w:r w:rsidR="004937A0">
        <w:rPr>
          <w:lang w:val="fr-FR"/>
        </w:rPr>
        <w:t>’</w:t>
      </w:r>
      <w:r w:rsidRPr="001448A7">
        <w:rPr>
          <w:lang w:val="fr-FR"/>
        </w:rPr>
        <w:t>articles sur la prévention et la répression des crimes contre l</w:t>
      </w:r>
      <w:r w:rsidR="004937A0">
        <w:rPr>
          <w:lang w:val="fr-FR"/>
        </w:rPr>
        <w:t>’</w:t>
      </w:r>
      <w:r w:rsidRPr="001448A7">
        <w:rPr>
          <w:lang w:val="fr-FR"/>
        </w:rPr>
        <w:t xml:space="preserve">humanité adopté par la Commission en seconde lecture, Rapport de la Commission du droit international sur les travaux de sa soixante et onzième session, </w:t>
      </w:r>
      <w:r w:rsidRPr="001448A7">
        <w:rPr>
          <w:i/>
          <w:iCs/>
          <w:lang w:val="fr-FR"/>
        </w:rPr>
        <w:t>Documents officiels de l</w:t>
      </w:r>
      <w:r w:rsidR="004937A0">
        <w:rPr>
          <w:i/>
          <w:iCs/>
          <w:lang w:val="fr-FR"/>
        </w:rPr>
        <w:t>’</w:t>
      </w:r>
      <w:r w:rsidRPr="001448A7">
        <w:rPr>
          <w:i/>
          <w:iCs/>
          <w:lang w:val="fr-FR"/>
        </w:rPr>
        <w:t xml:space="preserve">Assemblée générale, soixante-quatorzième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w:t>
      </w:r>
      <w:r w:rsidRPr="001448A7">
        <w:rPr>
          <w:lang w:val="fr-FR"/>
        </w:rPr>
        <w:t xml:space="preserve"> (</w:t>
      </w:r>
      <w:hyperlink r:id="rId226" w:history="1">
        <w:r w:rsidRPr="001448A7">
          <w:rPr>
            <w:rStyle w:val="Lienhypertexte"/>
            <w:lang w:val="fr-FR"/>
          </w:rPr>
          <w:t>A/74/10</w:t>
        </w:r>
      </w:hyperlink>
      <w:r w:rsidRPr="001448A7">
        <w:rPr>
          <w:lang w:val="fr-FR"/>
        </w:rPr>
        <w:t>), chap. IV, sect. E.2, par. 45 ; et les paragraphes 5 à 8 du commentaire du principe 9 du projet de principes sur la protection de l</w:t>
      </w:r>
      <w:r w:rsidR="004937A0">
        <w:rPr>
          <w:lang w:val="fr-FR"/>
        </w:rPr>
        <w:t>’</w:t>
      </w:r>
      <w:r w:rsidRPr="001448A7">
        <w:rPr>
          <w:lang w:val="fr-FR"/>
        </w:rPr>
        <w:t xml:space="preserve">environnement en rapport avec les conflits armés, Rapport de la Commission du droit international sur les travaux de sa soixante-treizième session, </w:t>
      </w:r>
      <w:r w:rsidRPr="001448A7">
        <w:rPr>
          <w:i/>
          <w:iCs/>
          <w:lang w:val="fr-FR"/>
        </w:rPr>
        <w:t>Documents officiels de l</w:t>
      </w:r>
      <w:r w:rsidR="004937A0">
        <w:rPr>
          <w:i/>
          <w:iCs/>
          <w:lang w:val="fr-FR"/>
        </w:rPr>
        <w:t>’</w:t>
      </w:r>
      <w:r w:rsidRPr="001448A7">
        <w:rPr>
          <w:i/>
          <w:iCs/>
          <w:lang w:val="fr-FR"/>
        </w:rPr>
        <w:t xml:space="preserve">Assemblée générale, soixante-dix-septième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10</w:t>
      </w:r>
      <w:r w:rsidRPr="001448A7">
        <w:rPr>
          <w:lang w:val="fr-FR"/>
        </w:rPr>
        <w:t xml:space="preserve"> (</w:t>
      </w:r>
      <w:hyperlink r:id="rId227" w:history="1">
        <w:r w:rsidRPr="001448A7">
          <w:rPr>
            <w:rStyle w:val="Lienhypertexte"/>
            <w:lang w:val="fr-FR"/>
          </w:rPr>
          <w:t>A/77/10</w:t>
        </w:r>
      </w:hyperlink>
      <w:r w:rsidRPr="001448A7">
        <w:rPr>
          <w:lang w:val="fr-FR"/>
        </w:rPr>
        <w:t>), chap. VI, sect. C.2, par. 71.</w:t>
      </w:r>
    </w:p>
  </w:footnote>
  <w:footnote w:id="413">
    <w:p w14:paraId="24A47F99" w14:textId="36A7634A"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Deuxième rapport sur la responsabilité des État</w:t>
      </w:r>
      <w:r w:rsidR="00E25AB0">
        <w:rPr>
          <w:lang w:val="fr-FR"/>
        </w:rPr>
        <w:t>s</w:t>
      </w:r>
      <w:r w:rsidRPr="001448A7">
        <w:rPr>
          <w:lang w:val="fr-FR"/>
        </w:rPr>
        <w:t xml:space="preserve">, par M. Gaetano Arangio-Ruiz, Rapporteur spécial, </w:t>
      </w:r>
      <w:r w:rsidRPr="001448A7">
        <w:rPr>
          <w:i/>
          <w:iCs/>
          <w:lang w:val="fr-FR"/>
        </w:rPr>
        <w:t>Annuaire ... 1989</w:t>
      </w:r>
      <w:r w:rsidRPr="001448A7">
        <w:rPr>
          <w:lang w:val="fr-FR"/>
        </w:rPr>
        <w:t>, vol. II (</w:t>
      </w:r>
      <w:r w:rsidRPr="00A4387D">
        <w:rPr>
          <w:szCs w:val="18"/>
          <w:lang w:val="fr-FR"/>
        </w:rPr>
        <w:t>1</w:t>
      </w:r>
      <w:r w:rsidRPr="00A4387D">
        <w:rPr>
          <w:szCs w:val="18"/>
          <w:vertAlign w:val="superscript"/>
          <w:lang w:val="fr-FR"/>
        </w:rPr>
        <w:t>re</w:t>
      </w:r>
      <w:r w:rsidRPr="001448A7">
        <w:rPr>
          <w:lang w:val="fr-FR"/>
        </w:rPr>
        <w:t xml:space="preserve"> partie), document </w:t>
      </w:r>
      <w:hyperlink r:id="rId228" w:history="1">
        <w:r w:rsidRPr="001448A7">
          <w:rPr>
            <w:rStyle w:val="Lienhypertexte"/>
            <w:lang w:val="fr-FR"/>
          </w:rPr>
          <w:t>A/CN.4/425</w:t>
        </w:r>
      </w:hyperlink>
      <w:r w:rsidRPr="001448A7">
        <w:rPr>
          <w:lang w:val="fr-FR"/>
        </w:rPr>
        <w:t xml:space="preserve"> et </w:t>
      </w:r>
      <w:hyperlink r:id="rId229" w:history="1">
        <w:r w:rsidRPr="001448A7">
          <w:rPr>
            <w:rStyle w:val="Lienhypertexte"/>
            <w:lang w:val="fr-FR"/>
          </w:rPr>
          <w:t>Add.1</w:t>
        </w:r>
      </w:hyperlink>
      <w:r w:rsidRPr="001448A7">
        <w:rPr>
          <w:lang w:val="fr-FR"/>
        </w:rPr>
        <w:t>, chap. II, p. 8 et suiv.</w:t>
      </w:r>
    </w:p>
  </w:footnote>
  <w:footnote w:id="414">
    <w:p w14:paraId="55BFCBA0" w14:textId="22242CFD"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Annuaire … 1993</w:t>
      </w:r>
      <w:r w:rsidRPr="001448A7">
        <w:rPr>
          <w:lang w:val="fr-FR"/>
        </w:rPr>
        <w:t>, vol. II (2</w:t>
      </w:r>
      <w:r w:rsidRPr="001448A7">
        <w:rPr>
          <w:vertAlign w:val="superscript"/>
          <w:lang w:val="fr-FR"/>
        </w:rPr>
        <w:t>e</w:t>
      </w:r>
      <w:r w:rsidRPr="001448A7">
        <w:rPr>
          <w:lang w:val="fr-FR"/>
        </w:rPr>
        <w:t xml:space="preserve"> partie), p. 70 à 79 ; et ibid., vol. I, 2321</w:t>
      </w:r>
      <w:r w:rsidRPr="001448A7">
        <w:rPr>
          <w:vertAlign w:val="superscript"/>
          <w:lang w:val="fr-FR"/>
        </w:rPr>
        <w:t>e</w:t>
      </w:r>
      <w:r w:rsidRPr="001448A7">
        <w:rPr>
          <w:lang w:val="fr-FR"/>
        </w:rPr>
        <w:t xml:space="preserve"> séance, 19 juillet 1993, p. 173 à 175, par. 42 à73, </w:t>
      </w:r>
      <w:r>
        <w:rPr>
          <w:lang w:val="fr-FR"/>
        </w:rPr>
        <w:t>2322</w:t>
      </w:r>
      <w:r w:rsidRPr="008D2C39">
        <w:rPr>
          <w:vertAlign w:val="superscript"/>
          <w:lang w:val="fr-FR"/>
        </w:rPr>
        <w:t>e</w:t>
      </w:r>
      <w:r>
        <w:rPr>
          <w:lang w:val="fr-FR"/>
        </w:rPr>
        <w:t xml:space="preserve"> séance, 19 juillet 1993, </w:t>
      </w:r>
      <w:r w:rsidRPr="001448A7">
        <w:rPr>
          <w:lang w:val="fr-FR"/>
        </w:rPr>
        <w:t>p. 180 à 183, par. 33 à 77, 2323</w:t>
      </w:r>
      <w:r w:rsidRPr="001448A7">
        <w:rPr>
          <w:vertAlign w:val="superscript"/>
          <w:lang w:val="fr-FR"/>
        </w:rPr>
        <w:t>e</w:t>
      </w:r>
      <w:r w:rsidRPr="001448A7">
        <w:rPr>
          <w:lang w:val="fr-FR"/>
        </w:rPr>
        <w:t xml:space="preserve"> séance, </w:t>
      </w:r>
      <w:r>
        <w:rPr>
          <w:lang w:val="fr-FR"/>
        </w:rPr>
        <w:t xml:space="preserve">20 juillet 1993, </w:t>
      </w:r>
      <w:r w:rsidRPr="001448A7">
        <w:rPr>
          <w:lang w:val="fr-FR"/>
        </w:rPr>
        <w:t>p. 183 à 185, par. 1 à 33, et 2324</w:t>
      </w:r>
      <w:r w:rsidRPr="001448A7">
        <w:rPr>
          <w:vertAlign w:val="superscript"/>
          <w:lang w:val="fr-FR"/>
        </w:rPr>
        <w:t>e</w:t>
      </w:r>
      <w:r w:rsidRPr="001448A7">
        <w:rPr>
          <w:lang w:val="fr-FR"/>
        </w:rPr>
        <w:t> séance, 21 juillet 1993, p. 185 à 187, par. 1 à 10</w:t>
      </w:r>
    </w:p>
  </w:footnote>
  <w:footnote w:id="415">
    <w:p w14:paraId="39F3980F" w14:textId="56B96944"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Art. 44 du projet d</w:t>
      </w:r>
      <w:r w:rsidR="004937A0">
        <w:rPr>
          <w:lang w:val="fr-FR"/>
        </w:rPr>
        <w:t>’</w:t>
      </w:r>
      <w:r w:rsidRPr="001448A7">
        <w:rPr>
          <w:lang w:val="fr-FR"/>
        </w:rPr>
        <w:t xml:space="preserve">articles sur la responsabilité des États, </w:t>
      </w:r>
      <w:r w:rsidRPr="001448A7">
        <w:rPr>
          <w:i/>
          <w:iCs/>
          <w:lang w:val="fr-FR"/>
        </w:rPr>
        <w:t>Annuaire ... 1996</w:t>
      </w:r>
      <w:r w:rsidRPr="001448A7">
        <w:rPr>
          <w:lang w:val="fr-FR"/>
        </w:rPr>
        <w:t>, vol. II (2</w:t>
      </w:r>
      <w:r w:rsidRPr="001448A7">
        <w:rPr>
          <w:vertAlign w:val="superscript"/>
          <w:lang w:val="fr-FR"/>
        </w:rPr>
        <w:t>e</w:t>
      </w:r>
      <w:r w:rsidRPr="001448A7">
        <w:rPr>
          <w:lang w:val="fr-FR"/>
        </w:rPr>
        <w:t xml:space="preserve"> partie), p. 67. </w:t>
      </w:r>
    </w:p>
  </w:footnote>
  <w:footnote w:id="416">
    <w:p w14:paraId="511D569C"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Troisième rapport sur la responsabilité des États, par M. James Crawford, Rapporteur spécial, </w:t>
      </w:r>
      <w:r w:rsidRPr="001448A7">
        <w:rPr>
          <w:i/>
          <w:iCs/>
          <w:lang w:val="fr-FR"/>
        </w:rPr>
        <w:t>Annuaire ... 2000</w:t>
      </w:r>
      <w:r w:rsidRPr="001448A7">
        <w:rPr>
          <w:lang w:val="fr-FR"/>
        </w:rPr>
        <w:t>, vol. II (1</w:t>
      </w:r>
      <w:r w:rsidRPr="001448A7">
        <w:rPr>
          <w:vertAlign w:val="superscript"/>
          <w:lang w:val="fr-FR"/>
        </w:rPr>
        <w:t>re</w:t>
      </w:r>
      <w:r w:rsidRPr="001448A7">
        <w:rPr>
          <w:lang w:val="fr-FR"/>
        </w:rPr>
        <w:t xml:space="preserve"> partie), document </w:t>
      </w:r>
      <w:hyperlink r:id="rId230" w:history="1">
        <w:r w:rsidRPr="001448A7">
          <w:rPr>
            <w:rStyle w:val="Lienhypertexte"/>
            <w:lang w:val="fr-FR"/>
          </w:rPr>
          <w:t>A/CN.4/507</w:t>
        </w:r>
      </w:hyperlink>
      <w:r w:rsidRPr="001448A7">
        <w:rPr>
          <w:lang w:val="fr-FR"/>
        </w:rPr>
        <w:t xml:space="preserve"> et </w:t>
      </w:r>
      <w:hyperlink r:id="rId231" w:history="1">
        <w:r w:rsidRPr="001448A7">
          <w:rPr>
            <w:rStyle w:val="Lienhypertexte"/>
            <w:lang w:val="fr-FR"/>
          </w:rPr>
          <w:t>Add.1</w:t>
        </w:r>
      </w:hyperlink>
      <w:r w:rsidRPr="001448A7">
        <w:rPr>
          <w:lang w:val="fr-FR"/>
        </w:rPr>
        <w:t xml:space="preserve"> à </w:t>
      </w:r>
      <w:r w:rsidRPr="001448A7">
        <w:rPr>
          <w:rStyle w:val="Lienhypertexte"/>
        </w:rPr>
        <w:t>4</w:t>
      </w:r>
      <w:r w:rsidRPr="001448A7">
        <w:rPr>
          <w:lang w:val="fr-FR"/>
        </w:rPr>
        <w:t xml:space="preserve">, p. 50 à 56, par. 147 à 166. </w:t>
      </w:r>
    </w:p>
  </w:footnote>
  <w:footnote w:id="417">
    <w:p w14:paraId="6D906C5F"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Annuaire … 2000</w:t>
      </w:r>
      <w:r w:rsidRPr="001448A7">
        <w:rPr>
          <w:lang w:val="fr-FR"/>
        </w:rPr>
        <w:t>, vol II (2</w:t>
      </w:r>
      <w:r w:rsidRPr="001448A7">
        <w:rPr>
          <w:vertAlign w:val="superscript"/>
          <w:lang w:val="fr-FR"/>
        </w:rPr>
        <w:t>e</w:t>
      </w:r>
      <w:r w:rsidRPr="001448A7">
        <w:rPr>
          <w:lang w:val="fr-FR"/>
        </w:rPr>
        <w:t xml:space="preserve"> partie), p. 41, par. 192. </w:t>
      </w:r>
    </w:p>
  </w:footnote>
  <w:footnote w:id="418">
    <w:p w14:paraId="589A6036"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Ibid., p. 45, par. 230. </w:t>
      </w:r>
    </w:p>
  </w:footnote>
  <w:footnote w:id="419">
    <w:p w14:paraId="3569E071"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 xml:space="preserve">Ibid., p. 71, par. 37. </w:t>
      </w:r>
    </w:p>
  </w:footnote>
  <w:footnote w:id="420">
    <w:p w14:paraId="39D42D50"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Quatrième rapport sur la responsabilité des États, par M. James Crawford, Rapporteur spécial, </w:t>
      </w:r>
      <w:r w:rsidRPr="001448A7">
        <w:rPr>
          <w:i/>
          <w:iCs/>
          <w:lang w:val="fr-FR"/>
        </w:rPr>
        <w:t>Annuaire ... 2001</w:t>
      </w:r>
      <w:r w:rsidRPr="001448A7">
        <w:rPr>
          <w:lang w:val="fr-FR"/>
        </w:rPr>
        <w:t>, vol. II (1</w:t>
      </w:r>
      <w:r w:rsidRPr="001448A7">
        <w:rPr>
          <w:vertAlign w:val="superscript"/>
          <w:lang w:val="fr-FR"/>
        </w:rPr>
        <w:t>re</w:t>
      </w:r>
      <w:r w:rsidRPr="001448A7">
        <w:rPr>
          <w:lang w:val="fr-FR"/>
        </w:rPr>
        <w:t xml:space="preserve"> partie), document </w:t>
      </w:r>
      <w:hyperlink r:id="rId232" w:history="1">
        <w:r w:rsidRPr="001448A7">
          <w:rPr>
            <w:rStyle w:val="Lienhypertexte"/>
            <w:lang w:val="fr-FR"/>
          </w:rPr>
          <w:t>A/CN.4/517</w:t>
        </w:r>
      </w:hyperlink>
      <w:r w:rsidRPr="001448A7">
        <w:rPr>
          <w:lang w:val="fr-FR"/>
        </w:rPr>
        <w:t xml:space="preserve"> et </w:t>
      </w:r>
      <w:hyperlink r:id="rId233" w:history="1">
        <w:r w:rsidRPr="001448A7">
          <w:rPr>
            <w:rStyle w:val="Lienhypertexte"/>
            <w:lang w:val="fr-FR"/>
          </w:rPr>
          <w:t>Add.1</w:t>
        </w:r>
      </w:hyperlink>
      <w:r w:rsidRPr="001448A7">
        <w:rPr>
          <w:lang w:val="fr-FR"/>
        </w:rPr>
        <w:t xml:space="preserve">, p. 9 et 10, par. 33 et 34 (voir les questions limitées concernant le préjudice moral et la possibilité de réaliser une évaluation financière), et annexe, p. 19 et 23. </w:t>
      </w:r>
    </w:p>
  </w:footnote>
  <w:footnote w:id="421">
    <w:p w14:paraId="1BDB1CDF" w14:textId="30DAE4BC"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Voir la première déclaration du Président du Comité de rédaction, M. Peter Tomka, sur la Responsabilité de l</w:t>
      </w:r>
      <w:r w:rsidR="004937A0">
        <w:rPr>
          <w:lang w:val="fr-FR"/>
        </w:rPr>
        <w:t>’</w:t>
      </w:r>
      <w:r w:rsidRPr="001448A7">
        <w:rPr>
          <w:lang w:val="fr-FR"/>
        </w:rPr>
        <w:t>État pour fait internationalement illicite [responsabilité des États], disponible sur le site Internet de la Commission, documents de la cinquante-troisième session.</w:t>
      </w:r>
    </w:p>
  </w:footnote>
  <w:footnote w:id="422">
    <w:p w14:paraId="3FEF6370" w14:textId="7E47D08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Annuaire …</w:t>
      </w:r>
      <w:r w:rsidR="008D6C4B">
        <w:rPr>
          <w:i/>
          <w:iCs/>
          <w:lang w:val="fr-FR"/>
        </w:rPr>
        <w:t xml:space="preserve"> </w:t>
      </w:r>
      <w:r w:rsidRPr="001448A7">
        <w:rPr>
          <w:i/>
          <w:iCs/>
          <w:lang w:val="fr-FR"/>
        </w:rPr>
        <w:t>2001</w:t>
      </w:r>
      <w:r w:rsidRPr="001448A7">
        <w:rPr>
          <w:lang w:val="fr-FR"/>
        </w:rPr>
        <w:t>, vol. I, 2682</w:t>
      </w:r>
      <w:r w:rsidRPr="001448A7">
        <w:rPr>
          <w:vertAlign w:val="superscript"/>
          <w:lang w:val="fr-FR"/>
        </w:rPr>
        <w:t>e</w:t>
      </w:r>
      <w:r w:rsidRPr="001448A7">
        <w:rPr>
          <w:lang w:val="fr-FR"/>
        </w:rPr>
        <w:t> séance, 30 mai 2001, p. 109, par. 6. Voir aussi l</w:t>
      </w:r>
      <w:r w:rsidR="004937A0">
        <w:rPr>
          <w:lang w:val="fr-FR"/>
        </w:rPr>
        <w:t>’</w:t>
      </w:r>
      <w:r w:rsidRPr="001448A7">
        <w:rPr>
          <w:lang w:val="fr-FR"/>
        </w:rPr>
        <w:t>article 42 du projet d</w:t>
      </w:r>
      <w:r w:rsidR="004937A0">
        <w:rPr>
          <w:lang w:val="fr-FR"/>
        </w:rPr>
        <w:t>’</w:t>
      </w:r>
      <w:r w:rsidRPr="001448A7">
        <w:rPr>
          <w:lang w:val="fr-FR"/>
        </w:rPr>
        <w:t xml:space="preserve">articles sur la responsabilité des États, </w:t>
      </w:r>
      <w:r w:rsidRPr="001448A7">
        <w:rPr>
          <w:i/>
          <w:iCs/>
          <w:lang w:val="fr-FR"/>
        </w:rPr>
        <w:t>Annuaire ... 1996</w:t>
      </w:r>
      <w:r w:rsidRPr="001448A7">
        <w:rPr>
          <w:lang w:val="fr-FR"/>
        </w:rPr>
        <w:t>, vol. II (2</w:t>
      </w:r>
      <w:r w:rsidRPr="001448A7">
        <w:rPr>
          <w:vertAlign w:val="superscript"/>
          <w:lang w:val="fr-FR"/>
        </w:rPr>
        <w:t>e</w:t>
      </w:r>
      <w:r w:rsidRPr="001448A7">
        <w:rPr>
          <w:lang w:val="fr-FR"/>
        </w:rPr>
        <w:t xml:space="preserve"> partie), p. 67. </w:t>
      </w:r>
      <w:r w:rsidRPr="001448A7">
        <w:rPr>
          <w:i/>
          <w:iCs/>
          <w:lang w:val="fr-FR"/>
        </w:rPr>
        <w:t>Annuaire </w:t>
      </w:r>
      <w:r w:rsidR="008D6C4B">
        <w:rPr>
          <w:i/>
          <w:iCs/>
          <w:lang w:val="fr-FR"/>
        </w:rPr>
        <w:t>…</w:t>
      </w:r>
      <w:r w:rsidRPr="001448A7">
        <w:rPr>
          <w:i/>
          <w:iCs/>
          <w:lang w:val="fr-FR"/>
        </w:rPr>
        <w:t> 1993</w:t>
      </w:r>
      <w:r w:rsidRPr="001448A7">
        <w:rPr>
          <w:lang w:val="fr-FR"/>
        </w:rPr>
        <w:t>, vol. II (2</w:t>
      </w:r>
      <w:r w:rsidRPr="001448A7">
        <w:rPr>
          <w:vertAlign w:val="superscript"/>
          <w:lang w:val="fr-FR"/>
        </w:rPr>
        <w:t>e</w:t>
      </w:r>
      <w:r w:rsidRPr="001448A7">
        <w:rPr>
          <w:lang w:val="fr-FR"/>
        </w:rPr>
        <w:t> partie), p. 71 à 73, par. 6 à 13 du commentaire du projet d</w:t>
      </w:r>
      <w:r w:rsidR="004937A0">
        <w:rPr>
          <w:lang w:val="fr-FR"/>
        </w:rPr>
        <w:t>’</w:t>
      </w:r>
      <w:r w:rsidRPr="001448A7">
        <w:rPr>
          <w:lang w:val="fr-FR"/>
        </w:rPr>
        <w:t>article 44 [initialement numéroté article 8] (sur le lien de causalité), et p. 73 et 74 , paragraphes 16 à 19 du même commentaire (sur le dommage matériel et moral) ; et les articles 31 et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97 et 105, respectivement. Voir aussi le troisième rapport sur la responsabilité des États, par M. James Crawford, Rapporteur spécial, </w:t>
      </w:r>
      <w:r w:rsidRPr="001448A7">
        <w:rPr>
          <w:i/>
          <w:iCs/>
          <w:lang w:val="fr-FR"/>
        </w:rPr>
        <w:t>Annuaire ... 2000</w:t>
      </w:r>
      <w:r w:rsidRPr="001448A7">
        <w:rPr>
          <w:lang w:val="fr-FR"/>
        </w:rPr>
        <w:t>, vol. II (1</w:t>
      </w:r>
      <w:r w:rsidRPr="001448A7">
        <w:rPr>
          <w:vertAlign w:val="superscript"/>
          <w:lang w:val="fr-FR"/>
        </w:rPr>
        <w:t>re</w:t>
      </w:r>
      <w:r w:rsidRPr="001448A7">
        <w:rPr>
          <w:lang w:val="fr-FR"/>
        </w:rPr>
        <w:t xml:space="preserve"> partie), document </w:t>
      </w:r>
      <w:hyperlink r:id="rId234" w:history="1">
        <w:r w:rsidRPr="001448A7">
          <w:rPr>
            <w:rStyle w:val="Lienhypertexte"/>
            <w:lang w:val="fr-FR"/>
          </w:rPr>
          <w:t>A/CN.4/507</w:t>
        </w:r>
      </w:hyperlink>
      <w:r w:rsidRPr="001448A7">
        <w:rPr>
          <w:lang w:val="fr-FR"/>
        </w:rPr>
        <w:t xml:space="preserve"> et </w:t>
      </w:r>
      <w:hyperlink r:id="rId235" w:history="1">
        <w:r w:rsidRPr="001448A7">
          <w:rPr>
            <w:rStyle w:val="Lienhypertexte"/>
            <w:lang w:val="fr-FR"/>
          </w:rPr>
          <w:t>Add.1</w:t>
        </w:r>
      </w:hyperlink>
      <w:r w:rsidRPr="001448A7">
        <w:rPr>
          <w:lang w:val="fr-FR"/>
        </w:rPr>
        <w:t xml:space="preserve"> à 4, p. 19 à 21, par. 27 à 29 et 31 à 37.</w:t>
      </w:r>
    </w:p>
  </w:footnote>
  <w:footnote w:id="423">
    <w:p w14:paraId="5DC6A404" w14:textId="6D8FF755"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Par. 9 et 10 du commentaire de l</w:t>
      </w:r>
      <w:r w:rsidR="004937A0">
        <w:rPr>
          <w:lang w:val="fr-FR"/>
        </w:rPr>
        <w:t>’</w:t>
      </w:r>
      <w:r w:rsidRPr="001448A7">
        <w:rPr>
          <w:lang w:val="fr-FR"/>
        </w:rPr>
        <w:t>article 31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98 et 99 (voir, de même, </w:t>
      </w:r>
      <w:r w:rsidRPr="001448A7">
        <w:rPr>
          <w:i/>
          <w:iCs/>
          <w:lang w:val="fr-FR"/>
        </w:rPr>
        <w:t>Certaines activités menées par le Nicaragua dans la zone frontalière</w:t>
      </w:r>
      <w:r w:rsidRPr="001448A7">
        <w:rPr>
          <w:lang w:val="fr-FR"/>
        </w:rPr>
        <w:t xml:space="preserve"> (note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w:t>
      </w:r>
      <w:r w:rsidRPr="001448A7">
        <w:rPr>
          <w:i/>
          <w:iCs/>
          <w:lang w:val="fr-FR"/>
        </w:rPr>
        <w:t>supra</w:t>
      </w:r>
      <w:r w:rsidRPr="001448A7">
        <w:rPr>
          <w:lang w:val="fr-FR"/>
        </w:rPr>
        <w:t>), p. 26, par. 34).</w:t>
      </w:r>
    </w:p>
  </w:footnote>
  <w:footnote w:id="424">
    <w:p w14:paraId="288F0F9C" w14:textId="7588CA9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Par. 11 du commentaire de l</w:t>
      </w:r>
      <w:r w:rsidR="004937A0">
        <w:rPr>
          <w:lang w:val="fr-FR"/>
        </w:rPr>
        <w:t>’</w:t>
      </w:r>
      <w:r w:rsidRPr="001448A7">
        <w:rPr>
          <w:lang w:val="fr-FR"/>
        </w:rPr>
        <w:t>article 31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99 (explicitement approuvé dans </w:t>
      </w:r>
      <w:r w:rsidRPr="001448A7">
        <w:rPr>
          <w:i/>
          <w:iCs/>
          <w:lang w:val="fr-FR"/>
        </w:rPr>
        <w:t>The Islamic Republic of Iran v. the United States of America, affaires n</w:t>
      </w:r>
      <w:r w:rsidRPr="001448A7">
        <w:rPr>
          <w:i/>
          <w:iCs/>
          <w:vertAlign w:val="superscript"/>
          <w:lang w:val="fr-FR"/>
        </w:rPr>
        <w:t>os</w:t>
      </w:r>
      <w:r w:rsidRPr="001448A7">
        <w:rPr>
          <w:i/>
          <w:iCs/>
          <w:lang w:val="fr-FR"/>
        </w:rPr>
        <w:t> A15 (II:A), A26 (IV) and B43, sentence partielle n</w:t>
      </w:r>
      <w:r w:rsidRPr="001448A7">
        <w:rPr>
          <w:i/>
          <w:iCs/>
          <w:vertAlign w:val="superscript"/>
          <w:lang w:val="fr-FR"/>
        </w:rPr>
        <w:t>o</w:t>
      </w:r>
      <w:r w:rsidRPr="001448A7">
        <w:rPr>
          <w:i/>
          <w:iCs/>
          <w:lang w:val="fr-FR"/>
        </w:rPr>
        <w:t xml:space="preserve"> 604-A15 (II:A)/A26 (IV)/B43-FT du 10 mars 2020</w:t>
      </w:r>
      <w:r w:rsidRPr="001448A7">
        <w:rPr>
          <w:lang w:val="fr-FR"/>
        </w:rPr>
        <w:t xml:space="preserve"> (voir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par. 1796). Voir aussi </w:t>
      </w:r>
      <w:r w:rsidRPr="001448A7">
        <w:rPr>
          <w:i/>
          <w:iCs/>
          <w:lang w:val="fr-FR"/>
        </w:rPr>
        <w:t xml:space="preserve">Projet </w:t>
      </w:r>
      <w:proofErr w:type="spellStart"/>
      <w:r w:rsidRPr="001448A7">
        <w:rPr>
          <w:i/>
          <w:iCs/>
          <w:lang w:val="fr-FR"/>
        </w:rPr>
        <w:t>Gabčíkovo-Nagymaros</w:t>
      </w:r>
      <w:proofErr w:type="spellEnd"/>
      <w:r w:rsidRPr="001448A7">
        <w:rPr>
          <w:i/>
          <w:iCs/>
          <w:lang w:val="fr-FR"/>
        </w:rPr>
        <w:t xml:space="preserve"> (Hongrie/Slovaquie)</w:t>
      </w:r>
      <w:r w:rsidRPr="001448A7">
        <w:rPr>
          <w:lang w:val="fr-FR"/>
        </w:rPr>
        <w:t xml:space="preserve"> (note </w:t>
      </w:r>
      <w:r w:rsidRPr="001448A7">
        <w:rPr>
          <w:lang w:val="fr-FR"/>
        </w:rPr>
        <w:fldChar w:fldCharType="begin"/>
      </w:r>
      <w:r w:rsidRPr="001448A7">
        <w:rPr>
          <w:lang w:val="fr-FR"/>
        </w:rPr>
        <w:instrText xml:space="preserve"> NOTEREF _Ref172542559 \h </w:instrText>
      </w:r>
      <w:r>
        <w:rPr>
          <w:lang w:val="fr-FR"/>
        </w:rPr>
        <w:instrText xml:space="preserve"> \* MERGEFORMAT </w:instrText>
      </w:r>
      <w:r w:rsidRPr="001448A7">
        <w:rPr>
          <w:lang w:val="fr-FR"/>
        </w:rPr>
      </w:r>
      <w:r w:rsidRPr="001448A7">
        <w:rPr>
          <w:lang w:val="fr-FR"/>
        </w:rPr>
        <w:fldChar w:fldCharType="separate"/>
      </w:r>
      <w:r w:rsidR="00EC4FDE">
        <w:rPr>
          <w:lang w:val="fr-FR"/>
        </w:rPr>
        <w:t>6</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55, par. 80. </w:t>
      </w:r>
    </w:p>
  </w:footnote>
  <w:footnote w:id="425">
    <w:p w14:paraId="1356AB91" w14:textId="07D0795C"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szCs w:val="18"/>
          <w:lang w:val="fr-FR"/>
        </w:rPr>
        <w:tab/>
      </w:r>
      <w:r w:rsidRPr="00E9227E">
        <w:rPr>
          <w:rStyle w:val="Appelnotedebasdep"/>
        </w:rPr>
        <w:footnoteRef/>
      </w:r>
      <w:r w:rsidRPr="001448A7">
        <w:rPr>
          <w:lang w:val="fr-FR"/>
        </w:rPr>
        <w:tab/>
      </w:r>
      <w:r w:rsidRPr="001448A7">
        <w:rPr>
          <w:i/>
          <w:iCs/>
          <w:lang w:val="fr-FR"/>
        </w:rPr>
        <w:t>Annuaire … 1993</w:t>
      </w:r>
      <w:r w:rsidRPr="001448A7">
        <w:rPr>
          <w:lang w:val="fr-FR"/>
        </w:rPr>
        <w:t>, vol. II (2</w:t>
      </w:r>
      <w:r w:rsidRPr="001448A7">
        <w:rPr>
          <w:vertAlign w:val="superscript"/>
          <w:lang w:val="fr-FR"/>
        </w:rPr>
        <w:t>e</w:t>
      </w:r>
      <w:r w:rsidRPr="001448A7">
        <w:rPr>
          <w:lang w:val="fr-FR"/>
        </w:rPr>
        <w:t> partie), p. 72 et 73, par. 12 et 13 du commentaire du projet d</w:t>
      </w:r>
      <w:r w:rsidR="004937A0">
        <w:rPr>
          <w:lang w:val="fr-FR"/>
        </w:rPr>
        <w:t>’</w:t>
      </w:r>
      <w:r w:rsidRPr="001448A7">
        <w:rPr>
          <w:lang w:val="fr-FR"/>
        </w:rPr>
        <w:t>article 44 [initialement article 8].</w:t>
      </w:r>
    </w:p>
  </w:footnote>
  <w:footnote w:id="426">
    <w:p w14:paraId="7F008F9F" w14:textId="3844B81A"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Par. 12 et 13 du commentaire de l</w:t>
      </w:r>
      <w:r w:rsidR="004937A0">
        <w:rPr>
          <w:lang w:val="fr-FR"/>
        </w:rPr>
        <w:t>’</w:t>
      </w:r>
      <w:r w:rsidRPr="001448A7">
        <w:rPr>
          <w:lang w:val="fr-FR"/>
        </w:rPr>
        <w:t>article 31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xml:space="preserve"> partie) et rectificatif, p. 99 et 100 (explicitement approuvé dans </w:t>
      </w:r>
      <w:r w:rsidRPr="001448A7">
        <w:rPr>
          <w:i/>
          <w:iCs/>
          <w:lang w:val="fr-FR"/>
        </w:rPr>
        <w:t>Activités armées sur le territoire du Congo</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p. 49, par. 98).</w:t>
      </w:r>
    </w:p>
  </w:footnote>
  <w:footnote w:id="427">
    <w:p w14:paraId="5392BE92" w14:textId="2C398CD0"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Voir la première déclaration du Président du Comité de rédaction, M. Peter Tomka, sur la Responsabilité de l</w:t>
      </w:r>
      <w:r w:rsidR="004937A0">
        <w:rPr>
          <w:lang w:val="fr-FR"/>
        </w:rPr>
        <w:t>’</w:t>
      </w:r>
      <w:r w:rsidRPr="001448A7">
        <w:rPr>
          <w:lang w:val="fr-FR"/>
        </w:rPr>
        <w:t>État pour fait internationalement illicite [responsabilité des États], disponible sur le site Internet de la Commission, documents de la cinquante-troisième session.</w:t>
      </w:r>
    </w:p>
  </w:footnote>
  <w:footnote w:id="428">
    <w:p w14:paraId="3FA5D1F6" w14:textId="24186560"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Par. 2 de l</w:t>
      </w:r>
      <w:r w:rsidR="004937A0">
        <w:rPr>
          <w:lang w:val="fr-FR"/>
        </w:rPr>
        <w:t>’</w:t>
      </w:r>
      <w:r w:rsidRPr="001448A7">
        <w:rPr>
          <w:lang w:val="fr-FR"/>
        </w:rPr>
        <w:t>article 31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et par. 5 du commentaire y relatif, </w:t>
      </w:r>
      <w:r w:rsidRPr="001448A7">
        <w:rPr>
          <w:i/>
          <w:iCs/>
          <w:lang w:val="fr-FR"/>
        </w:rPr>
        <w:t>Annuaire</w:t>
      </w:r>
      <w:r w:rsidR="008D6C4B">
        <w:rPr>
          <w:i/>
          <w:iCs/>
          <w:lang w:val="fr-FR"/>
        </w:rPr>
        <w:t xml:space="preserve"> </w:t>
      </w:r>
      <w:r w:rsidRPr="001448A7">
        <w:rPr>
          <w:i/>
          <w:iCs/>
          <w:lang w:val="fr-FR"/>
        </w:rPr>
        <w:t>… 2001</w:t>
      </w:r>
      <w:r w:rsidRPr="001448A7">
        <w:rPr>
          <w:lang w:val="fr-FR"/>
        </w:rPr>
        <w:t>, vol. II (2</w:t>
      </w:r>
      <w:r w:rsidRPr="001448A7">
        <w:rPr>
          <w:vertAlign w:val="superscript"/>
          <w:lang w:val="fr-FR"/>
        </w:rPr>
        <w:t>e</w:t>
      </w:r>
      <w:r w:rsidRPr="001448A7">
        <w:rPr>
          <w:lang w:val="fr-FR"/>
        </w:rPr>
        <w:t> partie) et rectificatif, p. 97.</w:t>
      </w:r>
    </w:p>
  </w:footnote>
  <w:footnote w:id="429">
    <w:p w14:paraId="5774ABEC" w14:textId="58232FD4"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t>Ibid., art. 38, p. 115. Voir aussi la première déclaration du Président du Comité de rédaction, M. Peter Tomka, sur la Responsabilité de l</w:t>
      </w:r>
      <w:r w:rsidR="004937A0">
        <w:rPr>
          <w:lang w:val="fr-FR"/>
        </w:rPr>
        <w:t>’</w:t>
      </w:r>
      <w:r w:rsidRPr="001448A7">
        <w:rPr>
          <w:lang w:val="fr-FR"/>
        </w:rPr>
        <w:t>État pour fait internationalement illicite [responsabilité des États], disponible sur le site Internet de la Commission, documents de la cinquante-troisième session (« une simple référence dans le contexte de l</w:t>
      </w:r>
      <w:r w:rsidR="004937A0">
        <w:rPr>
          <w:lang w:val="fr-FR"/>
        </w:rPr>
        <w:t>’</w:t>
      </w:r>
      <w:r w:rsidRPr="001448A7">
        <w:rPr>
          <w:lang w:val="fr-FR"/>
        </w:rPr>
        <w:t>indemnisation... dans le projet d</w:t>
      </w:r>
      <w:r w:rsidR="004937A0">
        <w:rPr>
          <w:lang w:val="fr-FR"/>
        </w:rPr>
        <w:t>’</w:t>
      </w:r>
      <w:r w:rsidRPr="001448A7">
        <w:rPr>
          <w:lang w:val="fr-FR"/>
        </w:rPr>
        <w:t>articles adopté en première lecture » [traduction non officielle]).</w:t>
      </w:r>
    </w:p>
  </w:footnote>
  <w:footnote w:id="430">
    <w:p w14:paraId="31F4699B" w14:textId="4FFD8268"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Art. 39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partie) et rectificatif, p. 117.</w:t>
      </w:r>
    </w:p>
  </w:footnote>
  <w:footnote w:id="431">
    <w:p w14:paraId="0884363B" w14:textId="77777777"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troisième rapport sur la responsabilité des États, par M. James Crawford, Rapporteur spécial, </w:t>
      </w:r>
      <w:r w:rsidRPr="001448A7">
        <w:rPr>
          <w:i/>
          <w:iCs/>
          <w:lang w:val="fr-FR"/>
        </w:rPr>
        <w:t>Annuaire ... 2000</w:t>
      </w:r>
      <w:r w:rsidRPr="001448A7">
        <w:rPr>
          <w:lang w:val="fr-FR"/>
        </w:rPr>
        <w:t>, vol. II (</w:t>
      </w:r>
      <w:r w:rsidRPr="00A4387D">
        <w:rPr>
          <w:szCs w:val="18"/>
          <w:lang w:val="fr-FR"/>
        </w:rPr>
        <w:t>1</w:t>
      </w:r>
      <w:r w:rsidRPr="00A4387D">
        <w:rPr>
          <w:szCs w:val="18"/>
          <w:vertAlign w:val="superscript"/>
          <w:lang w:val="fr-FR"/>
        </w:rPr>
        <w:t>re</w:t>
      </w:r>
      <w:r w:rsidRPr="001448A7">
        <w:rPr>
          <w:lang w:val="fr-FR"/>
        </w:rPr>
        <w:t xml:space="preserve"> partie), document </w:t>
      </w:r>
      <w:hyperlink r:id="rId236" w:history="1">
        <w:r w:rsidRPr="001448A7">
          <w:rPr>
            <w:rStyle w:val="Lienhypertexte"/>
            <w:lang w:val="fr-FR"/>
          </w:rPr>
          <w:t>A/CN.4/507</w:t>
        </w:r>
      </w:hyperlink>
      <w:r w:rsidRPr="001448A7">
        <w:rPr>
          <w:lang w:val="fr-FR"/>
        </w:rPr>
        <w:t xml:space="preserve"> et </w:t>
      </w:r>
      <w:hyperlink r:id="rId237" w:history="1">
        <w:r w:rsidRPr="001448A7">
          <w:rPr>
            <w:rStyle w:val="Lienhypertexte"/>
            <w:lang w:val="fr-FR"/>
          </w:rPr>
          <w:t>Add.1</w:t>
        </w:r>
      </w:hyperlink>
      <w:r w:rsidRPr="001448A7">
        <w:rPr>
          <w:lang w:val="fr-FR"/>
        </w:rPr>
        <w:t xml:space="preserve"> à 4, p. 54, par. 158 b).</w:t>
      </w:r>
    </w:p>
  </w:footnote>
  <w:footnote w:id="432">
    <w:p w14:paraId="53211D85" w14:textId="56D3F4C3" w:rsidR="005D2955" w:rsidRPr="001448A7" w:rsidRDefault="005D2955" w:rsidP="00E9227E">
      <w:pPr>
        <w:pStyle w:val="Notedebasdepage"/>
        <w:rPr>
          <w:lang w:val="fr-FR"/>
        </w:rPr>
      </w:pPr>
      <w:r w:rsidRPr="001448A7">
        <w:rPr>
          <w:rFonts w:asciiTheme="majorBidi" w:hAnsiTheme="majorBidi" w:cstheme="majorBidi"/>
          <w:szCs w:val="18"/>
          <w:lang w:val="fr-FR"/>
        </w:rPr>
        <w:tab/>
      </w:r>
      <w:r w:rsidRPr="00E9227E">
        <w:rPr>
          <w:rStyle w:val="Appelnotedebasdep"/>
        </w:rPr>
        <w:footnoteRef/>
      </w:r>
      <w:r w:rsidRPr="001448A7">
        <w:rPr>
          <w:lang w:val="fr-FR"/>
        </w:rPr>
        <w:tab/>
        <w:t>Par. 1 du commentaire général du projet d</w:t>
      </w:r>
      <w:r w:rsidR="004937A0">
        <w:rPr>
          <w:lang w:val="fr-FR"/>
        </w:rPr>
        <w:t>’</w:t>
      </w:r>
      <w:r w:rsidRPr="001448A7">
        <w:rPr>
          <w:lang w:val="fr-FR"/>
        </w:rPr>
        <w:t xml:space="preserve">articles sur la protection diplomatique, </w:t>
      </w:r>
      <w:r w:rsidRPr="001448A7">
        <w:rPr>
          <w:i/>
          <w:iCs/>
          <w:lang w:val="fr-FR"/>
        </w:rPr>
        <w:t>Annuaire ... 2006</w:t>
      </w:r>
      <w:r w:rsidRPr="001448A7">
        <w:rPr>
          <w:lang w:val="fr-FR"/>
        </w:rPr>
        <w:t>, vol. II (2</w:t>
      </w:r>
      <w:r w:rsidRPr="001448A7">
        <w:rPr>
          <w:vertAlign w:val="superscript"/>
          <w:lang w:val="fr-FR"/>
        </w:rPr>
        <w:t>e</w:t>
      </w:r>
      <w:r w:rsidRPr="001448A7">
        <w:rPr>
          <w:lang w:val="fr-FR"/>
        </w:rPr>
        <w:t> partie), p. 24, note 21 (renvoyant à l</w:t>
      </w:r>
      <w:r w:rsidR="004937A0">
        <w:rPr>
          <w:lang w:val="fr-FR"/>
        </w:rPr>
        <w:t>’</w:t>
      </w:r>
      <w:r w:rsidRPr="001448A7">
        <w:rPr>
          <w:lang w:val="fr-FR"/>
        </w:rPr>
        <w:t>article 36 du projet d</w:t>
      </w:r>
      <w:r w:rsidR="004937A0">
        <w:rPr>
          <w:lang w:val="fr-FR"/>
        </w:rPr>
        <w:t>’</w:t>
      </w:r>
      <w:r w:rsidRPr="001448A7">
        <w:rPr>
          <w:lang w:val="fr-FR"/>
        </w:rPr>
        <w:t>articles sur la responsabilité de l</w:t>
      </w:r>
      <w:r w:rsidR="004937A0">
        <w:rPr>
          <w:lang w:val="fr-FR"/>
        </w:rPr>
        <w:t>’</w:t>
      </w:r>
      <w:r w:rsidRPr="001448A7">
        <w:rPr>
          <w:lang w:val="fr-FR"/>
        </w:rPr>
        <w:t xml:space="preserve">État pour fait internationalement illicite, </w:t>
      </w:r>
      <w:r w:rsidRPr="001448A7">
        <w:rPr>
          <w:i/>
          <w:iCs/>
          <w:lang w:val="fr-FR"/>
        </w:rPr>
        <w:t>Annuaire ... 2001</w:t>
      </w:r>
      <w:r w:rsidRPr="001448A7">
        <w:rPr>
          <w:lang w:val="fr-FR"/>
        </w:rPr>
        <w:t>, vol. II (2</w:t>
      </w:r>
      <w:r w:rsidRPr="001448A7">
        <w:rPr>
          <w:vertAlign w:val="superscript"/>
          <w:lang w:val="fr-FR"/>
        </w:rPr>
        <w:t>e</w:t>
      </w:r>
      <w:r w:rsidRPr="001448A7">
        <w:rPr>
          <w:lang w:val="fr-FR"/>
        </w:rPr>
        <w:t> partie) et rectificatif, p. 105).</w:t>
      </w:r>
    </w:p>
  </w:footnote>
  <w:footnote w:id="433">
    <w:p w14:paraId="387657FA" w14:textId="1D6AC7A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_Ref172542789 \h </w:instrText>
      </w:r>
      <w:r>
        <w:rPr>
          <w:lang w:val="fr-FR"/>
        </w:rPr>
        <w:instrText xml:space="preserve"> \* MERGEFORMAT </w:instrText>
      </w:r>
      <w:r w:rsidRPr="001448A7">
        <w:rPr>
          <w:lang w:val="fr-FR"/>
        </w:rPr>
      </w:r>
      <w:r w:rsidRPr="001448A7">
        <w:rPr>
          <w:lang w:val="fr-FR"/>
        </w:rPr>
        <w:fldChar w:fldCharType="separate"/>
      </w:r>
      <w:r w:rsidR="00EC4FDE">
        <w:rPr>
          <w:lang w:val="fr-FR"/>
        </w:rPr>
        <w:t>61</w:t>
      </w:r>
      <w:r w:rsidRPr="001448A7">
        <w:rPr>
          <w:lang w:val="fr-FR"/>
        </w:rPr>
        <w:fldChar w:fldCharType="end"/>
      </w:r>
      <w:r w:rsidRPr="001448A7">
        <w:rPr>
          <w:lang w:val="fr-FR"/>
        </w:rPr>
        <w:t>.</w:t>
      </w:r>
    </w:p>
  </w:footnote>
  <w:footnote w:id="434">
    <w:p w14:paraId="2F19D170" w14:textId="5481801C"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Quatrième rapport sur la succession d</w:t>
      </w:r>
      <w:r w:rsidR="004937A0">
        <w:rPr>
          <w:lang w:val="fr-FR"/>
        </w:rPr>
        <w:t>’</w:t>
      </w:r>
      <w:r w:rsidRPr="001448A7">
        <w:rPr>
          <w:lang w:val="fr-FR"/>
        </w:rPr>
        <w:t>États en matière de responsabilité des États, par M. Pavel Šturma, Rapporteur spécial (</w:t>
      </w:r>
      <w:hyperlink r:id="rId238" w:history="1">
        <w:r w:rsidRPr="001448A7">
          <w:rPr>
            <w:rStyle w:val="Lienhypertexte"/>
            <w:lang w:val="fr-FR"/>
          </w:rPr>
          <w:t>A/CN.4/743</w:t>
        </w:r>
      </w:hyperlink>
      <w:r w:rsidRPr="001448A7">
        <w:rPr>
          <w:lang w:val="fr-FR"/>
        </w:rPr>
        <w:t>), par. 49 à 66, et Annexe, projet d</w:t>
      </w:r>
      <w:r w:rsidR="004937A0">
        <w:rPr>
          <w:lang w:val="fr-FR"/>
        </w:rPr>
        <w:t>’</w:t>
      </w:r>
      <w:r w:rsidRPr="001448A7">
        <w:rPr>
          <w:lang w:val="fr-FR"/>
        </w:rPr>
        <w:t xml:space="preserve">article 17 ; Rapport de la Commission du droit international sur les travaux de sa soixante-douzième session, </w:t>
      </w:r>
      <w:r w:rsidRPr="001448A7">
        <w:rPr>
          <w:i/>
          <w:iCs/>
          <w:lang w:val="fr-FR"/>
        </w:rPr>
        <w:t>Documents officiels de l</w:t>
      </w:r>
      <w:r w:rsidR="004937A0">
        <w:rPr>
          <w:i/>
          <w:iCs/>
          <w:lang w:val="fr-FR"/>
        </w:rPr>
        <w:t>’</w:t>
      </w:r>
      <w:r w:rsidRPr="001448A7">
        <w:rPr>
          <w:i/>
          <w:iCs/>
          <w:lang w:val="fr-FR"/>
        </w:rPr>
        <w:t>Assemblée générale, soixante-seizième session, Supplément n</w:t>
      </w:r>
      <w:r w:rsidRPr="001448A7">
        <w:rPr>
          <w:i/>
          <w:iCs/>
          <w:vertAlign w:val="superscript"/>
          <w:lang w:val="fr-FR"/>
        </w:rPr>
        <w:t>o</w:t>
      </w:r>
      <w:r w:rsidRPr="001448A7">
        <w:rPr>
          <w:i/>
          <w:iCs/>
          <w:lang w:val="fr-FR"/>
        </w:rPr>
        <w:t> 10</w:t>
      </w:r>
      <w:r w:rsidRPr="001448A7">
        <w:rPr>
          <w:lang w:val="fr-FR"/>
        </w:rPr>
        <w:t xml:space="preserve"> (</w:t>
      </w:r>
      <w:hyperlink r:id="rId239" w:history="1">
        <w:r w:rsidRPr="001448A7">
          <w:rPr>
            <w:rStyle w:val="Lienhypertexte"/>
            <w:lang w:val="fr-FR"/>
          </w:rPr>
          <w:t>A/77/10</w:t>
        </w:r>
      </w:hyperlink>
      <w:r w:rsidRPr="001448A7">
        <w:rPr>
          <w:lang w:val="fr-FR"/>
        </w:rPr>
        <w:t>), chap. VII, par. 129, 130, 146 et 159.</w:t>
      </w:r>
    </w:p>
  </w:footnote>
  <w:footnote w:id="435">
    <w:p w14:paraId="0C847155" w14:textId="1319D79B"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Document de travail établi par le secrétariat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_Ref172536875 \h </w:instrText>
      </w:r>
      <w:r>
        <w:rPr>
          <w:lang w:val="fr-FR"/>
        </w:rPr>
        <w:instrText xml:space="preserve"> \* MERGEFORMAT </w:instrText>
      </w:r>
      <w:r w:rsidRPr="001448A7">
        <w:rPr>
          <w:lang w:val="fr-FR"/>
        </w:rPr>
      </w:r>
      <w:r w:rsidRPr="001448A7">
        <w:rPr>
          <w:lang w:val="fr-FR"/>
        </w:rPr>
        <w:fldChar w:fldCharType="separate"/>
      </w:r>
      <w:r w:rsidR="00EC4FDE">
        <w:rPr>
          <w:lang w:val="fr-FR"/>
        </w:rPr>
        <w:t>18</w:t>
      </w:r>
      <w:r w:rsidRPr="001448A7">
        <w:rPr>
          <w:lang w:val="fr-FR"/>
        </w:rPr>
        <w:fldChar w:fldCharType="end"/>
      </w:r>
      <w:r w:rsidRPr="001448A7">
        <w:rPr>
          <w:lang w:val="fr-FR"/>
        </w:rPr>
        <w:t>), sect. II.E.</w:t>
      </w:r>
    </w:p>
  </w:footnote>
  <w:footnote w:id="436">
    <w:p w14:paraId="4FFC93D5" w14:textId="48CF742A"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Grossman Guiloff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_Ref172538024 \h </w:instrText>
      </w:r>
      <w:r>
        <w:rPr>
          <w:lang w:val="fr-FR"/>
        </w:rPr>
        <w:instrText xml:space="preserve"> \* MERGEFORMAT </w:instrText>
      </w:r>
      <w:r w:rsidRPr="001448A7">
        <w:rPr>
          <w:lang w:val="fr-FR"/>
        </w:rPr>
      </w:r>
      <w:r w:rsidRPr="001448A7">
        <w:rPr>
          <w:lang w:val="fr-FR"/>
        </w:rPr>
        <w:fldChar w:fldCharType="separate"/>
      </w:r>
      <w:r w:rsidR="00EC4FDE">
        <w:rPr>
          <w:lang w:val="fr-FR"/>
        </w:rPr>
        <w:t>49</w:t>
      </w:r>
      <w:r w:rsidRPr="001448A7">
        <w:rPr>
          <w:lang w:val="fr-FR"/>
        </w:rPr>
        <w:fldChar w:fldCharType="end"/>
      </w:r>
      <w:r w:rsidRPr="001448A7">
        <w:rPr>
          <w:lang w:val="fr-FR"/>
        </w:rPr>
        <w:t>), par. 23 a).</w:t>
      </w:r>
    </w:p>
  </w:footnote>
  <w:footnote w:id="437">
    <w:p w14:paraId="27C036EF" w14:textId="101952F2"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17 à 23 du commentaire de l</w:t>
      </w:r>
      <w:r w:rsidR="004937A0">
        <w:rPr>
          <w:lang w:val="fr-FR"/>
        </w:rPr>
        <w:t>’</w:t>
      </w:r>
      <w:r w:rsidRPr="001448A7">
        <w:rPr>
          <w:lang w:val="fr-FR"/>
        </w:rPr>
        <w:t>article 12 du projet d</w:t>
      </w:r>
      <w:r w:rsidR="004937A0">
        <w:rPr>
          <w:lang w:val="fr-FR"/>
        </w:rPr>
        <w:t>’</w:t>
      </w:r>
      <w:r w:rsidRPr="001448A7">
        <w:rPr>
          <w:lang w:val="fr-FR"/>
        </w:rPr>
        <w:t>articles sur la prévention et la répression des crimes contre l</w:t>
      </w:r>
      <w:r w:rsidR="004937A0">
        <w:rPr>
          <w:lang w:val="fr-FR"/>
        </w:rPr>
        <w:t>’</w:t>
      </w:r>
      <w:r w:rsidRPr="001448A7">
        <w:rPr>
          <w:lang w:val="fr-FR"/>
        </w:rPr>
        <w:t xml:space="preserve">humanité, Rapport de la Commission du droit international sur les travaux de sa soixante et onzième session, </w:t>
      </w:r>
      <w:r w:rsidRPr="001448A7">
        <w:rPr>
          <w:i/>
          <w:iCs/>
          <w:lang w:val="fr-FR"/>
        </w:rPr>
        <w:t>Documents officiels de l</w:t>
      </w:r>
      <w:r w:rsidR="004937A0">
        <w:rPr>
          <w:i/>
          <w:iCs/>
          <w:lang w:val="fr-FR"/>
        </w:rPr>
        <w:t>’</w:t>
      </w:r>
      <w:r w:rsidRPr="001448A7">
        <w:rPr>
          <w:i/>
          <w:iCs/>
          <w:lang w:val="fr-FR"/>
        </w:rPr>
        <w:t>Assemblée générale, soixante</w:t>
      </w:r>
      <w:r w:rsidRPr="001448A7">
        <w:rPr>
          <w:i/>
          <w:iCs/>
          <w:lang w:val="fr-FR"/>
        </w:rPr>
        <w:noBreakHyphen/>
        <w:t xml:space="preserve">quatorzième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 </w:t>
      </w:r>
      <w:r w:rsidRPr="001448A7">
        <w:rPr>
          <w:lang w:val="fr-FR"/>
        </w:rPr>
        <w:t>(</w:t>
      </w:r>
      <w:hyperlink r:id="rId240" w:history="1">
        <w:r w:rsidRPr="001448A7">
          <w:rPr>
            <w:rStyle w:val="Lienhypertexte"/>
            <w:lang w:val="fr-FR"/>
          </w:rPr>
          <w:t>A/74/10</w:t>
        </w:r>
      </w:hyperlink>
      <w:r w:rsidRPr="001448A7">
        <w:rPr>
          <w:lang w:val="fr-FR"/>
        </w:rPr>
        <w:t>), chap. IV, par. 45 ; et les paragraphes 5 à 8 du commentaire du principe 9 du projet de principes sur la protection de l</w:t>
      </w:r>
      <w:r w:rsidR="004937A0">
        <w:rPr>
          <w:lang w:val="fr-FR"/>
        </w:rPr>
        <w:t>’</w:t>
      </w:r>
      <w:r w:rsidRPr="001448A7">
        <w:rPr>
          <w:lang w:val="fr-FR"/>
        </w:rPr>
        <w:t>environnement en rapport avec les conflits armés, Rapport de la Commission du droit international sur les travaux de sa soixante</w:t>
      </w:r>
      <w:r w:rsidRPr="001448A7">
        <w:rPr>
          <w:lang w:val="fr-FR"/>
        </w:rPr>
        <w:noBreakHyphen/>
        <w:t xml:space="preserve">treizième session, </w:t>
      </w:r>
      <w:r w:rsidRPr="001448A7">
        <w:rPr>
          <w:i/>
          <w:iCs/>
          <w:lang w:val="fr-FR"/>
        </w:rPr>
        <w:t>Documents officiels de l</w:t>
      </w:r>
      <w:r w:rsidR="004937A0">
        <w:rPr>
          <w:i/>
          <w:iCs/>
          <w:lang w:val="fr-FR"/>
        </w:rPr>
        <w:t>’</w:t>
      </w:r>
      <w:r w:rsidRPr="001448A7">
        <w:rPr>
          <w:i/>
          <w:iCs/>
          <w:lang w:val="fr-FR"/>
        </w:rPr>
        <w:t xml:space="preserve">Assemblée générale, soixante-dix-septième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 </w:t>
      </w:r>
      <w:r w:rsidRPr="001448A7">
        <w:rPr>
          <w:lang w:val="fr-FR"/>
        </w:rPr>
        <w:t>(</w:t>
      </w:r>
      <w:hyperlink r:id="rId241" w:history="1">
        <w:r w:rsidRPr="001448A7">
          <w:rPr>
            <w:rStyle w:val="Lienhypertexte"/>
            <w:lang w:val="fr-FR"/>
          </w:rPr>
          <w:t>A/77/10</w:t>
        </w:r>
      </w:hyperlink>
      <w:r w:rsidRPr="001448A7">
        <w:rPr>
          <w:lang w:val="fr-FR"/>
        </w:rPr>
        <w:t>), chap. V, sect. E.2, par. 59.</w:t>
      </w:r>
    </w:p>
  </w:footnote>
  <w:footnote w:id="438">
    <w:p w14:paraId="14083F86" w14:textId="71A63C81"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Voir les paragraphes 5 à 8 du commentaire du principe 9 du projet de principes sur la protection de l</w:t>
      </w:r>
      <w:r w:rsidR="004937A0">
        <w:rPr>
          <w:lang w:val="fr-FR"/>
        </w:rPr>
        <w:t>’</w:t>
      </w:r>
      <w:r w:rsidRPr="001448A7">
        <w:rPr>
          <w:lang w:val="fr-FR"/>
        </w:rPr>
        <w:t xml:space="preserve">environnement en rapport avec les conflits armés, Rapport de la Commission du droit international sur les travaux de sa soixante-treizième session, </w:t>
      </w:r>
      <w:r w:rsidRPr="001448A7">
        <w:rPr>
          <w:i/>
          <w:iCs/>
          <w:lang w:val="fr-FR"/>
        </w:rPr>
        <w:t>Documents officiels de l</w:t>
      </w:r>
      <w:r w:rsidR="004937A0">
        <w:rPr>
          <w:i/>
          <w:iCs/>
          <w:lang w:val="fr-FR"/>
        </w:rPr>
        <w:t>’</w:t>
      </w:r>
      <w:r w:rsidRPr="001448A7">
        <w:rPr>
          <w:i/>
          <w:iCs/>
          <w:lang w:val="fr-FR"/>
        </w:rPr>
        <w:t xml:space="preserve">Assemblée générale, soixante-dix-septième session, </w:t>
      </w:r>
      <w:r>
        <w:rPr>
          <w:i/>
          <w:iCs/>
          <w:lang w:val="fr-FR"/>
        </w:rPr>
        <w:t>S</w:t>
      </w:r>
      <w:r w:rsidRPr="001448A7">
        <w:rPr>
          <w:i/>
          <w:iCs/>
          <w:lang w:val="fr-FR"/>
        </w:rPr>
        <w:t>upplément n</w:t>
      </w:r>
      <w:r w:rsidRPr="001448A7">
        <w:rPr>
          <w:i/>
          <w:iCs/>
          <w:vertAlign w:val="superscript"/>
          <w:lang w:val="fr-FR"/>
        </w:rPr>
        <w:t>o</w:t>
      </w:r>
      <w:r w:rsidRPr="001448A7">
        <w:rPr>
          <w:i/>
          <w:iCs/>
          <w:lang w:val="fr-FR"/>
        </w:rPr>
        <w:t xml:space="preserve"> 10 </w:t>
      </w:r>
      <w:r w:rsidRPr="001448A7">
        <w:rPr>
          <w:lang w:val="fr-FR"/>
        </w:rPr>
        <w:t>(</w:t>
      </w:r>
      <w:hyperlink r:id="rId242" w:history="1">
        <w:r w:rsidRPr="001448A7">
          <w:rPr>
            <w:rStyle w:val="Lienhypertexte"/>
            <w:lang w:val="fr-FR"/>
          </w:rPr>
          <w:t>A/77/10</w:t>
        </w:r>
      </w:hyperlink>
      <w:r w:rsidRPr="001448A7">
        <w:rPr>
          <w:lang w:val="fr-FR"/>
        </w:rPr>
        <w:t>), chap. V, sect. E.2, par. 59.</w:t>
      </w:r>
    </w:p>
  </w:footnote>
  <w:footnote w:id="439">
    <w:p w14:paraId="1B79C336" w14:textId="295966A0"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w:t>
      </w:r>
    </w:p>
  </w:footnote>
  <w:footnote w:id="440">
    <w:p w14:paraId="2942A5B1" w14:textId="4BF85181" w:rsidR="005D2955" w:rsidRPr="001448A7" w:rsidRDefault="005D2955" w:rsidP="00E9227E">
      <w:pPr>
        <w:pStyle w:val="Notedebasdepage"/>
        <w:rPr>
          <w:rFonts w:asciiTheme="majorBidi" w:hAnsiTheme="majorBidi" w:cstheme="majorBidi"/>
          <w:szCs w:val="18"/>
        </w:rPr>
      </w:pPr>
      <w:r w:rsidRPr="001448A7">
        <w:rPr>
          <w:rFonts w:asciiTheme="majorBidi" w:hAnsiTheme="majorBidi" w:cstheme="majorBidi"/>
          <w:i/>
          <w:iCs/>
          <w:szCs w:val="18"/>
          <w:lang w:val="fr-FR"/>
        </w:rPr>
        <w:tab/>
      </w:r>
      <w:r w:rsidRPr="00E9227E">
        <w:rPr>
          <w:rStyle w:val="Appelnotedebasdep"/>
        </w:rPr>
        <w:footnoteRef/>
      </w:r>
      <w:r w:rsidRPr="001448A7">
        <w:rPr>
          <w:lang w:val="fr-FR"/>
        </w:rPr>
        <w:tab/>
      </w:r>
      <w:r w:rsidRPr="001448A7">
        <w:rPr>
          <w:i/>
          <w:iCs/>
          <w:lang w:val="fr-FR"/>
        </w:rPr>
        <w:t>Affaire Géorgie c. Russie (I)</w:t>
      </w:r>
      <w:r w:rsidRPr="001448A7">
        <w:rPr>
          <w:lang w:val="fr-FR"/>
        </w:rPr>
        <w:t xml:space="preserve"> (voir </w:t>
      </w:r>
      <w:r w:rsidRPr="001448A7">
        <w:rPr>
          <w:i/>
          <w:iCs/>
          <w:lang w:val="fr-FR"/>
        </w:rPr>
        <w:t>supra</w:t>
      </w:r>
      <w:r w:rsidRPr="001448A7">
        <w:rPr>
          <w:lang w:val="fr-FR"/>
        </w:rPr>
        <w:t xml:space="preserve"> la note </w:t>
      </w:r>
      <w:r w:rsidRPr="001448A7">
        <w:rPr>
          <w:lang w:val="fr-FR"/>
        </w:rPr>
        <w:fldChar w:fldCharType="begin"/>
      </w:r>
      <w:r w:rsidRPr="001448A7">
        <w:rPr>
          <w:lang w:val="fr-FR"/>
        </w:rPr>
        <w:instrText xml:space="preserve"> NOTEREF _Ref172541891 \h </w:instrText>
      </w:r>
      <w:r>
        <w:rPr>
          <w:lang w:val="fr-FR"/>
        </w:rPr>
        <w:instrText xml:space="preserve"> \* MERGEFORMAT </w:instrText>
      </w:r>
      <w:r w:rsidRPr="001448A7">
        <w:rPr>
          <w:lang w:val="fr-FR"/>
        </w:rPr>
      </w:r>
      <w:r w:rsidRPr="001448A7">
        <w:rPr>
          <w:lang w:val="fr-FR"/>
        </w:rPr>
        <w:fldChar w:fldCharType="separate"/>
      </w:r>
      <w:r w:rsidR="00EC4FDE">
        <w:rPr>
          <w:lang w:val="fr-FR"/>
        </w:rPr>
        <w:t>26</w:t>
      </w:r>
      <w:r w:rsidRPr="001448A7">
        <w:rPr>
          <w:lang w:val="fr-FR"/>
        </w:rPr>
        <w:fldChar w:fldCharType="end"/>
      </w:r>
      <w:r w:rsidRPr="001448A7">
        <w:rPr>
          <w:lang w:val="fr-FR"/>
        </w:rPr>
        <w:t xml:space="preserve">), par. 54 ; </w:t>
      </w:r>
      <w:r w:rsidRPr="001448A7">
        <w:rPr>
          <w:i/>
          <w:iCs/>
          <w:lang w:val="fr-FR"/>
        </w:rPr>
        <w:t>The Islamic Republic of Iran v. the United States of America, affaires n</w:t>
      </w:r>
      <w:r w:rsidRPr="001448A7">
        <w:rPr>
          <w:i/>
          <w:iCs/>
          <w:vertAlign w:val="superscript"/>
          <w:lang w:val="fr-FR"/>
        </w:rPr>
        <w:t>os</w:t>
      </w:r>
      <w:r w:rsidRPr="001448A7">
        <w:rPr>
          <w:i/>
          <w:iCs/>
          <w:lang w:val="fr-FR"/>
        </w:rPr>
        <w:t xml:space="preserve"> A15 (II:A), A26 (IV) et B43, sentence partielle n</w:t>
      </w:r>
      <w:r w:rsidRPr="001448A7">
        <w:rPr>
          <w:i/>
          <w:iCs/>
          <w:vertAlign w:val="superscript"/>
          <w:lang w:val="fr-FR"/>
        </w:rPr>
        <w:t>o</w:t>
      </w:r>
      <w:r w:rsidRPr="001448A7">
        <w:rPr>
          <w:i/>
          <w:iCs/>
          <w:lang w:val="fr-FR"/>
        </w:rPr>
        <w:t> 604-A15 (II:A)/A26 (IV)/B43-FT du 10 mars 2020</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_Ref172535352 \h </w:instrText>
      </w:r>
      <w:r>
        <w:rPr>
          <w:lang w:val="fr-FR"/>
        </w:rPr>
        <w:instrText xml:space="preserve"> \* MERGEFORMAT </w:instrText>
      </w:r>
      <w:r w:rsidRPr="001448A7">
        <w:rPr>
          <w:lang w:val="fr-FR"/>
        </w:rPr>
      </w:r>
      <w:r w:rsidRPr="001448A7">
        <w:rPr>
          <w:lang w:val="fr-FR"/>
        </w:rPr>
        <w:fldChar w:fldCharType="separate"/>
      </w:r>
      <w:r w:rsidR="00EC4FDE">
        <w:rPr>
          <w:lang w:val="fr-FR"/>
        </w:rPr>
        <w:t>19</w:t>
      </w:r>
      <w:r w:rsidRPr="001448A7">
        <w:rPr>
          <w:lang w:val="fr-FR"/>
        </w:rPr>
        <w:fldChar w:fldCharType="end"/>
      </w:r>
      <w:r w:rsidRPr="001448A7">
        <w:rPr>
          <w:lang w:val="fr-FR"/>
        </w:rPr>
        <w:t xml:space="preserve">), par. 1787 et 1788 ; </w:t>
      </w:r>
      <w:r w:rsidRPr="001448A7">
        <w:rPr>
          <w:i/>
          <w:iCs/>
          <w:lang w:val="fr-FR"/>
        </w:rPr>
        <w:t>Incident de l</w:t>
      </w:r>
      <w:r w:rsidR="004937A0">
        <w:rPr>
          <w:i/>
          <w:iCs/>
          <w:lang w:val="fr-FR"/>
        </w:rPr>
        <w:t>’</w:t>
      </w:r>
      <w:r w:rsidRPr="001448A7">
        <w:rPr>
          <w:i/>
          <w:iCs/>
          <w:lang w:val="fr-FR"/>
        </w:rPr>
        <w:t xml:space="preserve">« Enrica Lexie » </w:t>
      </w:r>
      <w:r w:rsidRPr="001448A7">
        <w:rPr>
          <w:lang w:val="fr-FR"/>
        </w:rPr>
        <w:t xml:space="preserve">(voir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par. 1082 ; </w:t>
      </w:r>
      <w:r w:rsidRPr="001448A7">
        <w:rPr>
          <w:i/>
          <w:iCs/>
          <w:lang w:val="fr-FR"/>
        </w:rPr>
        <w:t>Activités armées sur le territoire du Congo</w:t>
      </w:r>
      <w:r w:rsidRPr="001448A7">
        <w:rPr>
          <w:lang w:val="fr-FR"/>
        </w:rPr>
        <w:t xml:space="preserve"> (voir </w:t>
      </w:r>
      <w:r w:rsidRPr="001448A7">
        <w:rPr>
          <w:i/>
          <w:iCs/>
          <w:lang w:val="fr-FR"/>
        </w:rPr>
        <w:t xml:space="preserve">supra </w:t>
      </w:r>
      <w:r w:rsidRPr="001448A7">
        <w:rPr>
          <w:lang w:val="fr-FR"/>
        </w:rPr>
        <w:t xml:space="preserve">la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p. 43, par. 70 et p. 50, par. 101.</w:t>
      </w:r>
    </w:p>
  </w:footnote>
  <w:footnote w:id="441">
    <w:p w14:paraId="7CDB3E2E" w14:textId="6B673044" w:rsidR="005D2955" w:rsidRPr="00BA1ED5" w:rsidRDefault="005D2955" w:rsidP="00E9227E">
      <w:pPr>
        <w:pStyle w:val="Notedebasdepage"/>
        <w:rPr>
          <w:rFonts w:asciiTheme="majorBidi" w:hAnsiTheme="majorBidi" w:cstheme="majorBidi"/>
          <w:szCs w:val="18"/>
        </w:rPr>
      </w:pPr>
      <w:r w:rsidRPr="001448A7">
        <w:rPr>
          <w:rFonts w:asciiTheme="majorBidi" w:hAnsiTheme="majorBidi" w:cstheme="majorBidi"/>
          <w:szCs w:val="18"/>
          <w:lang w:val="fr-FR"/>
        </w:rPr>
        <w:tab/>
      </w:r>
      <w:r w:rsidRPr="00E9227E">
        <w:rPr>
          <w:rStyle w:val="Appelnotedebasdep"/>
        </w:rPr>
        <w:footnoteRef/>
      </w:r>
      <w:r w:rsidRPr="001448A7">
        <w:rPr>
          <w:lang w:val="fr-FR"/>
        </w:rPr>
        <w:tab/>
        <w:t xml:space="preserve">Voir le recours aux commentaires pertinents dans </w:t>
      </w:r>
      <w:r w:rsidRPr="001448A7">
        <w:rPr>
          <w:i/>
          <w:iCs/>
          <w:lang w:val="fr-FR"/>
        </w:rPr>
        <w:t>Ahmadou Sadio Diallo, Indemnisation</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342, par. 49 ; </w:t>
      </w:r>
      <w:r w:rsidRPr="001448A7">
        <w:rPr>
          <w:i/>
          <w:iCs/>
          <w:lang w:val="fr-FR"/>
        </w:rPr>
        <w:t>Certaines activités menées par le Nicaragua dans la région frontalière</w:t>
      </w:r>
      <w:r w:rsidRPr="001448A7">
        <w:rPr>
          <w:lang w:val="fr-FR"/>
        </w:rPr>
        <w:t xml:space="preserve"> (note </w:t>
      </w:r>
      <w:r w:rsidRPr="001448A7">
        <w:rPr>
          <w:lang w:val="fr-FR"/>
        </w:rPr>
        <w:fldChar w:fldCharType="begin"/>
      </w:r>
      <w:r w:rsidRPr="001448A7">
        <w:rPr>
          <w:lang w:val="fr-FR"/>
        </w:rPr>
        <w:instrText xml:space="preserve"> NOTEREF _Ref172537287 \h </w:instrText>
      </w:r>
      <w:r>
        <w:rPr>
          <w:lang w:val="fr-FR"/>
        </w:rPr>
        <w:instrText xml:space="preserve"> \* MERGEFORMAT </w:instrText>
      </w:r>
      <w:r w:rsidRPr="001448A7">
        <w:rPr>
          <w:lang w:val="fr-FR"/>
        </w:rPr>
      </w:r>
      <w:r w:rsidRPr="001448A7">
        <w:rPr>
          <w:lang w:val="fr-FR"/>
        </w:rPr>
        <w:fldChar w:fldCharType="separate"/>
      </w:r>
      <w:r w:rsidR="00EC4FDE">
        <w:rPr>
          <w:lang w:val="fr-FR"/>
        </w:rPr>
        <w:t>22</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58, par. 151 ; </w:t>
      </w:r>
      <w:r w:rsidRPr="001448A7">
        <w:rPr>
          <w:i/>
          <w:iCs/>
          <w:lang w:val="fr-FR"/>
        </w:rPr>
        <w:t>Activités armées sur le territoire du Congo</w:t>
      </w:r>
      <w:r w:rsidRPr="001448A7">
        <w:rPr>
          <w:lang w:val="fr-FR"/>
        </w:rPr>
        <w:t xml:space="preserve"> (note </w:t>
      </w:r>
      <w:r w:rsidRPr="001448A7">
        <w:rPr>
          <w:lang w:val="fr-FR"/>
        </w:rPr>
        <w:fldChar w:fldCharType="begin"/>
      </w:r>
      <w:r w:rsidRPr="001448A7">
        <w:rPr>
          <w:lang w:val="fr-FR"/>
        </w:rPr>
        <w:instrText xml:space="preserve"> NOTEREF _Ref172537296 \h </w:instrText>
      </w:r>
      <w:r>
        <w:rPr>
          <w:lang w:val="fr-FR"/>
        </w:rPr>
        <w:instrText xml:space="preserve"> \* MERGEFORMAT </w:instrText>
      </w:r>
      <w:r w:rsidRPr="001448A7">
        <w:rPr>
          <w:lang w:val="fr-FR"/>
        </w:rPr>
      </w:r>
      <w:r w:rsidRPr="001448A7">
        <w:rPr>
          <w:lang w:val="fr-FR"/>
        </w:rPr>
        <w:fldChar w:fldCharType="separate"/>
      </w:r>
      <w:r w:rsidR="00EC4FDE">
        <w:rPr>
          <w:lang w:val="fr-FR"/>
        </w:rPr>
        <w:t>23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49 et 50, par. 98, p. 63 et 64, par. 148 et p. 130, par. 382 ; </w:t>
      </w:r>
      <w:r w:rsidRPr="001448A7">
        <w:rPr>
          <w:i/>
          <w:iCs/>
          <w:lang w:val="fr-FR"/>
        </w:rPr>
        <w:t>Arctic Sunrise, sentence sur l</w:t>
      </w:r>
      <w:r w:rsidR="004937A0">
        <w:rPr>
          <w:i/>
          <w:iCs/>
          <w:lang w:val="fr-FR"/>
        </w:rPr>
        <w:t>’</w:t>
      </w:r>
      <w:r w:rsidRPr="001448A7">
        <w:rPr>
          <w:i/>
          <w:iCs/>
          <w:lang w:val="fr-FR"/>
        </w:rPr>
        <w:t>indemnisation</w:t>
      </w:r>
      <w:r w:rsidRPr="001448A7">
        <w:rPr>
          <w:lang w:val="fr-FR"/>
        </w:rPr>
        <w:t xml:space="preserve">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344, par. 91, et p. 350, par. 118 ; </w:t>
      </w:r>
      <w:r w:rsidRPr="001448A7">
        <w:rPr>
          <w:i/>
          <w:iCs/>
          <w:lang w:val="fr-FR"/>
        </w:rPr>
        <w:t>Navire « Norstar » (Panama c. Italie), arrêt</w:t>
      </w:r>
      <w:r w:rsidRPr="001448A7">
        <w:rPr>
          <w:lang w:val="fr-FR"/>
        </w:rPr>
        <w:t xml:space="preserve"> (note </w:t>
      </w:r>
      <w:r w:rsidRPr="001448A7">
        <w:rPr>
          <w:lang w:val="fr-FR"/>
        </w:rPr>
        <w:fldChar w:fldCharType="begin"/>
      </w:r>
      <w:r w:rsidRPr="001448A7">
        <w:rPr>
          <w:lang w:val="fr-FR"/>
        </w:rPr>
        <w:instrText xml:space="preserve"> NOTEREF _Ref172534951 \h </w:instrText>
      </w:r>
      <w:r>
        <w:rPr>
          <w:lang w:val="fr-FR"/>
        </w:rPr>
        <w:instrText xml:space="preserve"> \* MERGEFORMAT </w:instrText>
      </w:r>
      <w:r w:rsidRPr="001448A7">
        <w:rPr>
          <w:lang w:val="fr-FR"/>
        </w:rPr>
      </w:r>
      <w:r w:rsidRPr="001448A7">
        <w:rPr>
          <w:lang w:val="fr-FR"/>
        </w:rPr>
        <w:fldChar w:fldCharType="separate"/>
      </w:r>
      <w:r w:rsidR="00EC4FDE">
        <w:rPr>
          <w:lang w:val="fr-FR"/>
        </w:rPr>
        <w:t>13</w:t>
      </w:r>
      <w:r w:rsidRPr="001448A7">
        <w:rPr>
          <w:lang w:val="fr-FR"/>
        </w:rPr>
        <w:fldChar w:fldCharType="end"/>
      </w:r>
      <w:r w:rsidRPr="001448A7">
        <w:rPr>
          <w:lang w:val="fr-FR"/>
        </w:rPr>
        <w:t xml:space="preserve"> </w:t>
      </w:r>
      <w:r w:rsidRPr="001448A7">
        <w:rPr>
          <w:i/>
          <w:iCs/>
          <w:lang w:val="fr-FR"/>
        </w:rPr>
        <w:t>supra</w:t>
      </w:r>
      <w:r w:rsidRPr="001448A7">
        <w:rPr>
          <w:lang w:val="fr-FR"/>
        </w:rPr>
        <w:t xml:space="preserve">), p. 122, par. 458 ; et </w:t>
      </w:r>
      <w:r w:rsidRPr="001448A7">
        <w:rPr>
          <w:i/>
          <w:iCs/>
          <w:lang w:val="fr-FR"/>
        </w:rPr>
        <w:t xml:space="preserve">Arbitrage </w:t>
      </w:r>
      <w:proofErr w:type="spellStart"/>
      <w:r w:rsidRPr="001448A7">
        <w:rPr>
          <w:i/>
          <w:iCs/>
          <w:lang w:val="fr-FR"/>
        </w:rPr>
        <w:t>Duzgit</w:t>
      </w:r>
      <w:proofErr w:type="spellEnd"/>
      <w:r w:rsidRPr="001448A7">
        <w:rPr>
          <w:i/>
          <w:iCs/>
          <w:lang w:val="fr-FR"/>
        </w:rPr>
        <w:t xml:space="preserve"> </w:t>
      </w:r>
      <w:proofErr w:type="spellStart"/>
      <w:r w:rsidRPr="001448A7">
        <w:rPr>
          <w:i/>
          <w:iCs/>
          <w:lang w:val="fr-FR"/>
        </w:rPr>
        <w:t>Integrity</w:t>
      </w:r>
      <w:proofErr w:type="spellEnd"/>
      <w:r w:rsidRPr="001448A7">
        <w:rPr>
          <w:lang w:val="fr-FR"/>
        </w:rPr>
        <w:t xml:space="preserve"> (note </w:t>
      </w:r>
      <w:r w:rsidRPr="001448A7">
        <w:rPr>
          <w:lang w:val="fr-FR"/>
        </w:rPr>
        <w:fldChar w:fldCharType="begin"/>
      </w:r>
      <w:r w:rsidRPr="001448A7">
        <w:rPr>
          <w:lang w:val="fr-FR"/>
        </w:rPr>
        <w:instrText xml:space="preserve"> NOTEREF _Ref172539203 \h </w:instrText>
      </w:r>
      <w:r>
        <w:rPr>
          <w:lang w:val="fr-FR"/>
        </w:rPr>
        <w:instrText xml:space="preserve"> \* MERGEFORMAT </w:instrText>
      </w:r>
      <w:r w:rsidRPr="001448A7">
        <w:rPr>
          <w:lang w:val="fr-FR"/>
        </w:rPr>
      </w:r>
      <w:r w:rsidRPr="001448A7">
        <w:rPr>
          <w:lang w:val="fr-FR"/>
        </w:rPr>
        <w:fldChar w:fldCharType="separate"/>
      </w:r>
      <w:r w:rsidR="00EC4FDE">
        <w:rPr>
          <w:lang w:val="fr-FR"/>
        </w:rPr>
        <w:t>25</w:t>
      </w:r>
      <w:r w:rsidRPr="001448A7">
        <w:rPr>
          <w:lang w:val="fr-FR"/>
        </w:rPr>
        <w:fldChar w:fldCharType="end"/>
      </w:r>
      <w:r w:rsidRPr="001448A7">
        <w:rPr>
          <w:lang w:val="fr-FR"/>
        </w:rPr>
        <w:t xml:space="preserve"> </w:t>
      </w:r>
      <w:r w:rsidRPr="001448A7">
        <w:rPr>
          <w:i/>
          <w:iCs/>
          <w:lang w:val="fr-FR"/>
        </w:rPr>
        <w:t>supra</w:t>
      </w:r>
      <w:r w:rsidRPr="001448A7">
        <w:rPr>
          <w:lang w:val="fr-FR"/>
        </w:rPr>
        <w:t>), par. 212.</w:t>
      </w:r>
    </w:p>
  </w:footnote>
  <w:footnote w:id="442">
    <w:p w14:paraId="3C2224EF" w14:textId="09F03DA6"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Pour un examen de la genèse de la notion de diligence, voir Giulio Bartolini, « The Historical Roots of the Due Diligence Standard », dans Heike Krieger, Anne Peters, et Leonhard Kreuzer, </w:t>
      </w:r>
      <w:r w:rsidRPr="004B1202">
        <w:rPr>
          <w:i/>
          <w:iCs/>
          <w:szCs w:val="18"/>
        </w:rPr>
        <w:t>Due Diligence in the International Legal Order</w:t>
      </w:r>
      <w:r w:rsidRPr="004B1202">
        <w:rPr>
          <w:szCs w:val="18"/>
        </w:rPr>
        <w:t xml:space="preserve"> (Oxford : Oxford University Press, 2020), p</w:t>
      </w:r>
      <w:r w:rsidRPr="00FD184E">
        <w:rPr>
          <w:szCs w:val="18"/>
        </w:rPr>
        <w:t>.</w:t>
      </w:r>
      <w:r w:rsidRPr="004B1202">
        <w:rPr>
          <w:szCs w:val="18"/>
        </w:rPr>
        <w:t xml:space="preserve"> 23 à 41 ; </w:t>
      </w:r>
      <w:bookmarkStart w:id="267" w:name="_Hlk167092822"/>
      <w:r w:rsidRPr="004B1202">
        <w:rPr>
          <w:szCs w:val="18"/>
        </w:rPr>
        <w:t xml:space="preserve">Samantha Besson, </w:t>
      </w:r>
      <w:bookmarkStart w:id="268" w:name="_Hlk168844518"/>
      <w:r w:rsidRPr="004B1202">
        <w:rPr>
          <w:szCs w:val="18"/>
        </w:rPr>
        <w:t>La </w:t>
      </w:r>
      <w:r w:rsidRPr="004B1202">
        <w:rPr>
          <w:i/>
          <w:iCs/>
          <w:szCs w:val="18"/>
        </w:rPr>
        <w:t>due diligence</w:t>
      </w:r>
      <w:r w:rsidRPr="004B1202">
        <w:rPr>
          <w:szCs w:val="18"/>
        </w:rPr>
        <w:t xml:space="preserve"> en droit international </w:t>
      </w:r>
      <w:bookmarkEnd w:id="268"/>
      <w:r w:rsidRPr="004B1202">
        <w:rPr>
          <w:szCs w:val="18"/>
        </w:rPr>
        <w:t>(The Pocket Books of The Hague Academy of International Law/Les livres de poche de l</w:t>
      </w:r>
      <w:r w:rsidR="004937A0">
        <w:rPr>
          <w:szCs w:val="18"/>
        </w:rPr>
        <w:t>’</w:t>
      </w:r>
      <w:r w:rsidRPr="004B1202">
        <w:rPr>
          <w:szCs w:val="18"/>
        </w:rPr>
        <w:t>Académie de droit international de La Haye, disponible à l</w:t>
      </w:r>
      <w:r w:rsidR="004937A0">
        <w:rPr>
          <w:szCs w:val="18"/>
        </w:rPr>
        <w:t>’</w:t>
      </w:r>
      <w:r w:rsidRPr="004B1202">
        <w:rPr>
          <w:szCs w:val="18"/>
        </w:rPr>
        <w:t xml:space="preserve">adresse </w:t>
      </w:r>
      <w:hyperlink r:id="rId243" w:history="1">
        <w:r w:rsidRPr="004B1202">
          <w:rPr>
            <w:rStyle w:val="Lienhypertexte"/>
            <w:szCs w:val="18"/>
          </w:rPr>
          <w:t>https://brill</w:t>
        </w:r>
        <w:r w:rsidRPr="00FD184E">
          <w:rPr>
            <w:rStyle w:val="Lienhypertexte"/>
            <w:szCs w:val="18"/>
          </w:rPr>
          <w:t>.</w:t>
        </w:r>
        <w:r w:rsidRPr="004B1202">
          <w:rPr>
            <w:rStyle w:val="Lienhypertexte"/>
            <w:szCs w:val="18"/>
          </w:rPr>
          <w:t>com/view/serial/HAPB</w:t>
        </w:r>
      </w:hyperlink>
      <w:r w:rsidRPr="004B1202">
        <w:rPr>
          <w:szCs w:val="18"/>
        </w:rPr>
        <w:t>), vol</w:t>
      </w:r>
      <w:r w:rsidRPr="00FD184E">
        <w:rPr>
          <w:szCs w:val="18"/>
        </w:rPr>
        <w:t>.</w:t>
      </w:r>
      <w:r w:rsidRPr="004B1202">
        <w:rPr>
          <w:szCs w:val="18"/>
        </w:rPr>
        <w:t> 46 (2021)</w:t>
      </w:r>
      <w:bookmarkEnd w:id="267"/>
      <w:r w:rsidRPr="004B1202">
        <w:rPr>
          <w:szCs w:val="18"/>
        </w:rPr>
        <w:t>, p</w:t>
      </w:r>
      <w:r w:rsidRPr="00FD184E">
        <w:rPr>
          <w:szCs w:val="18"/>
        </w:rPr>
        <w:t>.</w:t>
      </w:r>
      <w:r w:rsidRPr="004B1202">
        <w:rPr>
          <w:szCs w:val="18"/>
        </w:rPr>
        <w:t xml:space="preserve"> 33 à 71 ; Samantha Besson, </w:t>
      </w:r>
      <w:r w:rsidRPr="004B1202">
        <w:rPr>
          <w:i/>
          <w:iCs/>
          <w:szCs w:val="18"/>
        </w:rPr>
        <w:t>Due Diligence in International Law</w:t>
      </w:r>
      <w:r w:rsidRPr="004B1202">
        <w:rPr>
          <w:szCs w:val="18"/>
        </w:rPr>
        <w:t xml:space="preserve"> (Hague Academy Special Editions) (2023), p</w:t>
      </w:r>
      <w:r w:rsidRPr="00FD184E">
        <w:rPr>
          <w:szCs w:val="18"/>
        </w:rPr>
        <w:t>.</w:t>
      </w:r>
      <w:r w:rsidRPr="004B1202">
        <w:rPr>
          <w:szCs w:val="18"/>
        </w:rPr>
        <w:t xml:space="preserve"> 38 à 48 ; Jan Arno Hessbruegge, « The Historical Development of the Doctrines of Attribution and Due Diligence in International Law », </w:t>
      </w:r>
      <w:r w:rsidRPr="004B1202">
        <w:rPr>
          <w:i/>
          <w:iCs/>
          <w:szCs w:val="18"/>
        </w:rPr>
        <w:t>N</w:t>
      </w:r>
      <w:r w:rsidRPr="00FD184E">
        <w:rPr>
          <w:i/>
          <w:iCs/>
          <w:szCs w:val="18"/>
        </w:rPr>
        <w:t>.</w:t>
      </w:r>
      <w:r w:rsidRPr="004B1202">
        <w:rPr>
          <w:i/>
          <w:iCs/>
          <w:szCs w:val="18"/>
        </w:rPr>
        <w:t>Y</w:t>
      </w:r>
      <w:r w:rsidRPr="00FD184E">
        <w:rPr>
          <w:i/>
          <w:iCs/>
          <w:szCs w:val="18"/>
        </w:rPr>
        <w:t>.</w:t>
      </w:r>
      <w:r w:rsidRPr="004B1202">
        <w:rPr>
          <w:i/>
          <w:iCs/>
          <w:szCs w:val="18"/>
        </w:rPr>
        <w:t>U</w:t>
      </w:r>
      <w:r w:rsidRPr="00FD184E">
        <w:rPr>
          <w:i/>
          <w:iCs/>
          <w:szCs w:val="18"/>
        </w:rPr>
        <w:t>.</w:t>
      </w:r>
      <w:r w:rsidRPr="004B1202">
        <w:rPr>
          <w:i/>
          <w:iCs/>
          <w:szCs w:val="18"/>
        </w:rPr>
        <w:t xml:space="preserve"> J</w:t>
      </w:r>
      <w:r w:rsidRPr="00FD184E">
        <w:rPr>
          <w:i/>
          <w:iCs/>
          <w:szCs w:val="18"/>
        </w:rPr>
        <w:t>.</w:t>
      </w:r>
      <w:r w:rsidRPr="004B1202">
        <w:rPr>
          <w:i/>
          <w:iCs/>
          <w:szCs w:val="18"/>
        </w:rPr>
        <w:t xml:space="preserve"> Int</w:t>
      </w:r>
      <w:r w:rsidR="004937A0">
        <w:rPr>
          <w:i/>
          <w:iCs/>
          <w:szCs w:val="18"/>
        </w:rPr>
        <w:t>’</w:t>
      </w:r>
      <w:r w:rsidRPr="004B1202">
        <w:rPr>
          <w:i/>
          <w:iCs/>
          <w:szCs w:val="18"/>
        </w:rPr>
        <w:t>l</w:t>
      </w:r>
      <w:r w:rsidRPr="00FD184E">
        <w:rPr>
          <w:i/>
          <w:iCs/>
          <w:szCs w:val="18"/>
        </w:rPr>
        <w:t>.</w:t>
      </w:r>
      <w:r w:rsidRPr="004B1202">
        <w:rPr>
          <w:i/>
          <w:iCs/>
          <w:szCs w:val="18"/>
        </w:rPr>
        <w:t xml:space="preserve"> L</w:t>
      </w:r>
      <w:r w:rsidRPr="00FD184E">
        <w:rPr>
          <w:i/>
          <w:iCs/>
          <w:szCs w:val="18"/>
        </w:rPr>
        <w:t>.</w:t>
      </w:r>
      <w:r w:rsidRPr="004B1202">
        <w:rPr>
          <w:i/>
          <w:iCs/>
          <w:szCs w:val="18"/>
        </w:rPr>
        <w:t xml:space="preserve"> &amp; Pol</w:t>
      </w:r>
      <w:r w:rsidRPr="00FD184E">
        <w:rPr>
          <w:i/>
          <w:iCs/>
          <w:szCs w:val="18"/>
        </w:rPr>
        <w:t>.</w:t>
      </w:r>
      <w:r w:rsidRPr="004B1202">
        <w:rPr>
          <w:szCs w:val="18"/>
        </w:rPr>
        <w:t>, vol</w:t>
      </w:r>
      <w:r w:rsidRPr="00FD184E">
        <w:rPr>
          <w:szCs w:val="18"/>
        </w:rPr>
        <w:t>.</w:t>
      </w:r>
      <w:r w:rsidRPr="004B1202">
        <w:rPr>
          <w:szCs w:val="18"/>
        </w:rPr>
        <w:t xml:space="preserve"> 36 (2003-2004), p</w:t>
      </w:r>
      <w:r w:rsidRPr="00FD184E">
        <w:rPr>
          <w:szCs w:val="18"/>
        </w:rPr>
        <w:t>.</w:t>
      </w:r>
      <w:r w:rsidRPr="004B1202">
        <w:rPr>
          <w:szCs w:val="18"/>
        </w:rPr>
        <w:t> 265 à 306 ; Awalou Ouedraogo, « La neutralité et l</w:t>
      </w:r>
      <w:r w:rsidR="004937A0">
        <w:rPr>
          <w:szCs w:val="18"/>
        </w:rPr>
        <w:t>’</w:t>
      </w:r>
      <w:r w:rsidRPr="004B1202">
        <w:rPr>
          <w:szCs w:val="18"/>
        </w:rPr>
        <w:t xml:space="preserve">émergence du concept de </w:t>
      </w:r>
      <w:r w:rsidRPr="004B1202">
        <w:rPr>
          <w:i/>
          <w:iCs/>
          <w:szCs w:val="18"/>
        </w:rPr>
        <w:t xml:space="preserve">due diligence </w:t>
      </w:r>
      <w:r w:rsidRPr="004B1202">
        <w:rPr>
          <w:szCs w:val="18"/>
        </w:rPr>
        <w:t>en droit international : l</w:t>
      </w:r>
      <w:r w:rsidR="004937A0">
        <w:rPr>
          <w:szCs w:val="18"/>
        </w:rPr>
        <w:t>’</w:t>
      </w:r>
      <w:r w:rsidRPr="004B1202">
        <w:rPr>
          <w:szCs w:val="18"/>
        </w:rPr>
        <w:t>affaire de l</w:t>
      </w:r>
      <w:r w:rsidR="004937A0">
        <w:rPr>
          <w:szCs w:val="18"/>
        </w:rPr>
        <w:t>’</w:t>
      </w:r>
      <w:r w:rsidRPr="004B1202">
        <w:rPr>
          <w:szCs w:val="18"/>
        </w:rPr>
        <w:t xml:space="preserve">Alabama revisitée », </w:t>
      </w:r>
      <w:r w:rsidRPr="004B1202">
        <w:rPr>
          <w:i/>
          <w:iCs/>
          <w:szCs w:val="18"/>
        </w:rPr>
        <w:t>Journal of the History of International Law</w:t>
      </w:r>
      <w:r w:rsidRPr="004B1202">
        <w:rPr>
          <w:szCs w:val="18"/>
        </w:rPr>
        <w:t>, vol</w:t>
      </w:r>
      <w:r w:rsidRPr="00FD184E">
        <w:rPr>
          <w:szCs w:val="18"/>
        </w:rPr>
        <w:t>.</w:t>
      </w:r>
      <w:r w:rsidRPr="004B1202">
        <w:rPr>
          <w:szCs w:val="18"/>
        </w:rPr>
        <w:t xml:space="preserve"> 13</w:t>
      </w:r>
      <w:r>
        <w:rPr>
          <w:szCs w:val="18"/>
        </w:rPr>
        <w:t> </w:t>
      </w:r>
      <w:r w:rsidRPr="004B1202">
        <w:rPr>
          <w:szCs w:val="18"/>
        </w:rPr>
        <w:t>2) (2011), p</w:t>
      </w:r>
      <w:r w:rsidRPr="00FD184E">
        <w:rPr>
          <w:szCs w:val="18"/>
        </w:rPr>
        <w:t>.</w:t>
      </w:r>
      <w:r w:rsidRPr="004B1202">
        <w:rPr>
          <w:szCs w:val="18"/>
        </w:rPr>
        <w:t> 307 à 346</w:t>
      </w:r>
      <w:r w:rsidRPr="00FD184E">
        <w:rPr>
          <w:szCs w:val="18"/>
        </w:rPr>
        <w:t>.</w:t>
      </w:r>
    </w:p>
  </w:footnote>
  <w:footnote w:id="443">
    <w:p w14:paraId="04EFB05B" w14:textId="63CC6609"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w:t>
      </w:r>
      <w:bookmarkStart w:id="269" w:name="_Hlk167195158"/>
      <w:r w:rsidRPr="004B1202">
        <w:rPr>
          <w:i/>
          <w:iCs/>
          <w:szCs w:val="18"/>
        </w:rPr>
        <w:t>Réclamations des États-Unis d</w:t>
      </w:r>
      <w:r w:rsidR="004937A0">
        <w:rPr>
          <w:i/>
          <w:iCs/>
          <w:szCs w:val="18"/>
        </w:rPr>
        <w:t>’</w:t>
      </w:r>
      <w:r w:rsidRPr="004B1202">
        <w:rPr>
          <w:i/>
          <w:iCs/>
          <w:szCs w:val="18"/>
        </w:rPr>
        <w:t>Amérique c</w:t>
      </w:r>
      <w:r w:rsidRPr="00FD184E">
        <w:rPr>
          <w:i/>
          <w:iCs/>
          <w:szCs w:val="18"/>
        </w:rPr>
        <w:t>.</w:t>
      </w:r>
      <w:r w:rsidRPr="004B1202">
        <w:rPr>
          <w:i/>
          <w:iCs/>
          <w:szCs w:val="18"/>
        </w:rPr>
        <w:t xml:space="preserve"> la Grande-Bretagne relatives à l</w:t>
      </w:r>
      <w:r w:rsidR="004937A0">
        <w:rPr>
          <w:i/>
          <w:iCs/>
          <w:szCs w:val="18"/>
        </w:rPr>
        <w:t>’</w:t>
      </w:r>
      <w:r w:rsidRPr="004B1202">
        <w:rPr>
          <w:i/>
          <w:iCs/>
          <w:szCs w:val="18"/>
        </w:rPr>
        <w:t>Alabama</w:t>
      </w:r>
      <w:r w:rsidRPr="004B1202">
        <w:rPr>
          <w:szCs w:val="18"/>
        </w:rPr>
        <w:t>, sentence du 1</w:t>
      </w:r>
      <w:r>
        <w:rPr>
          <w:szCs w:val="18"/>
        </w:rPr>
        <w:t>4</w:t>
      </w:r>
      <w:r w:rsidRPr="004B1202">
        <w:rPr>
          <w:szCs w:val="18"/>
        </w:rPr>
        <w:t xml:space="preserve"> septembre 1872, </w:t>
      </w:r>
      <w:r w:rsidRPr="004B1202">
        <w:rPr>
          <w:i/>
          <w:iCs/>
          <w:szCs w:val="18"/>
        </w:rPr>
        <w:t>Recueil des sentences arbitrales</w:t>
      </w:r>
      <w:r w:rsidRPr="004B1202">
        <w:rPr>
          <w:szCs w:val="18"/>
        </w:rPr>
        <w:t xml:space="preserve">, </w:t>
      </w:r>
      <w:r>
        <w:rPr>
          <w:szCs w:val="18"/>
        </w:rPr>
        <w:t>v</w:t>
      </w:r>
      <w:r w:rsidRPr="004B1202">
        <w:rPr>
          <w:szCs w:val="18"/>
        </w:rPr>
        <w:t>ol</w:t>
      </w:r>
      <w:r w:rsidRPr="00FD184E">
        <w:rPr>
          <w:szCs w:val="18"/>
        </w:rPr>
        <w:t>.</w:t>
      </w:r>
      <w:r w:rsidRPr="004B1202">
        <w:rPr>
          <w:szCs w:val="18"/>
        </w:rPr>
        <w:t xml:space="preserve"> XXIX, p</w:t>
      </w:r>
      <w:r w:rsidRPr="00FD184E">
        <w:rPr>
          <w:szCs w:val="18"/>
        </w:rPr>
        <w:t>.</w:t>
      </w:r>
      <w:r w:rsidRPr="004B1202">
        <w:rPr>
          <w:szCs w:val="18"/>
        </w:rPr>
        <w:t> 125 à 134, à la p</w:t>
      </w:r>
      <w:r w:rsidRPr="00FD184E">
        <w:rPr>
          <w:szCs w:val="18"/>
        </w:rPr>
        <w:t>.</w:t>
      </w:r>
      <w:r w:rsidRPr="004B1202">
        <w:rPr>
          <w:szCs w:val="18"/>
        </w:rPr>
        <w:t> 129 ; cet arbitrage était régi par les règles énoncées à l</w:t>
      </w:r>
      <w:r w:rsidR="004937A0">
        <w:rPr>
          <w:szCs w:val="18"/>
        </w:rPr>
        <w:t>’</w:t>
      </w:r>
      <w:r w:rsidRPr="004B1202">
        <w:rPr>
          <w:szCs w:val="18"/>
        </w:rPr>
        <w:t>Article VI du Traité de Washington de 1871, notamment l</w:t>
      </w:r>
      <w:r w:rsidR="004937A0">
        <w:rPr>
          <w:szCs w:val="18"/>
        </w:rPr>
        <w:t>’</w:t>
      </w:r>
      <w:r w:rsidRPr="004B1202">
        <w:rPr>
          <w:szCs w:val="18"/>
        </w:rPr>
        <w:t>obligation de diligence dont devaient s</w:t>
      </w:r>
      <w:r w:rsidR="004937A0">
        <w:rPr>
          <w:szCs w:val="18"/>
        </w:rPr>
        <w:t>’</w:t>
      </w:r>
      <w:r w:rsidRPr="004B1202">
        <w:rPr>
          <w:szCs w:val="18"/>
        </w:rPr>
        <w:t xml:space="preserve">acquitter les États neutres ; </w:t>
      </w:r>
      <w:r w:rsidRPr="004B1202">
        <w:rPr>
          <w:i/>
          <w:iCs/>
          <w:szCs w:val="18"/>
        </w:rPr>
        <w:t xml:space="preserve">Frederick Wipperman Arbitration (United States of America </w:t>
      </w:r>
      <w:r w:rsidRPr="00254B8E">
        <w:rPr>
          <w:i/>
          <w:iCs/>
          <w:szCs w:val="18"/>
        </w:rPr>
        <w:t>v.</w:t>
      </w:r>
      <w:r w:rsidRPr="004B1202">
        <w:rPr>
          <w:szCs w:val="18"/>
        </w:rPr>
        <w:t xml:space="preserve"> </w:t>
      </w:r>
      <w:r w:rsidRPr="004B1202">
        <w:rPr>
          <w:i/>
          <w:iCs/>
          <w:szCs w:val="18"/>
        </w:rPr>
        <w:t>Venezuela)</w:t>
      </w:r>
      <w:r w:rsidRPr="004B1202">
        <w:rPr>
          <w:szCs w:val="18"/>
        </w:rPr>
        <w:t>, sentence du 2 septembre 1890, Moore, History and Digest, vol</w:t>
      </w:r>
      <w:r w:rsidRPr="00FD184E">
        <w:rPr>
          <w:szCs w:val="18"/>
        </w:rPr>
        <w:t>.</w:t>
      </w:r>
      <w:r w:rsidRPr="004B1202">
        <w:rPr>
          <w:szCs w:val="18"/>
        </w:rPr>
        <w:t xml:space="preserve"> 3, p</w:t>
      </w:r>
      <w:r w:rsidRPr="00FD184E">
        <w:rPr>
          <w:szCs w:val="18"/>
        </w:rPr>
        <w:t>.</w:t>
      </w:r>
      <w:r w:rsidRPr="004B1202">
        <w:rPr>
          <w:szCs w:val="18"/>
        </w:rPr>
        <w:t> 3039 à 3043, aux p</w:t>
      </w:r>
      <w:r w:rsidRPr="00FD184E">
        <w:rPr>
          <w:szCs w:val="18"/>
        </w:rPr>
        <w:t>.</w:t>
      </w:r>
      <w:r w:rsidRPr="004B1202">
        <w:rPr>
          <w:szCs w:val="18"/>
        </w:rPr>
        <w:t> 3041 et 3042</w:t>
      </w:r>
      <w:r w:rsidRPr="00FD184E">
        <w:rPr>
          <w:szCs w:val="18"/>
        </w:rPr>
        <w:t>.</w:t>
      </w:r>
    </w:p>
    <w:bookmarkEnd w:id="269"/>
  </w:footnote>
  <w:footnote w:id="444">
    <w:p w14:paraId="7A4D4A21" w14:textId="2D455588"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par exemple, </w:t>
      </w:r>
      <w:bookmarkStart w:id="271" w:name="_Hlk169772720"/>
      <w:bookmarkStart w:id="272" w:name="_Hlk167195202"/>
      <w:r w:rsidRPr="004B1202">
        <w:rPr>
          <w:i/>
          <w:iCs/>
          <w:szCs w:val="18"/>
        </w:rPr>
        <w:t>Affaire des biens britanniques au Maroc espagnol (Espagne c</w:t>
      </w:r>
      <w:r w:rsidRPr="00FD184E">
        <w:rPr>
          <w:i/>
          <w:iCs/>
          <w:szCs w:val="18"/>
        </w:rPr>
        <w:t>.</w:t>
      </w:r>
      <w:r w:rsidRPr="004B1202">
        <w:rPr>
          <w:i/>
          <w:iCs/>
          <w:szCs w:val="18"/>
        </w:rPr>
        <w:t xml:space="preserve"> Royaume</w:t>
      </w:r>
      <w:r w:rsidR="00E25AB0">
        <w:rPr>
          <w:i/>
          <w:iCs/>
          <w:szCs w:val="18"/>
        </w:rPr>
        <w:t>-</w:t>
      </w:r>
      <w:r w:rsidRPr="004B1202">
        <w:rPr>
          <w:i/>
          <w:iCs/>
          <w:szCs w:val="18"/>
        </w:rPr>
        <w:t xml:space="preserve">Uni), </w:t>
      </w:r>
      <w:bookmarkEnd w:id="271"/>
      <w:r w:rsidRPr="004B1202">
        <w:rPr>
          <w:szCs w:val="18"/>
        </w:rPr>
        <w:t>sentence du 1</w:t>
      </w:r>
      <w:r w:rsidRPr="004B1202">
        <w:rPr>
          <w:szCs w:val="18"/>
          <w:vertAlign w:val="superscript"/>
        </w:rPr>
        <w:t>er</w:t>
      </w:r>
      <w:r w:rsidRPr="004B1202">
        <w:rPr>
          <w:szCs w:val="18"/>
        </w:rPr>
        <w:t xml:space="preserve"> mai 1925, </w:t>
      </w:r>
      <w:r w:rsidRPr="004B1202">
        <w:rPr>
          <w:i/>
          <w:iCs/>
          <w:szCs w:val="18"/>
        </w:rPr>
        <w:t>Recueil des sentences arbitrales</w:t>
      </w:r>
      <w:r w:rsidRPr="004B1202">
        <w:rPr>
          <w:szCs w:val="18"/>
        </w:rPr>
        <w:t xml:space="preserve">, </w:t>
      </w:r>
      <w:r>
        <w:rPr>
          <w:szCs w:val="18"/>
        </w:rPr>
        <w:t>v</w:t>
      </w:r>
      <w:r w:rsidRPr="004B1202">
        <w:rPr>
          <w:szCs w:val="18"/>
        </w:rPr>
        <w:t>ol</w:t>
      </w:r>
      <w:r w:rsidRPr="00FD184E">
        <w:rPr>
          <w:szCs w:val="18"/>
        </w:rPr>
        <w:t>.</w:t>
      </w:r>
      <w:r w:rsidRPr="004B1202">
        <w:rPr>
          <w:szCs w:val="18"/>
        </w:rPr>
        <w:t xml:space="preserve"> II, p</w:t>
      </w:r>
      <w:r w:rsidRPr="00FD184E">
        <w:rPr>
          <w:szCs w:val="18"/>
        </w:rPr>
        <w:t>.</w:t>
      </w:r>
      <w:r w:rsidRPr="004B1202">
        <w:rPr>
          <w:szCs w:val="18"/>
        </w:rPr>
        <w:t> 615 à 742 ;</w:t>
      </w:r>
      <w:r w:rsidRPr="004B1202">
        <w:rPr>
          <w:i/>
          <w:iCs/>
          <w:szCs w:val="18"/>
        </w:rPr>
        <w:t xml:space="preserve"> Island of Palmas Case (The Netherlands/United States of America)</w:t>
      </w:r>
      <w:r w:rsidRPr="004B1202">
        <w:rPr>
          <w:szCs w:val="18"/>
        </w:rPr>
        <w:t xml:space="preserve"> (Affaire de l</w:t>
      </w:r>
      <w:r w:rsidR="004937A0">
        <w:rPr>
          <w:szCs w:val="18"/>
        </w:rPr>
        <w:t>’</w:t>
      </w:r>
      <w:r w:rsidRPr="004B1202">
        <w:rPr>
          <w:szCs w:val="18"/>
        </w:rPr>
        <w:t>Île de Palmas (Pays-Bas/États-Unis d</w:t>
      </w:r>
      <w:r w:rsidR="004937A0">
        <w:rPr>
          <w:szCs w:val="18"/>
        </w:rPr>
        <w:t>’</w:t>
      </w:r>
      <w:r w:rsidRPr="004B1202">
        <w:rPr>
          <w:szCs w:val="18"/>
        </w:rPr>
        <w:t xml:space="preserve">Amérique)), sentence du 4 avril 1928, </w:t>
      </w:r>
      <w:r w:rsidRPr="004B1202">
        <w:rPr>
          <w:i/>
          <w:iCs/>
          <w:szCs w:val="18"/>
        </w:rPr>
        <w:t>Recueil des sentences arbitrales</w:t>
      </w:r>
      <w:r w:rsidRPr="004B1202">
        <w:rPr>
          <w:szCs w:val="18"/>
        </w:rPr>
        <w:t xml:space="preserve">, </w:t>
      </w:r>
      <w:r>
        <w:rPr>
          <w:szCs w:val="18"/>
        </w:rPr>
        <w:t>v</w:t>
      </w:r>
      <w:r w:rsidRPr="004B1202">
        <w:rPr>
          <w:szCs w:val="18"/>
        </w:rPr>
        <w:t>ol</w:t>
      </w:r>
      <w:r w:rsidRPr="00FD184E">
        <w:rPr>
          <w:szCs w:val="18"/>
        </w:rPr>
        <w:t>.</w:t>
      </w:r>
      <w:r w:rsidRPr="004B1202">
        <w:rPr>
          <w:szCs w:val="18"/>
        </w:rPr>
        <w:t xml:space="preserve"> II, p</w:t>
      </w:r>
      <w:r w:rsidRPr="00FD184E">
        <w:rPr>
          <w:szCs w:val="18"/>
        </w:rPr>
        <w:t>.</w:t>
      </w:r>
      <w:r w:rsidRPr="004B1202">
        <w:rPr>
          <w:szCs w:val="18"/>
        </w:rPr>
        <w:t xml:space="preserve"> 829 à 871 ; </w:t>
      </w:r>
      <w:bookmarkEnd w:id="272"/>
      <w:r w:rsidRPr="004B1202">
        <w:rPr>
          <w:szCs w:val="18"/>
        </w:rPr>
        <w:t>arbitrage relatif à</w:t>
      </w:r>
      <w:r w:rsidRPr="004B1202">
        <w:rPr>
          <w:i/>
          <w:iCs/>
          <w:szCs w:val="18"/>
        </w:rPr>
        <w:t xml:space="preserve"> William E</w:t>
      </w:r>
      <w:r w:rsidRPr="00FD184E">
        <w:rPr>
          <w:i/>
          <w:iCs/>
          <w:szCs w:val="18"/>
        </w:rPr>
        <w:t>.</w:t>
      </w:r>
      <w:r w:rsidRPr="004B1202">
        <w:rPr>
          <w:i/>
          <w:iCs/>
          <w:szCs w:val="18"/>
        </w:rPr>
        <w:t xml:space="preserve"> Chapman </w:t>
      </w:r>
      <w:r w:rsidRPr="004B1202">
        <w:rPr>
          <w:szCs w:val="18"/>
        </w:rPr>
        <w:t>(</w:t>
      </w:r>
      <w:r w:rsidRPr="004B1202">
        <w:rPr>
          <w:i/>
          <w:iCs/>
          <w:szCs w:val="18"/>
        </w:rPr>
        <w:t>États-Unis d</w:t>
      </w:r>
      <w:r w:rsidR="004937A0">
        <w:rPr>
          <w:i/>
          <w:iCs/>
          <w:szCs w:val="18"/>
        </w:rPr>
        <w:t>’</w:t>
      </w:r>
      <w:r w:rsidRPr="004B1202">
        <w:rPr>
          <w:i/>
          <w:iCs/>
          <w:szCs w:val="18"/>
        </w:rPr>
        <w:t>Amérique c. États-Unis du Mexique</w:t>
      </w:r>
      <w:r w:rsidRPr="004B1202">
        <w:rPr>
          <w:szCs w:val="18"/>
        </w:rPr>
        <w:t xml:space="preserve">), sentence du 24 octobre 1930, </w:t>
      </w:r>
      <w:r w:rsidRPr="004B1202">
        <w:rPr>
          <w:i/>
          <w:iCs/>
          <w:szCs w:val="18"/>
        </w:rPr>
        <w:t>Recueil des sentences arbitrales</w:t>
      </w:r>
      <w:r w:rsidRPr="004B1202">
        <w:rPr>
          <w:szCs w:val="18"/>
        </w:rPr>
        <w:t xml:space="preserve">, </w:t>
      </w:r>
      <w:r>
        <w:rPr>
          <w:szCs w:val="18"/>
        </w:rPr>
        <w:t>v</w:t>
      </w:r>
      <w:r w:rsidRPr="004B1202">
        <w:rPr>
          <w:szCs w:val="18"/>
        </w:rPr>
        <w:t>ol. IV, p. 632 à 640 ;</w:t>
      </w:r>
      <w:r w:rsidRPr="004B1202">
        <w:rPr>
          <w:i/>
          <w:iCs/>
          <w:szCs w:val="18"/>
        </w:rPr>
        <w:t xml:space="preserve"> </w:t>
      </w:r>
      <w:r w:rsidRPr="004B1202">
        <w:rPr>
          <w:szCs w:val="18"/>
        </w:rPr>
        <w:t>Affaire de la</w:t>
      </w:r>
      <w:r w:rsidRPr="004B1202">
        <w:rPr>
          <w:i/>
          <w:iCs/>
          <w:szCs w:val="18"/>
        </w:rPr>
        <w:t xml:space="preserve"> Fonderie de Trail (États-Unis d</w:t>
      </w:r>
      <w:r w:rsidR="004937A0">
        <w:rPr>
          <w:i/>
          <w:iCs/>
          <w:szCs w:val="18"/>
        </w:rPr>
        <w:t>’</w:t>
      </w:r>
      <w:r w:rsidRPr="004B1202">
        <w:rPr>
          <w:i/>
          <w:iCs/>
          <w:szCs w:val="18"/>
        </w:rPr>
        <w:t xml:space="preserve">Amérique c. Canada), </w:t>
      </w:r>
      <w:r w:rsidRPr="004B1202">
        <w:rPr>
          <w:szCs w:val="18"/>
        </w:rPr>
        <w:t xml:space="preserve">sentence du 11 mars 1941, </w:t>
      </w:r>
      <w:r w:rsidRPr="004B1202">
        <w:rPr>
          <w:i/>
          <w:iCs/>
          <w:szCs w:val="18"/>
        </w:rPr>
        <w:t>Recueil des sentences arbitrales</w:t>
      </w:r>
      <w:r w:rsidRPr="004B1202">
        <w:rPr>
          <w:szCs w:val="18"/>
        </w:rPr>
        <w:t xml:space="preserve">, </w:t>
      </w:r>
      <w:r>
        <w:rPr>
          <w:szCs w:val="18"/>
        </w:rPr>
        <w:t>v</w:t>
      </w:r>
      <w:r w:rsidRPr="004B1202">
        <w:rPr>
          <w:szCs w:val="18"/>
        </w:rPr>
        <w:t xml:space="preserve">ol. III, </w:t>
      </w:r>
      <w:bookmarkStart w:id="273" w:name="_Hlk169772952"/>
      <w:r w:rsidRPr="004B1202">
        <w:rPr>
          <w:szCs w:val="18"/>
        </w:rPr>
        <w:t>p. 1905 à 1982</w:t>
      </w:r>
      <w:bookmarkEnd w:id="273"/>
      <w:r w:rsidRPr="004B1202">
        <w:rPr>
          <w:szCs w:val="18"/>
        </w:rPr>
        <w:t xml:space="preserve"> ; opinion dissidente de M. Moore dans </w:t>
      </w:r>
      <w:bookmarkStart w:id="274" w:name="_Hlk167195261"/>
      <w:r w:rsidRPr="004B1202">
        <w:rPr>
          <w:szCs w:val="18"/>
        </w:rPr>
        <w:t>l</w:t>
      </w:r>
      <w:r w:rsidR="004937A0">
        <w:rPr>
          <w:szCs w:val="18"/>
        </w:rPr>
        <w:t>’</w:t>
      </w:r>
      <w:r w:rsidRPr="004B1202">
        <w:rPr>
          <w:szCs w:val="18"/>
        </w:rPr>
        <w:t>affaire du « </w:t>
      </w:r>
      <w:r w:rsidRPr="004B1202">
        <w:rPr>
          <w:i/>
          <w:iCs/>
          <w:szCs w:val="18"/>
        </w:rPr>
        <w:t>Lotus </w:t>
      </w:r>
      <w:r w:rsidRPr="00B94C02">
        <w:rPr>
          <w:szCs w:val="18"/>
        </w:rPr>
        <w:t>»</w:t>
      </w:r>
      <w:r w:rsidRPr="004B1202">
        <w:rPr>
          <w:i/>
          <w:iCs/>
          <w:szCs w:val="18"/>
        </w:rPr>
        <w:t xml:space="preserve"> (France </w:t>
      </w:r>
      <w:r w:rsidRPr="004B1202">
        <w:rPr>
          <w:szCs w:val="18"/>
        </w:rPr>
        <w:t xml:space="preserve">c. </w:t>
      </w:r>
      <w:r w:rsidRPr="004B1202">
        <w:rPr>
          <w:i/>
          <w:iCs/>
          <w:szCs w:val="18"/>
        </w:rPr>
        <w:t>Turquie)</w:t>
      </w:r>
      <w:r w:rsidRPr="004B1202">
        <w:rPr>
          <w:szCs w:val="18"/>
        </w:rPr>
        <w:t>, arrêt du 7 septembre 1927, Cour permanente de Justice internationale</w:t>
      </w:r>
      <w:r w:rsidRPr="00FD184E">
        <w:rPr>
          <w:i/>
          <w:iCs/>
          <w:szCs w:val="18"/>
        </w:rPr>
        <w:t>.</w:t>
      </w:r>
      <w:r w:rsidRPr="004B1202">
        <w:rPr>
          <w:i/>
          <w:iCs/>
          <w:szCs w:val="18"/>
        </w:rPr>
        <w:t xml:space="preserve"> Recueil des arrêts 1927</w:t>
      </w:r>
      <w:r w:rsidRPr="004B1202">
        <w:rPr>
          <w:szCs w:val="18"/>
        </w:rPr>
        <w:t>, séries A n</w:t>
      </w:r>
      <w:r w:rsidRPr="004B1202">
        <w:rPr>
          <w:szCs w:val="18"/>
          <w:vertAlign w:val="superscript"/>
        </w:rPr>
        <w:t>o</w:t>
      </w:r>
      <w:r w:rsidRPr="004B1202">
        <w:rPr>
          <w:szCs w:val="18"/>
        </w:rPr>
        <w:t> 10, p</w:t>
      </w:r>
      <w:r w:rsidRPr="00FD184E">
        <w:rPr>
          <w:szCs w:val="18"/>
        </w:rPr>
        <w:t>.</w:t>
      </w:r>
      <w:r w:rsidRPr="004B1202">
        <w:rPr>
          <w:szCs w:val="18"/>
        </w:rPr>
        <w:t> 65 à 94, à la p</w:t>
      </w:r>
      <w:r w:rsidRPr="00FD184E">
        <w:rPr>
          <w:szCs w:val="18"/>
        </w:rPr>
        <w:t>.</w:t>
      </w:r>
      <w:r w:rsidRPr="004B1202">
        <w:rPr>
          <w:szCs w:val="18"/>
        </w:rPr>
        <w:t xml:space="preserve"> 88 ; </w:t>
      </w:r>
      <w:r w:rsidR="00B6516D">
        <w:rPr>
          <w:szCs w:val="18"/>
        </w:rPr>
        <w:t>a</w:t>
      </w:r>
      <w:r w:rsidRPr="00B6516D">
        <w:rPr>
          <w:szCs w:val="18"/>
        </w:rPr>
        <w:t>ffaire du</w:t>
      </w:r>
      <w:r w:rsidRPr="004B1202">
        <w:rPr>
          <w:i/>
          <w:iCs/>
          <w:szCs w:val="18"/>
        </w:rPr>
        <w:t xml:space="preserve"> Détroit de Corfou (Royaume-Uni de Grande-Bretagne et d</w:t>
      </w:r>
      <w:r w:rsidR="004937A0">
        <w:rPr>
          <w:i/>
          <w:iCs/>
          <w:szCs w:val="18"/>
        </w:rPr>
        <w:t>’</w:t>
      </w:r>
      <w:r w:rsidRPr="004B1202">
        <w:rPr>
          <w:i/>
          <w:iCs/>
          <w:szCs w:val="18"/>
        </w:rPr>
        <w:t xml:space="preserve">Irlande du Nord </w:t>
      </w:r>
      <w:r w:rsidRPr="004B1202">
        <w:rPr>
          <w:szCs w:val="18"/>
        </w:rPr>
        <w:t>c</w:t>
      </w:r>
      <w:r w:rsidRPr="00FD184E">
        <w:rPr>
          <w:szCs w:val="18"/>
        </w:rPr>
        <w:t>.</w:t>
      </w:r>
      <w:r w:rsidRPr="004B1202">
        <w:rPr>
          <w:szCs w:val="18"/>
        </w:rPr>
        <w:t xml:space="preserve"> </w:t>
      </w:r>
      <w:r w:rsidRPr="004B1202">
        <w:rPr>
          <w:i/>
          <w:iCs/>
          <w:szCs w:val="18"/>
        </w:rPr>
        <w:t>Albanie)</w:t>
      </w:r>
      <w:r w:rsidRPr="004B1202">
        <w:rPr>
          <w:szCs w:val="18"/>
        </w:rPr>
        <w:t xml:space="preserve">, arrêt du 9 avril 1949, </w:t>
      </w:r>
      <w:r>
        <w:rPr>
          <w:i/>
          <w:iCs/>
          <w:szCs w:val="18"/>
        </w:rPr>
        <w:t>C.I.J.</w:t>
      </w:r>
      <w:r w:rsidRPr="004B1202">
        <w:rPr>
          <w:i/>
          <w:iCs/>
          <w:szCs w:val="18"/>
        </w:rPr>
        <w:t xml:space="preserve"> Recueil</w:t>
      </w:r>
      <w:r w:rsidRPr="004B1202">
        <w:rPr>
          <w:szCs w:val="18"/>
        </w:rPr>
        <w:t xml:space="preserve"> (1949), p</w:t>
      </w:r>
      <w:r w:rsidRPr="00FD184E">
        <w:rPr>
          <w:szCs w:val="18"/>
        </w:rPr>
        <w:t>.</w:t>
      </w:r>
      <w:r w:rsidRPr="004B1202">
        <w:rPr>
          <w:szCs w:val="18"/>
        </w:rPr>
        <w:t> 4</w:t>
      </w:r>
      <w:bookmarkEnd w:id="274"/>
      <w:r w:rsidRPr="004B1202">
        <w:rPr>
          <w:szCs w:val="18"/>
        </w:rPr>
        <w:t>, à la p</w:t>
      </w:r>
      <w:r w:rsidRPr="00FD184E">
        <w:rPr>
          <w:szCs w:val="18"/>
        </w:rPr>
        <w:t>.</w:t>
      </w:r>
      <w:r w:rsidRPr="004B1202">
        <w:rPr>
          <w:szCs w:val="18"/>
        </w:rPr>
        <w:t> 22</w:t>
      </w:r>
      <w:r w:rsidRPr="00FD184E">
        <w:rPr>
          <w:szCs w:val="18"/>
        </w:rPr>
        <w:t>.</w:t>
      </w:r>
    </w:p>
  </w:footnote>
  <w:footnote w:id="445">
    <w:p w14:paraId="0221C13D" w14:textId="367E529D"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B6516D">
        <w:rPr>
          <w:szCs w:val="18"/>
        </w:rPr>
        <w:t>Affaire du</w:t>
      </w:r>
      <w:r w:rsidRPr="004B1202">
        <w:rPr>
          <w:i/>
          <w:iCs/>
          <w:szCs w:val="18"/>
        </w:rPr>
        <w:t xml:space="preserve"> Détroit de Corfou, </w:t>
      </w:r>
      <w:r w:rsidRPr="004B1202">
        <w:rPr>
          <w:szCs w:val="18"/>
        </w:rPr>
        <w:t>note </w:t>
      </w:r>
      <w:r w:rsidRPr="004B1202">
        <w:rPr>
          <w:szCs w:val="18"/>
        </w:rPr>
        <w:fldChar w:fldCharType="begin"/>
      </w:r>
      <w:r w:rsidRPr="004B1202">
        <w:rPr>
          <w:szCs w:val="18"/>
        </w:rPr>
        <w:instrText xml:space="preserve"> NOTEREF _Ref174454905 \h </w:instrText>
      </w:r>
      <w:r w:rsidRPr="004B1202">
        <w:rPr>
          <w:szCs w:val="18"/>
        </w:rPr>
      </w:r>
      <w:r w:rsidRPr="004B1202">
        <w:rPr>
          <w:szCs w:val="18"/>
        </w:rPr>
        <w:fldChar w:fldCharType="separate"/>
      </w:r>
      <w:r w:rsidR="00EC4FDE">
        <w:rPr>
          <w:szCs w:val="18"/>
        </w:rPr>
        <w:t>3</w:t>
      </w:r>
      <w:r w:rsidRPr="004B1202">
        <w:rPr>
          <w:szCs w:val="18"/>
        </w:rPr>
        <w:fldChar w:fldCharType="end"/>
      </w:r>
      <w:r w:rsidRPr="00754AAF">
        <w:rPr>
          <w:i/>
          <w:iCs/>
          <w:szCs w:val="18"/>
        </w:rPr>
        <w:t xml:space="preserve"> </w:t>
      </w:r>
      <w:r w:rsidRPr="004B1202">
        <w:rPr>
          <w:i/>
          <w:iCs/>
          <w:szCs w:val="18"/>
        </w:rPr>
        <w:t>supra</w:t>
      </w:r>
      <w:r w:rsidRPr="00FD184E">
        <w:rPr>
          <w:szCs w:val="18"/>
        </w:rPr>
        <w:t>.</w:t>
      </w:r>
      <w:r w:rsidRPr="004B1202">
        <w:rPr>
          <w:color w:val="231F20"/>
          <w:szCs w:val="18"/>
          <w14:ligatures w14:val="standardContextual"/>
        </w:rPr>
        <w:t xml:space="preserve"> Il est intéressant de constater que le texte anglais de l</w:t>
      </w:r>
      <w:r w:rsidR="004937A0">
        <w:rPr>
          <w:color w:val="231F20"/>
          <w:szCs w:val="18"/>
          <w14:ligatures w14:val="standardContextual"/>
        </w:rPr>
        <w:t>’</w:t>
      </w:r>
      <w:r w:rsidRPr="004B1202">
        <w:rPr>
          <w:color w:val="231F20"/>
          <w:szCs w:val="18"/>
          <w14:ligatures w14:val="standardContextual"/>
        </w:rPr>
        <w:t>arrêt contient le mot « </w:t>
      </w:r>
      <w:r w:rsidRPr="004B1202">
        <w:rPr>
          <w:i/>
          <w:iCs/>
          <w:color w:val="231F20"/>
          <w:szCs w:val="18"/>
          <w14:ligatures w14:val="standardContextual"/>
        </w:rPr>
        <w:t>knowingly</w:t>
      </w:r>
      <w:r w:rsidRPr="004B1202">
        <w:rPr>
          <w:color w:val="231F20"/>
          <w:szCs w:val="18"/>
          <w14:ligatures w14:val="standardContextual"/>
        </w:rPr>
        <w:t> », sans équivalent dans le texte français, ainsi libellé : « l</w:t>
      </w:r>
      <w:r w:rsidR="004937A0">
        <w:rPr>
          <w:color w:val="231F20"/>
          <w:szCs w:val="18"/>
          <w14:ligatures w14:val="standardContextual"/>
        </w:rPr>
        <w:t>’</w:t>
      </w:r>
      <w:r w:rsidRPr="004B1202">
        <w:rPr>
          <w:color w:val="231F20"/>
          <w:szCs w:val="18"/>
          <w14:ligatures w14:val="standardContextual"/>
        </w:rPr>
        <w:t>obligation, pour tout État, de ne pas laisser utiliser son territoire aux fins d</w:t>
      </w:r>
      <w:r w:rsidR="004937A0">
        <w:rPr>
          <w:color w:val="231F20"/>
          <w:szCs w:val="18"/>
          <w14:ligatures w14:val="standardContextual"/>
        </w:rPr>
        <w:t>’</w:t>
      </w:r>
      <w:r w:rsidRPr="004B1202">
        <w:rPr>
          <w:color w:val="231F20"/>
          <w:szCs w:val="18"/>
          <w14:ligatures w14:val="standardContextual"/>
        </w:rPr>
        <w:t>actes contraires aux droits d</w:t>
      </w:r>
      <w:r w:rsidR="004937A0">
        <w:rPr>
          <w:color w:val="231F20"/>
          <w:szCs w:val="18"/>
          <w14:ligatures w14:val="standardContextual"/>
        </w:rPr>
        <w:t>’</w:t>
      </w:r>
      <w:r w:rsidRPr="004B1202">
        <w:rPr>
          <w:color w:val="231F20"/>
          <w:szCs w:val="18"/>
          <w14:ligatures w14:val="standardContextual"/>
        </w:rPr>
        <w:t>autres États</w:t>
      </w:r>
      <w:r w:rsidRPr="00FD184E">
        <w:rPr>
          <w:color w:val="231F20"/>
          <w:szCs w:val="18"/>
          <w14:ligatures w14:val="standardContextual"/>
        </w:rPr>
        <w:t>.</w:t>
      </w:r>
      <w:r w:rsidRPr="004B1202">
        <w:rPr>
          <w:color w:val="231F20"/>
          <w:szCs w:val="18"/>
          <w14:ligatures w14:val="standardContextual"/>
        </w:rPr>
        <w:t> »</w:t>
      </w:r>
      <w:r w:rsidRPr="00FD184E">
        <w:rPr>
          <w:color w:val="231F20"/>
          <w:szCs w:val="18"/>
          <w14:ligatures w14:val="standardContextual"/>
        </w:rPr>
        <w:t>.</w:t>
      </w:r>
    </w:p>
  </w:footnote>
  <w:footnote w:id="446">
    <w:p w14:paraId="63FEEE57" w14:textId="3EDBCDD9"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par exemple, </w:t>
      </w:r>
      <w:bookmarkStart w:id="277" w:name="_Hlk168843347"/>
      <w:bookmarkStart w:id="278" w:name="_Hlk167195300"/>
      <w:r w:rsidRPr="004B1202">
        <w:rPr>
          <w:i/>
          <w:iCs/>
          <w:szCs w:val="18"/>
        </w:rPr>
        <w:t>Personnel diplomatique et consulaire des États-Unis à Téhéran</w:t>
      </w:r>
      <w:r w:rsidRPr="004B1202">
        <w:rPr>
          <w:szCs w:val="18"/>
        </w:rPr>
        <w:t xml:space="preserve">, </w:t>
      </w:r>
      <w:r w:rsidRPr="004B1202">
        <w:rPr>
          <w:i/>
          <w:iCs/>
          <w:szCs w:val="18"/>
        </w:rPr>
        <w:t xml:space="preserve">arrêt, </w:t>
      </w:r>
      <w:r>
        <w:rPr>
          <w:i/>
          <w:iCs/>
          <w:szCs w:val="18"/>
        </w:rPr>
        <w:t>C.I.J.</w:t>
      </w:r>
      <w:r w:rsidRPr="004B1202">
        <w:rPr>
          <w:i/>
          <w:iCs/>
          <w:szCs w:val="18"/>
        </w:rPr>
        <w:t xml:space="preserve"> Recueil 1980</w:t>
      </w:r>
      <w:r w:rsidRPr="004B1202">
        <w:rPr>
          <w:szCs w:val="18"/>
        </w:rPr>
        <w:t>, p</w:t>
      </w:r>
      <w:r w:rsidRPr="00FD184E">
        <w:rPr>
          <w:szCs w:val="18"/>
        </w:rPr>
        <w:t>.</w:t>
      </w:r>
      <w:r w:rsidRPr="004B1202">
        <w:rPr>
          <w:szCs w:val="18"/>
        </w:rPr>
        <w:t> 3, par</w:t>
      </w:r>
      <w:r w:rsidRPr="00FD184E">
        <w:rPr>
          <w:szCs w:val="18"/>
        </w:rPr>
        <w:t>.</w:t>
      </w:r>
      <w:r w:rsidRPr="004B1202">
        <w:rPr>
          <w:szCs w:val="18"/>
        </w:rPr>
        <w:t xml:space="preserve"> 67 et 68 ; </w:t>
      </w:r>
      <w:bookmarkEnd w:id="277"/>
      <w:r w:rsidRPr="004B1202">
        <w:rPr>
          <w:i/>
          <w:iCs/>
          <w:szCs w:val="18"/>
        </w:rPr>
        <w:t>Activités militaires et paramilitaires au Nicaragua et contre celui-ci (Nicaragua c</w:t>
      </w:r>
      <w:r w:rsidRPr="00FD184E">
        <w:rPr>
          <w:i/>
          <w:iCs/>
          <w:szCs w:val="18"/>
        </w:rPr>
        <w:t>.</w:t>
      </w:r>
      <w:r w:rsidRPr="004B1202">
        <w:rPr>
          <w:i/>
          <w:iCs/>
          <w:szCs w:val="18"/>
        </w:rPr>
        <w:t xml:space="preserve"> États-Unis d</w:t>
      </w:r>
      <w:r w:rsidR="004937A0">
        <w:rPr>
          <w:i/>
          <w:iCs/>
          <w:szCs w:val="18"/>
        </w:rPr>
        <w:t>’</w:t>
      </w:r>
      <w:r w:rsidRPr="004B1202">
        <w:rPr>
          <w:i/>
          <w:iCs/>
          <w:szCs w:val="18"/>
        </w:rPr>
        <w:t>Amérique)</w:t>
      </w:r>
      <w:r w:rsidRPr="004B1202">
        <w:rPr>
          <w:szCs w:val="18"/>
        </w:rPr>
        <w:t xml:space="preserve">, </w:t>
      </w:r>
      <w:r w:rsidRPr="004B1202">
        <w:rPr>
          <w:i/>
          <w:iCs/>
          <w:szCs w:val="18"/>
        </w:rPr>
        <w:t>fonds, arrêt, C</w:t>
      </w:r>
      <w:r>
        <w:rPr>
          <w:i/>
          <w:iCs/>
          <w:szCs w:val="18"/>
        </w:rPr>
        <w:t>.</w:t>
      </w:r>
      <w:r w:rsidRPr="004B1202">
        <w:rPr>
          <w:i/>
          <w:iCs/>
          <w:szCs w:val="18"/>
        </w:rPr>
        <w:t>I</w:t>
      </w:r>
      <w:r>
        <w:rPr>
          <w:i/>
          <w:iCs/>
          <w:szCs w:val="18"/>
        </w:rPr>
        <w:t>.</w:t>
      </w:r>
      <w:r w:rsidRPr="004B1202">
        <w:rPr>
          <w:i/>
          <w:iCs/>
          <w:szCs w:val="18"/>
        </w:rPr>
        <w:t>J</w:t>
      </w:r>
      <w:r>
        <w:rPr>
          <w:i/>
          <w:iCs/>
          <w:szCs w:val="18"/>
        </w:rPr>
        <w:t>.</w:t>
      </w:r>
      <w:r w:rsidRPr="004B1202">
        <w:rPr>
          <w:i/>
          <w:iCs/>
          <w:szCs w:val="18"/>
        </w:rPr>
        <w:t xml:space="preserve"> </w:t>
      </w:r>
      <w:r>
        <w:rPr>
          <w:i/>
          <w:iCs/>
          <w:szCs w:val="18"/>
        </w:rPr>
        <w:t>R</w:t>
      </w:r>
      <w:r w:rsidRPr="004B1202">
        <w:rPr>
          <w:i/>
          <w:iCs/>
          <w:szCs w:val="18"/>
        </w:rPr>
        <w:t>ecueil 1986</w:t>
      </w:r>
      <w:r w:rsidRPr="004B1202">
        <w:rPr>
          <w:szCs w:val="18"/>
        </w:rPr>
        <w:t>, p</w:t>
      </w:r>
      <w:r w:rsidRPr="00FD184E">
        <w:rPr>
          <w:szCs w:val="18"/>
        </w:rPr>
        <w:t>.</w:t>
      </w:r>
      <w:r w:rsidRPr="004B1202">
        <w:rPr>
          <w:szCs w:val="18"/>
        </w:rPr>
        <w:t> 14, par</w:t>
      </w:r>
      <w:r w:rsidRPr="00FD184E">
        <w:rPr>
          <w:szCs w:val="18"/>
        </w:rPr>
        <w:t>.</w:t>
      </w:r>
      <w:r w:rsidRPr="004B1202">
        <w:rPr>
          <w:szCs w:val="18"/>
        </w:rPr>
        <w:t xml:space="preserve"> 157 et 158 ; </w:t>
      </w:r>
      <w:r w:rsidRPr="004B1202">
        <w:rPr>
          <w:i/>
          <w:iCs/>
          <w:szCs w:val="18"/>
        </w:rPr>
        <w:t>Licéité de la menace ou de l</w:t>
      </w:r>
      <w:r w:rsidR="004937A0">
        <w:rPr>
          <w:i/>
          <w:iCs/>
          <w:szCs w:val="18"/>
        </w:rPr>
        <w:t>’</w:t>
      </w:r>
      <w:r w:rsidRPr="004B1202">
        <w:rPr>
          <w:i/>
          <w:iCs/>
          <w:szCs w:val="18"/>
        </w:rPr>
        <w:t>emploi d</w:t>
      </w:r>
      <w:r w:rsidR="004937A0">
        <w:rPr>
          <w:i/>
          <w:iCs/>
          <w:szCs w:val="18"/>
        </w:rPr>
        <w:t>’</w:t>
      </w:r>
      <w:r w:rsidRPr="004B1202">
        <w:rPr>
          <w:i/>
          <w:iCs/>
          <w:szCs w:val="18"/>
        </w:rPr>
        <w:t xml:space="preserve">armes nucléaires, avis consultatif, </w:t>
      </w:r>
      <w:r>
        <w:rPr>
          <w:i/>
          <w:iCs/>
          <w:szCs w:val="18"/>
        </w:rPr>
        <w:t>C.I.J.</w:t>
      </w:r>
      <w:r w:rsidRPr="004B1202">
        <w:rPr>
          <w:i/>
          <w:iCs/>
          <w:szCs w:val="18"/>
        </w:rPr>
        <w:t xml:space="preserve"> Recueil 1996</w:t>
      </w:r>
      <w:r w:rsidRPr="004B1202">
        <w:rPr>
          <w:szCs w:val="18"/>
        </w:rPr>
        <w:t>, p</w:t>
      </w:r>
      <w:r w:rsidRPr="00FD184E">
        <w:rPr>
          <w:szCs w:val="18"/>
        </w:rPr>
        <w:t>.</w:t>
      </w:r>
      <w:r w:rsidRPr="004B1202">
        <w:rPr>
          <w:szCs w:val="18"/>
        </w:rPr>
        <w:t> 226, par</w:t>
      </w:r>
      <w:r w:rsidRPr="00FD184E">
        <w:rPr>
          <w:szCs w:val="18"/>
        </w:rPr>
        <w:t>.</w:t>
      </w:r>
      <w:r w:rsidRPr="004B1202">
        <w:rPr>
          <w:szCs w:val="18"/>
        </w:rPr>
        <w:t xml:space="preserve"> 241 et 242 ; </w:t>
      </w:r>
      <w:r w:rsidRPr="006B7741">
        <w:rPr>
          <w:i/>
          <w:iCs/>
          <w:szCs w:val="18"/>
        </w:rPr>
        <w:t>Projet Gabcikovo-Nagymaros (Hongrie/Slovaquie), arrêt, C.I.J. Recueil 1997</w:t>
      </w:r>
      <w:r w:rsidRPr="006B7741">
        <w:rPr>
          <w:szCs w:val="18"/>
        </w:rPr>
        <w:t xml:space="preserve">, p. 7, par. 53 ; </w:t>
      </w:r>
      <w:r w:rsidRPr="006B7741">
        <w:rPr>
          <w:i/>
          <w:iCs/>
          <w:szCs w:val="18"/>
        </w:rPr>
        <w:t>Usines de pâte à papier sur le fleuve Uruguay (Argentine c. Uruguay), arrêt, C.I.J. Recueil 2010</w:t>
      </w:r>
      <w:r w:rsidRPr="006B7741">
        <w:rPr>
          <w:szCs w:val="18"/>
        </w:rPr>
        <w:t xml:space="preserve">, p. 14, par. 101 ; </w:t>
      </w:r>
      <w:r w:rsidRPr="006B7741">
        <w:rPr>
          <w:i/>
          <w:iCs/>
          <w:szCs w:val="18"/>
        </w:rPr>
        <w:t>Certaines activités menées par le Nicaragua dans la région frontalière (Costa</w:t>
      </w:r>
      <w:r>
        <w:rPr>
          <w:i/>
          <w:iCs/>
          <w:szCs w:val="18"/>
        </w:rPr>
        <w:t> </w:t>
      </w:r>
      <w:r w:rsidRPr="006B7741">
        <w:rPr>
          <w:i/>
          <w:iCs/>
          <w:szCs w:val="18"/>
        </w:rPr>
        <w:t>Rica c. Nicaragua) et Construction d</w:t>
      </w:r>
      <w:r w:rsidR="004937A0">
        <w:rPr>
          <w:i/>
          <w:iCs/>
          <w:szCs w:val="18"/>
        </w:rPr>
        <w:t>’</w:t>
      </w:r>
      <w:r w:rsidRPr="006B7741">
        <w:rPr>
          <w:i/>
          <w:iCs/>
          <w:szCs w:val="18"/>
        </w:rPr>
        <w:t>une route au Costa Rica le long du fleuve San Juan (Nicaragua c. Costa Rica), arrêt,</w:t>
      </w:r>
      <w:r w:rsidRPr="004B1202">
        <w:rPr>
          <w:i/>
          <w:iCs/>
          <w:szCs w:val="18"/>
        </w:rPr>
        <w:t xml:space="preserve"> </w:t>
      </w:r>
      <w:r>
        <w:rPr>
          <w:i/>
          <w:iCs/>
          <w:szCs w:val="18"/>
        </w:rPr>
        <w:t>C.I.J.</w:t>
      </w:r>
      <w:r w:rsidRPr="004B1202">
        <w:rPr>
          <w:i/>
          <w:iCs/>
          <w:szCs w:val="18"/>
        </w:rPr>
        <w:t xml:space="preserve"> Recueil 2015</w:t>
      </w:r>
      <w:r w:rsidRPr="004B1202">
        <w:rPr>
          <w:szCs w:val="18"/>
        </w:rPr>
        <w:t>, p</w:t>
      </w:r>
      <w:r w:rsidRPr="00FD184E">
        <w:rPr>
          <w:szCs w:val="18"/>
        </w:rPr>
        <w:t>.</w:t>
      </w:r>
      <w:r w:rsidRPr="004B1202">
        <w:rPr>
          <w:szCs w:val="18"/>
        </w:rPr>
        <w:t> 665, par</w:t>
      </w:r>
      <w:r w:rsidRPr="00FD184E">
        <w:rPr>
          <w:szCs w:val="18"/>
        </w:rPr>
        <w:t>.</w:t>
      </w:r>
      <w:r w:rsidRPr="004B1202">
        <w:rPr>
          <w:szCs w:val="18"/>
        </w:rPr>
        <w:t xml:space="preserve"> 104 ; </w:t>
      </w:r>
      <w:r w:rsidRPr="004B1202">
        <w:rPr>
          <w:i/>
          <w:iCs/>
          <w:szCs w:val="18"/>
        </w:rPr>
        <w:t xml:space="preserve">Indus Waters Kishenganga, </w:t>
      </w:r>
      <w:r w:rsidRPr="004B1202">
        <w:rPr>
          <w:szCs w:val="18"/>
        </w:rPr>
        <w:t>sentence partielle du 18 février 2013, CPA 2011-01, par</w:t>
      </w:r>
      <w:r w:rsidRPr="00FD184E">
        <w:rPr>
          <w:szCs w:val="18"/>
        </w:rPr>
        <w:t>.</w:t>
      </w:r>
      <w:r w:rsidRPr="004B1202">
        <w:rPr>
          <w:szCs w:val="18"/>
        </w:rPr>
        <w:t xml:space="preserve"> 449 et 450 ; TIDM, </w:t>
      </w:r>
      <w:r w:rsidRPr="004B1202">
        <w:rPr>
          <w:i/>
          <w:iCs/>
          <w:szCs w:val="18"/>
        </w:rPr>
        <w:t>Responsabilités et obligations des États dans le cadre d</w:t>
      </w:r>
      <w:r w:rsidR="004937A0">
        <w:rPr>
          <w:i/>
          <w:iCs/>
          <w:szCs w:val="18"/>
        </w:rPr>
        <w:t>’</w:t>
      </w:r>
      <w:r w:rsidRPr="004B1202">
        <w:rPr>
          <w:i/>
          <w:iCs/>
          <w:szCs w:val="18"/>
        </w:rPr>
        <w:t>activités menées dans la Zone, avis consultatif, 1</w:t>
      </w:r>
      <w:r w:rsidRPr="004B1202">
        <w:rPr>
          <w:i/>
          <w:iCs/>
          <w:szCs w:val="18"/>
          <w:vertAlign w:val="superscript"/>
        </w:rPr>
        <w:t>er</w:t>
      </w:r>
      <w:r w:rsidRPr="004B1202">
        <w:rPr>
          <w:i/>
          <w:iCs/>
          <w:szCs w:val="18"/>
        </w:rPr>
        <w:t> février 2011, TIDM Recueil 2011</w:t>
      </w:r>
      <w:r w:rsidRPr="004B1202">
        <w:rPr>
          <w:szCs w:val="18"/>
        </w:rPr>
        <w:t>, p</w:t>
      </w:r>
      <w:r w:rsidRPr="00FD184E">
        <w:rPr>
          <w:szCs w:val="18"/>
        </w:rPr>
        <w:t>.</w:t>
      </w:r>
      <w:r w:rsidRPr="004B1202">
        <w:rPr>
          <w:szCs w:val="18"/>
        </w:rPr>
        <w:t> 41,</w:t>
      </w:r>
      <w:bookmarkEnd w:id="278"/>
      <w:r w:rsidRPr="004B1202">
        <w:rPr>
          <w:szCs w:val="18"/>
        </w:rPr>
        <w:t xml:space="preserve"> par</w:t>
      </w:r>
      <w:r w:rsidRPr="00FD184E">
        <w:rPr>
          <w:szCs w:val="18"/>
        </w:rPr>
        <w:t>.</w:t>
      </w:r>
      <w:r w:rsidRPr="004B1202">
        <w:rPr>
          <w:szCs w:val="18"/>
        </w:rPr>
        <w:t xml:space="preserve"> 110 ; TIDM, </w:t>
      </w:r>
      <w:bookmarkStart w:id="279" w:name="_Hlk168931586"/>
      <w:r w:rsidRPr="004B1202">
        <w:rPr>
          <w:i/>
          <w:iCs/>
          <w:szCs w:val="18"/>
        </w:rPr>
        <w:t>Demande d</w:t>
      </w:r>
      <w:r w:rsidR="004937A0">
        <w:rPr>
          <w:i/>
          <w:iCs/>
          <w:szCs w:val="18"/>
        </w:rPr>
        <w:t>’</w:t>
      </w:r>
      <w:r w:rsidRPr="004B1202">
        <w:rPr>
          <w:i/>
          <w:iCs/>
          <w:szCs w:val="18"/>
        </w:rPr>
        <w:t>avis consultatif soumise par la Commission des petits États insulaires sur le changement climatique et le droit international</w:t>
      </w:r>
      <w:bookmarkEnd w:id="279"/>
      <w:r w:rsidRPr="004B1202">
        <w:rPr>
          <w:i/>
          <w:iCs/>
          <w:szCs w:val="18"/>
        </w:rPr>
        <w:t>, avis consultatif</w:t>
      </w:r>
      <w:r w:rsidRPr="004B1202">
        <w:rPr>
          <w:szCs w:val="18"/>
        </w:rPr>
        <w:t>, 21 mai 2024</w:t>
      </w:r>
      <w:r w:rsidRPr="00FD184E">
        <w:rPr>
          <w:szCs w:val="18"/>
        </w:rPr>
        <w:t>.</w:t>
      </w:r>
    </w:p>
  </w:footnote>
  <w:footnote w:id="447">
    <w:p w14:paraId="460A6DC1" w14:textId="1438C943"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Usines de pâte à papier sur le fleuve Uruguay (Argentine/Uruguay)</w:t>
      </w:r>
      <w:r w:rsidRPr="004B1202">
        <w:rPr>
          <w:szCs w:val="18"/>
        </w:rPr>
        <w:t>, note </w:t>
      </w:r>
      <w:r w:rsidRPr="004B1202">
        <w:rPr>
          <w:szCs w:val="18"/>
        </w:rPr>
        <w:fldChar w:fldCharType="begin"/>
      </w:r>
      <w:r w:rsidRPr="004B1202">
        <w:rPr>
          <w:szCs w:val="18"/>
        </w:rPr>
        <w:instrText xml:space="preserve"> NOTEREF _Ref174454869 \h </w:instrText>
      </w:r>
      <w:r w:rsidRPr="004B1202">
        <w:rPr>
          <w:szCs w:val="18"/>
        </w:rPr>
      </w:r>
      <w:r w:rsidRPr="004B1202">
        <w:rPr>
          <w:szCs w:val="18"/>
        </w:rPr>
        <w:fldChar w:fldCharType="separate"/>
      </w:r>
      <w:r w:rsidR="00EC4FDE">
        <w:rPr>
          <w:szCs w:val="18"/>
        </w:rPr>
        <w:t>5</w:t>
      </w:r>
      <w:r w:rsidRPr="004B1202">
        <w:rPr>
          <w:szCs w:val="18"/>
        </w:rPr>
        <w:fldChar w:fldCharType="end"/>
      </w:r>
      <w:r w:rsidRPr="00754AAF">
        <w:rPr>
          <w:i/>
          <w:iCs/>
          <w:szCs w:val="18"/>
        </w:rPr>
        <w:t xml:space="preserve"> </w:t>
      </w:r>
      <w:r w:rsidRPr="004B1202">
        <w:rPr>
          <w:i/>
          <w:iCs/>
          <w:szCs w:val="18"/>
        </w:rPr>
        <w:t>supra</w:t>
      </w:r>
      <w:r w:rsidRPr="004B1202">
        <w:rPr>
          <w:szCs w:val="18"/>
        </w:rPr>
        <w:t>, par</w:t>
      </w:r>
      <w:r w:rsidRPr="00FD184E">
        <w:rPr>
          <w:szCs w:val="18"/>
        </w:rPr>
        <w:t>.</w:t>
      </w:r>
      <w:r w:rsidRPr="004B1202">
        <w:rPr>
          <w:szCs w:val="18"/>
        </w:rPr>
        <w:t> 101</w:t>
      </w:r>
      <w:r w:rsidRPr="00FD184E">
        <w:rPr>
          <w:szCs w:val="18"/>
        </w:rPr>
        <w:t>.</w:t>
      </w:r>
    </w:p>
  </w:footnote>
  <w:footnote w:id="448">
    <w:p w14:paraId="1921500B" w14:textId="16D95934"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Personnel diplomatique et consulaire des États-Unis à Téhéran</w:t>
      </w:r>
      <w:r w:rsidRPr="004B1202">
        <w:rPr>
          <w:szCs w:val="18"/>
        </w:rPr>
        <w:t>, note </w:t>
      </w:r>
      <w:r w:rsidRPr="004B1202">
        <w:rPr>
          <w:szCs w:val="18"/>
        </w:rPr>
        <w:fldChar w:fldCharType="begin"/>
      </w:r>
      <w:r w:rsidRPr="004B1202">
        <w:rPr>
          <w:szCs w:val="18"/>
        </w:rPr>
        <w:instrText xml:space="preserve"> NOTEREF _Ref174454869 \h </w:instrText>
      </w:r>
      <w:r w:rsidRPr="004B1202">
        <w:rPr>
          <w:szCs w:val="18"/>
        </w:rPr>
      </w:r>
      <w:r w:rsidRPr="004B1202">
        <w:rPr>
          <w:szCs w:val="18"/>
        </w:rPr>
        <w:fldChar w:fldCharType="separate"/>
      </w:r>
      <w:r w:rsidR="00EC4FDE">
        <w:rPr>
          <w:szCs w:val="18"/>
        </w:rPr>
        <w:t>5</w:t>
      </w:r>
      <w:r w:rsidRPr="004B1202">
        <w:rPr>
          <w:szCs w:val="18"/>
        </w:rPr>
        <w:fldChar w:fldCharType="end"/>
      </w:r>
      <w:r w:rsidRPr="00754AAF">
        <w:rPr>
          <w:i/>
          <w:iCs/>
          <w:szCs w:val="18"/>
        </w:rPr>
        <w:t xml:space="preserve"> </w:t>
      </w:r>
      <w:r w:rsidRPr="004B1202">
        <w:rPr>
          <w:i/>
          <w:iCs/>
          <w:szCs w:val="18"/>
        </w:rPr>
        <w:t>supra</w:t>
      </w:r>
      <w:r w:rsidRPr="004B1202">
        <w:rPr>
          <w:szCs w:val="18"/>
        </w:rPr>
        <w:t>, par</w:t>
      </w:r>
      <w:r w:rsidRPr="00FD184E">
        <w:rPr>
          <w:szCs w:val="18"/>
        </w:rPr>
        <w:t>.</w:t>
      </w:r>
      <w:r w:rsidRPr="004B1202">
        <w:rPr>
          <w:szCs w:val="18"/>
        </w:rPr>
        <w:t> 67 et 68</w:t>
      </w:r>
      <w:r w:rsidRPr="00FD184E">
        <w:rPr>
          <w:szCs w:val="18"/>
        </w:rPr>
        <w:t>.</w:t>
      </w:r>
    </w:p>
  </w:footnote>
  <w:footnote w:id="449">
    <w:p w14:paraId="2E08820D" w14:textId="77777777" w:rsidR="005A67A9" w:rsidRPr="004B1202" w:rsidRDefault="005A67A9" w:rsidP="00E9227E">
      <w:pPr>
        <w:pStyle w:val="Notedebasdepage"/>
        <w:rPr>
          <w:szCs w:val="18"/>
        </w:rPr>
      </w:pPr>
      <w:r w:rsidRPr="004B1202">
        <w:rPr>
          <w:szCs w:val="18"/>
        </w:rPr>
        <w:tab/>
      </w:r>
      <w:r w:rsidRPr="00E9227E">
        <w:rPr>
          <w:rStyle w:val="Appelnotedebasdep"/>
        </w:rPr>
        <w:footnoteRef/>
      </w:r>
      <w:bookmarkStart w:id="280" w:name="_Hlk169086031"/>
      <w:r w:rsidRPr="004B1202">
        <w:rPr>
          <w:szCs w:val="18"/>
        </w:rPr>
        <w:tab/>
      </w:r>
      <w:r w:rsidRPr="004B1202">
        <w:rPr>
          <w:i/>
          <w:iCs/>
          <w:szCs w:val="18"/>
        </w:rPr>
        <w:t>Activités armées sur le territoire du Congo (République démocratique du Congo c</w:t>
      </w:r>
      <w:r w:rsidRPr="00FD184E">
        <w:rPr>
          <w:i/>
          <w:iCs/>
          <w:szCs w:val="18"/>
        </w:rPr>
        <w:t>.</w:t>
      </w:r>
      <w:r w:rsidRPr="004B1202">
        <w:rPr>
          <w:i/>
          <w:iCs/>
          <w:szCs w:val="18"/>
        </w:rPr>
        <w:t xml:space="preserve"> Ouganda</w:t>
      </w:r>
      <w:r w:rsidRPr="004B1202">
        <w:rPr>
          <w:szCs w:val="18"/>
        </w:rPr>
        <w:t>)</w:t>
      </w:r>
      <w:r w:rsidRPr="004B1202">
        <w:rPr>
          <w:i/>
          <w:iCs/>
          <w:szCs w:val="18"/>
        </w:rPr>
        <w:t xml:space="preserve"> arrêt, </w:t>
      </w:r>
      <w:r>
        <w:rPr>
          <w:i/>
          <w:iCs/>
          <w:szCs w:val="18"/>
        </w:rPr>
        <w:t>C.I.J.</w:t>
      </w:r>
      <w:r w:rsidRPr="004B1202">
        <w:rPr>
          <w:i/>
          <w:iCs/>
          <w:szCs w:val="18"/>
        </w:rPr>
        <w:t xml:space="preserve"> Recueil 2005</w:t>
      </w:r>
      <w:r w:rsidRPr="004B1202">
        <w:rPr>
          <w:szCs w:val="18"/>
        </w:rPr>
        <w:t>, p</w:t>
      </w:r>
      <w:r w:rsidRPr="00FD184E">
        <w:rPr>
          <w:szCs w:val="18"/>
        </w:rPr>
        <w:t>.</w:t>
      </w:r>
      <w:r w:rsidRPr="004B1202">
        <w:rPr>
          <w:szCs w:val="18"/>
        </w:rPr>
        <w:t xml:space="preserve"> 168, </w:t>
      </w:r>
      <w:bookmarkEnd w:id="280"/>
      <w:r w:rsidRPr="004B1202">
        <w:rPr>
          <w:szCs w:val="18"/>
        </w:rPr>
        <w:t>par</w:t>
      </w:r>
      <w:r w:rsidRPr="00FD184E">
        <w:rPr>
          <w:szCs w:val="18"/>
        </w:rPr>
        <w:t>.</w:t>
      </w:r>
      <w:r w:rsidRPr="004B1202">
        <w:rPr>
          <w:szCs w:val="18"/>
        </w:rPr>
        <w:t> 246 à 250, dans lequel la Cour utilise le terme « vigilance »</w:t>
      </w:r>
      <w:r w:rsidRPr="00FD184E">
        <w:rPr>
          <w:szCs w:val="18"/>
        </w:rPr>
        <w:t>.</w:t>
      </w:r>
    </w:p>
  </w:footnote>
  <w:footnote w:id="450">
    <w:p w14:paraId="1771EE36" w14:textId="0CB9F668" w:rsidR="005A67A9" w:rsidRPr="005A67A9" w:rsidRDefault="005A67A9" w:rsidP="00E9227E">
      <w:pPr>
        <w:pStyle w:val="Notedebasdepage"/>
        <w:rPr>
          <w:szCs w:val="18"/>
          <w:lang w:val="en-US"/>
        </w:rPr>
      </w:pPr>
      <w:r w:rsidRPr="004B1202">
        <w:rPr>
          <w:szCs w:val="18"/>
        </w:rPr>
        <w:tab/>
      </w:r>
      <w:r w:rsidRPr="00E9227E">
        <w:rPr>
          <w:rStyle w:val="Appelnotedebasdep"/>
        </w:rPr>
        <w:footnoteRef/>
      </w:r>
      <w:r w:rsidRPr="005A67A9">
        <w:rPr>
          <w:szCs w:val="18"/>
          <w:lang w:val="en-US"/>
        </w:rPr>
        <w:tab/>
        <w:t xml:space="preserve">Antal Berkes, « The standard of </w:t>
      </w:r>
      <w:r w:rsidR="004937A0">
        <w:rPr>
          <w:szCs w:val="18"/>
          <w:lang w:val="en-US"/>
        </w:rPr>
        <w:t>‘</w:t>
      </w:r>
      <w:r w:rsidRPr="005A67A9">
        <w:rPr>
          <w:szCs w:val="18"/>
          <w:lang w:val="en-US"/>
        </w:rPr>
        <w:t>Due Diligence</w:t>
      </w:r>
      <w:r w:rsidR="004937A0">
        <w:rPr>
          <w:szCs w:val="18"/>
          <w:lang w:val="en-US"/>
        </w:rPr>
        <w:t>’</w:t>
      </w:r>
      <w:r w:rsidRPr="005A67A9">
        <w:rPr>
          <w:szCs w:val="18"/>
          <w:lang w:val="en-US"/>
        </w:rPr>
        <w:t xml:space="preserve"> as a result of interchange between the law of armed conflict and general international law », </w:t>
      </w:r>
      <w:r w:rsidRPr="005A67A9">
        <w:rPr>
          <w:i/>
          <w:iCs/>
          <w:szCs w:val="18"/>
          <w:lang w:val="en-US"/>
        </w:rPr>
        <w:t>Journal of Conflict and Security Law</w:t>
      </w:r>
      <w:r w:rsidRPr="005A67A9">
        <w:rPr>
          <w:szCs w:val="18"/>
          <w:lang w:val="en-US"/>
        </w:rPr>
        <w:t xml:space="preserve">, vol. 23 3) (2018), p. 433 à 460 ; Marco Longobardo, « The Relevance of the Concept of Due Diligence for International Humanitarian Law », </w:t>
      </w:r>
      <w:r w:rsidRPr="005A67A9">
        <w:rPr>
          <w:i/>
          <w:iCs/>
          <w:szCs w:val="18"/>
          <w:lang w:val="en-US"/>
        </w:rPr>
        <w:t>Wisconsin International Law Journal</w:t>
      </w:r>
      <w:r w:rsidRPr="005A67A9">
        <w:rPr>
          <w:szCs w:val="18"/>
          <w:lang w:val="en-US"/>
        </w:rPr>
        <w:t xml:space="preserve"> 37 (2019), p. 44 à 87.</w:t>
      </w:r>
    </w:p>
  </w:footnote>
  <w:footnote w:id="451">
    <w:p w14:paraId="08CC5E05" w14:textId="614DAF4F" w:rsidR="005A67A9" w:rsidRPr="004B1202" w:rsidRDefault="005A67A9" w:rsidP="00E9227E">
      <w:pPr>
        <w:pStyle w:val="Notedebasdepage"/>
        <w:rPr>
          <w:szCs w:val="18"/>
        </w:rPr>
      </w:pPr>
      <w:r w:rsidRPr="005A67A9">
        <w:rPr>
          <w:szCs w:val="18"/>
          <w:lang w:val="en-US"/>
        </w:rPr>
        <w:tab/>
      </w:r>
      <w:r w:rsidRPr="00E9227E">
        <w:rPr>
          <w:rStyle w:val="Appelnotedebasdep"/>
        </w:rPr>
        <w:footnoteRef/>
      </w:r>
      <w:r w:rsidRPr="004B1202">
        <w:rPr>
          <w:szCs w:val="18"/>
        </w:rPr>
        <w:tab/>
        <w:t xml:space="preserve">Voir, par exemple, TIDM, </w:t>
      </w:r>
      <w:bookmarkStart w:id="281" w:name="_Hlk167006933"/>
      <w:r w:rsidRPr="004B1202">
        <w:rPr>
          <w:i/>
          <w:iCs/>
          <w:szCs w:val="18"/>
        </w:rPr>
        <w:t>Responsabilités et obligations des États dans le cadre d</w:t>
      </w:r>
      <w:r w:rsidR="004937A0">
        <w:rPr>
          <w:i/>
          <w:iCs/>
          <w:szCs w:val="18"/>
        </w:rPr>
        <w:t>’</w:t>
      </w:r>
      <w:r w:rsidRPr="004B1202">
        <w:rPr>
          <w:i/>
          <w:iCs/>
          <w:szCs w:val="18"/>
        </w:rPr>
        <w:t>activités menées dans la Zone</w:t>
      </w:r>
      <w:bookmarkEnd w:id="281"/>
      <w:r w:rsidRPr="004B1202">
        <w:rPr>
          <w:szCs w:val="18"/>
        </w:rPr>
        <w:t>, note </w:t>
      </w:r>
      <w:r w:rsidRPr="004B1202">
        <w:rPr>
          <w:szCs w:val="18"/>
        </w:rPr>
        <w:fldChar w:fldCharType="begin"/>
      </w:r>
      <w:r w:rsidRPr="004B1202">
        <w:rPr>
          <w:szCs w:val="18"/>
        </w:rPr>
        <w:instrText xml:space="preserve"> NOTEREF _Ref174454869 \h </w:instrText>
      </w:r>
      <w:r w:rsidRPr="004B1202">
        <w:rPr>
          <w:szCs w:val="18"/>
        </w:rPr>
      </w:r>
      <w:r w:rsidRPr="004B1202">
        <w:rPr>
          <w:szCs w:val="18"/>
        </w:rPr>
        <w:fldChar w:fldCharType="separate"/>
      </w:r>
      <w:r w:rsidR="00EC4FDE">
        <w:rPr>
          <w:szCs w:val="18"/>
        </w:rPr>
        <w:t>5</w:t>
      </w:r>
      <w:r w:rsidRPr="004B1202">
        <w:rPr>
          <w:szCs w:val="18"/>
        </w:rPr>
        <w:fldChar w:fldCharType="end"/>
      </w:r>
      <w:r w:rsidRPr="00754AAF">
        <w:rPr>
          <w:i/>
          <w:iCs/>
          <w:szCs w:val="18"/>
        </w:rPr>
        <w:t xml:space="preserve"> </w:t>
      </w:r>
      <w:r w:rsidRPr="004B1202">
        <w:rPr>
          <w:i/>
          <w:iCs/>
          <w:szCs w:val="18"/>
        </w:rPr>
        <w:t>supra</w:t>
      </w:r>
      <w:r w:rsidRPr="004B1202">
        <w:rPr>
          <w:szCs w:val="18"/>
        </w:rPr>
        <w:t>, par</w:t>
      </w:r>
      <w:r w:rsidRPr="00FD184E">
        <w:rPr>
          <w:szCs w:val="18"/>
        </w:rPr>
        <w:t>.</w:t>
      </w:r>
      <w:r w:rsidRPr="004B1202">
        <w:rPr>
          <w:szCs w:val="18"/>
        </w:rPr>
        <w:t xml:space="preserve"> 110 à 112 ; TIDM, </w:t>
      </w:r>
      <w:r w:rsidRPr="004B1202">
        <w:rPr>
          <w:i/>
          <w:iCs/>
          <w:szCs w:val="18"/>
        </w:rPr>
        <w:t>Demande d</w:t>
      </w:r>
      <w:r w:rsidR="004937A0">
        <w:rPr>
          <w:i/>
          <w:iCs/>
          <w:szCs w:val="18"/>
        </w:rPr>
        <w:t>’</w:t>
      </w:r>
      <w:r w:rsidRPr="004B1202">
        <w:rPr>
          <w:i/>
          <w:iCs/>
          <w:szCs w:val="18"/>
        </w:rPr>
        <w:t>avis consultatif soumise par la Commission sous-régionale des pêches, avis consultatif</w:t>
      </w:r>
      <w:r w:rsidRPr="00FD184E">
        <w:rPr>
          <w:i/>
          <w:iCs/>
          <w:szCs w:val="18"/>
        </w:rPr>
        <w:t xml:space="preserve">, </w:t>
      </w:r>
      <w:r w:rsidRPr="006B7741">
        <w:rPr>
          <w:i/>
          <w:iCs/>
          <w:szCs w:val="18"/>
        </w:rPr>
        <w:t>2015</w:t>
      </w:r>
      <w:r w:rsidRPr="00FD184E">
        <w:rPr>
          <w:szCs w:val="18"/>
        </w:rPr>
        <w:t>,</w:t>
      </w:r>
      <w:r w:rsidRPr="004B1202">
        <w:rPr>
          <w:szCs w:val="18"/>
        </w:rPr>
        <w:t xml:space="preserve"> par</w:t>
      </w:r>
      <w:r w:rsidRPr="00FD184E">
        <w:rPr>
          <w:szCs w:val="18"/>
        </w:rPr>
        <w:t>.</w:t>
      </w:r>
      <w:r w:rsidRPr="004B1202">
        <w:rPr>
          <w:szCs w:val="18"/>
        </w:rPr>
        <w:t xml:space="preserve"> 129 ; et TIDM, </w:t>
      </w:r>
      <w:r w:rsidRPr="004B1202">
        <w:rPr>
          <w:i/>
          <w:iCs/>
          <w:szCs w:val="18"/>
        </w:rPr>
        <w:t>Demande d</w:t>
      </w:r>
      <w:r w:rsidR="004937A0">
        <w:rPr>
          <w:i/>
          <w:iCs/>
          <w:szCs w:val="18"/>
        </w:rPr>
        <w:t>’</w:t>
      </w:r>
      <w:r w:rsidRPr="004B1202">
        <w:rPr>
          <w:i/>
          <w:iCs/>
          <w:szCs w:val="18"/>
        </w:rPr>
        <w:t>avis consultatif soumise par la Commission des petits États insulaires sur le changement climatique et le droit international</w:t>
      </w:r>
      <w:r w:rsidRPr="004B1202">
        <w:rPr>
          <w:szCs w:val="18"/>
        </w:rPr>
        <w:t>, note </w:t>
      </w:r>
      <w:r w:rsidRPr="004B1202">
        <w:rPr>
          <w:szCs w:val="18"/>
        </w:rPr>
        <w:fldChar w:fldCharType="begin"/>
      </w:r>
      <w:r w:rsidRPr="004B1202">
        <w:rPr>
          <w:szCs w:val="18"/>
        </w:rPr>
        <w:instrText xml:space="preserve"> NOTEREF _Ref174454869 \h </w:instrText>
      </w:r>
      <w:r w:rsidRPr="004B1202">
        <w:rPr>
          <w:szCs w:val="18"/>
        </w:rPr>
      </w:r>
      <w:r w:rsidRPr="004B1202">
        <w:rPr>
          <w:szCs w:val="18"/>
        </w:rPr>
        <w:fldChar w:fldCharType="separate"/>
      </w:r>
      <w:r w:rsidR="00EC4FDE">
        <w:rPr>
          <w:szCs w:val="18"/>
        </w:rPr>
        <w:t>5</w:t>
      </w:r>
      <w:r w:rsidRPr="004B1202">
        <w:rPr>
          <w:szCs w:val="18"/>
        </w:rPr>
        <w:fldChar w:fldCharType="end"/>
      </w:r>
      <w:r w:rsidRPr="00754AAF">
        <w:rPr>
          <w:i/>
          <w:iCs/>
          <w:szCs w:val="18"/>
        </w:rPr>
        <w:t xml:space="preserve"> </w:t>
      </w:r>
      <w:r w:rsidRPr="004B1202">
        <w:rPr>
          <w:i/>
          <w:iCs/>
          <w:szCs w:val="18"/>
        </w:rPr>
        <w:t>supra</w:t>
      </w:r>
      <w:r w:rsidRPr="00FD184E">
        <w:rPr>
          <w:szCs w:val="18"/>
        </w:rPr>
        <w:t>.</w:t>
      </w:r>
    </w:p>
  </w:footnote>
  <w:footnote w:id="452">
    <w:p w14:paraId="233F9579" w14:textId="22E35FE0" w:rsidR="005A67A9" w:rsidRPr="004B1202" w:rsidRDefault="005A67A9" w:rsidP="00E9227E">
      <w:pPr>
        <w:pStyle w:val="Notedebasdepage"/>
        <w:rPr>
          <w:szCs w:val="18"/>
        </w:rPr>
      </w:pPr>
      <w:r w:rsidRPr="004B1202">
        <w:rPr>
          <w:szCs w:val="18"/>
        </w:rPr>
        <w:tab/>
      </w:r>
      <w:r w:rsidRPr="00E9227E">
        <w:rPr>
          <w:rStyle w:val="Appelnotedebasdep"/>
        </w:rPr>
        <w:footnoteRef/>
      </w:r>
      <w:r w:rsidRPr="00A713AF">
        <w:rPr>
          <w:szCs w:val="18"/>
          <w:lang w:val="en-US"/>
        </w:rPr>
        <w:tab/>
        <w:t xml:space="preserve">Michael. </w:t>
      </w:r>
      <w:r w:rsidRPr="00E25402">
        <w:rPr>
          <w:szCs w:val="18"/>
          <w:lang w:val="en-US"/>
        </w:rPr>
        <w:t xml:space="preserve">N. Schmitt (dir. publ.), </w:t>
      </w:r>
      <w:r w:rsidRPr="00E25402">
        <w:rPr>
          <w:i/>
          <w:iCs/>
          <w:szCs w:val="18"/>
          <w:lang w:val="en-US"/>
        </w:rPr>
        <w:t>Tallinn Manual 2.0 on the International Law Applicable to Cyber Operations</w:t>
      </w:r>
      <w:r w:rsidRPr="00E25402">
        <w:rPr>
          <w:szCs w:val="18"/>
          <w:lang w:val="en-US"/>
        </w:rPr>
        <w:t>, 2</w:t>
      </w:r>
      <w:r w:rsidRPr="00E25402">
        <w:rPr>
          <w:szCs w:val="18"/>
          <w:vertAlign w:val="superscript"/>
          <w:lang w:val="en-US"/>
        </w:rPr>
        <w:t>e</w:t>
      </w:r>
      <w:r w:rsidRPr="00E25402">
        <w:rPr>
          <w:szCs w:val="18"/>
          <w:lang w:val="en-US"/>
        </w:rPr>
        <w:t xml:space="preserve"> éd. </w:t>
      </w:r>
      <w:r w:rsidRPr="004B1202">
        <w:rPr>
          <w:szCs w:val="18"/>
        </w:rPr>
        <w:t>(Cambridge : Cambridge University Press, 2017), Règles 6 et 7 ; Rapport du Groupe d</w:t>
      </w:r>
      <w:r w:rsidR="004937A0">
        <w:rPr>
          <w:szCs w:val="18"/>
        </w:rPr>
        <w:t>’</w:t>
      </w:r>
      <w:r w:rsidRPr="004B1202">
        <w:rPr>
          <w:szCs w:val="18"/>
        </w:rPr>
        <w:t>experts gouvernementaux chargés d</w:t>
      </w:r>
      <w:r w:rsidR="004937A0">
        <w:rPr>
          <w:szCs w:val="18"/>
        </w:rPr>
        <w:t>’</w:t>
      </w:r>
      <w:r w:rsidRPr="004B1202">
        <w:rPr>
          <w:szCs w:val="18"/>
        </w:rPr>
        <w:t>examiner les progrès de l</w:t>
      </w:r>
      <w:r w:rsidR="004937A0">
        <w:rPr>
          <w:szCs w:val="18"/>
        </w:rPr>
        <w:t>’</w:t>
      </w:r>
      <w:r w:rsidRPr="004B1202">
        <w:rPr>
          <w:szCs w:val="18"/>
        </w:rPr>
        <w:t xml:space="preserve">informatique et des télécommunications dans le contexte de la sécurité internationale, 22 juillet 2015, </w:t>
      </w:r>
      <w:hyperlink r:id="rId244" w:history="1">
        <w:r w:rsidRPr="004B1202">
          <w:rPr>
            <w:rStyle w:val="Lienhypertexte"/>
            <w:szCs w:val="18"/>
          </w:rPr>
          <w:t>A/70/174</w:t>
        </w:r>
      </w:hyperlink>
      <w:r w:rsidRPr="004B1202">
        <w:rPr>
          <w:szCs w:val="18"/>
        </w:rPr>
        <w:t xml:space="preserve"> (Rapport sur la cybersécurité), par</w:t>
      </w:r>
      <w:r w:rsidRPr="00FD184E">
        <w:rPr>
          <w:szCs w:val="18"/>
        </w:rPr>
        <w:t>.</w:t>
      </w:r>
      <w:r w:rsidRPr="004B1202">
        <w:rPr>
          <w:szCs w:val="18"/>
        </w:rPr>
        <w:t> 13 c) et 28 a) et b)</w:t>
      </w:r>
      <w:r w:rsidRPr="00FD184E">
        <w:rPr>
          <w:szCs w:val="18"/>
        </w:rPr>
        <w:t>.</w:t>
      </w:r>
    </w:p>
  </w:footnote>
  <w:footnote w:id="453">
    <w:p w14:paraId="59560A83" w14:textId="77777777" w:rsidR="005A67A9" w:rsidRPr="005A67A9" w:rsidRDefault="005A67A9" w:rsidP="00E9227E">
      <w:pPr>
        <w:pStyle w:val="Notedebasdepage"/>
        <w:rPr>
          <w:szCs w:val="18"/>
          <w:lang w:val="en-US"/>
        </w:rPr>
      </w:pPr>
      <w:r w:rsidRPr="004B1202">
        <w:rPr>
          <w:szCs w:val="18"/>
        </w:rPr>
        <w:tab/>
      </w:r>
      <w:r w:rsidRPr="00E9227E">
        <w:rPr>
          <w:rStyle w:val="Appelnotedebasdep"/>
        </w:rPr>
        <w:footnoteRef/>
      </w:r>
      <w:r w:rsidRPr="004B1202">
        <w:rPr>
          <w:szCs w:val="18"/>
        </w:rPr>
        <w:tab/>
        <w:t xml:space="preserve">Ellen Campbell </w:t>
      </w:r>
      <w:r w:rsidRPr="004B1202">
        <w:rPr>
          <w:i/>
          <w:iCs/>
          <w:szCs w:val="18"/>
        </w:rPr>
        <w:t>et al</w:t>
      </w:r>
      <w:r w:rsidRPr="00FD184E">
        <w:rPr>
          <w:i/>
          <w:iCs/>
          <w:szCs w:val="18"/>
        </w:rPr>
        <w:t>.</w:t>
      </w:r>
      <w:r w:rsidRPr="004B1202">
        <w:rPr>
          <w:szCs w:val="18"/>
        </w:rPr>
        <w:t xml:space="preserve">, « Due diligence obligations of international organisations under international law », </w:t>
      </w:r>
      <w:r w:rsidRPr="004B1202">
        <w:rPr>
          <w:i/>
          <w:iCs/>
          <w:szCs w:val="18"/>
        </w:rPr>
        <w:t>New York University Journal of International Law and Politics</w:t>
      </w:r>
      <w:r w:rsidRPr="004B1202">
        <w:rPr>
          <w:szCs w:val="18"/>
        </w:rPr>
        <w:t>, vol</w:t>
      </w:r>
      <w:r w:rsidRPr="00FD184E">
        <w:rPr>
          <w:szCs w:val="18"/>
        </w:rPr>
        <w:t>.</w:t>
      </w:r>
      <w:r w:rsidRPr="004B1202">
        <w:rPr>
          <w:szCs w:val="18"/>
        </w:rPr>
        <w:t xml:space="preserve"> 50</w:t>
      </w:r>
      <w:r>
        <w:rPr>
          <w:szCs w:val="18"/>
        </w:rPr>
        <w:t> </w:t>
      </w:r>
      <w:r w:rsidRPr="004B1202">
        <w:rPr>
          <w:szCs w:val="18"/>
        </w:rPr>
        <w:t>2) (2018), p</w:t>
      </w:r>
      <w:r w:rsidRPr="00FD184E">
        <w:rPr>
          <w:szCs w:val="18"/>
        </w:rPr>
        <w:t>.</w:t>
      </w:r>
      <w:r w:rsidRPr="004B1202">
        <w:rPr>
          <w:szCs w:val="18"/>
        </w:rPr>
        <w:t xml:space="preserve"> 541 à 604 ; Association de droit international, </w:t>
      </w:r>
      <w:r w:rsidRPr="004B1202">
        <w:rPr>
          <w:i/>
          <w:iCs/>
          <w:szCs w:val="18"/>
        </w:rPr>
        <w:t>Responsabilité des organisations internationales</w:t>
      </w:r>
      <w:r w:rsidRPr="004B1202">
        <w:rPr>
          <w:szCs w:val="18"/>
        </w:rPr>
        <w:t>, Conférence de Berlin (2004) ; Nigel</w:t>
      </w:r>
      <w:r w:rsidRPr="00FD184E">
        <w:rPr>
          <w:szCs w:val="18"/>
        </w:rPr>
        <w:t>.</w:t>
      </w:r>
      <w:r w:rsidRPr="004B1202">
        <w:rPr>
          <w:szCs w:val="18"/>
        </w:rPr>
        <w:t xml:space="preserve"> </w:t>
      </w:r>
      <w:r w:rsidRPr="005A67A9">
        <w:rPr>
          <w:szCs w:val="18"/>
          <w:lang w:val="en-US"/>
        </w:rPr>
        <w:t xml:space="preserve">D. White, « Due Diligence, the UN and Peacekeeping », dans Peters, Krieger et Kreuzer (dir. publ.), </w:t>
      </w:r>
      <w:r w:rsidRPr="005A67A9">
        <w:rPr>
          <w:i/>
          <w:iCs/>
          <w:szCs w:val="18"/>
          <w:lang w:val="en-US"/>
        </w:rPr>
        <w:t>Due Diligence in the International Legal Order</w:t>
      </w:r>
      <w:r w:rsidRPr="005A67A9">
        <w:rPr>
          <w:szCs w:val="18"/>
          <w:lang w:val="en-US"/>
        </w:rPr>
        <w:t xml:space="preserve">, p. 217 à 233 ; Regis Bismuth, « The Emerging Human Rights and Environmental Due Diligence Responsibility of Financial Institutions », dans William Blair, Chiara Zilioli et Christos Gortsos (dir. publ.), </w:t>
      </w:r>
      <w:r w:rsidRPr="005A67A9">
        <w:rPr>
          <w:i/>
          <w:iCs/>
          <w:szCs w:val="18"/>
          <w:lang w:val="en-US"/>
        </w:rPr>
        <w:t xml:space="preserve">International Monetary and Banking Law post COVID-19 </w:t>
      </w:r>
      <w:r w:rsidRPr="005A67A9">
        <w:rPr>
          <w:szCs w:val="18"/>
          <w:lang w:val="en-US"/>
        </w:rPr>
        <w:t>(Oxford University Press, 2023), p. 330 à 351.</w:t>
      </w:r>
    </w:p>
  </w:footnote>
  <w:footnote w:id="454">
    <w:p w14:paraId="54DE2F56" w14:textId="69516BC3" w:rsidR="005A67A9" w:rsidRPr="004B1202" w:rsidRDefault="005A67A9" w:rsidP="00E9227E">
      <w:pPr>
        <w:pStyle w:val="Notedebasdepage"/>
        <w:rPr>
          <w:szCs w:val="18"/>
        </w:rPr>
      </w:pPr>
      <w:r w:rsidRPr="005A67A9">
        <w:rPr>
          <w:szCs w:val="18"/>
          <w:lang w:val="en-US"/>
        </w:rPr>
        <w:tab/>
      </w:r>
      <w:r w:rsidRPr="00E9227E">
        <w:rPr>
          <w:rStyle w:val="Appelnotedebasdep"/>
        </w:rPr>
        <w:footnoteRef/>
      </w:r>
      <w:r w:rsidRPr="004B1202">
        <w:rPr>
          <w:szCs w:val="18"/>
        </w:rPr>
        <w:tab/>
        <w:t>Voir, par exemple, s</w:t>
      </w:r>
      <w:r w:rsidR="004937A0">
        <w:rPr>
          <w:szCs w:val="18"/>
        </w:rPr>
        <w:t>’</w:t>
      </w:r>
      <w:r w:rsidRPr="004B1202">
        <w:rPr>
          <w:szCs w:val="18"/>
        </w:rPr>
        <w:t xml:space="preserve">agissant de la protection des femmes contre les violences : </w:t>
      </w:r>
      <w:r w:rsidRPr="004B1202">
        <w:rPr>
          <w:i/>
          <w:iCs/>
          <w:szCs w:val="18"/>
        </w:rPr>
        <w:t>Opuz c</w:t>
      </w:r>
      <w:r w:rsidRPr="00FD184E">
        <w:rPr>
          <w:i/>
          <w:iCs/>
          <w:szCs w:val="18"/>
        </w:rPr>
        <w:t>.</w:t>
      </w:r>
      <w:r w:rsidRPr="004B1202">
        <w:rPr>
          <w:i/>
          <w:iCs/>
          <w:szCs w:val="18"/>
        </w:rPr>
        <w:t xml:space="preserve"> Turquie</w:t>
      </w:r>
      <w:r w:rsidRPr="004B1202">
        <w:rPr>
          <w:szCs w:val="18"/>
        </w:rPr>
        <w:t>, Cour européenne des droits de l</w:t>
      </w:r>
      <w:r w:rsidR="004937A0">
        <w:rPr>
          <w:szCs w:val="18"/>
        </w:rPr>
        <w:t>’</w:t>
      </w:r>
      <w:r w:rsidRPr="004B1202">
        <w:rPr>
          <w:szCs w:val="18"/>
        </w:rPr>
        <w:t>homme (requête n</w:t>
      </w:r>
      <w:r w:rsidRPr="004B1202">
        <w:rPr>
          <w:szCs w:val="18"/>
          <w:vertAlign w:val="superscript"/>
        </w:rPr>
        <w:t>o</w:t>
      </w:r>
      <w:r w:rsidRPr="004B1202">
        <w:rPr>
          <w:szCs w:val="18"/>
        </w:rPr>
        <w:t> 33401/02), arrêt, 9 juin 2009</w:t>
      </w:r>
      <w:r w:rsidRPr="00FD184E">
        <w:rPr>
          <w:szCs w:val="18"/>
        </w:rPr>
        <w:t>.</w:t>
      </w:r>
    </w:p>
  </w:footnote>
  <w:footnote w:id="455">
    <w:p w14:paraId="6ACAD7B9" w14:textId="77777777" w:rsidR="005A67A9" w:rsidRPr="005A67A9" w:rsidRDefault="005A67A9" w:rsidP="00E9227E">
      <w:pPr>
        <w:pStyle w:val="Notedebasdepage"/>
        <w:rPr>
          <w:szCs w:val="18"/>
          <w:lang w:val="en-US"/>
        </w:rPr>
      </w:pPr>
      <w:r w:rsidRPr="004B1202">
        <w:rPr>
          <w:szCs w:val="18"/>
        </w:rPr>
        <w:tab/>
      </w:r>
      <w:r w:rsidRPr="00E9227E">
        <w:rPr>
          <w:rStyle w:val="Appelnotedebasdep"/>
        </w:rPr>
        <w:footnoteRef/>
      </w:r>
      <w:r w:rsidRPr="005A67A9">
        <w:rPr>
          <w:szCs w:val="18"/>
          <w:lang w:val="en-US"/>
        </w:rPr>
        <w:tab/>
        <w:t xml:space="preserve">Jonathan Bonnitcha &amp; Robert McCorquodale, « The Concept of « Due Diligence » in the UN Guiding Principles on Business and Human Rights », </w:t>
      </w:r>
      <w:r w:rsidRPr="005A67A9">
        <w:rPr>
          <w:i/>
          <w:iCs/>
          <w:szCs w:val="18"/>
          <w:lang w:val="en-US"/>
        </w:rPr>
        <w:t>The European Journal of International Law</w:t>
      </w:r>
      <w:r w:rsidRPr="005A67A9">
        <w:rPr>
          <w:szCs w:val="18"/>
          <w:lang w:val="en-US"/>
        </w:rPr>
        <w:t xml:space="preserve">, vol. 28 3) (2017), p. 899 à 919 ; John Gerard Ruggie &amp; John F. Sherman III, « The Concept of « Due Diligence » in the UN Guiding Principles on Business and Human Rights: A Reply to Johnathan Bonnitcha and Robert McCorquodale », </w:t>
      </w:r>
      <w:r w:rsidRPr="005A67A9">
        <w:rPr>
          <w:i/>
          <w:iCs/>
          <w:szCs w:val="18"/>
          <w:lang w:val="en-US"/>
        </w:rPr>
        <w:t>European Journal of International Law</w:t>
      </w:r>
      <w:r w:rsidRPr="005A67A9">
        <w:rPr>
          <w:szCs w:val="18"/>
          <w:lang w:val="en-US"/>
        </w:rPr>
        <w:t>, vol. 28 (2017) p. 921 à 928.</w:t>
      </w:r>
    </w:p>
  </w:footnote>
  <w:footnote w:id="456">
    <w:p w14:paraId="02C2BA1D" w14:textId="5D296DCD" w:rsidR="005A67A9" w:rsidRPr="005A67A9" w:rsidRDefault="005A67A9" w:rsidP="00E9227E">
      <w:pPr>
        <w:pStyle w:val="Notedebasdepage"/>
        <w:rPr>
          <w:szCs w:val="18"/>
          <w:lang w:val="en-US"/>
        </w:rPr>
      </w:pPr>
      <w:r w:rsidRPr="005A67A9">
        <w:rPr>
          <w:szCs w:val="18"/>
          <w:lang w:val="en-US"/>
        </w:rPr>
        <w:tab/>
      </w:r>
      <w:r w:rsidRPr="00E9227E">
        <w:rPr>
          <w:rStyle w:val="Appelnotedebasdep"/>
        </w:rPr>
        <w:footnoteRef/>
      </w:r>
      <w:r w:rsidRPr="005A67A9">
        <w:rPr>
          <w:szCs w:val="18"/>
          <w:lang w:val="en-US"/>
        </w:rPr>
        <w:tab/>
        <w:t xml:space="preserve">Ahmed Alfatlawi &amp; Azhar Al-Fatlawi, « Conceptual framework of due diligence and notification in light of the rules of international responsibility: COVID 19 as a model », </w:t>
      </w:r>
      <w:bookmarkStart w:id="282" w:name="_Hlk167009397"/>
      <w:r w:rsidRPr="005A67A9">
        <w:rPr>
          <w:i/>
          <w:iCs/>
          <w:szCs w:val="18"/>
          <w:lang w:val="en-US"/>
        </w:rPr>
        <w:t>Al-rafidain of Law</w:t>
      </w:r>
      <w:r w:rsidRPr="005A67A9">
        <w:rPr>
          <w:szCs w:val="18"/>
          <w:lang w:val="en-US"/>
        </w:rPr>
        <w:t>, vol.</w:t>
      </w:r>
      <w:bookmarkEnd w:id="282"/>
      <w:r w:rsidRPr="005A67A9">
        <w:rPr>
          <w:szCs w:val="18"/>
          <w:lang w:val="en-US"/>
        </w:rPr>
        <w:t> 24 79) (juin 2022) p. 72 à 110 ; Antonio Coco, Talita de Souza Dias, « Prevent, respond, cooperate: states</w:t>
      </w:r>
      <w:r w:rsidR="004937A0">
        <w:rPr>
          <w:szCs w:val="18"/>
          <w:lang w:val="en-US"/>
        </w:rPr>
        <w:t>’</w:t>
      </w:r>
      <w:r w:rsidRPr="005A67A9">
        <w:rPr>
          <w:szCs w:val="18"/>
          <w:lang w:val="en-US"/>
        </w:rPr>
        <w:t xml:space="preserve"> due diligence duties vis-à-vis the Covid-19 pandemic », </w:t>
      </w:r>
      <w:r w:rsidRPr="005A67A9">
        <w:rPr>
          <w:i/>
          <w:iCs/>
          <w:szCs w:val="18"/>
          <w:lang w:val="en-US"/>
        </w:rPr>
        <w:t>Journal of International Humanitarian Legal Studies</w:t>
      </w:r>
      <w:r w:rsidRPr="005A67A9">
        <w:rPr>
          <w:szCs w:val="18"/>
          <w:lang w:val="en-US"/>
        </w:rPr>
        <w:t>, vol. 11 (2020), p. 218 à 236.</w:t>
      </w:r>
    </w:p>
  </w:footnote>
  <w:footnote w:id="457">
    <w:p w14:paraId="036A9F37" w14:textId="73449EEF" w:rsidR="005A67A9" w:rsidRPr="004B1202" w:rsidRDefault="005A67A9" w:rsidP="00E9227E">
      <w:pPr>
        <w:pStyle w:val="Notedebasdepage"/>
        <w:rPr>
          <w:szCs w:val="18"/>
        </w:rPr>
      </w:pPr>
      <w:r w:rsidRPr="005A67A9">
        <w:rPr>
          <w:szCs w:val="18"/>
          <w:lang w:val="en-US"/>
        </w:rPr>
        <w:tab/>
      </w:r>
      <w:r w:rsidRPr="00E9227E">
        <w:rPr>
          <w:rStyle w:val="Appelnotedebasdep"/>
        </w:rPr>
        <w:footnoteRef/>
      </w:r>
      <w:r w:rsidRPr="004B1202">
        <w:rPr>
          <w:szCs w:val="18"/>
        </w:rPr>
        <w:tab/>
        <w:t xml:space="preserve">Voir </w:t>
      </w:r>
      <w:r w:rsidRPr="004B1202">
        <w:rPr>
          <w:i/>
          <w:iCs/>
          <w:szCs w:val="18"/>
        </w:rPr>
        <w:t>Affaire de l</w:t>
      </w:r>
      <w:r w:rsidR="004937A0">
        <w:rPr>
          <w:i/>
          <w:iCs/>
          <w:szCs w:val="18"/>
        </w:rPr>
        <w:t>’</w:t>
      </w:r>
      <w:r w:rsidRPr="004B1202">
        <w:rPr>
          <w:i/>
          <w:iCs/>
          <w:szCs w:val="18"/>
        </w:rPr>
        <w:t>Île de Palmas (Pays-Bas c</w:t>
      </w:r>
      <w:r w:rsidRPr="00FD184E">
        <w:rPr>
          <w:i/>
          <w:iCs/>
          <w:szCs w:val="18"/>
        </w:rPr>
        <w:t>.</w:t>
      </w:r>
      <w:r w:rsidRPr="004B1202">
        <w:rPr>
          <w:i/>
          <w:iCs/>
          <w:szCs w:val="18"/>
        </w:rPr>
        <w:t xml:space="preserve"> États-Unis d</w:t>
      </w:r>
      <w:r w:rsidR="004937A0">
        <w:rPr>
          <w:i/>
          <w:iCs/>
          <w:szCs w:val="18"/>
        </w:rPr>
        <w:t>’</w:t>
      </w:r>
      <w:r w:rsidRPr="004B1202">
        <w:rPr>
          <w:i/>
          <w:iCs/>
          <w:szCs w:val="18"/>
        </w:rPr>
        <w:t>Amérique)</w:t>
      </w:r>
      <w:r w:rsidRPr="004B1202">
        <w:rPr>
          <w:szCs w:val="18"/>
        </w:rPr>
        <w:t>, note </w:t>
      </w:r>
      <w:r w:rsidRPr="004B1202">
        <w:rPr>
          <w:szCs w:val="18"/>
        </w:rPr>
        <w:fldChar w:fldCharType="begin"/>
      </w:r>
      <w:r w:rsidRPr="004B1202">
        <w:rPr>
          <w:szCs w:val="18"/>
        </w:rPr>
        <w:instrText xml:space="preserve"> NOTEREF _Ref174454905 \h </w:instrText>
      </w:r>
      <w:r w:rsidRPr="004B1202">
        <w:rPr>
          <w:szCs w:val="18"/>
        </w:rPr>
      </w:r>
      <w:r w:rsidRPr="004B1202">
        <w:rPr>
          <w:szCs w:val="18"/>
        </w:rPr>
        <w:fldChar w:fldCharType="separate"/>
      </w:r>
      <w:r w:rsidR="00EC4FDE">
        <w:rPr>
          <w:szCs w:val="18"/>
        </w:rPr>
        <w:t>3</w:t>
      </w:r>
      <w:r w:rsidRPr="004B1202">
        <w:rPr>
          <w:szCs w:val="18"/>
        </w:rPr>
        <w:fldChar w:fldCharType="end"/>
      </w:r>
      <w:r w:rsidRPr="00754AAF">
        <w:rPr>
          <w:i/>
          <w:iCs/>
          <w:szCs w:val="18"/>
        </w:rPr>
        <w:t xml:space="preserve"> </w:t>
      </w:r>
      <w:r w:rsidRPr="004B1202">
        <w:rPr>
          <w:i/>
          <w:iCs/>
          <w:szCs w:val="18"/>
        </w:rPr>
        <w:t>supra</w:t>
      </w:r>
      <w:r w:rsidRPr="004B1202">
        <w:rPr>
          <w:szCs w:val="18"/>
        </w:rPr>
        <w:t>, p</w:t>
      </w:r>
      <w:r w:rsidRPr="00FD184E">
        <w:rPr>
          <w:szCs w:val="18"/>
        </w:rPr>
        <w:t>.</w:t>
      </w:r>
      <w:r w:rsidRPr="004B1202">
        <w:rPr>
          <w:szCs w:val="18"/>
        </w:rPr>
        <w:t> 839, dans laquelle l</w:t>
      </w:r>
      <w:r w:rsidR="004937A0">
        <w:rPr>
          <w:szCs w:val="18"/>
        </w:rPr>
        <w:t>’</w:t>
      </w:r>
      <w:r w:rsidRPr="004B1202">
        <w:rPr>
          <w:szCs w:val="18"/>
        </w:rPr>
        <w:t>arbitre Max Huber a déclaré ce qui suit : « La souveraineté territoriale … implique le droit exclusif d</w:t>
      </w:r>
      <w:r w:rsidR="004937A0">
        <w:rPr>
          <w:szCs w:val="18"/>
        </w:rPr>
        <w:t>’</w:t>
      </w:r>
      <w:r w:rsidRPr="004B1202">
        <w:rPr>
          <w:szCs w:val="18"/>
        </w:rPr>
        <w:t>exercer les activités de l</w:t>
      </w:r>
      <w:r w:rsidR="004937A0">
        <w:rPr>
          <w:szCs w:val="18"/>
        </w:rPr>
        <w:t>’</w:t>
      </w:r>
      <w:r w:rsidRPr="004B1202">
        <w:rPr>
          <w:szCs w:val="18"/>
        </w:rPr>
        <w:t>État</w:t>
      </w:r>
      <w:r w:rsidRPr="00FD184E">
        <w:rPr>
          <w:szCs w:val="18"/>
        </w:rPr>
        <w:t>.</w:t>
      </w:r>
      <w:r w:rsidRPr="004B1202">
        <w:rPr>
          <w:szCs w:val="18"/>
        </w:rPr>
        <w:t xml:space="preserve"> Ce droit a pour corollaire un devoir : l</w:t>
      </w:r>
      <w:r w:rsidR="004937A0">
        <w:rPr>
          <w:szCs w:val="18"/>
        </w:rPr>
        <w:t>’</w:t>
      </w:r>
      <w:r w:rsidRPr="004B1202">
        <w:rPr>
          <w:szCs w:val="18"/>
        </w:rPr>
        <w:t>obligation de protéger les droits des autres États à l</w:t>
      </w:r>
      <w:r w:rsidR="004937A0">
        <w:rPr>
          <w:szCs w:val="18"/>
        </w:rPr>
        <w:t>’</w:t>
      </w:r>
      <w:r w:rsidRPr="004B1202">
        <w:rPr>
          <w:szCs w:val="18"/>
        </w:rPr>
        <w:t>intérieur du territoire … » [traduction non officielle]</w:t>
      </w:r>
      <w:r w:rsidRPr="00FD184E">
        <w:rPr>
          <w:szCs w:val="18"/>
        </w:rPr>
        <w:t>.</w:t>
      </w:r>
    </w:p>
  </w:footnote>
  <w:footnote w:id="458">
    <w:p w14:paraId="2C6AA8B2"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Association de droit international, Duncan French (Président), Tim Stephens (Rapporteur) « ILA Study Group on Due Diligence in International Law: First Report » (International Law Association Reports) 2014 ; Association de droit international, Duncan French (Président) Tim Stephens (Rapporteur) « ILA Study Group on Due Diligence in International Law: Secord Report » (International Law Association Reports) 2016</w:t>
      </w:r>
      <w:r w:rsidRPr="00FD184E">
        <w:rPr>
          <w:szCs w:val="18"/>
        </w:rPr>
        <w:t>.</w:t>
      </w:r>
      <w:r w:rsidRPr="004B1202">
        <w:rPr>
          <w:szCs w:val="18"/>
        </w:rPr>
        <w:t xml:space="preserve"> </w:t>
      </w:r>
    </w:p>
  </w:footnote>
  <w:footnote w:id="459">
    <w:p w14:paraId="12D6897A" w14:textId="66D579B0"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Besson, La </w:t>
      </w:r>
      <w:r w:rsidRPr="004B1202">
        <w:rPr>
          <w:i/>
          <w:iCs/>
          <w:szCs w:val="18"/>
        </w:rPr>
        <w:t>due diligence</w:t>
      </w:r>
      <w:r w:rsidRPr="004B1202">
        <w:rPr>
          <w:szCs w:val="18"/>
        </w:rPr>
        <w:t> en droit international,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Pr>
          <w:szCs w:val="18"/>
        </w:rPr>
        <w:t xml:space="preserve"> </w:t>
      </w:r>
      <w:r w:rsidRPr="004B1202">
        <w:rPr>
          <w:i/>
          <w:iCs/>
          <w:szCs w:val="18"/>
        </w:rPr>
        <w:t>supra</w:t>
      </w:r>
      <w:r w:rsidRPr="00A96DE0">
        <w:rPr>
          <w:szCs w:val="18"/>
        </w:rPr>
        <w:t> </w:t>
      </w:r>
      <w:r w:rsidRPr="00754AAF">
        <w:rPr>
          <w:szCs w:val="18"/>
        </w:rPr>
        <w:t>;</w:t>
      </w:r>
      <w:r w:rsidRPr="004B1202">
        <w:rPr>
          <w:szCs w:val="18"/>
        </w:rPr>
        <w:t xml:space="preserve"> Besson, </w:t>
      </w:r>
      <w:r w:rsidRPr="004B1202">
        <w:rPr>
          <w:i/>
          <w:iCs/>
          <w:szCs w:val="18"/>
        </w:rPr>
        <w:t>Due Diligence in International Law</w:t>
      </w:r>
      <w:r w:rsidRPr="004B1202">
        <w:rPr>
          <w:szCs w:val="18"/>
        </w:rPr>
        <w:t>,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Pr>
          <w:szCs w:val="18"/>
        </w:rPr>
        <w:t xml:space="preserve"> </w:t>
      </w:r>
      <w:r w:rsidRPr="004B1202">
        <w:rPr>
          <w:i/>
          <w:iCs/>
          <w:szCs w:val="18"/>
        </w:rPr>
        <w:t>supra</w:t>
      </w:r>
      <w:r>
        <w:rPr>
          <w:i/>
          <w:iCs/>
          <w:szCs w:val="18"/>
        </w:rPr>
        <w:t> </w:t>
      </w:r>
      <w:r w:rsidRPr="004B1202">
        <w:rPr>
          <w:szCs w:val="18"/>
        </w:rPr>
        <w:t xml:space="preserve">; Krieger, Peters, &amp; Kreuzer, </w:t>
      </w:r>
      <w:r w:rsidRPr="004B1202">
        <w:rPr>
          <w:i/>
          <w:iCs/>
          <w:szCs w:val="18"/>
        </w:rPr>
        <w:t>Due Diligence</w:t>
      </w:r>
      <w:r w:rsidRPr="004B1202">
        <w:rPr>
          <w:szCs w:val="18"/>
        </w:rPr>
        <w:t>,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Pr>
          <w:szCs w:val="18"/>
        </w:rPr>
        <w:t xml:space="preserve"> </w:t>
      </w:r>
      <w:r w:rsidRPr="004B1202">
        <w:rPr>
          <w:i/>
          <w:iCs/>
          <w:szCs w:val="18"/>
        </w:rPr>
        <w:t>supra</w:t>
      </w:r>
      <w:r w:rsidRPr="00657B19">
        <w:rPr>
          <w:szCs w:val="18"/>
        </w:rPr>
        <w:t> </w:t>
      </w:r>
      <w:r w:rsidRPr="004B1202">
        <w:rPr>
          <w:szCs w:val="18"/>
        </w:rPr>
        <w:t xml:space="preserve">; Joanna </w:t>
      </w:r>
      <w:proofErr w:type="spellStart"/>
      <w:r w:rsidRPr="004B1202">
        <w:rPr>
          <w:szCs w:val="18"/>
        </w:rPr>
        <w:t>Kulesza</w:t>
      </w:r>
      <w:proofErr w:type="spellEnd"/>
      <w:r w:rsidRPr="004B1202">
        <w:rPr>
          <w:szCs w:val="18"/>
        </w:rPr>
        <w:t xml:space="preserve">, </w:t>
      </w:r>
      <w:r w:rsidRPr="004B1202">
        <w:rPr>
          <w:i/>
          <w:iCs/>
          <w:szCs w:val="18"/>
        </w:rPr>
        <w:t>Due Diligence in International Law</w:t>
      </w:r>
      <w:r w:rsidRPr="004B1202">
        <w:rPr>
          <w:szCs w:val="18"/>
        </w:rPr>
        <w:t xml:space="preserve"> (Leiden : Brill Nijhoff, 2016) ; Alice Ollino, </w:t>
      </w:r>
      <w:r w:rsidRPr="004B1202">
        <w:rPr>
          <w:i/>
          <w:iCs/>
          <w:szCs w:val="18"/>
        </w:rPr>
        <w:t>Due Diligence Obligations in International Law</w:t>
      </w:r>
      <w:r w:rsidRPr="004B1202">
        <w:rPr>
          <w:szCs w:val="18"/>
        </w:rPr>
        <w:t xml:space="preserve"> (Cambridge</w:t>
      </w:r>
      <w:r w:rsidR="00827FD1">
        <w:rPr>
          <w:szCs w:val="18"/>
        </w:rPr>
        <w:t> </w:t>
      </w:r>
      <w:r w:rsidRPr="004B1202">
        <w:rPr>
          <w:szCs w:val="18"/>
        </w:rPr>
        <w:t>: Cambridge University Press, 2022) ; Société française pour de droit international (SFDI)/Sarah Cassella (dir</w:t>
      </w:r>
      <w:r w:rsidRPr="00FD184E">
        <w:rPr>
          <w:szCs w:val="18"/>
        </w:rPr>
        <w:t>.</w:t>
      </w:r>
      <w:r w:rsidRPr="004B1202">
        <w:rPr>
          <w:szCs w:val="18"/>
        </w:rPr>
        <w:t xml:space="preserve"> publ</w:t>
      </w:r>
      <w:r w:rsidRPr="00FD184E">
        <w:rPr>
          <w:szCs w:val="18"/>
        </w:rPr>
        <w:t>.</w:t>
      </w:r>
      <w:r w:rsidRPr="004B1202">
        <w:rPr>
          <w:szCs w:val="18"/>
        </w:rPr>
        <w:t xml:space="preserve">), </w:t>
      </w:r>
      <w:r w:rsidRPr="004B1202">
        <w:rPr>
          <w:i/>
          <w:iCs/>
          <w:szCs w:val="18"/>
        </w:rPr>
        <w:t xml:space="preserve">Le standard de due diligence et la responsabilité internationale </w:t>
      </w:r>
      <w:r w:rsidRPr="004B1202">
        <w:rPr>
          <w:szCs w:val="18"/>
        </w:rPr>
        <w:t>(Paris : Pedone, 2018)</w:t>
      </w:r>
      <w:r w:rsidRPr="00FD184E">
        <w:rPr>
          <w:szCs w:val="18"/>
        </w:rPr>
        <w:t>.</w:t>
      </w:r>
    </w:p>
  </w:footnote>
  <w:footnote w:id="460">
    <w:p w14:paraId="4B64C93A" w14:textId="4B1B8AD4"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par exemple, les exposés écrits et observations présentées au Tribunal international du droit de la mer, TIDM, </w:t>
      </w:r>
      <w:r w:rsidRPr="004B1202">
        <w:rPr>
          <w:i/>
          <w:iCs/>
          <w:szCs w:val="18"/>
        </w:rPr>
        <w:t>Demande d</w:t>
      </w:r>
      <w:r w:rsidR="004937A0">
        <w:rPr>
          <w:i/>
          <w:iCs/>
          <w:szCs w:val="18"/>
        </w:rPr>
        <w:t>’</w:t>
      </w:r>
      <w:r w:rsidRPr="004B1202">
        <w:rPr>
          <w:i/>
          <w:iCs/>
          <w:szCs w:val="18"/>
        </w:rPr>
        <w:t>avis consultatif soumise par la Commission des petits États insulaires sur le changement climatique et le droit international</w:t>
      </w:r>
      <w:r w:rsidRPr="00FD184E">
        <w:rPr>
          <w:szCs w:val="18"/>
        </w:rPr>
        <w:t>.</w:t>
      </w:r>
    </w:p>
  </w:footnote>
  <w:footnote w:id="461">
    <w:p w14:paraId="7488853B" w14:textId="6B83666F"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Pour une description des travaux de la Commission du droit international en ce qui concerne la notion de diligence et la responsabilité de l</w:t>
      </w:r>
      <w:r w:rsidR="004937A0">
        <w:rPr>
          <w:szCs w:val="18"/>
        </w:rPr>
        <w:t>’</w:t>
      </w:r>
      <w:r w:rsidRPr="004B1202">
        <w:rPr>
          <w:szCs w:val="18"/>
        </w:rPr>
        <w:t xml:space="preserve">État, voir Kulesza, </w:t>
      </w:r>
      <w:r w:rsidRPr="004B1202">
        <w:rPr>
          <w:i/>
          <w:iCs/>
          <w:szCs w:val="18"/>
        </w:rPr>
        <w:t>Due Diligence</w:t>
      </w:r>
      <w:r w:rsidRPr="004B1202">
        <w:rPr>
          <w:szCs w:val="18"/>
        </w:rPr>
        <w:t>,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754AAF">
        <w:rPr>
          <w:i/>
          <w:iCs/>
          <w:szCs w:val="18"/>
        </w:rPr>
        <w:t xml:space="preserve"> </w:t>
      </w:r>
      <w:r w:rsidRPr="004B1202">
        <w:rPr>
          <w:i/>
          <w:iCs/>
          <w:szCs w:val="18"/>
        </w:rPr>
        <w:t>supra</w:t>
      </w:r>
      <w:r w:rsidRPr="004B1202">
        <w:rPr>
          <w:szCs w:val="18"/>
        </w:rPr>
        <w:t>, p</w:t>
      </w:r>
      <w:r w:rsidRPr="00FD184E">
        <w:rPr>
          <w:szCs w:val="18"/>
        </w:rPr>
        <w:t>.</w:t>
      </w:r>
      <w:r w:rsidRPr="004B1202">
        <w:rPr>
          <w:szCs w:val="18"/>
        </w:rPr>
        <w:t> 115 à 220</w:t>
      </w:r>
      <w:r w:rsidRPr="00FD184E">
        <w:rPr>
          <w:szCs w:val="18"/>
        </w:rPr>
        <w:t>.</w:t>
      </w:r>
    </w:p>
  </w:footnote>
  <w:footnote w:id="462">
    <w:p w14:paraId="346C11C9"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1949</w:t>
      </w:r>
      <w:r w:rsidRPr="004B1202">
        <w:rPr>
          <w:szCs w:val="18"/>
        </w:rPr>
        <w:t>, vol</w:t>
      </w:r>
      <w:r w:rsidRPr="00FD184E">
        <w:rPr>
          <w:szCs w:val="18"/>
        </w:rPr>
        <w:t>.</w:t>
      </w:r>
      <w:r w:rsidRPr="004B1202">
        <w:rPr>
          <w:szCs w:val="18"/>
        </w:rPr>
        <w:t> I, p</w:t>
      </w:r>
      <w:r w:rsidRPr="00FD184E">
        <w:rPr>
          <w:szCs w:val="18"/>
        </w:rPr>
        <w:t>.</w:t>
      </w:r>
      <w:r w:rsidRPr="004B1202">
        <w:rPr>
          <w:szCs w:val="18"/>
        </w:rPr>
        <w:t> 49 et 50, par</w:t>
      </w:r>
      <w:r w:rsidRPr="00FD184E">
        <w:rPr>
          <w:szCs w:val="18"/>
        </w:rPr>
        <w:t>.</w:t>
      </w:r>
      <w:r w:rsidRPr="004B1202">
        <w:rPr>
          <w:szCs w:val="18"/>
        </w:rPr>
        <w:t> 27 à 32</w:t>
      </w:r>
      <w:r w:rsidRPr="00FD184E">
        <w:rPr>
          <w:szCs w:val="18"/>
        </w:rPr>
        <w:t>.</w:t>
      </w:r>
    </w:p>
  </w:footnote>
  <w:footnote w:id="463">
    <w:p w14:paraId="30F30E7B"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1970</w:t>
      </w:r>
      <w:r w:rsidRPr="004B1202">
        <w:rPr>
          <w:szCs w:val="18"/>
        </w:rPr>
        <w:t>, vol</w:t>
      </w:r>
      <w:r w:rsidRPr="00FD184E">
        <w:rPr>
          <w:szCs w:val="18"/>
        </w:rPr>
        <w:t>.</w:t>
      </w:r>
      <w:r w:rsidRPr="004B1202">
        <w:rPr>
          <w:szCs w:val="18"/>
        </w:rPr>
        <w:t xml:space="preserve"> II, p</w:t>
      </w:r>
      <w:r w:rsidRPr="00FD184E">
        <w:rPr>
          <w:szCs w:val="18"/>
        </w:rPr>
        <w:t>.</w:t>
      </w:r>
      <w:r w:rsidRPr="004B1202">
        <w:rPr>
          <w:szCs w:val="18"/>
        </w:rPr>
        <w:t> 190, par</w:t>
      </w:r>
      <w:r w:rsidRPr="00FD184E">
        <w:rPr>
          <w:szCs w:val="18"/>
        </w:rPr>
        <w:t>.</w:t>
      </w:r>
      <w:r w:rsidRPr="004B1202">
        <w:rPr>
          <w:szCs w:val="18"/>
        </w:rPr>
        <w:t> 6</w:t>
      </w:r>
      <w:r w:rsidRPr="00FD184E">
        <w:rPr>
          <w:szCs w:val="18"/>
        </w:rPr>
        <w:t>.</w:t>
      </w:r>
    </w:p>
  </w:footnote>
  <w:footnote w:id="464">
    <w:p w14:paraId="777F62F1"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Ibid</w:t>
      </w:r>
      <w:r>
        <w:rPr>
          <w:szCs w:val="18"/>
        </w:rPr>
        <w:t>.</w:t>
      </w:r>
      <w:r w:rsidRPr="004B1202">
        <w:rPr>
          <w:szCs w:val="18"/>
        </w:rPr>
        <w:t>, p</w:t>
      </w:r>
      <w:r w:rsidRPr="00FD184E">
        <w:rPr>
          <w:szCs w:val="18"/>
        </w:rPr>
        <w:t>.</w:t>
      </w:r>
      <w:r w:rsidRPr="004B1202">
        <w:rPr>
          <w:szCs w:val="18"/>
        </w:rPr>
        <w:t> 190, par</w:t>
      </w:r>
      <w:r w:rsidRPr="00FD184E">
        <w:rPr>
          <w:szCs w:val="18"/>
        </w:rPr>
        <w:t>.</w:t>
      </w:r>
      <w:r w:rsidRPr="004B1202">
        <w:rPr>
          <w:szCs w:val="18"/>
        </w:rPr>
        <w:t xml:space="preserve"> 6 et p</w:t>
      </w:r>
      <w:r w:rsidRPr="00FD184E">
        <w:rPr>
          <w:szCs w:val="18"/>
        </w:rPr>
        <w:t>.</w:t>
      </w:r>
      <w:r w:rsidRPr="004B1202">
        <w:rPr>
          <w:szCs w:val="18"/>
        </w:rPr>
        <w:t> 326 et 327, par</w:t>
      </w:r>
      <w:r w:rsidRPr="00FD184E">
        <w:rPr>
          <w:szCs w:val="18"/>
        </w:rPr>
        <w:t>.</w:t>
      </w:r>
      <w:r w:rsidRPr="004B1202">
        <w:rPr>
          <w:szCs w:val="18"/>
        </w:rPr>
        <w:t> 66</w:t>
      </w:r>
      <w:r w:rsidRPr="00FD184E">
        <w:rPr>
          <w:szCs w:val="18"/>
        </w:rPr>
        <w:t>.</w:t>
      </w:r>
    </w:p>
  </w:footnote>
  <w:footnote w:id="465">
    <w:p w14:paraId="6D03A4B8"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1972</w:t>
      </w:r>
      <w:r w:rsidRPr="004B1202">
        <w:rPr>
          <w:szCs w:val="18"/>
        </w:rPr>
        <w:t>, vol</w:t>
      </w:r>
      <w:r w:rsidRPr="00FD184E">
        <w:rPr>
          <w:szCs w:val="18"/>
        </w:rPr>
        <w:t>.</w:t>
      </w:r>
      <w:r w:rsidRPr="004B1202">
        <w:rPr>
          <w:szCs w:val="18"/>
        </w:rPr>
        <w:t xml:space="preserve"> II, p</w:t>
      </w:r>
      <w:r w:rsidRPr="00FD184E">
        <w:rPr>
          <w:szCs w:val="18"/>
        </w:rPr>
        <w:t>.</w:t>
      </w:r>
      <w:r w:rsidRPr="004B1202">
        <w:rPr>
          <w:szCs w:val="18"/>
        </w:rPr>
        <w:t> 103 à 138, par</w:t>
      </w:r>
      <w:r w:rsidRPr="00FD184E">
        <w:rPr>
          <w:szCs w:val="18"/>
        </w:rPr>
        <w:t>.</w:t>
      </w:r>
      <w:r w:rsidRPr="004B1202">
        <w:rPr>
          <w:szCs w:val="18"/>
        </w:rPr>
        <w:t> 61 à 146</w:t>
      </w:r>
      <w:r w:rsidRPr="00FD184E">
        <w:rPr>
          <w:szCs w:val="18"/>
        </w:rPr>
        <w:t>.</w:t>
      </w:r>
      <w:r w:rsidRPr="004B1202">
        <w:rPr>
          <w:szCs w:val="18"/>
        </w:rPr>
        <w:t xml:space="preserve"> Voir également Responsabilité internationale, deuxième rapport du Rapporteur spécial, Francisco V</w:t>
      </w:r>
      <w:r w:rsidRPr="00FD184E">
        <w:rPr>
          <w:szCs w:val="18"/>
        </w:rPr>
        <w:t>.</w:t>
      </w:r>
      <w:r w:rsidRPr="004B1202">
        <w:rPr>
          <w:szCs w:val="18"/>
        </w:rPr>
        <w:t xml:space="preserve"> Garcia Amador, </w:t>
      </w:r>
      <w:r w:rsidRPr="004B1202">
        <w:rPr>
          <w:i/>
          <w:iCs/>
          <w:szCs w:val="18"/>
        </w:rPr>
        <w:t>Annuaire … 1957</w:t>
      </w:r>
      <w:r w:rsidRPr="004B1202">
        <w:rPr>
          <w:szCs w:val="18"/>
        </w:rPr>
        <w:t>, vol</w:t>
      </w:r>
      <w:r w:rsidRPr="00FD184E">
        <w:rPr>
          <w:szCs w:val="18"/>
        </w:rPr>
        <w:t>.</w:t>
      </w:r>
      <w:r w:rsidRPr="004B1202">
        <w:rPr>
          <w:szCs w:val="18"/>
        </w:rPr>
        <w:t xml:space="preserve"> II, p</w:t>
      </w:r>
      <w:r w:rsidRPr="00FD184E">
        <w:rPr>
          <w:szCs w:val="18"/>
        </w:rPr>
        <w:t>.</w:t>
      </w:r>
      <w:r w:rsidRPr="004B1202">
        <w:rPr>
          <w:szCs w:val="18"/>
        </w:rPr>
        <w:t> 137 à 146</w:t>
      </w:r>
      <w:r w:rsidRPr="00FD184E">
        <w:rPr>
          <w:szCs w:val="18"/>
        </w:rPr>
        <w:t>.</w:t>
      </w:r>
    </w:p>
  </w:footnote>
  <w:footnote w:id="466">
    <w:p w14:paraId="3FD319B6"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1978</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30 à 34, par</w:t>
      </w:r>
      <w:r w:rsidRPr="00FD184E">
        <w:rPr>
          <w:szCs w:val="18"/>
        </w:rPr>
        <w:t>.</w:t>
      </w:r>
      <w:r w:rsidRPr="004B1202">
        <w:rPr>
          <w:szCs w:val="18"/>
        </w:rPr>
        <w:t> 1 à 19</w:t>
      </w:r>
      <w:r w:rsidRPr="00FD184E">
        <w:rPr>
          <w:szCs w:val="18"/>
        </w:rPr>
        <w:t>.</w:t>
      </w:r>
    </w:p>
  </w:footnote>
  <w:footnote w:id="467">
    <w:p w14:paraId="208E2021" w14:textId="784D55FE"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 xml:space="preserve">Annuaire … </w:t>
      </w:r>
      <w:r w:rsidRPr="004B1202">
        <w:rPr>
          <w:szCs w:val="18"/>
        </w:rPr>
        <w:t>1</w:t>
      </w:r>
      <w:r w:rsidRPr="004B1202">
        <w:rPr>
          <w:i/>
          <w:iCs/>
          <w:szCs w:val="18"/>
        </w:rPr>
        <w:t>977</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4 à 22, par</w:t>
      </w:r>
      <w:r w:rsidRPr="00FD184E">
        <w:rPr>
          <w:szCs w:val="18"/>
        </w:rPr>
        <w:t>.</w:t>
      </w:r>
      <w:r w:rsidRPr="004B1202">
        <w:rPr>
          <w:szCs w:val="18"/>
        </w:rPr>
        <w:t> 1 à 46</w:t>
      </w:r>
      <w:r w:rsidRPr="00FD184E">
        <w:rPr>
          <w:szCs w:val="18"/>
        </w:rPr>
        <w:t>.</w:t>
      </w:r>
      <w:r w:rsidRPr="004B1202">
        <w:rPr>
          <w:szCs w:val="18"/>
        </w:rPr>
        <w:t xml:space="preserve"> Voir Paul-Marie Dupuy, « Reviewing the Difficulties of Codification: On Ago Classification of Obligations of Means and Obligations of Result in Relation to State Responsibility », </w:t>
      </w:r>
      <w:r w:rsidRPr="004B1202">
        <w:rPr>
          <w:i/>
          <w:iCs/>
          <w:szCs w:val="18"/>
        </w:rPr>
        <w:t>European Journal of International Law</w:t>
      </w:r>
      <w:r w:rsidRPr="004B1202">
        <w:rPr>
          <w:szCs w:val="18"/>
        </w:rPr>
        <w:t>, vol</w:t>
      </w:r>
      <w:r w:rsidRPr="00FD184E">
        <w:rPr>
          <w:szCs w:val="18"/>
        </w:rPr>
        <w:t>.</w:t>
      </w:r>
      <w:r w:rsidRPr="004B1202">
        <w:rPr>
          <w:szCs w:val="18"/>
        </w:rPr>
        <w:t> 10 (1999), p</w:t>
      </w:r>
      <w:r w:rsidRPr="00FD184E">
        <w:rPr>
          <w:szCs w:val="18"/>
        </w:rPr>
        <w:t>.</w:t>
      </w:r>
      <w:r w:rsidRPr="004B1202">
        <w:rPr>
          <w:szCs w:val="18"/>
        </w:rPr>
        <w:t> 371 à 385 pour une critique de la position d</w:t>
      </w:r>
      <w:r w:rsidR="004937A0">
        <w:rPr>
          <w:szCs w:val="18"/>
        </w:rPr>
        <w:t>’</w:t>
      </w:r>
      <w:r w:rsidRPr="004B1202">
        <w:rPr>
          <w:szCs w:val="18"/>
        </w:rPr>
        <w:t>Ago concernant les obligations de comportement et de résultat</w:t>
      </w:r>
      <w:r w:rsidRPr="00FD184E">
        <w:rPr>
          <w:szCs w:val="18"/>
        </w:rPr>
        <w:t>.</w:t>
      </w:r>
    </w:p>
  </w:footnote>
  <w:footnote w:id="468">
    <w:p w14:paraId="077350A2"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1999</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29 à 32, par</w:t>
      </w:r>
      <w:r w:rsidRPr="00FD184E">
        <w:rPr>
          <w:szCs w:val="18"/>
        </w:rPr>
        <w:t>.</w:t>
      </w:r>
      <w:r w:rsidRPr="004B1202">
        <w:rPr>
          <w:szCs w:val="18"/>
        </w:rPr>
        <w:t> 90 à 92</w:t>
      </w:r>
      <w:r w:rsidRPr="00FD184E">
        <w:rPr>
          <w:szCs w:val="18"/>
        </w:rPr>
        <w:t>.</w:t>
      </w:r>
    </w:p>
  </w:footnote>
  <w:footnote w:id="469">
    <w:p w14:paraId="6DE904A1" w14:textId="2D1A6B32" w:rsidR="005A67A9" w:rsidRPr="005A67A9" w:rsidRDefault="005A67A9" w:rsidP="00E9227E">
      <w:pPr>
        <w:pStyle w:val="Notedebasdepage"/>
        <w:rPr>
          <w:szCs w:val="18"/>
          <w:lang w:val="en-US"/>
        </w:rPr>
      </w:pPr>
      <w:r w:rsidRPr="004B1202">
        <w:rPr>
          <w:szCs w:val="18"/>
        </w:rPr>
        <w:tab/>
      </w:r>
      <w:r w:rsidRPr="00E9227E">
        <w:rPr>
          <w:rStyle w:val="Appelnotedebasdep"/>
        </w:rPr>
        <w:footnoteRef/>
      </w:r>
      <w:r w:rsidRPr="005A67A9">
        <w:rPr>
          <w:szCs w:val="18"/>
          <w:lang w:val="en-US"/>
        </w:rPr>
        <w:tab/>
        <w:t xml:space="preserve">James Crawford, </w:t>
      </w:r>
      <w:r w:rsidRPr="005A67A9">
        <w:rPr>
          <w:i/>
          <w:iCs/>
          <w:szCs w:val="18"/>
          <w:lang w:val="en-US"/>
        </w:rPr>
        <w:t>State Responsibility: The General Part</w:t>
      </w:r>
      <w:r w:rsidRPr="005A67A9">
        <w:rPr>
          <w:szCs w:val="18"/>
          <w:lang w:val="en-US"/>
        </w:rPr>
        <w:t xml:space="preserve"> (Cambridge</w:t>
      </w:r>
      <w:r w:rsidR="00827FD1">
        <w:rPr>
          <w:szCs w:val="18"/>
          <w:lang w:val="en-US"/>
        </w:rPr>
        <w:t> </w:t>
      </w:r>
      <w:r w:rsidRPr="005A67A9">
        <w:rPr>
          <w:szCs w:val="18"/>
          <w:lang w:val="en-US"/>
        </w:rPr>
        <w:t>: Cambridge University Press, 2013), p. 226 à 232.</w:t>
      </w:r>
    </w:p>
  </w:footnote>
  <w:footnote w:id="470">
    <w:p w14:paraId="1F639405" w14:textId="0E56FA68" w:rsidR="005A67A9" w:rsidRPr="004B1202" w:rsidRDefault="005A67A9" w:rsidP="00E9227E">
      <w:pPr>
        <w:pStyle w:val="Notedebasdepage"/>
        <w:rPr>
          <w:szCs w:val="18"/>
        </w:rPr>
      </w:pPr>
      <w:r w:rsidRPr="005A67A9">
        <w:rPr>
          <w:szCs w:val="18"/>
          <w:lang w:val="en-US"/>
        </w:rPr>
        <w:tab/>
      </w:r>
      <w:r w:rsidRPr="00E9227E">
        <w:rPr>
          <w:rStyle w:val="Appelnotedebasdep"/>
        </w:rPr>
        <w:footnoteRef/>
      </w:r>
      <w:r w:rsidRPr="004B1202">
        <w:rPr>
          <w:szCs w:val="18"/>
        </w:rPr>
        <w:tab/>
        <w:t>Projet d</w:t>
      </w:r>
      <w:r w:rsidR="004937A0">
        <w:rPr>
          <w:szCs w:val="18"/>
        </w:rPr>
        <w:t>’</w:t>
      </w:r>
      <w:r w:rsidRPr="004B1202">
        <w:rPr>
          <w:szCs w:val="18"/>
        </w:rPr>
        <w:t>articles sur la responsabilité de l</w:t>
      </w:r>
      <w:r w:rsidR="004937A0">
        <w:rPr>
          <w:szCs w:val="18"/>
        </w:rPr>
        <w:t>’</w:t>
      </w:r>
      <w:r w:rsidRPr="004B1202">
        <w:rPr>
          <w:szCs w:val="18"/>
        </w:rPr>
        <w:t xml:space="preserve">État pour fait internationalement illicite et commentaires y relatifs, </w:t>
      </w:r>
      <w:r w:rsidRPr="004B1202">
        <w:rPr>
          <w:i/>
          <w:iCs/>
          <w:szCs w:val="18"/>
        </w:rPr>
        <w:t>Annuaire … 2001</w:t>
      </w:r>
      <w:r w:rsidRPr="004B1202">
        <w:rPr>
          <w:szCs w:val="18"/>
        </w:rPr>
        <w:t>, vol</w:t>
      </w:r>
      <w:r w:rsidRPr="00FD184E">
        <w:rPr>
          <w:szCs w:val="18"/>
        </w:rPr>
        <w:t>.</w:t>
      </w:r>
      <w:r w:rsidRPr="004B1202">
        <w:rPr>
          <w:szCs w:val="18"/>
        </w:rPr>
        <w:t xml:space="preserve"> II (2</w:t>
      </w:r>
      <w:r w:rsidRPr="004B1202">
        <w:rPr>
          <w:szCs w:val="18"/>
          <w:vertAlign w:val="superscript"/>
        </w:rPr>
        <w:t>e</w:t>
      </w:r>
      <w:r w:rsidRPr="004B1202">
        <w:rPr>
          <w:szCs w:val="18"/>
        </w:rPr>
        <w:t> partie), Commentaire général, p</w:t>
      </w:r>
      <w:r w:rsidRPr="00FD184E">
        <w:rPr>
          <w:szCs w:val="18"/>
        </w:rPr>
        <w:t>.</w:t>
      </w:r>
      <w:r w:rsidRPr="004B1202">
        <w:rPr>
          <w:szCs w:val="18"/>
        </w:rPr>
        <w:t> 31 et 32, par</w:t>
      </w:r>
      <w:r w:rsidRPr="00FD184E">
        <w:rPr>
          <w:szCs w:val="18"/>
        </w:rPr>
        <w:t>.</w:t>
      </w:r>
      <w:r w:rsidRPr="004B1202">
        <w:rPr>
          <w:szCs w:val="18"/>
        </w:rPr>
        <w:t> 1 à 4</w:t>
      </w:r>
      <w:r w:rsidRPr="00FD184E">
        <w:rPr>
          <w:szCs w:val="18"/>
        </w:rPr>
        <w:t>.</w:t>
      </w:r>
      <w:r w:rsidRPr="004B1202">
        <w:rPr>
          <w:szCs w:val="18"/>
        </w:rPr>
        <w:t xml:space="preserve"> Pour la réponse éloquente du Rapporteur spécial, James Crawford, aux propositions tendant à ce que l</w:t>
      </w:r>
      <w:r w:rsidR="004937A0">
        <w:rPr>
          <w:szCs w:val="18"/>
        </w:rPr>
        <w:t>’</w:t>
      </w:r>
      <w:r w:rsidRPr="004B1202">
        <w:rPr>
          <w:szCs w:val="18"/>
        </w:rPr>
        <w:t>obligation de diligence soit consacrée dans le projet d</w:t>
      </w:r>
      <w:r w:rsidR="004937A0">
        <w:rPr>
          <w:szCs w:val="18"/>
        </w:rPr>
        <w:t>’</w:t>
      </w:r>
      <w:r w:rsidRPr="004B1202">
        <w:rPr>
          <w:szCs w:val="18"/>
        </w:rPr>
        <w:t>articles sur la responsabilité de l</w:t>
      </w:r>
      <w:r w:rsidR="004937A0">
        <w:rPr>
          <w:szCs w:val="18"/>
        </w:rPr>
        <w:t>’</w:t>
      </w:r>
      <w:r w:rsidRPr="004B1202">
        <w:rPr>
          <w:szCs w:val="18"/>
        </w:rPr>
        <w:t xml:space="preserve">État, voir </w:t>
      </w:r>
      <w:r w:rsidRPr="004B1202">
        <w:rPr>
          <w:i/>
          <w:iCs/>
          <w:szCs w:val="18"/>
        </w:rPr>
        <w:t>Annuaire … 1999</w:t>
      </w:r>
      <w:bookmarkStart w:id="287" w:name="_Hlk169770804"/>
      <w:r w:rsidRPr="004B1202">
        <w:rPr>
          <w:szCs w:val="18"/>
        </w:rPr>
        <w:t>, vol</w:t>
      </w:r>
      <w:r w:rsidRPr="00FD184E">
        <w:rPr>
          <w:szCs w:val="18"/>
        </w:rPr>
        <w:t>.</w:t>
      </w:r>
      <w:r w:rsidRPr="004B1202">
        <w:rPr>
          <w:szCs w:val="18"/>
        </w:rPr>
        <w:t xml:space="preserve"> I, p</w:t>
      </w:r>
      <w:r w:rsidRPr="00FD184E">
        <w:rPr>
          <w:szCs w:val="18"/>
        </w:rPr>
        <w:t>.</w:t>
      </w:r>
      <w:r w:rsidRPr="004B1202">
        <w:rPr>
          <w:szCs w:val="18"/>
        </w:rPr>
        <w:t> 191 et 192, par</w:t>
      </w:r>
      <w:r w:rsidRPr="00FD184E">
        <w:rPr>
          <w:szCs w:val="18"/>
        </w:rPr>
        <w:t>.</w:t>
      </w:r>
      <w:r w:rsidRPr="004B1202">
        <w:rPr>
          <w:szCs w:val="18"/>
        </w:rPr>
        <w:t> 52 à 58</w:t>
      </w:r>
      <w:r w:rsidRPr="00FD184E">
        <w:rPr>
          <w:szCs w:val="18"/>
        </w:rPr>
        <w:t>.</w:t>
      </w:r>
      <w:bookmarkEnd w:id="287"/>
    </w:p>
  </w:footnote>
  <w:footnote w:id="471">
    <w:p w14:paraId="4A323D49" w14:textId="4AFD7ABF"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rStyle w:val="Appelnotedebasdep"/>
          <w:szCs w:val="18"/>
        </w:rPr>
        <w:tab/>
      </w:r>
      <w:r w:rsidRPr="004B1202">
        <w:rPr>
          <w:szCs w:val="18"/>
        </w:rPr>
        <w:t>Deuxième rapport sur la responsabilité internationale pour les conséquences préjudiciables découlant d</w:t>
      </w:r>
      <w:r w:rsidR="004937A0">
        <w:rPr>
          <w:szCs w:val="18"/>
        </w:rPr>
        <w:t>’</w:t>
      </w:r>
      <w:r w:rsidRPr="004B1202">
        <w:rPr>
          <w:szCs w:val="18"/>
        </w:rPr>
        <w:t>activités qui ne sont pas interdites par le droit international, par M</w:t>
      </w:r>
      <w:r w:rsidRPr="00FD184E">
        <w:rPr>
          <w:szCs w:val="18"/>
        </w:rPr>
        <w:t>.</w:t>
      </w:r>
      <w:r w:rsidRPr="004B1202">
        <w:rPr>
          <w:szCs w:val="18"/>
        </w:rPr>
        <w:t> Robert Q</w:t>
      </w:r>
      <w:r w:rsidRPr="00FD184E">
        <w:rPr>
          <w:szCs w:val="18"/>
        </w:rPr>
        <w:t>.</w:t>
      </w:r>
      <w:r w:rsidRPr="004B1202">
        <w:rPr>
          <w:szCs w:val="18"/>
        </w:rPr>
        <w:t xml:space="preserve"> Quentin-Baxter, Rapporteur spécial, </w:t>
      </w:r>
      <w:r w:rsidRPr="004B1202">
        <w:rPr>
          <w:i/>
          <w:iCs/>
          <w:szCs w:val="18"/>
        </w:rPr>
        <w:t>Annuaire … 1981</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127 à 129 ; par</w:t>
      </w:r>
      <w:r w:rsidRPr="00FD184E">
        <w:rPr>
          <w:szCs w:val="18"/>
        </w:rPr>
        <w:t>.</w:t>
      </w:r>
      <w:r w:rsidRPr="004B1202">
        <w:rPr>
          <w:szCs w:val="18"/>
        </w:rPr>
        <w:t> 78 à 93 ; Quatrième rapport sur la responsabilité internationale pour les conséquences préjudiciables découlant d</w:t>
      </w:r>
      <w:r w:rsidR="004937A0">
        <w:rPr>
          <w:szCs w:val="18"/>
        </w:rPr>
        <w:t>’</w:t>
      </w:r>
      <w:r w:rsidRPr="004B1202">
        <w:rPr>
          <w:szCs w:val="18"/>
        </w:rPr>
        <w:t>activités qui ne sont pas interdites par le droit international, par M</w:t>
      </w:r>
      <w:r w:rsidRPr="00FD184E">
        <w:rPr>
          <w:szCs w:val="18"/>
        </w:rPr>
        <w:t>.</w:t>
      </w:r>
      <w:r w:rsidRPr="004B1202">
        <w:rPr>
          <w:szCs w:val="18"/>
        </w:rPr>
        <w:t> Robert Q</w:t>
      </w:r>
      <w:r w:rsidRPr="00FD184E">
        <w:rPr>
          <w:szCs w:val="18"/>
        </w:rPr>
        <w:t>.</w:t>
      </w:r>
      <w:r w:rsidRPr="004B1202">
        <w:rPr>
          <w:szCs w:val="18"/>
        </w:rPr>
        <w:t xml:space="preserve"> Quentin-Baxter, Rapporteur spécial, </w:t>
      </w:r>
      <w:bookmarkStart w:id="289" w:name="_Hlk167095366"/>
      <w:r w:rsidRPr="004B1202">
        <w:rPr>
          <w:i/>
          <w:iCs/>
          <w:szCs w:val="18"/>
        </w:rPr>
        <w:t>Annuaire … 1983</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xml:space="preserve"> partie), </w:t>
      </w:r>
      <w:bookmarkEnd w:id="289"/>
      <w:r w:rsidRPr="004B1202">
        <w:rPr>
          <w:szCs w:val="18"/>
        </w:rPr>
        <w:t>p</w:t>
      </w:r>
      <w:r w:rsidRPr="00FD184E">
        <w:rPr>
          <w:szCs w:val="18"/>
        </w:rPr>
        <w:t>.</w:t>
      </w:r>
      <w:r w:rsidRPr="004B1202">
        <w:rPr>
          <w:szCs w:val="18"/>
        </w:rPr>
        <w:t> 210, par</w:t>
      </w:r>
      <w:r w:rsidRPr="00FD184E">
        <w:rPr>
          <w:szCs w:val="18"/>
        </w:rPr>
        <w:t>.</w:t>
      </w:r>
      <w:r w:rsidRPr="004B1202">
        <w:rPr>
          <w:szCs w:val="18"/>
        </w:rPr>
        <w:t> 2</w:t>
      </w:r>
      <w:r w:rsidRPr="00FD184E">
        <w:rPr>
          <w:szCs w:val="18"/>
        </w:rPr>
        <w:t>.</w:t>
      </w:r>
    </w:p>
  </w:footnote>
  <w:footnote w:id="472">
    <w:p w14:paraId="0465FF93" w14:textId="6013EC1A"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Quatrième rapport de Quentin-Baxter, note </w:t>
      </w:r>
      <w:r w:rsidR="00A713AF">
        <w:rPr>
          <w:szCs w:val="18"/>
        </w:rPr>
        <w:fldChar w:fldCharType="begin"/>
      </w:r>
      <w:r w:rsidR="00A713AF">
        <w:rPr>
          <w:szCs w:val="18"/>
        </w:rPr>
        <w:instrText xml:space="preserve"> NOTEREF _Ref175549150 \h </w:instrText>
      </w:r>
      <w:r w:rsidR="00A713AF">
        <w:rPr>
          <w:szCs w:val="18"/>
        </w:rPr>
      </w:r>
      <w:r w:rsidR="00A713AF">
        <w:rPr>
          <w:szCs w:val="18"/>
        </w:rPr>
        <w:fldChar w:fldCharType="separate"/>
      </w:r>
      <w:r w:rsidR="00EC4FDE">
        <w:rPr>
          <w:szCs w:val="18"/>
        </w:rPr>
        <w:t>30</w:t>
      </w:r>
      <w:r w:rsidR="00A713AF">
        <w:rPr>
          <w:szCs w:val="18"/>
        </w:rPr>
        <w:fldChar w:fldCharType="end"/>
      </w:r>
      <w:r w:rsidRPr="00754AAF">
        <w:rPr>
          <w:i/>
          <w:iCs/>
          <w:szCs w:val="18"/>
        </w:rPr>
        <w:t xml:space="preserve"> </w:t>
      </w:r>
      <w:r w:rsidRPr="004B1202">
        <w:rPr>
          <w:i/>
          <w:iCs/>
          <w:szCs w:val="18"/>
        </w:rPr>
        <w:t>supra</w:t>
      </w:r>
      <w:r w:rsidRPr="004B1202">
        <w:rPr>
          <w:szCs w:val="18"/>
        </w:rPr>
        <w:t>, p</w:t>
      </w:r>
      <w:r w:rsidRPr="00FD184E">
        <w:rPr>
          <w:szCs w:val="18"/>
        </w:rPr>
        <w:t>.</w:t>
      </w:r>
      <w:r w:rsidRPr="004B1202">
        <w:rPr>
          <w:szCs w:val="18"/>
        </w:rPr>
        <w:t> 210, note 8</w:t>
      </w:r>
      <w:r w:rsidRPr="00FD184E">
        <w:rPr>
          <w:szCs w:val="18"/>
        </w:rPr>
        <w:t>.</w:t>
      </w:r>
    </w:p>
  </w:footnote>
  <w:footnote w:id="473">
    <w:p w14:paraId="580A6D03" w14:textId="2B4A40B6"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Premier rapport sur la prévention des dommages transfrontières résultant d</w:t>
      </w:r>
      <w:r w:rsidR="004937A0">
        <w:rPr>
          <w:szCs w:val="18"/>
        </w:rPr>
        <w:t>’</w:t>
      </w:r>
      <w:r w:rsidRPr="004B1202">
        <w:rPr>
          <w:szCs w:val="18"/>
        </w:rPr>
        <w:t>activités dangereuses, par M</w:t>
      </w:r>
      <w:r w:rsidRPr="00FD184E">
        <w:rPr>
          <w:szCs w:val="18"/>
        </w:rPr>
        <w:t>.</w:t>
      </w:r>
      <w:r w:rsidRPr="004B1202">
        <w:rPr>
          <w:szCs w:val="18"/>
        </w:rPr>
        <w:t xml:space="preserve"> Pemmaraju Sreenivasa Rao, Rapporteur spécial, </w:t>
      </w:r>
      <w:r w:rsidRPr="004B1202">
        <w:rPr>
          <w:i/>
          <w:iCs/>
          <w:szCs w:val="18"/>
        </w:rPr>
        <w:t>Annuaire … 1998</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194, par</w:t>
      </w:r>
      <w:r w:rsidRPr="00FD184E">
        <w:rPr>
          <w:szCs w:val="18"/>
        </w:rPr>
        <w:t>.</w:t>
      </w:r>
      <w:r w:rsidRPr="004B1202">
        <w:rPr>
          <w:szCs w:val="18"/>
        </w:rPr>
        <w:t> 71</w:t>
      </w:r>
      <w:r w:rsidRPr="00FD184E">
        <w:rPr>
          <w:szCs w:val="18"/>
        </w:rPr>
        <w:t>.</w:t>
      </w:r>
    </w:p>
  </w:footnote>
  <w:footnote w:id="474">
    <w:p w14:paraId="2304F84A" w14:textId="76EEC518"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Résolution de l</w:t>
      </w:r>
      <w:r w:rsidR="004937A0">
        <w:rPr>
          <w:szCs w:val="18"/>
        </w:rPr>
        <w:t>’</w:t>
      </w:r>
      <w:r w:rsidRPr="004B1202">
        <w:rPr>
          <w:szCs w:val="18"/>
        </w:rPr>
        <w:t xml:space="preserve">Assemblée générale des Nations Unies, Rapport de la Commission du droit international sur les travaux de sa quarante-neuvième session, </w:t>
      </w:r>
      <w:hyperlink r:id="rId245" w:history="1">
        <w:r w:rsidRPr="004B1202">
          <w:rPr>
            <w:rStyle w:val="Lienhypertexte"/>
            <w:szCs w:val="18"/>
          </w:rPr>
          <w:t>A/RES/52/156</w:t>
        </w:r>
      </w:hyperlink>
      <w:r w:rsidRPr="004B1202">
        <w:rPr>
          <w:szCs w:val="18"/>
        </w:rPr>
        <w:t>, 26 janvier 1998</w:t>
      </w:r>
      <w:r w:rsidRPr="00FD184E">
        <w:rPr>
          <w:szCs w:val="18"/>
        </w:rPr>
        <w:t>.</w:t>
      </w:r>
    </w:p>
  </w:footnote>
  <w:footnote w:id="475">
    <w:p w14:paraId="10B5ED73" w14:textId="08DF6970"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Pour un aperçu des travaux antérieurs de la Commission sur le sujet, voir le premier rapport sur la prévention des dommages transfrontières découlant d</w:t>
      </w:r>
      <w:r w:rsidR="004937A0">
        <w:rPr>
          <w:szCs w:val="18"/>
        </w:rPr>
        <w:t>’</w:t>
      </w:r>
      <w:r w:rsidRPr="004B1202">
        <w:rPr>
          <w:szCs w:val="18"/>
        </w:rPr>
        <w:t>activités dangereuses, par M</w:t>
      </w:r>
      <w:r w:rsidRPr="00FD184E">
        <w:rPr>
          <w:szCs w:val="18"/>
        </w:rPr>
        <w:t>.</w:t>
      </w:r>
      <w:r w:rsidRPr="004B1202">
        <w:rPr>
          <w:szCs w:val="18"/>
        </w:rPr>
        <w:t> Pemmaraju Sreenivasa Rao</w:t>
      </w:r>
      <w:r w:rsidRPr="004B1202">
        <w:rPr>
          <w:kern w:val="2"/>
          <w:szCs w:val="18"/>
          <w14:ligatures w14:val="standardContextual"/>
        </w:rPr>
        <w:t xml:space="preserve">, </w:t>
      </w:r>
      <w:r w:rsidRPr="004B1202">
        <w:rPr>
          <w:szCs w:val="18"/>
        </w:rPr>
        <w:t xml:space="preserve">Rapporteur spécial, </w:t>
      </w:r>
      <w:r w:rsidRPr="004B1202">
        <w:rPr>
          <w:i/>
          <w:iCs/>
          <w:szCs w:val="18"/>
        </w:rPr>
        <w:t>Annuaire … 1998</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186 à 193, par</w:t>
      </w:r>
      <w:r w:rsidRPr="00FD184E">
        <w:rPr>
          <w:szCs w:val="18"/>
        </w:rPr>
        <w:t>.</w:t>
      </w:r>
      <w:r w:rsidRPr="004B1202">
        <w:rPr>
          <w:szCs w:val="18"/>
        </w:rPr>
        <w:t> 32 à 70</w:t>
      </w:r>
      <w:r w:rsidRPr="00FD184E">
        <w:rPr>
          <w:szCs w:val="18"/>
        </w:rPr>
        <w:t>.</w:t>
      </w:r>
    </w:p>
  </w:footnote>
  <w:footnote w:id="476">
    <w:p w14:paraId="2E6321F4" w14:textId="24BD74E3" w:rsidR="005A67A9" w:rsidRPr="004B1202" w:rsidRDefault="005A67A9" w:rsidP="00E9227E">
      <w:pPr>
        <w:pStyle w:val="Notedebasdepage"/>
        <w:rPr>
          <w:szCs w:val="18"/>
        </w:rPr>
      </w:pPr>
      <w:r w:rsidRPr="004B1202">
        <w:rPr>
          <w:szCs w:val="18"/>
        </w:rPr>
        <w:tab/>
      </w:r>
      <w:r w:rsidRPr="00E9227E">
        <w:rPr>
          <w:rStyle w:val="Appelnotedebasdep"/>
        </w:rPr>
        <w:footnoteRef/>
      </w:r>
      <w:bookmarkStart w:id="291" w:name="_Hlk167023193"/>
      <w:r w:rsidRPr="004B1202">
        <w:rPr>
          <w:szCs w:val="18"/>
        </w:rPr>
        <w:tab/>
        <w:t>Deuxième rapport sur la responsabilité internationale pour les conséquences préjudiciables découlant d</w:t>
      </w:r>
      <w:r w:rsidR="004937A0">
        <w:rPr>
          <w:szCs w:val="18"/>
        </w:rPr>
        <w:t>’</w:t>
      </w:r>
      <w:r w:rsidRPr="004B1202">
        <w:rPr>
          <w:szCs w:val="18"/>
        </w:rPr>
        <w:t>activités qui ne sont pas interdites par le droit international (prévention des dommages transfrontières résultant d</w:t>
      </w:r>
      <w:r w:rsidR="004937A0">
        <w:rPr>
          <w:szCs w:val="18"/>
        </w:rPr>
        <w:t>’</w:t>
      </w:r>
      <w:r w:rsidRPr="004B1202">
        <w:rPr>
          <w:szCs w:val="18"/>
        </w:rPr>
        <w:t>activités dangereuses), par M</w:t>
      </w:r>
      <w:r w:rsidRPr="00FD184E">
        <w:rPr>
          <w:szCs w:val="18"/>
        </w:rPr>
        <w:t>.</w:t>
      </w:r>
      <w:bookmarkStart w:id="292" w:name="_Hlk166918105"/>
      <w:r w:rsidRPr="004B1202">
        <w:rPr>
          <w:szCs w:val="18"/>
        </w:rPr>
        <w:t> Pemmaraju Sreenivasa Rao,</w:t>
      </w:r>
      <w:bookmarkEnd w:id="292"/>
      <w:r w:rsidRPr="004B1202">
        <w:rPr>
          <w:szCs w:val="18"/>
        </w:rPr>
        <w:t xml:space="preserve"> Rapporteur spécial, </w:t>
      </w:r>
      <w:r w:rsidRPr="004B1202">
        <w:rPr>
          <w:i/>
          <w:iCs/>
          <w:szCs w:val="18"/>
        </w:rPr>
        <w:t>Annuaire … 1999</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130 à 136, par</w:t>
      </w:r>
      <w:r w:rsidRPr="00FD184E">
        <w:rPr>
          <w:szCs w:val="18"/>
        </w:rPr>
        <w:t>.</w:t>
      </w:r>
      <w:r w:rsidRPr="004B1202">
        <w:rPr>
          <w:szCs w:val="18"/>
        </w:rPr>
        <w:t> 18 à 49</w:t>
      </w:r>
      <w:r w:rsidRPr="00FD184E">
        <w:rPr>
          <w:szCs w:val="18"/>
        </w:rPr>
        <w:t>.</w:t>
      </w:r>
      <w:bookmarkEnd w:id="291"/>
    </w:p>
  </w:footnote>
  <w:footnote w:id="477">
    <w:p w14:paraId="2C1A6AEE" w14:textId="29D6DE1C" w:rsidR="005A67A9" w:rsidRPr="004B1202" w:rsidRDefault="005A67A9" w:rsidP="00E9227E">
      <w:pPr>
        <w:pStyle w:val="Notedebasdepage"/>
        <w:rPr>
          <w:szCs w:val="18"/>
        </w:rPr>
      </w:pPr>
      <w:r w:rsidRPr="004B1202">
        <w:rPr>
          <w:szCs w:val="18"/>
        </w:rPr>
        <w:tab/>
      </w:r>
      <w:r w:rsidRPr="00E9227E">
        <w:rPr>
          <w:rStyle w:val="Appelnotedebasdep"/>
        </w:rPr>
        <w:footnoteRef/>
      </w:r>
      <w:bookmarkStart w:id="293" w:name="_Hlk166920914"/>
      <w:r w:rsidRPr="004B1202">
        <w:rPr>
          <w:rStyle w:val="Appelnotedebasdep"/>
          <w:szCs w:val="18"/>
        </w:rPr>
        <w:tab/>
      </w:r>
      <w:r w:rsidRPr="004B1202">
        <w:rPr>
          <w:szCs w:val="18"/>
        </w:rPr>
        <w:t>Projet d</w:t>
      </w:r>
      <w:r w:rsidR="004937A0">
        <w:rPr>
          <w:szCs w:val="18"/>
        </w:rPr>
        <w:t>’</w:t>
      </w:r>
      <w:r w:rsidRPr="004B1202">
        <w:rPr>
          <w:szCs w:val="18"/>
        </w:rPr>
        <w:t>articles sur la prévention des dommages transfrontières résultant d</w:t>
      </w:r>
      <w:r w:rsidR="004937A0">
        <w:rPr>
          <w:szCs w:val="18"/>
        </w:rPr>
        <w:t>’</w:t>
      </w:r>
      <w:r w:rsidRPr="004B1202">
        <w:rPr>
          <w:szCs w:val="18"/>
        </w:rPr>
        <w:t xml:space="preserve">activités dangereuses, </w:t>
      </w:r>
      <w:r w:rsidRPr="004B1202">
        <w:rPr>
          <w:i/>
          <w:iCs/>
          <w:szCs w:val="18"/>
        </w:rPr>
        <w:t>Annuaire … 2001</w:t>
      </w:r>
      <w:r w:rsidRPr="004B1202">
        <w:rPr>
          <w:szCs w:val="18"/>
        </w:rPr>
        <w:t>, vol</w:t>
      </w:r>
      <w:r w:rsidRPr="00FD184E">
        <w:rPr>
          <w:szCs w:val="18"/>
        </w:rPr>
        <w:t>.</w:t>
      </w:r>
      <w:r w:rsidRPr="004B1202">
        <w:rPr>
          <w:szCs w:val="18"/>
        </w:rPr>
        <w:t xml:space="preserve"> II (2</w:t>
      </w:r>
      <w:r w:rsidRPr="004B1202">
        <w:rPr>
          <w:szCs w:val="18"/>
          <w:vertAlign w:val="superscript"/>
        </w:rPr>
        <w:t>e</w:t>
      </w:r>
      <w:r w:rsidRPr="004B1202">
        <w:rPr>
          <w:szCs w:val="18"/>
        </w:rPr>
        <w:t xml:space="preserve"> partie), </w:t>
      </w:r>
      <w:bookmarkEnd w:id="293"/>
      <w:r w:rsidRPr="004B1202">
        <w:rPr>
          <w:szCs w:val="18"/>
        </w:rPr>
        <w:t>p</w:t>
      </w:r>
      <w:r w:rsidRPr="00FD184E">
        <w:rPr>
          <w:szCs w:val="18"/>
        </w:rPr>
        <w:t>.</w:t>
      </w:r>
      <w:r w:rsidRPr="004B1202">
        <w:rPr>
          <w:szCs w:val="18"/>
        </w:rPr>
        <w:t> 159, par</w:t>
      </w:r>
      <w:r w:rsidRPr="00FD184E">
        <w:rPr>
          <w:szCs w:val="18"/>
        </w:rPr>
        <w:t>.</w:t>
      </w:r>
      <w:r w:rsidRPr="004B1202">
        <w:rPr>
          <w:szCs w:val="18"/>
        </w:rPr>
        <w:t> 2</w:t>
      </w:r>
      <w:r w:rsidRPr="00FD184E">
        <w:rPr>
          <w:szCs w:val="18"/>
        </w:rPr>
        <w:t>.</w:t>
      </w:r>
      <w:r w:rsidRPr="004B1202">
        <w:rPr>
          <w:szCs w:val="18"/>
        </w:rPr>
        <w:t xml:space="preserve"> Crawford a toutefois expliqué que ces deux obligations étaient différentes : l</w:t>
      </w:r>
      <w:r w:rsidR="004937A0">
        <w:rPr>
          <w:szCs w:val="18"/>
        </w:rPr>
        <w:t>’</w:t>
      </w:r>
      <w:r w:rsidRPr="004B1202">
        <w:rPr>
          <w:szCs w:val="18"/>
        </w:rPr>
        <w:t>inaction pouvait constituer un manquement à l</w:t>
      </w:r>
      <w:r w:rsidR="004937A0">
        <w:rPr>
          <w:szCs w:val="18"/>
        </w:rPr>
        <w:t>’</w:t>
      </w:r>
      <w:r w:rsidRPr="004B1202">
        <w:rPr>
          <w:szCs w:val="18"/>
        </w:rPr>
        <w:t>obligation de diligence, que l</w:t>
      </w:r>
      <w:r w:rsidR="004937A0">
        <w:rPr>
          <w:szCs w:val="18"/>
        </w:rPr>
        <w:t>’</w:t>
      </w:r>
      <w:r w:rsidRPr="004B1202">
        <w:rPr>
          <w:szCs w:val="18"/>
        </w:rPr>
        <w:t>événement interdit se produise ou non, alors qu</w:t>
      </w:r>
      <w:r w:rsidR="004937A0">
        <w:rPr>
          <w:szCs w:val="18"/>
        </w:rPr>
        <w:t>’</w:t>
      </w:r>
      <w:r w:rsidRPr="004B1202">
        <w:rPr>
          <w:szCs w:val="18"/>
        </w:rPr>
        <w:t>en ce qui concerne l</w:t>
      </w:r>
      <w:r w:rsidR="004937A0">
        <w:rPr>
          <w:szCs w:val="18"/>
        </w:rPr>
        <w:t>’</w:t>
      </w:r>
      <w:r w:rsidRPr="004B1202">
        <w:rPr>
          <w:szCs w:val="18"/>
        </w:rPr>
        <w:t>obligation de prévention, il fallait à la fois que les mesures n</w:t>
      </w:r>
      <w:r w:rsidR="004937A0">
        <w:rPr>
          <w:szCs w:val="18"/>
        </w:rPr>
        <w:t>’</w:t>
      </w:r>
      <w:r w:rsidRPr="004B1202">
        <w:rPr>
          <w:szCs w:val="18"/>
        </w:rPr>
        <w:t>aient pas été prises et que l</w:t>
      </w:r>
      <w:r w:rsidR="004937A0">
        <w:rPr>
          <w:szCs w:val="18"/>
        </w:rPr>
        <w:t>’</w:t>
      </w:r>
      <w:r w:rsidRPr="004B1202">
        <w:rPr>
          <w:szCs w:val="18"/>
        </w:rPr>
        <w:t xml:space="preserve">événement se produise : Crawford, </w:t>
      </w:r>
      <w:r w:rsidRPr="004B1202">
        <w:rPr>
          <w:i/>
          <w:iCs/>
          <w:szCs w:val="18"/>
        </w:rPr>
        <w:t xml:space="preserve">State </w:t>
      </w:r>
      <w:proofErr w:type="spellStart"/>
      <w:r w:rsidRPr="004B1202">
        <w:rPr>
          <w:i/>
          <w:iCs/>
          <w:szCs w:val="18"/>
        </w:rPr>
        <w:t>Responsibility</w:t>
      </w:r>
      <w:proofErr w:type="spellEnd"/>
      <w:r w:rsidRPr="004B1202">
        <w:rPr>
          <w:szCs w:val="18"/>
        </w:rPr>
        <w:t>, note </w:t>
      </w:r>
      <w:r w:rsidRPr="004B1202">
        <w:rPr>
          <w:szCs w:val="18"/>
        </w:rPr>
        <w:fldChar w:fldCharType="begin"/>
      </w:r>
      <w:r w:rsidRPr="004B1202">
        <w:rPr>
          <w:szCs w:val="18"/>
        </w:rPr>
        <w:instrText xml:space="preserve"> NOTEREF _Ref174455037 \h </w:instrText>
      </w:r>
      <w:r w:rsidRPr="004B1202">
        <w:rPr>
          <w:szCs w:val="18"/>
        </w:rPr>
      </w:r>
      <w:r w:rsidRPr="004B1202">
        <w:rPr>
          <w:szCs w:val="18"/>
        </w:rPr>
        <w:fldChar w:fldCharType="separate"/>
      </w:r>
      <w:r w:rsidR="00EC4FDE">
        <w:rPr>
          <w:szCs w:val="18"/>
        </w:rPr>
        <w:t>28</w:t>
      </w:r>
      <w:r w:rsidRPr="004B1202">
        <w:rPr>
          <w:szCs w:val="18"/>
        </w:rPr>
        <w:fldChar w:fldCharType="end"/>
      </w:r>
      <w:r w:rsidRPr="00EC218F">
        <w:rPr>
          <w:i/>
          <w:iCs/>
          <w:szCs w:val="18"/>
        </w:rPr>
        <w:t xml:space="preserve"> </w:t>
      </w:r>
      <w:r w:rsidRPr="004B1202">
        <w:rPr>
          <w:i/>
          <w:iCs/>
          <w:szCs w:val="18"/>
        </w:rPr>
        <w:t>supra</w:t>
      </w:r>
      <w:r w:rsidRPr="004B1202">
        <w:rPr>
          <w:szCs w:val="18"/>
        </w:rPr>
        <w:t>, p</w:t>
      </w:r>
      <w:r w:rsidRPr="00FD184E">
        <w:rPr>
          <w:szCs w:val="18"/>
        </w:rPr>
        <w:t>.</w:t>
      </w:r>
      <w:r w:rsidRPr="004B1202">
        <w:rPr>
          <w:szCs w:val="18"/>
        </w:rPr>
        <w:t> 231 et 232</w:t>
      </w:r>
      <w:r w:rsidRPr="00FD184E">
        <w:rPr>
          <w:szCs w:val="18"/>
        </w:rPr>
        <w:t>.</w:t>
      </w:r>
    </w:p>
  </w:footnote>
  <w:footnote w:id="478">
    <w:p w14:paraId="0C84E569" w14:textId="1DEAE703"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Projet d</w:t>
      </w:r>
      <w:r w:rsidR="004937A0">
        <w:rPr>
          <w:szCs w:val="18"/>
        </w:rPr>
        <w:t>’</w:t>
      </w:r>
      <w:r w:rsidRPr="004B1202">
        <w:rPr>
          <w:szCs w:val="18"/>
        </w:rPr>
        <w:t>articles sur la prévention des dommages transfrontières découlant d</w:t>
      </w:r>
      <w:r w:rsidR="004937A0">
        <w:rPr>
          <w:szCs w:val="18"/>
        </w:rPr>
        <w:t>’</w:t>
      </w:r>
      <w:r w:rsidRPr="004B1202">
        <w:rPr>
          <w:szCs w:val="18"/>
        </w:rPr>
        <w:t xml:space="preserve">activités dangereuses, commentaire général, </w:t>
      </w:r>
      <w:r w:rsidRPr="004B1202">
        <w:rPr>
          <w:i/>
          <w:iCs/>
          <w:szCs w:val="18"/>
        </w:rPr>
        <w:t>Annuaire … 2001</w:t>
      </w:r>
      <w:r w:rsidRPr="004B1202">
        <w:rPr>
          <w:szCs w:val="18"/>
        </w:rPr>
        <w:t>, vol</w:t>
      </w:r>
      <w:r w:rsidRPr="00FD184E">
        <w:rPr>
          <w:szCs w:val="18"/>
        </w:rPr>
        <w:t>.</w:t>
      </w:r>
      <w:r w:rsidRPr="004B1202">
        <w:rPr>
          <w:szCs w:val="18"/>
        </w:rPr>
        <w:t xml:space="preserve"> II (2</w:t>
      </w:r>
      <w:r w:rsidRPr="004B1202">
        <w:rPr>
          <w:szCs w:val="18"/>
          <w:vertAlign w:val="superscript"/>
        </w:rPr>
        <w:t>e</w:t>
      </w:r>
      <w:r w:rsidRPr="004B1202">
        <w:rPr>
          <w:szCs w:val="18"/>
        </w:rPr>
        <w:t> partie), commentaire de l</w:t>
      </w:r>
      <w:r w:rsidR="004937A0">
        <w:rPr>
          <w:szCs w:val="18"/>
        </w:rPr>
        <w:t>’</w:t>
      </w:r>
      <w:r w:rsidRPr="004B1202">
        <w:rPr>
          <w:szCs w:val="18"/>
        </w:rPr>
        <w:t>Article 3, p</w:t>
      </w:r>
      <w:r w:rsidRPr="00FD184E">
        <w:rPr>
          <w:szCs w:val="18"/>
        </w:rPr>
        <w:t>.</w:t>
      </w:r>
      <w:r w:rsidRPr="004B1202">
        <w:rPr>
          <w:szCs w:val="18"/>
        </w:rPr>
        <w:t> 165 à 167, par</w:t>
      </w:r>
      <w:r w:rsidRPr="00FD184E">
        <w:rPr>
          <w:szCs w:val="18"/>
        </w:rPr>
        <w:t>.</w:t>
      </w:r>
      <w:r w:rsidRPr="004B1202">
        <w:rPr>
          <w:szCs w:val="18"/>
        </w:rPr>
        <w:t> 7 à 18</w:t>
      </w:r>
      <w:r w:rsidRPr="00FD184E">
        <w:rPr>
          <w:szCs w:val="18"/>
        </w:rPr>
        <w:t>.</w:t>
      </w:r>
    </w:p>
  </w:footnote>
  <w:footnote w:id="479">
    <w:p w14:paraId="6161A26B" w14:textId="263FB113"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Deuxième rapport sur la responsabilité pour les conséquences préjudiciables d</w:t>
      </w:r>
      <w:r w:rsidR="004937A0">
        <w:rPr>
          <w:szCs w:val="18"/>
        </w:rPr>
        <w:t>’</w:t>
      </w:r>
      <w:r w:rsidRPr="004B1202">
        <w:rPr>
          <w:szCs w:val="18"/>
        </w:rPr>
        <w:t>activités qui ne sont pas interdites par le droit international, par M</w:t>
      </w:r>
      <w:r w:rsidRPr="00FD184E">
        <w:rPr>
          <w:szCs w:val="18"/>
        </w:rPr>
        <w:t>.</w:t>
      </w:r>
      <w:r w:rsidRPr="004B1202">
        <w:rPr>
          <w:szCs w:val="18"/>
        </w:rPr>
        <w:t> Robert Q</w:t>
      </w:r>
      <w:r w:rsidRPr="00FD184E">
        <w:rPr>
          <w:szCs w:val="18"/>
        </w:rPr>
        <w:t>.</w:t>
      </w:r>
      <w:r w:rsidRPr="004B1202">
        <w:rPr>
          <w:szCs w:val="18"/>
        </w:rPr>
        <w:t xml:space="preserve"> Quentin-Baxter, Rapporteur spécial, </w:t>
      </w:r>
      <w:r w:rsidRPr="004B1202">
        <w:rPr>
          <w:i/>
          <w:iCs/>
          <w:szCs w:val="18"/>
        </w:rPr>
        <w:t>Annuaire … 1981</w:t>
      </w:r>
      <w:r w:rsidRPr="004B1202">
        <w:rPr>
          <w:szCs w:val="18"/>
        </w:rPr>
        <w:t>, vol</w:t>
      </w:r>
      <w:r w:rsidRPr="00FD184E">
        <w:rPr>
          <w:szCs w:val="18"/>
        </w:rPr>
        <w:t>.</w:t>
      </w:r>
      <w:r w:rsidRPr="004B1202">
        <w:rPr>
          <w:szCs w:val="18"/>
        </w:rPr>
        <w:t> II (1</w:t>
      </w:r>
      <w:r w:rsidRPr="004B1202">
        <w:rPr>
          <w:szCs w:val="18"/>
          <w:vertAlign w:val="superscript"/>
        </w:rPr>
        <w:t>re</w:t>
      </w:r>
      <w:r w:rsidRPr="004B1202">
        <w:rPr>
          <w:szCs w:val="18"/>
        </w:rPr>
        <w:t> partie), p</w:t>
      </w:r>
      <w:r w:rsidRPr="00FD184E">
        <w:rPr>
          <w:szCs w:val="18"/>
        </w:rPr>
        <w:t>.</w:t>
      </w:r>
      <w:r w:rsidRPr="004B1202">
        <w:rPr>
          <w:szCs w:val="18"/>
        </w:rPr>
        <w:t> 125 à 129, par</w:t>
      </w:r>
      <w:r w:rsidRPr="00FD184E">
        <w:rPr>
          <w:szCs w:val="18"/>
        </w:rPr>
        <w:t>.</w:t>
      </w:r>
      <w:r w:rsidRPr="004B1202">
        <w:rPr>
          <w:szCs w:val="18"/>
        </w:rPr>
        <w:t> 68 à 72 et 90</w:t>
      </w:r>
      <w:r w:rsidRPr="00FD184E">
        <w:rPr>
          <w:szCs w:val="18"/>
        </w:rPr>
        <w:t>.</w:t>
      </w:r>
    </w:p>
  </w:footnote>
  <w:footnote w:id="480">
    <w:p w14:paraId="79A0C254" w14:textId="5BDEE868"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Troisième rapport sur la responsabilité internationale pour les conséquences préjudiciables d</w:t>
      </w:r>
      <w:r w:rsidR="004937A0">
        <w:rPr>
          <w:szCs w:val="18"/>
        </w:rPr>
        <w:t>’</w:t>
      </w:r>
      <w:r w:rsidRPr="004B1202">
        <w:rPr>
          <w:szCs w:val="18"/>
        </w:rPr>
        <w:t>activités qui ne sont pas interdites par le droit international, par M</w:t>
      </w:r>
      <w:r w:rsidRPr="00FD184E">
        <w:rPr>
          <w:szCs w:val="18"/>
        </w:rPr>
        <w:t>.</w:t>
      </w:r>
      <w:r w:rsidRPr="004B1202">
        <w:rPr>
          <w:szCs w:val="18"/>
        </w:rPr>
        <w:t> Robert Q</w:t>
      </w:r>
      <w:r w:rsidRPr="00FD184E">
        <w:rPr>
          <w:szCs w:val="18"/>
        </w:rPr>
        <w:t>.</w:t>
      </w:r>
      <w:r w:rsidRPr="004B1202">
        <w:rPr>
          <w:szCs w:val="18"/>
        </w:rPr>
        <w:t xml:space="preserve"> Quentin-Baxter, Rapporteur spécial, </w:t>
      </w:r>
      <w:r w:rsidRPr="004B1202">
        <w:rPr>
          <w:i/>
          <w:iCs/>
          <w:szCs w:val="18"/>
        </w:rPr>
        <w:t>Annuaire … 1982</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66 à 68, par</w:t>
      </w:r>
      <w:r w:rsidRPr="00FD184E">
        <w:rPr>
          <w:szCs w:val="18"/>
        </w:rPr>
        <w:t>.</w:t>
      </w:r>
      <w:r w:rsidRPr="004B1202">
        <w:rPr>
          <w:szCs w:val="18"/>
        </w:rPr>
        <w:t> 19 à 23</w:t>
      </w:r>
      <w:r w:rsidRPr="00FD184E">
        <w:rPr>
          <w:szCs w:val="18"/>
        </w:rPr>
        <w:t>.</w:t>
      </w:r>
      <w:r w:rsidRPr="004B1202">
        <w:rPr>
          <w:szCs w:val="18"/>
        </w:rPr>
        <w:t xml:space="preserve"> </w:t>
      </w:r>
    </w:p>
  </w:footnote>
  <w:footnote w:id="481">
    <w:p w14:paraId="274BFA17" w14:textId="7C9A6E40"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Quatrième rapport sur la responsabilité internationale pour les conséquences préjudiciables d</w:t>
      </w:r>
      <w:r w:rsidR="004937A0">
        <w:rPr>
          <w:szCs w:val="18"/>
        </w:rPr>
        <w:t>’</w:t>
      </w:r>
      <w:r w:rsidRPr="004B1202">
        <w:rPr>
          <w:szCs w:val="18"/>
        </w:rPr>
        <w:t>activités qui ne sont pas interdites par le droit international, par M</w:t>
      </w:r>
      <w:r w:rsidRPr="00FD184E">
        <w:rPr>
          <w:szCs w:val="18"/>
        </w:rPr>
        <w:t>.</w:t>
      </w:r>
      <w:r w:rsidRPr="004B1202">
        <w:rPr>
          <w:szCs w:val="18"/>
        </w:rPr>
        <w:t xml:space="preserve"> Robert Q</w:t>
      </w:r>
      <w:r w:rsidRPr="00FD184E">
        <w:rPr>
          <w:szCs w:val="18"/>
        </w:rPr>
        <w:t>.</w:t>
      </w:r>
      <w:r w:rsidRPr="004B1202">
        <w:rPr>
          <w:szCs w:val="18"/>
        </w:rPr>
        <w:t xml:space="preserve"> Quentin-Baxter, Rapporteur spécial, </w:t>
      </w:r>
      <w:r w:rsidRPr="004B1202">
        <w:rPr>
          <w:i/>
          <w:iCs/>
          <w:szCs w:val="18"/>
        </w:rPr>
        <w:t>Annuaire … 1983</w:t>
      </w:r>
      <w:r w:rsidRPr="004B1202">
        <w:rPr>
          <w:szCs w:val="18"/>
        </w:rPr>
        <w:t>, p</w:t>
      </w:r>
      <w:r w:rsidRPr="00FD184E">
        <w:rPr>
          <w:szCs w:val="18"/>
        </w:rPr>
        <w:t>.</w:t>
      </w:r>
      <w:r w:rsidRPr="004B1202">
        <w:rPr>
          <w:szCs w:val="18"/>
        </w:rPr>
        <w:t> 211, par</w:t>
      </w:r>
      <w:r w:rsidRPr="00FD184E">
        <w:rPr>
          <w:szCs w:val="18"/>
        </w:rPr>
        <w:t>.</w:t>
      </w:r>
      <w:r w:rsidRPr="004B1202">
        <w:rPr>
          <w:szCs w:val="18"/>
        </w:rPr>
        <w:t> 7</w:t>
      </w:r>
      <w:r w:rsidRPr="00FD184E">
        <w:rPr>
          <w:szCs w:val="18"/>
        </w:rPr>
        <w:t>.</w:t>
      </w:r>
      <w:r w:rsidRPr="004B1202">
        <w:rPr>
          <w:szCs w:val="18"/>
        </w:rPr>
        <w:t xml:space="preserve"> </w:t>
      </w:r>
    </w:p>
  </w:footnote>
  <w:footnote w:id="482">
    <w:p w14:paraId="28C61BA6" w14:textId="6D8A3BFB"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Voir deuxième rapport sur la responsabilité internationale pour les conséquences préjudiciables d</w:t>
      </w:r>
      <w:r w:rsidR="004937A0">
        <w:rPr>
          <w:szCs w:val="18"/>
        </w:rPr>
        <w:t>’</w:t>
      </w:r>
      <w:r w:rsidRPr="004B1202">
        <w:rPr>
          <w:szCs w:val="18"/>
        </w:rPr>
        <w:t>activités qui ne sont pas interdites par le droit international, par M</w:t>
      </w:r>
      <w:r w:rsidRPr="00FD184E">
        <w:rPr>
          <w:szCs w:val="18"/>
        </w:rPr>
        <w:t>.</w:t>
      </w:r>
      <w:r w:rsidRPr="004B1202">
        <w:rPr>
          <w:szCs w:val="18"/>
        </w:rPr>
        <w:t xml:space="preserve"> Julio Barboza, Rapporteur spécial, </w:t>
      </w:r>
      <w:r w:rsidRPr="004B1202">
        <w:rPr>
          <w:i/>
          <w:iCs/>
          <w:szCs w:val="18"/>
        </w:rPr>
        <w:t>Annuaire … 1986</w:t>
      </w:r>
      <w:r w:rsidRPr="004B1202">
        <w:rPr>
          <w:szCs w:val="18"/>
        </w:rPr>
        <w:t>, vol</w:t>
      </w:r>
      <w:r w:rsidRPr="00FD184E">
        <w:rPr>
          <w:szCs w:val="18"/>
        </w:rPr>
        <w:t>.</w:t>
      </w:r>
      <w:r w:rsidRPr="004B1202">
        <w:rPr>
          <w:szCs w:val="18"/>
        </w:rPr>
        <w:t> II (1</w:t>
      </w:r>
      <w:r w:rsidRPr="004B1202">
        <w:rPr>
          <w:szCs w:val="18"/>
          <w:vertAlign w:val="superscript"/>
        </w:rPr>
        <w:t>re</w:t>
      </w:r>
      <w:r w:rsidRPr="004B1202">
        <w:rPr>
          <w:szCs w:val="18"/>
        </w:rPr>
        <w:t> partie), p</w:t>
      </w:r>
      <w:r w:rsidRPr="00FD184E">
        <w:rPr>
          <w:szCs w:val="18"/>
        </w:rPr>
        <w:t>.</w:t>
      </w:r>
      <w:r w:rsidRPr="004B1202">
        <w:rPr>
          <w:szCs w:val="18"/>
        </w:rPr>
        <w:t> 153, par</w:t>
      </w:r>
      <w:r w:rsidRPr="00FD184E">
        <w:rPr>
          <w:szCs w:val="18"/>
        </w:rPr>
        <w:t>.</w:t>
      </w:r>
      <w:r w:rsidRPr="004B1202">
        <w:rPr>
          <w:szCs w:val="18"/>
        </w:rPr>
        <w:t> 18 ; deuxième rapport sur la responsabilité internationale pour les conséquences préjudiciables d</w:t>
      </w:r>
      <w:r w:rsidR="004937A0">
        <w:rPr>
          <w:szCs w:val="18"/>
        </w:rPr>
        <w:t>’</w:t>
      </w:r>
      <w:r w:rsidRPr="004B1202">
        <w:rPr>
          <w:szCs w:val="18"/>
        </w:rPr>
        <w:t>activités qui ne sont pas interdites par le droit international (prévention des dommages transfrontières découlant d</w:t>
      </w:r>
      <w:r w:rsidR="004937A0">
        <w:rPr>
          <w:szCs w:val="18"/>
        </w:rPr>
        <w:t>’</w:t>
      </w:r>
      <w:r w:rsidRPr="004B1202">
        <w:rPr>
          <w:szCs w:val="18"/>
        </w:rPr>
        <w:t>activités dangereuses), par M</w:t>
      </w:r>
      <w:r w:rsidRPr="00FD184E">
        <w:rPr>
          <w:szCs w:val="18"/>
        </w:rPr>
        <w:t>.</w:t>
      </w:r>
      <w:r w:rsidRPr="004B1202">
        <w:rPr>
          <w:szCs w:val="18"/>
        </w:rPr>
        <w:t xml:space="preserve"> Pemmaraju Sreenivasa Rao, Rapporteur spécial, </w:t>
      </w:r>
      <w:r w:rsidRPr="004B1202">
        <w:rPr>
          <w:i/>
          <w:iCs/>
          <w:szCs w:val="18"/>
        </w:rPr>
        <w:t>Annuaire … 1999</w:t>
      </w:r>
      <w:r w:rsidRPr="004B1202">
        <w:rPr>
          <w:szCs w:val="18"/>
        </w:rPr>
        <w:t>, vol</w:t>
      </w:r>
      <w:r w:rsidRPr="00FD184E">
        <w:rPr>
          <w:szCs w:val="18"/>
        </w:rPr>
        <w:t>.</w:t>
      </w:r>
      <w:r w:rsidRPr="004B1202">
        <w:rPr>
          <w:szCs w:val="18"/>
        </w:rPr>
        <w:t xml:space="preserve"> II (1</w:t>
      </w:r>
      <w:r w:rsidRPr="004B1202">
        <w:rPr>
          <w:szCs w:val="18"/>
          <w:vertAlign w:val="superscript"/>
        </w:rPr>
        <w:t>re</w:t>
      </w:r>
      <w:r w:rsidRPr="004B1202">
        <w:rPr>
          <w:szCs w:val="18"/>
        </w:rPr>
        <w:t> partie), p</w:t>
      </w:r>
      <w:r w:rsidRPr="00FD184E">
        <w:rPr>
          <w:szCs w:val="18"/>
        </w:rPr>
        <w:t>.</w:t>
      </w:r>
      <w:r w:rsidRPr="004B1202">
        <w:rPr>
          <w:szCs w:val="18"/>
        </w:rPr>
        <w:t> 133, par</w:t>
      </w:r>
      <w:r w:rsidRPr="00FD184E">
        <w:rPr>
          <w:szCs w:val="18"/>
        </w:rPr>
        <w:t>.</w:t>
      </w:r>
      <w:r w:rsidRPr="004B1202">
        <w:rPr>
          <w:szCs w:val="18"/>
        </w:rPr>
        <w:t> 32</w:t>
      </w:r>
      <w:r w:rsidRPr="00FD184E">
        <w:rPr>
          <w:szCs w:val="18"/>
        </w:rPr>
        <w:t>.</w:t>
      </w:r>
    </w:p>
  </w:footnote>
  <w:footnote w:id="483">
    <w:p w14:paraId="531F7A3B" w14:textId="6C6AF931"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par exemple, </w:t>
      </w:r>
      <w:r w:rsidRPr="004B1202">
        <w:rPr>
          <w:i/>
          <w:iCs/>
          <w:szCs w:val="18"/>
        </w:rPr>
        <w:t>Annuaire … 1999</w:t>
      </w:r>
      <w:r w:rsidRPr="004B1202">
        <w:rPr>
          <w:szCs w:val="18"/>
        </w:rPr>
        <w:t>, vol</w:t>
      </w:r>
      <w:r w:rsidRPr="00FD184E">
        <w:rPr>
          <w:szCs w:val="18"/>
        </w:rPr>
        <w:t>.</w:t>
      </w:r>
      <w:r w:rsidRPr="004B1202">
        <w:rPr>
          <w:szCs w:val="18"/>
        </w:rPr>
        <w:t xml:space="preserve"> I, p</w:t>
      </w:r>
      <w:r w:rsidRPr="00FD184E">
        <w:rPr>
          <w:szCs w:val="18"/>
        </w:rPr>
        <w:t>.</w:t>
      </w:r>
      <w:r w:rsidRPr="004B1202">
        <w:rPr>
          <w:szCs w:val="18"/>
        </w:rPr>
        <w:t> 191 à 194 ; par</w:t>
      </w:r>
      <w:r w:rsidRPr="00FD184E">
        <w:rPr>
          <w:szCs w:val="18"/>
        </w:rPr>
        <w:t>.</w:t>
      </w:r>
      <w:r w:rsidRPr="004B1202">
        <w:rPr>
          <w:szCs w:val="18"/>
        </w:rPr>
        <w:t> 51 à 71 et l</w:t>
      </w:r>
      <w:r w:rsidR="004937A0">
        <w:rPr>
          <w:szCs w:val="18"/>
        </w:rPr>
        <w:t>’</w:t>
      </w:r>
      <w:r w:rsidRPr="004B1202">
        <w:rPr>
          <w:szCs w:val="18"/>
        </w:rPr>
        <w:t>échange de vues sur l</w:t>
      </w:r>
      <w:r w:rsidR="004937A0">
        <w:rPr>
          <w:szCs w:val="18"/>
        </w:rPr>
        <w:t>’</w:t>
      </w:r>
      <w:r w:rsidRPr="004B1202">
        <w:rPr>
          <w:szCs w:val="18"/>
        </w:rPr>
        <w:t>obligation de diligence entre le Rapporteur spécial, M</w:t>
      </w:r>
      <w:r w:rsidRPr="00FD184E">
        <w:rPr>
          <w:szCs w:val="18"/>
        </w:rPr>
        <w:t>.</w:t>
      </w:r>
      <w:r w:rsidRPr="004B1202">
        <w:rPr>
          <w:szCs w:val="18"/>
        </w:rPr>
        <w:t> James Crawford, et M</w:t>
      </w:r>
      <w:r w:rsidRPr="00FD184E">
        <w:rPr>
          <w:szCs w:val="18"/>
        </w:rPr>
        <w:t>.</w:t>
      </w:r>
      <w:r w:rsidRPr="004B1202">
        <w:rPr>
          <w:szCs w:val="18"/>
        </w:rPr>
        <w:t> Hafner et M</w:t>
      </w:r>
      <w:r w:rsidRPr="00FD184E">
        <w:rPr>
          <w:szCs w:val="18"/>
        </w:rPr>
        <w:t>.</w:t>
      </w:r>
      <w:r w:rsidRPr="004B1202">
        <w:rPr>
          <w:szCs w:val="18"/>
        </w:rPr>
        <w:t> Simma</w:t>
      </w:r>
      <w:r w:rsidRPr="00FD184E">
        <w:rPr>
          <w:szCs w:val="18"/>
        </w:rPr>
        <w:t>.</w:t>
      </w:r>
    </w:p>
  </w:footnote>
  <w:footnote w:id="484">
    <w:p w14:paraId="79A11BD9" w14:textId="543A14CE"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Voir quatrième rapport sur le droit relatif aux utilisations des cours d</w:t>
      </w:r>
      <w:r w:rsidR="004937A0">
        <w:rPr>
          <w:szCs w:val="18"/>
        </w:rPr>
        <w:t>’</w:t>
      </w:r>
      <w:r w:rsidRPr="004B1202">
        <w:rPr>
          <w:szCs w:val="18"/>
        </w:rPr>
        <w:t>eau internationaux à des fins autres que la navigation, par M</w:t>
      </w:r>
      <w:r w:rsidRPr="00FD184E">
        <w:rPr>
          <w:szCs w:val="18"/>
        </w:rPr>
        <w:t>.</w:t>
      </w:r>
      <w:r w:rsidRPr="004B1202">
        <w:rPr>
          <w:szCs w:val="18"/>
        </w:rPr>
        <w:t> Stephen C</w:t>
      </w:r>
      <w:r w:rsidRPr="00FD184E">
        <w:rPr>
          <w:szCs w:val="18"/>
        </w:rPr>
        <w:t>.</w:t>
      </w:r>
      <w:r w:rsidRPr="004B1202">
        <w:rPr>
          <w:szCs w:val="18"/>
        </w:rPr>
        <w:t xml:space="preserve"> McCaffrey, Rapporteur spécial, </w:t>
      </w:r>
      <w:r w:rsidRPr="004B1202">
        <w:rPr>
          <w:i/>
          <w:iCs/>
          <w:szCs w:val="18"/>
        </w:rPr>
        <w:t>Annuaire … 1988</w:t>
      </w:r>
      <w:r w:rsidRPr="004B1202">
        <w:rPr>
          <w:szCs w:val="18"/>
        </w:rPr>
        <w:t>, vol</w:t>
      </w:r>
      <w:r w:rsidRPr="00FD184E">
        <w:rPr>
          <w:szCs w:val="18"/>
        </w:rPr>
        <w:t>.</w:t>
      </w:r>
      <w:r w:rsidRPr="004B1202">
        <w:rPr>
          <w:szCs w:val="18"/>
        </w:rPr>
        <w:t xml:space="preserve"> I</w:t>
      </w:r>
      <w:r>
        <w:rPr>
          <w:szCs w:val="18"/>
        </w:rPr>
        <w:t>I</w:t>
      </w:r>
      <w:r w:rsidRPr="004B1202">
        <w:rPr>
          <w:szCs w:val="18"/>
        </w:rPr>
        <w:t xml:space="preserve"> (1</w:t>
      </w:r>
      <w:r w:rsidRPr="004B1202">
        <w:rPr>
          <w:szCs w:val="18"/>
          <w:vertAlign w:val="superscript"/>
        </w:rPr>
        <w:t>re</w:t>
      </w:r>
      <w:r w:rsidRPr="004B1202">
        <w:rPr>
          <w:szCs w:val="18"/>
        </w:rPr>
        <w:t> partie), p</w:t>
      </w:r>
      <w:r w:rsidRPr="00FD184E">
        <w:rPr>
          <w:szCs w:val="18"/>
        </w:rPr>
        <w:t>.</w:t>
      </w:r>
      <w:r w:rsidRPr="004B1202">
        <w:rPr>
          <w:szCs w:val="18"/>
        </w:rPr>
        <w:t> 238 à 245</w:t>
      </w:r>
      <w:r w:rsidRPr="00FD184E">
        <w:rPr>
          <w:szCs w:val="18"/>
        </w:rPr>
        <w:t>.</w:t>
      </w:r>
    </w:p>
  </w:footnote>
  <w:footnote w:id="485">
    <w:p w14:paraId="34B63BAF" w14:textId="64AAF68B"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4B1202">
        <w:rPr>
          <w:i/>
          <w:iCs/>
          <w:szCs w:val="18"/>
        </w:rPr>
        <w:t>Annuaire … 1994</w:t>
      </w:r>
      <w:r w:rsidRPr="004B1202">
        <w:rPr>
          <w:szCs w:val="18"/>
        </w:rPr>
        <w:t>, vol</w:t>
      </w:r>
      <w:r w:rsidRPr="00FD184E">
        <w:rPr>
          <w:szCs w:val="18"/>
        </w:rPr>
        <w:t>.</w:t>
      </w:r>
      <w:r w:rsidRPr="004B1202">
        <w:rPr>
          <w:szCs w:val="18"/>
        </w:rPr>
        <w:t xml:space="preserve"> II (2</w:t>
      </w:r>
      <w:r w:rsidRPr="004B1202">
        <w:rPr>
          <w:szCs w:val="18"/>
          <w:vertAlign w:val="superscript"/>
        </w:rPr>
        <w:t>e</w:t>
      </w:r>
      <w:r w:rsidRPr="004B1202">
        <w:rPr>
          <w:szCs w:val="18"/>
        </w:rPr>
        <w:t> partie), p</w:t>
      </w:r>
      <w:r w:rsidRPr="00FD184E">
        <w:rPr>
          <w:szCs w:val="18"/>
        </w:rPr>
        <w:t>.</w:t>
      </w:r>
      <w:r w:rsidRPr="004B1202">
        <w:rPr>
          <w:szCs w:val="18"/>
        </w:rPr>
        <w:t> 108 à 110, par</w:t>
      </w:r>
      <w:r w:rsidRPr="00FD184E">
        <w:rPr>
          <w:szCs w:val="18"/>
        </w:rPr>
        <w:t>.</w:t>
      </w:r>
      <w:r w:rsidRPr="004B1202">
        <w:rPr>
          <w:szCs w:val="18"/>
        </w:rPr>
        <w:t> 3 à 9 du commentaire de l</w:t>
      </w:r>
      <w:r w:rsidR="004937A0">
        <w:rPr>
          <w:szCs w:val="18"/>
        </w:rPr>
        <w:t>’</w:t>
      </w:r>
      <w:r w:rsidRPr="004B1202">
        <w:rPr>
          <w:szCs w:val="18"/>
        </w:rPr>
        <w:t>article 7</w:t>
      </w:r>
      <w:r w:rsidRPr="00FD184E">
        <w:rPr>
          <w:szCs w:val="18"/>
        </w:rPr>
        <w:t>.</w:t>
      </w:r>
    </w:p>
  </w:footnote>
  <w:footnote w:id="486">
    <w:p w14:paraId="4E1C791F" w14:textId="54F001BB"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Projet d</w:t>
      </w:r>
      <w:r w:rsidR="004937A0">
        <w:rPr>
          <w:szCs w:val="18"/>
        </w:rPr>
        <w:t>’</w:t>
      </w:r>
      <w:r w:rsidRPr="004B1202">
        <w:rPr>
          <w:szCs w:val="18"/>
        </w:rPr>
        <w:t xml:space="preserve">articles sur la protection des personnes en cas de catastrophe et commentaires y relatifs adoptés en 2016, </w:t>
      </w:r>
      <w:hyperlink r:id="rId246" w:history="1">
        <w:r w:rsidRPr="004B1202">
          <w:rPr>
            <w:rStyle w:val="Lienhypertexte"/>
            <w:szCs w:val="18"/>
          </w:rPr>
          <w:t>A/71/10</w:t>
        </w:r>
      </w:hyperlink>
      <w:r w:rsidRPr="004B1202">
        <w:rPr>
          <w:szCs w:val="18"/>
        </w:rPr>
        <w:t>, commentaire du projet d</w:t>
      </w:r>
      <w:r w:rsidR="004937A0">
        <w:rPr>
          <w:szCs w:val="18"/>
        </w:rPr>
        <w:t>’</w:t>
      </w:r>
      <w:r w:rsidRPr="004B1202">
        <w:rPr>
          <w:szCs w:val="18"/>
        </w:rPr>
        <w:t>article 9, par</w:t>
      </w:r>
      <w:r w:rsidRPr="00FD184E">
        <w:rPr>
          <w:szCs w:val="18"/>
        </w:rPr>
        <w:t>.</w:t>
      </w:r>
      <w:r w:rsidRPr="004B1202">
        <w:rPr>
          <w:szCs w:val="18"/>
        </w:rPr>
        <w:t> 4</w:t>
      </w:r>
      <w:r w:rsidRPr="00FD184E">
        <w:rPr>
          <w:szCs w:val="18"/>
        </w:rPr>
        <w:t>.</w:t>
      </w:r>
      <w:r w:rsidRPr="004B1202">
        <w:rPr>
          <w:szCs w:val="18"/>
        </w:rPr>
        <w:t xml:space="preserve"> Voir également l</w:t>
      </w:r>
      <w:r w:rsidR="004937A0">
        <w:rPr>
          <w:szCs w:val="18"/>
        </w:rPr>
        <w:t>’</w:t>
      </w:r>
      <w:r w:rsidRPr="004B1202">
        <w:rPr>
          <w:szCs w:val="18"/>
        </w:rPr>
        <w:t>article 16, qui établit l</w:t>
      </w:r>
      <w:r w:rsidR="004937A0">
        <w:rPr>
          <w:szCs w:val="18"/>
        </w:rPr>
        <w:t>’</w:t>
      </w:r>
      <w:r w:rsidRPr="004B1202">
        <w:rPr>
          <w:szCs w:val="18"/>
        </w:rPr>
        <w:t>obligation de l</w:t>
      </w:r>
      <w:r w:rsidR="004937A0">
        <w:rPr>
          <w:szCs w:val="18"/>
        </w:rPr>
        <w:t>’</w:t>
      </w:r>
      <w:r w:rsidRPr="004B1202">
        <w:rPr>
          <w:szCs w:val="18"/>
        </w:rPr>
        <w:t>État touché de prendre les mesures appropriées pour assurer la protection du personnel de secours et de l</w:t>
      </w:r>
      <w:r w:rsidR="004937A0">
        <w:rPr>
          <w:szCs w:val="18"/>
        </w:rPr>
        <w:t>’</w:t>
      </w:r>
      <w:r w:rsidRPr="004B1202">
        <w:rPr>
          <w:szCs w:val="18"/>
        </w:rPr>
        <w:t>équipement et des biens présents sur son territoire pour y fournir une assistance extérieure</w:t>
      </w:r>
      <w:r w:rsidRPr="00FD184E">
        <w:rPr>
          <w:szCs w:val="18"/>
        </w:rPr>
        <w:t>.</w:t>
      </w:r>
    </w:p>
  </w:footnote>
  <w:footnote w:id="487">
    <w:p w14:paraId="355F7E38" w14:textId="2C4812B6"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Projets de directive sur la protection de l</w:t>
      </w:r>
      <w:r w:rsidR="004937A0">
        <w:rPr>
          <w:szCs w:val="18"/>
        </w:rPr>
        <w:t>’</w:t>
      </w:r>
      <w:r w:rsidRPr="004B1202">
        <w:rPr>
          <w:szCs w:val="18"/>
        </w:rPr>
        <w:t xml:space="preserve">atmosphère et commentaires y relatifs, 2021, </w:t>
      </w:r>
      <w:hyperlink r:id="rId247" w:history="1">
        <w:r w:rsidRPr="004B1202">
          <w:rPr>
            <w:rStyle w:val="Lienhypertexte"/>
            <w:szCs w:val="18"/>
          </w:rPr>
          <w:t>A/76/10</w:t>
        </w:r>
      </w:hyperlink>
      <w:r w:rsidRPr="004B1202">
        <w:rPr>
          <w:szCs w:val="18"/>
        </w:rPr>
        <w:t>, directive 3</w:t>
      </w:r>
      <w:r w:rsidRPr="00FD184E">
        <w:rPr>
          <w:szCs w:val="18"/>
        </w:rPr>
        <w:t>.</w:t>
      </w:r>
    </w:p>
  </w:footnote>
  <w:footnote w:id="488">
    <w:p w14:paraId="2B79E9A9" w14:textId="55198F5B"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Projet de principes sur la protection de l</w:t>
      </w:r>
      <w:r w:rsidR="004937A0">
        <w:rPr>
          <w:szCs w:val="18"/>
        </w:rPr>
        <w:t>’</w:t>
      </w:r>
      <w:r w:rsidRPr="004B1202">
        <w:rPr>
          <w:szCs w:val="18"/>
        </w:rPr>
        <w:t xml:space="preserve">environnement en rapport avec les conflits armés et commentaires y relatifs, 2022, </w:t>
      </w:r>
      <w:hyperlink r:id="rId248" w:history="1">
        <w:r w:rsidRPr="004B1202">
          <w:rPr>
            <w:rStyle w:val="Lienhypertexte"/>
            <w:szCs w:val="18"/>
          </w:rPr>
          <w:t>A/77/10</w:t>
        </w:r>
      </w:hyperlink>
      <w:r w:rsidRPr="004B1202">
        <w:rPr>
          <w:szCs w:val="18"/>
        </w:rPr>
        <w:t>, principe 10</w:t>
      </w:r>
      <w:r w:rsidRPr="00FD184E">
        <w:rPr>
          <w:szCs w:val="18"/>
        </w:rPr>
        <w:t>.</w:t>
      </w:r>
    </w:p>
  </w:footnote>
  <w:footnote w:id="489">
    <w:p w14:paraId="7F05BE86" w14:textId="13174BFE"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Besson, </w:t>
      </w:r>
      <w:r w:rsidRPr="004B1202">
        <w:rPr>
          <w:i/>
          <w:iCs/>
          <w:szCs w:val="18"/>
        </w:rPr>
        <w:t>Due Diligence</w:t>
      </w:r>
      <w:r w:rsidRPr="004B1202">
        <w:rPr>
          <w:szCs w:val="18"/>
        </w:rPr>
        <w:t>,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sidRPr="00EC218F">
        <w:rPr>
          <w:i/>
          <w:iCs/>
          <w:szCs w:val="18"/>
        </w:rPr>
        <w:t xml:space="preserve"> </w:t>
      </w:r>
      <w:r w:rsidRPr="004B1202">
        <w:rPr>
          <w:i/>
          <w:iCs/>
          <w:szCs w:val="18"/>
        </w:rPr>
        <w:t>supra</w:t>
      </w:r>
      <w:r w:rsidRPr="004B1202">
        <w:rPr>
          <w:szCs w:val="18"/>
        </w:rPr>
        <w:t>, p</w:t>
      </w:r>
      <w:r w:rsidRPr="00FD184E">
        <w:rPr>
          <w:szCs w:val="18"/>
        </w:rPr>
        <w:t>.</w:t>
      </w:r>
      <w:r w:rsidRPr="004B1202">
        <w:rPr>
          <w:szCs w:val="18"/>
        </w:rPr>
        <w:t> 65</w:t>
      </w:r>
      <w:r w:rsidRPr="00FD184E">
        <w:rPr>
          <w:szCs w:val="18"/>
        </w:rPr>
        <w:t>.</w:t>
      </w:r>
    </w:p>
  </w:footnote>
  <w:footnote w:id="490">
    <w:p w14:paraId="1A6B1B7C" w14:textId="2BBC3FD6" w:rsidR="005A67A9" w:rsidRPr="005A67A9" w:rsidRDefault="005A67A9" w:rsidP="00E9227E">
      <w:pPr>
        <w:pStyle w:val="Notedebasdepage"/>
        <w:rPr>
          <w:szCs w:val="18"/>
          <w:lang w:val="en-US"/>
        </w:rPr>
      </w:pPr>
      <w:r w:rsidRPr="004B1202">
        <w:rPr>
          <w:szCs w:val="18"/>
        </w:rPr>
        <w:tab/>
      </w:r>
      <w:r w:rsidRPr="00E9227E">
        <w:rPr>
          <w:rStyle w:val="Appelnotedebasdep"/>
        </w:rPr>
        <w:footnoteRef/>
      </w:r>
      <w:r w:rsidRPr="005A67A9">
        <w:rPr>
          <w:szCs w:val="18"/>
          <w:lang w:val="en-US"/>
        </w:rPr>
        <w:tab/>
        <w:t xml:space="preserve">Riccardo Pisillo-Mazzeschi, « The Due Diligence Rule and the Nature of the International Responsibility of States », </w:t>
      </w:r>
      <w:r w:rsidRPr="005A67A9">
        <w:rPr>
          <w:i/>
          <w:iCs/>
          <w:szCs w:val="18"/>
          <w:lang w:val="en-US"/>
        </w:rPr>
        <w:t>German Yearbook of International Law</w:t>
      </w:r>
      <w:r w:rsidRPr="005A67A9">
        <w:rPr>
          <w:szCs w:val="18"/>
          <w:lang w:val="en-US"/>
        </w:rPr>
        <w:t>, vol. 35 (1992), p. 9 à 51, à la p. 42 ; Association de droit international, Groupe d</w:t>
      </w:r>
      <w:r w:rsidR="004937A0">
        <w:rPr>
          <w:szCs w:val="18"/>
          <w:lang w:val="en-US"/>
        </w:rPr>
        <w:t>’</w:t>
      </w:r>
      <w:r w:rsidRPr="005A67A9">
        <w:rPr>
          <w:szCs w:val="18"/>
          <w:lang w:val="en-US"/>
        </w:rPr>
        <w:t>étude sur l</w:t>
      </w:r>
      <w:r w:rsidR="004937A0">
        <w:rPr>
          <w:szCs w:val="18"/>
          <w:lang w:val="en-US"/>
        </w:rPr>
        <w:t>’</w:t>
      </w:r>
      <w:r w:rsidRPr="005A67A9">
        <w:rPr>
          <w:szCs w:val="18"/>
          <w:lang w:val="en-US"/>
        </w:rPr>
        <w:t>obligation de diligence en droit international, « Deuxième rapport », note </w:t>
      </w:r>
      <w:r w:rsidRPr="004B1202">
        <w:rPr>
          <w:szCs w:val="18"/>
        </w:rPr>
        <w:fldChar w:fldCharType="begin"/>
      </w:r>
      <w:r w:rsidRPr="005A67A9">
        <w:rPr>
          <w:szCs w:val="18"/>
          <w:lang w:val="en-US"/>
        </w:rPr>
        <w:instrText xml:space="preserve"> NOTEREF _Ref174454995 \h </w:instrText>
      </w:r>
      <w:r w:rsidRPr="004B1202">
        <w:rPr>
          <w:szCs w:val="18"/>
        </w:rPr>
      </w:r>
      <w:r w:rsidRPr="004B1202">
        <w:rPr>
          <w:szCs w:val="18"/>
        </w:rPr>
        <w:fldChar w:fldCharType="separate"/>
      </w:r>
      <w:r w:rsidR="00EC4FDE">
        <w:rPr>
          <w:szCs w:val="18"/>
          <w:lang w:val="en-US"/>
        </w:rPr>
        <w:t>18</w:t>
      </w:r>
      <w:r w:rsidRPr="004B1202">
        <w:rPr>
          <w:szCs w:val="18"/>
        </w:rPr>
        <w:fldChar w:fldCharType="end"/>
      </w:r>
      <w:r w:rsidRPr="00A96DE0">
        <w:rPr>
          <w:szCs w:val="18"/>
          <w:lang w:val="en-US"/>
        </w:rPr>
        <w:t xml:space="preserve"> </w:t>
      </w:r>
      <w:r w:rsidRPr="005A67A9">
        <w:rPr>
          <w:i/>
          <w:iCs/>
          <w:szCs w:val="18"/>
          <w:lang w:val="en-US"/>
        </w:rPr>
        <w:t>supra</w:t>
      </w:r>
      <w:r w:rsidRPr="005A67A9">
        <w:rPr>
          <w:szCs w:val="18"/>
          <w:lang w:val="en-US"/>
        </w:rPr>
        <w:t xml:space="preserve"> ; Caroline Foster, </w:t>
      </w:r>
      <w:r w:rsidRPr="005A67A9">
        <w:rPr>
          <w:i/>
          <w:iCs/>
          <w:szCs w:val="18"/>
          <w:lang w:val="en-US"/>
        </w:rPr>
        <w:t>Global Regulatory Standards in Environmental and Health Disputes: Regulatory Coherence, Due Regard, and Due Diligence</w:t>
      </w:r>
      <w:r w:rsidRPr="005A67A9">
        <w:rPr>
          <w:szCs w:val="18"/>
          <w:lang w:val="en-US"/>
        </w:rPr>
        <w:t xml:space="preserve"> (Oxford</w:t>
      </w:r>
      <w:r w:rsidR="00827FD1">
        <w:rPr>
          <w:szCs w:val="18"/>
          <w:lang w:val="en-US"/>
        </w:rPr>
        <w:t> </w:t>
      </w:r>
      <w:r w:rsidRPr="005A67A9">
        <w:rPr>
          <w:szCs w:val="18"/>
          <w:lang w:val="en-US"/>
        </w:rPr>
        <w:t xml:space="preserve">: Oxford University Press, 2021), p. 99 à 129. </w:t>
      </w:r>
    </w:p>
  </w:footnote>
  <w:footnote w:id="491">
    <w:p w14:paraId="1A0A20D1" w14:textId="741AA4AA" w:rsidR="005A67A9" w:rsidRPr="004B1202" w:rsidRDefault="005A67A9" w:rsidP="00E9227E">
      <w:pPr>
        <w:pStyle w:val="Notedebasdepage"/>
        <w:rPr>
          <w:szCs w:val="18"/>
        </w:rPr>
      </w:pPr>
      <w:r w:rsidRPr="005A67A9">
        <w:rPr>
          <w:szCs w:val="18"/>
          <w:lang w:val="en-US"/>
        </w:rPr>
        <w:tab/>
      </w:r>
      <w:r w:rsidRPr="00E9227E">
        <w:rPr>
          <w:rStyle w:val="Appelnotedebasdep"/>
        </w:rPr>
        <w:footnoteRef/>
      </w:r>
      <w:r w:rsidRPr="004B1202">
        <w:rPr>
          <w:szCs w:val="18"/>
        </w:rPr>
        <w:tab/>
        <w:t>Association de droit international, Groupe d</w:t>
      </w:r>
      <w:r w:rsidR="004937A0">
        <w:rPr>
          <w:szCs w:val="18"/>
        </w:rPr>
        <w:t>’</w:t>
      </w:r>
      <w:r w:rsidRPr="004B1202">
        <w:rPr>
          <w:szCs w:val="18"/>
        </w:rPr>
        <w:t>étude sur l</w:t>
      </w:r>
      <w:r w:rsidR="004937A0">
        <w:rPr>
          <w:szCs w:val="18"/>
        </w:rPr>
        <w:t>’</w:t>
      </w:r>
      <w:r w:rsidRPr="004B1202">
        <w:rPr>
          <w:szCs w:val="18"/>
        </w:rPr>
        <w:t>obligation de diligence en droit international, « Deuxième rapport »,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EC218F">
        <w:rPr>
          <w:i/>
          <w:iCs/>
          <w:szCs w:val="18"/>
        </w:rPr>
        <w:t xml:space="preserve"> </w:t>
      </w:r>
      <w:r w:rsidRPr="004B1202">
        <w:rPr>
          <w:i/>
          <w:iCs/>
          <w:szCs w:val="18"/>
        </w:rPr>
        <w:t>supra</w:t>
      </w:r>
      <w:r w:rsidRPr="004B1202">
        <w:rPr>
          <w:szCs w:val="18"/>
        </w:rPr>
        <w:t>, p</w:t>
      </w:r>
      <w:r w:rsidRPr="00FD184E">
        <w:rPr>
          <w:szCs w:val="18"/>
        </w:rPr>
        <w:t>.</w:t>
      </w:r>
      <w:r w:rsidRPr="004B1202">
        <w:rPr>
          <w:szCs w:val="18"/>
        </w:rPr>
        <w:t> 6</w:t>
      </w:r>
      <w:r w:rsidRPr="00FD184E">
        <w:rPr>
          <w:szCs w:val="18"/>
        </w:rPr>
        <w:t>.</w:t>
      </w:r>
    </w:p>
  </w:footnote>
  <w:footnote w:id="492">
    <w:p w14:paraId="1199B151" w14:textId="74183623"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Voir, par exemple, l</w:t>
      </w:r>
      <w:r w:rsidR="004937A0">
        <w:rPr>
          <w:szCs w:val="18"/>
        </w:rPr>
        <w:t>’</w:t>
      </w:r>
      <w:r w:rsidRPr="004B1202">
        <w:rPr>
          <w:szCs w:val="18"/>
        </w:rPr>
        <w:t>utilisation du terme « </w:t>
      </w:r>
      <w:r w:rsidRPr="004B1202">
        <w:rPr>
          <w:i/>
          <w:iCs/>
          <w:szCs w:val="18"/>
        </w:rPr>
        <w:t>due diligence</w:t>
      </w:r>
      <w:r w:rsidRPr="004B1202">
        <w:rPr>
          <w:szCs w:val="18"/>
        </w:rPr>
        <w:t> » par la Cour internationale de Justice en tant que norme permettant de définir le contenu de l</w:t>
      </w:r>
      <w:r w:rsidR="004937A0">
        <w:rPr>
          <w:szCs w:val="18"/>
        </w:rPr>
        <w:t>’</w:t>
      </w:r>
      <w:r w:rsidRPr="004B1202">
        <w:rPr>
          <w:szCs w:val="18"/>
        </w:rPr>
        <w:t>obligation d</w:t>
      </w:r>
      <w:r w:rsidR="004937A0">
        <w:rPr>
          <w:szCs w:val="18"/>
        </w:rPr>
        <w:t>’</w:t>
      </w:r>
      <w:r w:rsidRPr="004B1202">
        <w:rPr>
          <w:szCs w:val="18"/>
        </w:rPr>
        <w:t xml:space="preserve">empêcher le génocide : </w:t>
      </w:r>
      <w:bookmarkStart w:id="295" w:name="_Hlk167195632"/>
      <w:r w:rsidRPr="004B1202">
        <w:rPr>
          <w:i/>
          <w:iCs/>
          <w:szCs w:val="18"/>
        </w:rPr>
        <w:t xml:space="preserve">Application de la convention pour la prévention et la répression du crime de génocide (Bosnie-Herzégovine </w:t>
      </w:r>
      <w:r w:rsidRPr="004B1202">
        <w:rPr>
          <w:szCs w:val="18"/>
        </w:rPr>
        <w:t>c</w:t>
      </w:r>
      <w:r w:rsidRPr="00FD184E">
        <w:rPr>
          <w:i/>
          <w:iCs/>
          <w:szCs w:val="18"/>
        </w:rPr>
        <w:t>.</w:t>
      </w:r>
      <w:r w:rsidRPr="004B1202">
        <w:rPr>
          <w:i/>
          <w:iCs/>
          <w:szCs w:val="18"/>
        </w:rPr>
        <w:t xml:space="preserve"> Serbie-et-Monténégro), arrêt,</w:t>
      </w:r>
      <w:r w:rsidRPr="004B1202">
        <w:rPr>
          <w:szCs w:val="18"/>
        </w:rPr>
        <w:t xml:space="preserve"> </w:t>
      </w:r>
      <w:r>
        <w:rPr>
          <w:i/>
          <w:iCs/>
          <w:szCs w:val="18"/>
        </w:rPr>
        <w:t>C.I.J.</w:t>
      </w:r>
      <w:r w:rsidRPr="004B1202">
        <w:rPr>
          <w:i/>
          <w:iCs/>
          <w:szCs w:val="18"/>
        </w:rPr>
        <w:t xml:space="preserve"> </w:t>
      </w:r>
      <w:r w:rsidRPr="00FD184E">
        <w:rPr>
          <w:i/>
          <w:iCs/>
          <w:szCs w:val="18"/>
        </w:rPr>
        <w:t>Recueil</w:t>
      </w:r>
      <w:r w:rsidRPr="004B1202">
        <w:rPr>
          <w:i/>
          <w:iCs/>
          <w:szCs w:val="18"/>
        </w:rPr>
        <w:t xml:space="preserve"> 2007</w:t>
      </w:r>
      <w:r w:rsidRPr="004B1202">
        <w:rPr>
          <w:szCs w:val="18"/>
        </w:rPr>
        <w:t>, p</w:t>
      </w:r>
      <w:r w:rsidRPr="00FD184E">
        <w:rPr>
          <w:szCs w:val="18"/>
        </w:rPr>
        <w:t>.</w:t>
      </w:r>
      <w:r w:rsidRPr="004B1202">
        <w:rPr>
          <w:szCs w:val="18"/>
        </w:rPr>
        <w:t> 43</w:t>
      </w:r>
      <w:bookmarkEnd w:id="295"/>
      <w:r w:rsidRPr="004B1202">
        <w:rPr>
          <w:szCs w:val="18"/>
        </w:rPr>
        <w:t>, par</w:t>
      </w:r>
      <w:r w:rsidRPr="00FD184E">
        <w:rPr>
          <w:szCs w:val="18"/>
        </w:rPr>
        <w:t>.</w:t>
      </w:r>
      <w:r w:rsidRPr="004B1202">
        <w:rPr>
          <w:szCs w:val="18"/>
        </w:rPr>
        <w:t> 430</w:t>
      </w:r>
      <w:r w:rsidRPr="00FD184E">
        <w:rPr>
          <w:szCs w:val="18"/>
        </w:rPr>
        <w:t>.</w:t>
      </w:r>
      <w:r w:rsidRPr="004B1202">
        <w:rPr>
          <w:szCs w:val="18"/>
        </w:rPr>
        <w:t xml:space="preserve"> </w:t>
      </w:r>
    </w:p>
  </w:footnote>
  <w:footnote w:id="493">
    <w:p w14:paraId="50343D87" w14:textId="5DC46C40"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r>
      <w:r w:rsidRPr="00B6516D">
        <w:rPr>
          <w:szCs w:val="18"/>
        </w:rPr>
        <w:t>Affaire du</w:t>
      </w:r>
      <w:r w:rsidRPr="004B1202">
        <w:rPr>
          <w:szCs w:val="18"/>
        </w:rPr>
        <w:t xml:space="preserve"> </w:t>
      </w:r>
      <w:r w:rsidRPr="004B1202">
        <w:rPr>
          <w:i/>
          <w:iCs/>
          <w:szCs w:val="18"/>
        </w:rPr>
        <w:t>Détroit de Corfou</w:t>
      </w:r>
      <w:r w:rsidRPr="004B1202">
        <w:rPr>
          <w:szCs w:val="18"/>
        </w:rPr>
        <w:t>, note </w:t>
      </w:r>
      <w:r w:rsidRPr="004B1202">
        <w:rPr>
          <w:szCs w:val="18"/>
        </w:rPr>
        <w:fldChar w:fldCharType="begin"/>
      </w:r>
      <w:r w:rsidRPr="004B1202">
        <w:rPr>
          <w:szCs w:val="18"/>
        </w:rPr>
        <w:instrText xml:space="preserve"> NOTEREF _Ref174454905 \h </w:instrText>
      </w:r>
      <w:r w:rsidRPr="004B1202">
        <w:rPr>
          <w:szCs w:val="18"/>
        </w:rPr>
      </w:r>
      <w:r w:rsidRPr="004B1202">
        <w:rPr>
          <w:szCs w:val="18"/>
        </w:rPr>
        <w:fldChar w:fldCharType="separate"/>
      </w:r>
      <w:r w:rsidR="00EC4FDE">
        <w:rPr>
          <w:szCs w:val="18"/>
        </w:rPr>
        <w:t>3</w:t>
      </w:r>
      <w:r w:rsidRPr="004B1202">
        <w:rPr>
          <w:szCs w:val="18"/>
        </w:rPr>
        <w:fldChar w:fldCharType="end"/>
      </w:r>
      <w:r w:rsidRPr="00EC218F">
        <w:rPr>
          <w:i/>
          <w:iCs/>
          <w:szCs w:val="18"/>
        </w:rPr>
        <w:t xml:space="preserve"> </w:t>
      </w:r>
      <w:r w:rsidRPr="004B1202">
        <w:rPr>
          <w:i/>
          <w:iCs/>
          <w:szCs w:val="18"/>
        </w:rPr>
        <w:t>supra</w:t>
      </w:r>
      <w:r w:rsidRPr="00FD184E">
        <w:rPr>
          <w:szCs w:val="18"/>
        </w:rPr>
        <w:t>.</w:t>
      </w:r>
      <w:r w:rsidRPr="004B1202">
        <w:rPr>
          <w:color w:val="231F20"/>
          <w:szCs w:val="18"/>
          <w14:ligatures w14:val="standardContextual"/>
        </w:rPr>
        <w:t xml:space="preserve"> </w:t>
      </w:r>
    </w:p>
  </w:footnote>
  <w:footnote w:id="494">
    <w:p w14:paraId="7F293A5B" w14:textId="741BD248"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Voir Riccardo Pisillo Mazzeschi, « Le chemin étrange de la due diligence : d</w:t>
      </w:r>
      <w:r w:rsidR="004937A0">
        <w:rPr>
          <w:szCs w:val="18"/>
        </w:rPr>
        <w:t>’</w:t>
      </w:r>
      <w:r w:rsidRPr="004B1202">
        <w:rPr>
          <w:szCs w:val="18"/>
        </w:rPr>
        <w:t>un concept mystérieux à un concept surévalué », dans SFDI (dir</w:t>
      </w:r>
      <w:r w:rsidRPr="00FD184E">
        <w:rPr>
          <w:szCs w:val="18"/>
        </w:rPr>
        <w:t>.</w:t>
      </w:r>
      <w:r w:rsidRPr="004B1202">
        <w:rPr>
          <w:szCs w:val="18"/>
        </w:rPr>
        <w:t xml:space="preserve"> publ</w:t>
      </w:r>
      <w:r w:rsidRPr="00FD184E">
        <w:rPr>
          <w:szCs w:val="18"/>
        </w:rPr>
        <w:t>.</w:t>
      </w:r>
      <w:r w:rsidRPr="004B1202">
        <w:rPr>
          <w:szCs w:val="18"/>
        </w:rPr>
        <w:t xml:space="preserve">), </w:t>
      </w:r>
      <w:r w:rsidRPr="004B1202">
        <w:rPr>
          <w:i/>
          <w:iCs/>
          <w:szCs w:val="18"/>
        </w:rPr>
        <w:t xml:space="preserve">Le standard de </w:t>
      </w:r>
      <w:r w:rsidRPr="004B1202">
        <w:rPr>
          <w:szCs w:val="18"/>
        </w:rPr>
        <w:t xml:space="preserve">due diligence </w:t>
      </w:r>
      <w:r w:rsidRPr="004B1202">
        <w:rPr>
          <w:i/>
          <w:iCs/>
          <w:szCs w:val="18"/>
        </w:rPr>
        <w:t>et la responsabilité internationale : Journée d</w:t>
      </w:r>
      <w:r w:rsidR="004937A0">
        <w:rPr>
          <w:i/>
          <w:iCs/>
          <w:szCs w:val="18"/>
        </w:rPr>
        <w:t>’</w:t>
      </w:r>
      <w:r w:rsidRPr="004B1202">
        <w:rPr>
          <w:i/>
          <w:iCs/>
          <w:szCs w:val="18"/>
        </w:rPr>
        <w:t>études franco-italienne du Mans</w:t>
      </w:r>
      <w:r w:rsidRPr="004B1202">
        <w:rPr>
          <w:szCs w:val="18"/>
        </w:rPr>
        <w:t xml:space="preserve"> (Paris : Pedone, 2018), p</w:t>
      </w:r>
      <w:r w:rsidRPr="00FD184E">
        <w:rPr>
          <w:szCs w:val="18"/>
        </w:rPr>
        <w:t>.</w:t>
      </w:r>
      <w:r w:rsidRPr="004B1202">
        <w:rPr>
          <w:szCs w:val="18"/>
        </w:rPr>
        <w:t> 323 à 338</w:t>
      </w:r>
      <w:r w:rsidRPr="00FD184E">
        <w:rPr>
          <w:szCs w:val="18"/>
        </w:rPr>
        <w:t>.</w:t>
      </w:r>
    </w:p>
  </w:footnote>
  <w:footnote w:id="495">
    <w:p w14:paraId="6BB0BED9" w14:textId="72B32B69"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Association de droit international, Groupe d</w:t>
      </w:r>
      <w:r w:rsidR="004937A0">
        <w:rPr>
          <w:szCs w:val="18"/>
        </w:rPr>
        <w:t>’</w:t>
      </w:r>
      <w:r w:rsidRPr="004B1202">
        <w:rPr>
          <w:szCs w:val="18"/>
        </w:rPr>
        <w:t>étude sur l</w:t>
      </w:r>
      <w:r w:rsidR="004937A0">
        <w:rPr>
          <w:szCs w:val="18"/>
        </w:rPr>
        <w:t>’</w:t>
      </w:r>
      <w:r w:rsidRPr="004B1202">
        <w:rPr>
          <w:szCs w:val="18"/>
        </w:rPr>
        <w:t>obligation de diligence en droit international, premier et deuxième rapports,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Pr>
          <w:szCs w:val="18"/>
        </w:rPr>
        <w:t xml:space="preserve"> </w:t>
      </w:r>
      <w:r w:rsidRPr="004B1202">
        <w:rPr>
          <w:i/>
          <w:iCs/>
          <w:szCs w:val="18"/>
        </w:rPr>
        <w:t>supra</w:t>
      </w:r>
      <w:r w:rsidRPr="004B1202">
        <w:rPr>
          <w:szCs w:val="18"/>
        </w:rPr>
        <w:t xml:space="preserve"> ; Robert </w:t>
      </w:r>
      <w:proofErr w:type="spellStart"/>
      <w:r w:rsidRPr="004B1202">
        <w:rPr>
          <w:szCs w:val="18"/>
        </w:rPr>
        <w:t>Barnidge</w:t>
      </w:r>
      <w:proofErr w:type="spellEnd"/>
      <w:r w:rsidRPr="004B1202">
        <w:rPr>
          <w:szCs w:val="18"/>
        </w:rPr>
        <w:t xml:space="preserve">, « The Due Diligence Principle under International Law », </w:t>
      </w:r>
      <w:r w:rsidRPr="004B1202">
        <w:rPr>
          <w:i/>
          <w:iCs/>
          <w:szCs w:val="18"/>
        </w:rPr>
        <w:t>International Community Law Review</w:t>
      </w:r>
      <w:r w:rsidRPr="004B1202">
        <w:rPr>
          <w:szCs w:val="18"/>
        </w:rPr>
        <w:t>, vol</w:t>
      </w:r>
      <w:r w:rsidRPr="00FD184E">
        <w:rPr>
          <w:szCs w:val="18"/>
        </w:rPr>
        <w:t>.</w:t>
      </w:r>
      <w:r w:rsidRPr="004B1202">
        <w:rPr>
          <w:szCs w:val="18"/>
        </w:rPr>
        <w:t> 8 (2006), p</w:t>
      </w:r>
      <w:r w:rsidRPr="00FD184E">
        <w:rPr>
          <w:szCs w:val="18"/>
        </w:rPr>
        <w:t>.</w:t>
      </w:r>
      <w:r w:rsidRPr="004B1202">
        <w:rPr>
          <w:szCs w:val="18"/>
        </w:rPr>
        <w:t xml:space="preserve"> 81 ; </w:t>
      </w:r>
      <w:bookmarkStart w:id="298" w:name="_Hlk167012607"/>
      <w:r w:rsidRPr="004B1202">
        <w:rPr>
          <w:szCs w:val="18"/>
        </w:rPr>
        <w:t>Awalou Ouedraogo, « </w:t>
      </w:r>
      <w:bookmarkStart w:id="299" w:name="_Hlk169082736"/>
      <w:r w:rsidRPr="004B1202">
        <w:rPr>
          <w:szCs w:val="18"/>
        </w:rPr>
        <w:t>La due diligence en droit international</w:t>
      </w:r>
      <w:bookmarkEnd w:id="299"/>
      <w:r w:rsidRPr="004B1202">
        <w:rPr>
          <w:szCs w:val="18"/>
        </w:rPr>
        <w:t xml:space="preserve"> : de la règle de la neutralité au principe général », </w:t>
      </w:r>
      <w:r w:rsidRPr="004B1202">
        <w:rPr>
          <w:i/>
          <w:iCs/>
          <w:szCs w:val="18"/>
        </w:rPr>
        <w:t>Revue générale de droit</w:t>
      </w:r>
      <w:r w:rsidRPr="004B1202">
        <w:rPr>
          <w:szCs w:val="18"/>
        </w:rPr>
        <w:t>, vol</w:t>
      </w:r>
      <w:r w:rsidRPr="00FD184E">
        <w:rPr>
          <w:szCs w:val="18"/>
        </w:rPr>
        <w:t>.</w:t>
      </w:r>
      <w:r w:rsidRPr="004B1202">
        <w:rPr>
          <w:szCs w:val="18"/>
        </w:rPr>
        <w:t xml:space="preserve"> 42 (2012), p</w:t>
      </w:r>
      <w:r w:rsidRPr="00FD184E">
        <w:rPr>
          <w:szCs w:val="18"/>
        </w:rPr>
        <w:t>.</w:t>
      </w:r>
      <w:r w:rsidRPr="004B1202">
        <w:rPr>
          <w:szCs w:val="18"/>
        </w:rPr>
        <w:t> 641</w:t>
      </w:r>
      <w:bookmarkEnd w:id="298"/>
      <w:r w:rsidRPr="004B1202">
        <w:rPr>
          <w:szCs w:val="18"/>
        </w:rPr>
        <w:t> ; Besson,</w:t>
      </w:r>
      <w:r w:rsidRPr="004B1202">
        <w:rPr>
          <w:kern w:val="2"/>
          <w:szCs w:val="18"/>
          <w14:ligatures w14:val="standardContextual"/>
        </w:rPr>
        <w:t xml:space="preserve"> </w:t>
      </w:r>
      <w:r w:rsidRPr="004B1202">
        <w:rPr>
          <w:szCs w:val="18"/>
        </w:rPr>
        <w:t>La </w:t>
      </w:r>
      <w:r w:rsidRPr="004B1202">
        <w:rPr>
          <w:i/>
          <w:iCs/>
          <w:szCs w:val="18"/>
        </w:rPr>
        <w:t>due diligence</w:t>
      </w:r>
      <w:r w:rsidRPr="004B1202">
        <w:rPr>
          <w:szCs w:val="18"/>
        </w:rPr>
        <w:t> en droit international,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Pr>
          <w:szCs w:val="18"/>
        </w:rPr>
        <w:t xml:space="preserve"> </w:t>
      </w:r>
      <w:r w:rsidRPr="004B1202">
        <w:rPr>
          <w:i/>
          <w:iCs/>
          <w:szCs w:val="18"/>
        </w:rPr>
        <w:t>supra</w:t>
      </w:r>
      <w:r w:rsidRPr="004B1202">
        <w:rPr>
          <w:szCs w:val="18"/>
        </w:rPr>
        <w:t xml:space="preserve"> ; </w:t>
      </w:r>
      <w:proofErr w:type="spellStart"/>
      <w:r w:rsidRPr="004B1202">
        <w:rPr>
          <w:szCs w:val="18"/>
        </w:rPr>
        <w:t>Ollino</w:t>
      </w:r>
      <w:proofErr w:type="spellEnd"/>
      <w:r w:rsidRPr="004B1202">
        <w:rPr>
          <w:szCs w:val="18"/>
        </w:rPr>
        <w:t xml:space="preserve">, </w:t>
      </w:r>
      <w:r w:rsidRPr="004B1202">
        <w:rPr>
          <w:i/>
          <w:iCs/>
          <w:szCs w:val="18"/>
        </w:rPr>
        <w:t>Due Diligence Obligations</w:t>
      </w:r>
      <w:r w:rsidRPr="004B1202">
        <w:rPr>
          <w:szCs w:val="18"/>
        </w:rPr>
        <w:t>,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EC218F">
        <w:rPr>
          <w:i/>
          <w:iCs/>
          <w:szCs w:val="18"/>
        </w:rPr>
        <w:t xml:space="preserve"> </w:t>
      </w:r>
      <w:r w:rsidRPr="004B1202">
        <w:rPr>
          <w:i/>
          <w:iCs/>
          <w:szCs w:val="18"/>
        </w:rPr>
        <w:t>supra</w:t>
      </w:r>
      <w:r w:rsidRPr="00FD184E">
        <w:rPr>
          <w:szCs w:val="18"/>
        </w:rPr>
        <w:t>.</w:t>
      </w:r>
    </w:p>
  </w:footnote>
  <w:footnote w:id="496">
    <w:p w14:paraId="76968C88" w14:textId="086FB359"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Kulesza, </w:t>
      </w:r>
      <w:r w:rsidRPr="004B1202">
        <w:rPr>
          <w:i/>
          <w:iCs/>
          <w:szCs w:val="18"/>
        </w:rPr>
        <w:t>Due Diligence</w:t>
      </w:r>
      <w:r w:rsidRPr="004B1202">
        <w:rPr>
          <w:szCs w:val="18"/>
        </w:rPr>
        <w:t>,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EE6005">
        <w:rPr>
          <w:i/>
          <w:iCs/>
          <w:szCs w:val="18"/>
        </w:rPr>
        <w:t xml:space="preserve"> </w:t>
      </w:r>
      <w:r w:rsidRPr="004B1202">
        <w:rPr>
          <w:i/>
          <w:iCs/>
          <w:szCs w:val="18"/>
        </w:rPr>
        <w:t>supra</w:t>
      </w:r>
      <w:r w:rsidRPr="004B1202">
        <w:rPr>
          <w:szCs w:val="18"/>
        </w:rPr>
        <w:t>, p</w:t>
      </w:r>
      <w:r w:rsidRPr="00FD184E">
        <w:rPr>
          <w:szCs w:val="18"/>
        </w:rPr>
        <w:t>.</w:t>
      </w:r>
      <w:r w:rsidRPr="004B1202">
        <w:rPr>
          <w:szCs w:val="18"/>
        </w:rPr>
        <w:t xml:space="preserve"> 272 à 276 ; </w:t>
      </w:r>
      <w:bookmarkStart w:id="300" w:name="_Hlk167012533"/>
      <w:r w:rsidRPr="004B1202">
        <w:rPr>
          <w:szCs w:val="18"/>
        </w:rPr>
        <w:t xml:space="preserve">Barnidge, « The Due Diligence </w:t>
      </w:r>
      <w:proofErr w:type="spellStart"/>
      <w:r w:rsidRPr="004B1202">
        <w:rPr>
          <w:szCs w:val="18"/>
        </w:rPr>
        <w:t>Principle</w:t>
      </w:r>
      <w:proofErr w:type="spellEnd"/>
      <w:r w:rsidRPr="004B1202">
        <w:rPr>
          <w:szCs w:val="18"/>
        </w:rPr>
        <w:t> », note </w:t>
      </w:r>
      <w:r w:rsidRPr="004B1202">
        <w:rPr>
          <w:szCs w:val="18"/>
        </w:rPr>
        <w:fldChar w:fldCharType="begin"/>
      </w:r>
      <w:r w:rsidRPr="004B1202">
        <w:rPr>
          <w:szCs w:val="18"/>
        </w:rPr>
        <w:instrText xml:space="preserve"> NOTEREF _Ref174455148 \h </w:instrText>
      </w:r>
      <w:r w:rsidRPr="004B1202">
        <w:rPr>
          <w:szCs w:val="18"/>
        </w:rPr>
      </w:r>
      <w:r w:rsidRPr="004B1202">
        <w:rPr>
          <w:szCs w:val="18"/>
        </w:rPr>
        <w:fldChar w:fldCharType="separate"/>
      </w:r>
      <w:r w:rsidR="00EC4FDE">
        <w:rPr>
          <w:szCs w:val="18"/>
        </w:rPr>
        <w:t>54</w:t>
      </w:r>
      <w:r w:rsidRPr="004B1202">
        <w:rPr>
          <w:szCs w:val="18"/>
        </w:rPr>
        <w:fldChar w:fldCharType="end"/>
      </w:r>
      <w:r>
        <w:rPr>
          <w:szCs w:val="18"/>
        </w:rPr>
        <w:t xml:space="preserve"> </w:t>
      </w:r>
      <w:r w:rsidRPr="004B1202">
        <w:rPr>
          <w:i/>
          <w:iCs/>
          <w:szCs w:val="18"/>
        </w:rPr>
        <w:t>supra</w:t>
      </w:r>
      <w:r w:rsidRPr="004B1202">
        <w:rPr>
          <w:szCs w:val="18"/>
        </w:rPr>
        <w:t xml:space="preserve"> ; </w:t>
      </w:r>
      <w:proofErr w:type="spellStart"/>
      <w:r w:rsidRPr="004B1202">
        <w:rPr>
          <w:szCs w:val="18"/>
        </w:rPr>
        <w:t>Ouedraogo</w:t>
      </w:r>
      <w:proofErr w:type="spellEnd"/>
      <w:r w:rsidRPr="004B1202">
        <w:rPr>
          <w:szCs w:val="18"/>
        </w:rPr>
        <w:t xml:space="preserve">, « La due diligence en droit international » (2012), note </w:t>
      </w:r>
      <w:bookmarkEnd w:id="300"/>
      <w:r w:rsidRPr="004B1202">
        <w:rPr>
          <w:szCs w:val="18"/>
        </w:rPr>
        <w:fldChar w:fldCharType="begin"/>
      </w:r>
      <w:r w:rsidRPr="004B1202">
        <w:rPr>
          <w:szCs w:val="18"/>
        </w:rPr>
        <w:instrText xml:space="preserve"> NOTEREF _Ref174455148 \h </w:instrText>
      </w:r>
      <w:r w:rsidRPr="004B1202">
        <w:rPr>
          <w:szCs w:val="18"/>
        </w:rPr>
      </w:r>
      <w:r w:rsidRPr="004B1202">
        <w:rPr>
          <w:szCs w:val="18"/>
        </w:rPr>
        <w:fldChar w:fldCharType="separate"/>
      </w:r>
      <w:r w:rsidR="00EC4FDE">
        <w:rPr>
          <w:szCs w:val="18"/>
        </w:rPr>
        <w:t>54</w:t>
      </w:r>
      <w:r w:rsidRPr="004B1202">
        <w:rPr>
          <w:szCs w:val="18"/>
        </w:rPr>
        <w:fldChar w:fldCharType="end"/>
      </w:r>
      <w:r w:rsidRPr="00EE6005">
        <w:rPr>
          <w:i/>
          <w:iCs/>
          <w:szCs w:val="18"/>
        </w:rPr>
        <w:t xml:space="preserve"> </w:t>
      </w:r>
      <w:r w:rsidRPr="004B1202">
        <w:rPr>
          <w:i/>
          <w:iCs/>
          <w:szCs w:val="18"/>
        </w:rPr>
        <w:t>supra</w:t>
      </w:r>
      <w:r w:rsidRPr="00FD184E">
        <w:rPr>
          <w:szCs w:val="18"/>
        </w:rPr>
        <w:t>.</w:t>
      </w:r>
    </w:p>
  </w:footnote>
  <w:footnote w:id="497">
    <w:p w14:paraId="089A276F" w14:textId="72BF4EBB"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Neil McDonald, « The Role of Due Diligence in International Law », </w:t>
      </w:r>
      <w:r w:rsidRPr="004B1202">
        <w:rPr>
          <w:i/>
          <w:iCs/>
          <w:szCs w:val="18"/>
        </w:rPr>
        <w:t>International &amp; Comparative Law Quarterly</w:t>
      </w:r>
      <w:r w:rsidRPr="004B1202">
        <w:rPr>
          <w:szCs w:val="18"/>
        </w:rPr>
        <w:t xml:space="preserve"> 68(4) (2019), qui se fonde notamment sur des considérations de principe non juridiques susceptibles d</w:t>
      </w:r>
      <w:r w:rsidR="004937A0">
        <w:rPr>
          <w:szCs w:val="18"/>
        </w:rPr>
        <w:t>’</w:t>
      </w:r>
      <w:r w:rsidRPr="004B1202">
        <w:rPr>
          <w:szCs w:val="18"/>
        </w:rPr>
        <w:t>influencer la conduite d</w:t>
      </w:r>
      <w:r w:rsidR="004937A0">
        <w:rPr>
          <w:szCs w:val="18"/>
        </w:rPr>
        <w:t>’</w:t>
      </w:r>
      <w:r w:rsidRPr="004B1202">
        <w:rPr>
          <w:szCs w:val="18"/>
        </w:rPr>
        <w:t xml:space="preserve">un État ; Heike Krieger &amp; Anne Peters, « Due Diligence and Structural Change in the International Legal Order », dans Krieger, Peters et Kreuzer, </w:t>
      </w:r>
      <w:r w:rsidRPr="004B1202">
        <w:rPr>
          <w:i/>
          <w:iCs/>
          <w:szCs w:val="18"/>
        </w:rPr>
        <w:t>Due Diligence</w:t>
      </w:r>
      <w:r w:rsidRPr="004B1202">
        <w:rPr>
          <w:szCs w:val="18"/>
        </w:rPr>
        <w:t>, 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sidRPr="00EE6005">
        <w:rPr>
          <w:i/>
          <w:iCs/>
          <w:szCs w:val="18"/>
        </w:rPr>
        <w:t xml:space="preserve"> </w:t>
      </w:r>
      <w:r w:rsidRPr="004B1202">
        <w:rPr>
          <w:i/>
          <w:iCs/>
          <w:szCs w:val="18"/>
        </w:rPr>
        <w:t>supra</w:t>
      </w:r>
      <w:r w:rsidRPr="004B1202">
        <w:rPr>
          <w:szCs w:val="18"/>
        </w:rPr>
        <w:t>, p</w:t>
      </w:r>
      <w:r w:rsidRPr="00FD184E">
        <w:rPr>
          <w:szCs w:val="18"/>
        </w:rPr>
        <w:t>.</w:t>
      </w:r>
      <w:r w:rsidRPr="004B1202">
        <w:rPr>
          <w:szCs w:val="18"/>
        </w:rPr>
        <w:t> 371 à 376</w:t>
      </w:r>
      <w:r w:rsidRPr="00FD184E">
        <w:rPr>
          <w:szCs w:val="18"/>
        </w:rPr>
        <w:t>.</w:t>
      </w:r>
    </w:p>
  </w:footnote>
  <w:footnote w:id="498">
    <w:p w14:paraId="1CE781B4" w14:textId="12AB0A4D"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Ollino, </w:t>
      </w:r>
      <w:r w:rsidRPr="004B1202">
        <w:rPr>
          <w:i/>
          <w:iCs/>
          <w:szCs w:val="18"/>
        </w:rPr>
        <w:t>Due Diligence Obligations</w:t>
      </w:r>
      <w:r w:rsidRPr="004B1202">
        <w:rPr>
          <w:szCs w:val="18"/>
        </w:rPr>
        <w:t>,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EE6005">
        <w:rPr>
          <w:i/>
          <w:iCs/>
          <w:szCs w:val="18"/>
        </w:rPr>
        <w:t xml:space="preserve"> </w:t>
      </w:r>
      <w:r w:rsidRPr="004B1202">
        <w:rPr>
          <w:i/>
          <w:iCs/>
          <w:szCs w:val="18"/>
        </w:rPr>
        <w:t>supra</w:t>
      </w:r>
      <w:r w:rsidRPr="004B1202">
        <w:rPr>
          <w:szCs w:val="18"/>
        </w:rPr>
        <w:t>, p</w:t>
      </w:r>
      <w:r w:rsidRPr="00FD184E">
        <w:rPr>
          <w:szCs w:val="18"/>
        </w:rPr>
        <w:t>.</w:t>
      </w:r>
      <w:r w:rsidRPr="004B1202">
        <w:rPr>
          <w:szCs w:val="18"/>
        </w:rPr>
        <w:t> 64 à 130</w:t>
      </w:r>
      <w:r w:rsidRPr="00FD184E">
        <w:rPr>
          <w:szCs w:val="18"/>
        </w:rPr>
        <w:t>.</w:t>
      </w:r>
    </w:p>
  </w:footnote>
  <w:footnote w:id="499">
    <w:p w14:paraId="78678897" w14:textId="46268B6D"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Association de droit international, </w:t>
      </w:r>
      <w:r w:rsidRPr="004B1202">
        <w:rPr>
          <w:i/>
          <w:iCs/>
          <w:szCs w:val="18"/>
        </w:rPr>
        <w:t>Accountability of International Organizations</w:t>
      </w:r>
      <w:r w:rsidRPr="004B1202">
        <w:rPr>
          <w:szCs w:val="18"/>
        </w:rPr>
        <w:t>, Conférence de Berlin (2004) ; Nations Unies, Politique de diligence voulue en matière de droits de l</w:t>
      </w:r>
      <w:r w:rsidR="004937A0">
        <w:rPr>
          <w:szCs w:val="18"/>
        </w:rPr>
        <w:t>’</w:t>
      </w:r>
      <w:r w:rsidRPr="004B1202">
        <w:rPr>
          <w:szCs w:val="18"/>
        </w:rPr>
        <w:t>homme dans le contexte de la fourniture d</w:t>
      </w:r>
      <w:r w:rsidR="004937A0">
        <w:rPr>
          <w:szCs w:val="18"/>
        </w:rPr>
        <w:t>’</w:t>
      </w:r>
      <w:r w:rsidRPr="004B1202">
        <w:rPr>
          <w:szCs w:val="18"/>
        </w:rPr>
        <w:t>appui par l</w:t>
      </w:r>
      <w:r w:rsidR="004937A0">
        <w:rPr>
          <w:szCs w:val="18"/>
        </w:rPr>
        <w:t>’</w:t>
      </w:r>
      <w:r w:rsidRPr="004B1202">
        <w:rPr>
          <w:szCs w:val="18"/>
        </w:rPr>
        <w:t xml:space="preserve">ONU à des forces de sécurité non onusiennes, 2013, </w:t>
      </w:r>
      <w:hyperlink r:id="rId249" w:history="1">
        <w:r w:rsidRPr="004B1202">
          <w:rPr>
            <w:rStyle w:val="Lienhypertexte"/>
            <w:szCs w:val="18"/>
          </w:rPr>
          <w:t>A/67/775−S/2013/110</w:t>
        </w:r>
      </w:hyperlink>
      <w:r w:rsidRPr="00FD184E">
        <w:rPr>
          <w:szCs w:val="18"/>
        </w:rPr>
        <w:t>.</w:t>
      </w:r>
    </w:p>
  </w:footnote>
  <w:footnote w:id="500">
    <w:p w14:paraId="36EFFD85" w14:textId="7522722A"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Voir, par exemple, Conseil des droits de l</w:t>
      </w:r>
      <w:r w:rsidR="004937A0">
        <w:rPr>
          <w:szCs w:val="18"/>
        </w:rPr>
        <w:t>’</w:t>
      </w:r>
      <w:r w:rsidRPr="004B1202">
        <w:rPr>
          <w:szCs w:val="18"/>
        </w:rPr>
        <w:t>homme de l</w:t>
      </w:r>
      <w:r w:rsidR="004937A0">
        <w:rPr>
          <w:szCs w:val="18"/>
        </w:rPr>
        <w:t>’</w:t>
      </w:r>
      <w:r w:rsidRPr="004B1202">
        <w:rPr>
          <w:szCs w:val="18"/>
        </w:rPr>
        <w:t>ONU, « Principes directeurs relatifs aux entreprises et aux droits de l</w:t>
      </w:r>
      <w:r w:rsidR="004937A0">
        <w:rPr>
          <w:szCs w:val="18"/>
        </w:rPr>
        <w:t>’</w:t>
      </w:r>
      <w:r w:rsidRPr="004B1202">
        <w:rPr>
          <w:szCs w:val="18"/>
        </w:rPr>
        <w:t xml:space="preserve">homme : mise en œuvre du cadre de référence “Protéger, respecter et réparer” des Nations Unies » (2011), </w:t>
      </w:r>
      <w:hyperlink r:id="rId250" w:history="1">
        <w:r w:rsidRPr="004B1202">
          <w:rPr>
            <w:rStyle w:val="Lienhypertexte"/>
            <w:szCs w:val="18"/>
          </w:rPr>
          <w:t>A/HRC/17/31</w:t>
        </w:r>
      </w:hyperlink>
      <w:r w:rsidRPr="00FD184E">
        <w:rPr>
          <w:szCs w:val="18"/>
        </w:rPr>
        <w:t>.</w:t>
      </w:r>
    </w:p>
  </w:footnote>
  <w:footnote w:id="501">
    <w:p w14:paraId="2FDDAA1D" w14:textId="715C284D"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Besson, </w:t>
      </w:r>
      <w:r w:rsidRPr="004B1202">
        <w:rPr>
          <w:i/>
          <w:iCs/>
          <w:szCs w:val="18"/>
        </w:rPr>
        <w:t xml:space="preserve">Due Diligence, </w:t>
      </w:r>
      <w:r w:rsidRPr="004B1202">
        <w:rPr>
          <w:szCs w:val="18"/>
        </w:rPr>
        <w:t>note </w:t>
      </w:r>
      <w:r w:rsidRPr="004B1202">
        <w:rPr>
          <w:szCs w:val="18"/>
        </w:rPr>
        <w:fldChar w:fldCharType="begin"/>
      </w:r>
      <w:r w:rsidRPr="004B1202">
        <w:rPr>
          <w:szCs w:val="18"/>
        </w:rPr>
        <w:instrText xml:space="preserve"> NOTEREF _Ref174454969 \h </w:instrText>
      </w:r>
      <w:r w:rsidRPr="004B1202">
        <w:rPr>
          <w:szCs w:val="18"/>
        </w:rPr>
      </w:r>
      <w:r w:rsidRPr="004B1202">
        <w:rPr>
          <w:szCs w:val="18"/>
        </w:rPr>
        <w:fldChar w:fldCharType="separate"/>
      </w:r>
      <w:r w:rsidR="00EC4FDE">
        <w:rPr>
          <w:szCs w:val="18"/>
        </w:rPr>
        <w:t>1</w:t>
      </w:r>
      <w:r w:rsidRPr="004B1202">
        <w:rPr>
          <w:szCs w:val="18"/>
        </w:rPr>
        <w:fldChar w:fldCharType="end"/>
      </w:r>
      <w:r w:rsidRPr="00BA3A23">
        <w:rPr>
          <w:i/>
          <w:iCs/>
          <w:szCs w:val="18"/>
        </w:rPr>
        <w:t xml:space="preserve"> </w:t>
      </w:r>
      <w:r w:rsidRPr="004B1202">
        <w:rPr>
          <w:i/>
          <w:iCs/>
          <w:szCs w:val="18"/>
        </w:rPr>
        <w:t>supra</w:t>
      </w:r>
      <w:r w:rsidRPr="004B1202">
        <w:rPr>
          <w:szCs w:val="18"/>
        </w:rPr>
        <w:t>, p</w:t>
      </w:r>
      <w:r w:rsidRPr="00FD184E">
        <w:rPr>
          <w:szCs w:val="18"/>
        </w:rPr>
        <w:t>.</w:t>
      </w:r>
      <w:r w:rsidRPr="004B1202">
        <w:rPr>
          <w:szCs w:val="18"/>
        </w:rPr>
        <w:t> 81 à 85</w:t>
      </w:r>
      <w:r w:rsidRPr="00FD184E">
        <w:rPr>
          <w:szCs w:val="18"/>
        </w:rPr>
        <w:t>.</w:t>
      </w:r>
    </w:p>
  </w:footnote>
  <w:footnote w:id="502">
    <w:p w14:paraId="65D3E95C" w14:textId="75E22D9E"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Ollino, </w:t>
      </w:r>
      <w:r w:rsidRPr="004B1202">
        <w:rPr>
          <w:i/>
          <w:iCs/>
          <w:szCs w:val="18"/>
        </w:rPr>
        <w:t xml:space="preserve">Due Diligence Obligations, </w:t>
      </w:r>
      <w:r w:rsidRPr="004B1202">
        <w:rPr>
          <w:szCs w:val="18"/>
        </w:rPr>
        <w:t>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BA3A23">
        <w:rPr>
          <w:i/>
          <w:iCs/>
          <w:szCs w:val="18"/>
        </w:rPr>
        <w:t xml:space="preserve"> </w:t>
      </w:r>
      <w:r w:rsidRPr="004B1202">
        <w:rPr>
          <w:i/>
          <w:iCs/>
          <w:szCs w:val="18"/>
        </w:rPr>
        <w:t>supra</w:t>
      </w:r>
      <w:r w:rsidRPr="004B1202">
        <w:rPr>
          <w:szCs w:val="18"/>
        </w:rPr>
        <w:t>, p</w:t>
      </w:r>
      <w:r w:rsidRPr="00FD184E">
        <w:rPr>
          <w:szCs w:val="18"/>
        </w:rPr>
        <w:t>.</w:t>
      </w:r>
      <w:r w:rsidRPr="004B1202">
        <w:rPr>
          <w:szCs w:val="18"/>
        </w:rPr>
        <w:t> 58 à 61</w:t>
      </w:r>
      <w:r w:rsidRPr="00FD184E">
        <w:rPr>
          <w:szCs w:val="18"/>
        </w:rPr>
        <w:t>.</w:t>
      </w:r>
    </w:p>
  </w:footnote>
  <w:footnote w:id="503">
    <w:p w14:paraId="0DAC4B90" w14:textId="05189D86"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Voir Ollino, </w:t>
      </w:r>
      <w:r w:rsidRPr="004B1202">
        <w:rPr>
          <w:i/>
          <w:iCs/>
          <w:szCs w:val="18"/>
        </w:rPr>
        <w:t>Due Diligence Obligations,</w:t>
      </w:r>
      <w:r w:rsidRPr="004B1202">
        <w:rPr>
          <w:szCs w:val="18"/>
        </w:rPr>
        <w:t xml:space="preserve">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BA3A23">
        <w:rPr>
          <w:i/>
          <w:iCs/>
          <w:szCs w:val="18"/>
        </w:rPr>
        <w:t xml:space="preserve"> </w:t>
      </w:r>
      <w:r w:rsidRPr="004B1202">
        <w:rPr>
          <w:i/>
          <w:iCs/>
          <w:szCs w:val="18"/>
        </w:rPr>
        <w:t>supra</w:t>
      </w:r>
      <w:r w:rsidRPr="004B1202">
        <w:rPr>
          <w:szCs w:val="18"/>
        </w:rPr>
        <w:t>, p</w:t>
      </w:r>
      <w:r w:rsidRPr="00FD184E">
        <w:rPr>
          <w:szCs w:val="18"/>
        </w:rPr>
        <w:t>.</w:t>
      </w:r>
      <w:r w:rsidRPr="004B1202">
        <w:rPr>
          <w:szCs w:val="18"/>
        </w:rPr>
        <w:t> 232 à 265</w:t>
      </w:r>
      <w:r w:rsidRPr="00FD184E">
        <w:rPr>
          <w:szCs w:val="18"/>
        </w:rPr>
        <w:t>.</w:t>
      </w:r>
    </w:p>
  </w:footnote>
  <w:footnote w:id="504">
    <w:p w14:paraId="25DB7E53" w14:textId="24D35296"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Art. 23 2) a), Art</w:t>
      </w:r>
      <w:r w:rsidRPr="00FD184E">
        <w:rPr>
          <w:szCs w:val="18"/>
        </w:rPr>
        <w:t>.</w:t>
      </w:r>
      <w:r w:rsidRPr="004B1202">
        <w:rPr>
          <w:szCs w:val="18"/>
        </w:rPr>
        <w:t xml:space="preserve"> 24 2) a) et Art</w:t>
      </w:r>
      <w:r w:rsidRPr="00FD184E">
        <w:rPr>
          <w:szCs w:val="18"/>
        </w:rPr>
        <w:t>.</w:t>
      </w:r>
      <w:r w:rsidRPr="004B1202">
        <w:rPr>
          <w:szCs w:val="18"/>
        </w:rPr>
        <w:t xml:space="preserve"> 25 2) b), Projet d</w:t>
      </w:r>
      <w:r w:rsidR="004937A0">
        <w:rPr>
          <w:szCs w:val="18"/>
        </w:rPr>
        <w:t>’</w:t>
      </w:r>
      <w:r w:rsidRPr="004B1202">
        <w:rPr>
          <w:szCs w:val="18"/>
        </w:rPr>
        <w:t>articles sur la responsabilité de l</w:t>
      </w:r>
      <w:r w:rsidR="004937A0">
        <w:rPr>
          <w:szCs w:val="18"/>
        </w:rPr>
        <w:t>’</w:t>
      </w:r>
      <w:r w:rsidRPr="004B1202">
        <w:rPr>
          <w:szCs w:val="18"/>
        </w:rPr>
        <w:t xml:space="preserve">État pour fait internationalement illicite et commentaires y relatifs, </w:t>
      </w:r>
      <w:r w:rsidRPr="004B1202">
        <w:rPr>
          <w:i/>
          <w:iCs/>
          <w:szCs w:val="18"/>
        </w:rPr>
        <w:t>Annuaire … 2001</w:t>
      </w:r>
      <w:r w:rsidRPr="004B1202">
        <w:rPr>
          <w:szCs w:val="18"/>
        </w:rPr>
        <w:t xml:space="preserve">, </w:t>
      </w:r>
      <w:r>
        <w:rPr>
          <w:szCs w:val="18"/>
        </w:rPr>
        <w:t>v</w:t>
      </w:r>
      <w:r w:rsidRPr="004B1202">
        <w:rPr>
          <w:szCs w:val="18"/>
        </w:rPr>
        <w:t>ol</w:t>
      </w:r>
      <w:r w:rsidRPr="00FD184E">
        <w:rPr>
          <w:szCs w:val="18"/>
        </w:rPr>
        <w:t>.</w:t>
      </w:r>
      <w:r w:rsidRPr="004B1202">
        <w:rPr>
          <w:szCs w:val="18"/>
        </w:rPr>
        <w:t xml:space="preserve"> II (2</w:t>
      </w:r>
      <w:r w:rsidRPr="004B1202">
        <w:rPr>
          <w:szCs w:val="18"/>
          <w:vertAlign w:val="superscript"/>
        </w:rPr>
        <w:t>e</w:t>
      </w:r>
      <w:r w:rsidRPr="004B1202">
        <w:rPr>
          <w:szCs w:val="18"/>
        </w:rPr>
        <w:t xml:space="preserve"> partie), p</w:t>
      </w:r>
      <w:r w:rsidRPr="00FD184E">
        <w:rPr>
          <w:szCs w:val="18"/>
        </w:rPr>
        <w:t>.</w:t>
      </w:r>
      <w:r w:rsidRPr="004B1202">
        <w:rPr>
          <w:szCs w:val="18"/>
        </w:rPr>
        <w:t xml:space="preserve"> 76 à 84 ; Ollino, </w:t>
      </w:r>
      <w:r w:rsidRPr="004B1202">
        <w:rPr>
          <w:i/>
          <w:iCs/>
          <w:szCs w:val="18"/>
        </w:rPr>
        <w:t>Due Diligence Obligations,</w:t>
      </w:r>
      <w:r w:rsidRPr="004B1202">
        <w:rPr>
          <w:szCs w:val="18"/>
        </w:rPr>
        <w:t xml:space="preserve">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BA3A23">
        <w:rPr>
          <w:i/>
          <w:iCs/>
          <w:szCs w:val="18"/>
        </w:rPr>
        <w:t xml:space="preserve"> </w:t>
      </w:r>
      <w:r w:rsidRPr="004B1202">
        <w:rPr>
          <w:i/>
          <w:iCs/>
          <w:szCs w:val="18"/>
        </w:rPr>
        <w:t>supra</w:t>
      </w:r>
      <w:r w:rsidRPr="004B1202">
        <w:rPr>
          <w:szCs w:val="18"/>
        </w:rPr>
        <w:t>, p</w:t>
      </w:r>
      <w:r w:rsidRPr="00FD184E">
        <w:rPr>
          <w:szCs w:val="18"/>
        </w:rPr>
        <w:t>.</w:t>
      </w:r>
      <w:r w:rsidRPr="004B1202">
        <w:rPr>
          <w:szCs w:val="18"/>
        </w:rPr>
        <w:t> 218 à 225</w:t>
      </w:r>
      <w:r w:rsidRPr="00FD184E">
        <w:rPr>
          <w:szCs w:val="18"/>
        </w:rPr>
        <w:t>.</w:t>
      </w:r>
      <w:r w:rsidRPr="004B1202">
        <w:rPr>
          <w:szCs w:val="18"/>
        </w:rPr>
        <w:t xml:space="preserve"> </w:t>
      </w:r>
    </w:p>
  </w:footnote>
  <w:footnote w:id="505">
    <w:p w14:paraId="7089F3AA"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Commission du droit international, </w:t>
      </w:r>
      <w:r w:rsidRPr="004B1202">
        <w:rPr>
          <w:i/>
          <w:iCs/>
          <w:szCs w:val="18"/>
        </w:rPr>
        <w:t>Rapport de la Commission du droit international sur les travaux de sa quarante-huitième session, 6 mai-26 juillet 1996</w:t>
      </w:r>
      <w:r w:rsidRPr="004B1202">
        <w:rPr>
          <w:szCs w:val="18"/>
        </w:rPr>
        <w:t xml:space="preserve">, </w:t>
      </w:r>
      <w:r w:rsidRPr="004B1202">
        <w:rPr>
          <w:i/>
          <w:iCs/>
          <w:szCs w:val="18"/>
        </w:rPr>
        <w:t>Annuaire … 1996</w:t>
      </w:r>
      <w:r w:rsidRPr="004B1202">
        <w:rPr>
          <w:szCs w:val="18"/>
        </w:rPr>
        <w:t xml:space="preserve">, </w:t>
      </w:r>
      <w:r>
        <w:rPr>
          <w:szCs w:val="18"/>
        </w:rPr>
        <w:t>v</w:t>
      </w:r>
      <w:r w:rsidRPr="004B1202">
        <w:rPr>
          <w:szCs w:val="18"/>
        </w:rPr>
        <w:t>ol</w:t>
      </w:r>
      <w:r w:rsidRPr="00FD184E">
        <w:rPr>
          <w:szCs w:val="18"/>
        </w:rPr>
        <w:t>.</w:t>
      </w:r>
      <w:r w:rsidRPr="004B1202">
        <w:rPr>
          <w:szCs w:val="18"/>
        </w:rPr>
        <w:t> II (2</w:t>
      </w:r>
      <w:r w:rsidRPr="004B1202">
        <w:rPr>
          <w:szCs w:val="18"/>
          <w:vertAlign w:val="superscript"/>
        </w:rPr>
        <w:t>e</w:t>
      </w:r>
      <w:r w:rsidRPr="004B1202">
        <w:rPr>
          <w:szCs w:val="18"/>
        </w:rPr>
        <w:t> partie), annexe II, p</w:t>
      </w:r>
      <w:r w:rsidRPr="00FD184E">
        <w:rPr>
          <w:szCs w:val="18"/>
        </w:rPr>
        <w:t>.</w:t>
      </w:r>
      <w:r w:rsidRPr="004B1202">
        <w:rPr>
          <w:szCs w:val="18"/>
        </w:rPr>
        <w:t> 148 et 149</w:t>
      </w:r>
      <w:r w:rsidRPr="00FD184E">
        <w:rPr>
          <w:szCs w:val="18"/>
        </w:rPr>
        <w:t>.</w:t>
      </w:r>
    </w:p>
  </w:footnote>
  <w:footnote w:id="506">
    <w:p w14:paraId="7755C5D4" w14:textId="05DB248E"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 xml:space="preserve">TIDM, </w:t>
      </w:r>
      <w:r w:rsidRPr="004B1202">
        <w:rPr>
          <w:i/>
          <w:iCs/>
          <w:szCs w:val="18"/>
        </w:rPr>
        <w:t>Demande d</w:t>
      </w:r>
      <w:r w:rsidR="004937A0">
        <w:rPr>
          <w:i/>
          <w:iCs/>
          <w:szCs w:val="18"/>
        </w:rPr>
        <w:t>’</w:t>
      </w:r>
      <w:r w:rsidRPr="004B1202">
        <w:rPr>
          <w:i/>
          <w:iCs/>
          <w:szCs w:val="18"/>
        </w:rPr>
        <w:t>avis consultatif soumise par la Commission des petits États insulaires sur le changement climatique et le droit international</w:t>
      </w:r>
      <w:r w:rsidRPr="004B1202">
        <w:rPr>
          <w:szCs w:val="18"/>
        </w:rPr>
        <w:t>, avis consultatif, 21 mai 2024</w:t>
      </w:r>
      <w:r w:rsidRPr="00FD184E">
        <w:rPr>
          <w:szCs w:val="18"/>
        </w:rPr>
        <w:t>.</w:t>
      </w:r>
    </w:p>
  </w:footnote>
  <w:footnote w:id="507">
    <w:p w14:paraId="309346A2" w14:textId="4FB8B1AD"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Association de droit international, Groupe d</w:t>
      </w:r>
      <w:r w:rsidR="004937A0">
        <w:rPr>
          <w:szCs w:val="18"/>
        </w:rPr>
        <w:t>’</w:t>
      </w:r>
      <w:r w:rsidRPr="004B1202">
        <w:rPr>
          <w:szCs w:val="18"/>
        </w:rPr>
        <w:t>étude sur l</w:t>
      </w:r>
      <w:r w:rsidR="004937A0">
        <w:rPr>
          <w:szCs w:val="18"/>
        </w:rPr>
        <w:t>’</w:t>
      </w:r>
      <w:r w:rsidRPr="004B1202">
        <w:rPr>
          <w:szCs w:val="18"/>
        </w:rPr>
        <w:t xml:space="preserve">obligation de diligence en droit international, note </w:t>
      </w:r>
      <w:r w:rsidRPr="004B1202">
        <w:rPr>
          <w:szCs w:val="18"/>
        </w:rPr>
        <w:fldChar w:fldCharType="begin"/>
      </w:r>
      <w:r w:rsidRPr="004B1202">
        <w:rPr>
          <w:szCs w:val="18"/>
        </w:rPr>
        <w:instrText xml:space="preserve"> NOTEREF _Ref174454995 \h </w:instrText>
      </w:r>
      <w:r w:rsidRPr="004B1202">
        <w:rPr>
          <w:szCs w:val="18"/>
        </w:rPr>
      </w:r>
      <w:r w:rsidRPr="004B1202">
        <w:rPr>
          <w:szCs w:val="18"/>
        </w:rPr>
        <w:fldChar w:fldCharType="separate"/>
      </w:r>
      <w:r w:rsidR="00EC4FDE">
        <w:rPr>
          <w:szCs w:val="18"/>
        </w:rPr>
        <w:t>18</w:t>
      </w:r>
      <w:r w:rsidRPr="004B1202">
        <w:rPr>
          <w:szCs w:val="18"/>
        </w:rPr>
        <w:fldChar w:fldCharType="end"/>
      </w:r>
      <w:r w:rsidRPr="007F5152">
        <w:rPr>
          <w:i/>
          <w:iCs/>
          <w:szCs w:val="18"/>
        </w:rPr>
        <w:t xml:space="preserve"> </w:t>
      </w:r>
      <w:r w:rsidRPr="004B1202">
        <w:rPr>
          <w:i/>
          <w:iCs/>
          <w:szCs w:val="18"/>
        </w:rPr>
        <w:t>supra</w:t>
      </w:r>
      <w:r w:rsidRPr="00FD184E">
        <w:rPr>
          <w:szCs w:val="18"/>
        </w:rPr>
        <w:t>.</w:t>
      </w:r>
    </w:p>
  </w:footnote>
  <w:footnote w:id="508">
    <w:p w14:paraId="1D098EFE" w14:textId="77777777" w:rsidR="005A67A9" w:rsidRPr="004B1202" w:rsidRDefault="005A67A9" w:rsidP="00E9227E">
      <w:pPr>
        <w:pStyle w:val="Notedebasdepage"/>
        <w:rPr>
          <w:szCs w:val="18"/>
        </w:rPr>
      </w:pPr>
      <w:r w:rsidRPr="004B1202">
        <w:rPr>
          <w:szCs w:val="18"/>
        </w:rPr>
        <w:tab/>
      </w:r>
      <w:r w:rsidRPr="00E9227E">
        <w:rPr>
          <w:rStyle w:val="Appelnotedebasdep"/>
        </w:rPr>
        <w:footnoteRef/>
      </w:r>
      <w:bookmarkStart w:id="302" w:name="_Hlk167195064"/>
      <w:r w:rsidRPr="004B1202">
        <w:rPr>
          <w:szCs w:val="18"/>
        </w:rPr>
        <w:tab/>
        <w:t>Institut de droit international, troisième Commission, Règles de prévention des dommages applicables aux espaces ne relevant pas des juridictions nationales, Éditions A</w:t>
      </w:r>
      <w:r w:rsidRPr="00FD184E">
        <w:rPr>
          <w:szCs w:val="18"/>
        </w:rPr>
        <w:t>.</w:t>
      </w:r>
      <w:r w:rsidRPr="004B1202">
        <w:rPr>
          <w:szCs w:val="18"/>
        </w:rPr>
        <w:t xml:space="preserve"> Pedone, 2023</w:t>
      </w:r>
      <w:bookmarkEnd w:id="302"/>
      <w:r w:rsidRPr="004B1202">
        <w:rPr>
          <w:szCs w:val="18"/>
        </w:rPr>
        <w:t>, p</w:t>
      </w:r>
      <w:r w:rsidRPr="00FD184E">
        <w:rPr>
          <w:szCs w:val="18"/>
        </w:rPr>
        <w:t>.</w:t>
      </w:r>
      <w:r w:rsidRPr="004B1202">
        <w:rPr>
          <w:szCs w:val="18"/>
        </w:rPr>
        <w:t> 104</w:t>
      </w:r>
      <w:r w:rsidRPr="00FD184E">
        <w:rPr>
          <w:szCs w:val="18"/>
        </w:rPr>
        <w:t>.</w:t>
      </w:r>
      <w:r w:rsidRPr="004B1202">
        <w:rPr>
          <w:szCs w:val="18"/>
        </w:rPr>
        <w:t xml:space="preserve"> </w:t>
      </w:r>
    </w:p>
  </w:footnote>
  <w:footnote w:id="509">
    <w:p w14:paraId="12BF6D75" w14:textId="77777777" w:rsidR="005A67A9" w:rsidRPr="004B1202" w:rsidRDefault="005A67A9" w:rsidP="00E9227E">
      <w:pPr>
        <w:pStyle w:val="Notedebasdepage"/>
        <w:rPr>
          <w:szCs w:val="18"/>
        </w:rPr>
      </w:pPr>
      <w:r w:rsidRPr="004B1202">
        <w:rPr>
          <w:szCs w:val="18"/>
        </w:rPr>
        <w:tab/>
      </w:r>
      <w:r w:rsidRPr="00E9227E">
        <w:rPr>
          <w:rStyle w:val="Appelnotedebasdep"/>
        </w:rPr>
        <w:footnoteRef/>
      </w:r>
      <w:r w:rsidRPr="004B1202">
        <w:rPr>
          <w:szCs w:val="18"/>
        </w:rPr>
        <w:tab/>
        <w:t>Ibid</w:t>
      </w:r>
      <w:r>
        <w:rPr>
          <w:szCs w:val="18"/>
        </w:rPr>
        <w:t>.</w:t>
      </w:r>
      <w:r w:rsidRPr="004B1202">
        <w:rPr>
          <w:szCs w:val="18"/>
        </w:rPr>
        <w:t>, p</w:t>
      </w:r>
      <w:r w:rsidRPr="00FD184E">
        <w:rPr>
          <w:szCs w:val="18"/>
        </w:rPr>
        <w:t>.</w:t>
      </w:r>
      <w:r w:rsidRPr="004B1202">
        <w:rPr>
          <w:szCs w:val="18"/>
        </w:rPr>
        <w:t> 105</w:t>
      </w:r>
      <w:r w:rsidRPr="00FD184E">
        <w:rPr>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AE7C5" w14:textId="7C6C22D6" w:rsidR="00D71812" w:rsidRPr="00BC4613" w:rsidRDefault="00BF2362" w:rsidP="00D71812">
    <w:pPr>
      <w:framePr w:w="284" w:h="2835" w:hRule="exact" w:wrap="notBeside" w:vAnchor="page" w:hAnchor="page" w:x="11114" w:y="1475" w:anchorLock="1"/>
      <w:spacing w:line="240" w:lineRule="auto"/>
      <w:textDirection w:val="tbRl"/>
      <w:rPr>
        <w:sz w:val="17"/>
        <w:szCs w:val="17"/>
      </w:rPr>
    </w:pPr>
    <w:r w:rsidRPr="00BC4613">
      <w:rPr>
        <w:sz w:val="17"/>
        <w:szCs w:val="17"/>
      </w:rPr>
      <w:fldChar w:fldCharType="begin"/>
    </w:r>
    <w:r w:rsidRPr="00BC4613">
      <w:rPr>
        <w:sz w:val="17"/>
        <w:szCs w:val="17"/>
      </w:rPr>
      <w:instrText xml:space="preserve"> TITLE   \* MERGEFORMAT </w:instrText>
    </w:r>
    <w:r w:rsidRPr="00BC4613">
      <w:rPr>
        <w:sz w:val="17"/>
        <w:szCs w:val="17"/>
      </w:rPr>
      <w:fldChar w:fldCharType="separate"/>
    </w:r>
    <w:r w:rsidR="00EC4FDE">
      <w:rPr>
        <w:sz w:val="17"/>
        <w:szCs w:val="17"/>
      </w:rPr>
      <w:t>A/79/10</w:t>
    </w:r>
    <w:r w:rsidRPr="00BC4613">
      <w:rPr>
        <w:sz w:val="17"/>
        <w:szCs w:val="17"/>
      </w:rPr>
      <w:fldChar w:fldCharType="end"/>
    </w:r>
  </w:p>
  <w:p w14:paraId="21CA72B8" w14:textId="77777777" w:rsidR="00D71812" w:rsidRPr="00BC4613" w:rsidRDefault="00D71812" w:rsidP="00D71812">
    <w:pPr>
      <w:rPr>
        <w:sz w:val="17"/>
        <w:szCs w:val="17"/>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4F377" w14:textId="1D4CAAE2" w:rsidR="005D2955" w:rsidRPr="005D2955" w:rsidRDefault="00090489" w:rsidP="005A67A9">
    <w:pPr>
      <w:pStyle w:val="En-tte"/>
      <w:jc w:val="right"/>
    </w:pPr>
    <w:r>
      <w:fldChar w:fldCharType="begin"/>
    </w:r>
    <w:r>
      <w:instrText xml:space="preserve"> TITLE  \* MERGEFORMAT </w:instrText>
    </w:r>
    <w:r>
      <w:fldChar w:fldCharType="separate"/>
    </w:r>
    <w:r w:rsidR="00EC4FDE">
      <w:t>A/79/10</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2E87" w14:textId="55B181A7" w:rsidR="005A67A9" w:rsidRPr="005A67A9" w:rsidRDefault="00090489" w:rsidP="005A67A9">
    <w:pPr>
      <w:pStyle w:val="En-tte"/>
    </w:pPr>
    <w:r>
      <w:fldChar w:fldCharType="begin"/>
    </w:r>
    <w:r>
      <w:instrText xml:space="preserve"> TITLE  \* MERGEFORMAT </w:instrText>
    </w:r>
    <w:r>
      <w:fldChar w:fldCharType="separate"/>
    </w:r>
    <w:r w:rsidR="00EC4FDE">
      <w:t>A/79/10</w:t>
    </w:r>
    <w: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F205A" w14:textId="2AD214FF" w:rsidR="005A67A9" w:rsidRPr="005A67A9" w:rsidRDefault="00090489" w:rsidP="005A67A9">
    <w:pPr>
      <w:pStyle w:val="En-tte"/>
      <w:jc w:val="right"/>
    </w:pPr>
    <w:r>
      <w:fldChar w:fldCharType="begin"/>
    </w:r>
    <w:r>
      <w:instrText xml:space="preserve"> TITLE  \* MERGEFORMAT </w:instrText>
    </w:r>
    <w:r>
      <w:fldChar w:fldCharType="separate"/>
    </w:r>
    <w:r w:rsidR="00EC4FDE">
      <w:t>A/79/10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35DB8" w14:textId="77777777" w:rsidR="00067141" w:rsidRPr="005813E3" w:rsidRDefault="00067141" w:rsidP="0014514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1A352" w14:textId="77777777" w:rsidR="00B7180A" w:rsidRDefault="00B7180A" w:rsidP="00E37E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CEB8C" w14:textId="77777777" w:rsidR="00B7180A" w:rsidRDefault="00B7180A" w:rsidP="001451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38EE45" w14:textId="0CA730CE" w:rsidR="00145146" w:rsidRPr="00145146" w:rsidRDefault="00090489" w:rsidP="00145146">
    <w:pPr>
      <w:pStyle w:val="En-tte"/>
    </w:pPr>
    <w:r>
      <w:fldChar w:fldCharType="begin"/>
    </w:r>
    <w:r>
      <w:instrText xml:space="preserve"> TITLE  \* MERGEFORMAT </w:instrText>
    </w:r>
    <w:r>
      <w:fldChar w:fldCharType="separate"/>
    </w:r>
    <w:r w:rsidR="00EC4FDE">
      <w:t>A/79/10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7B52C" w14:textId="1D5C3F1C" w:rsidR="00B7180A" w:rsidRDefault="00090489" w:rsidP="00145146">
    <w:pPr>
      <w:pStyle w:val="En-tte"/>
      <w:jc w:val="right"/>
    </w:pPr>
    <w:r>
      <w:fldChar w:fldCharType="begin"/>
    </w:r>
    <w:r>
      <w:instrText xml:space="preserve"> TITLE  \* MERGEFORMAT </w:instrText>
    </w:r>
    <w:r>
      <w:fldChar w:fldCharType="separate"/>
    </w:r>
    <w:r w:rsidR="00EC4FDE">
      <w:t>A/79/10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C88B" w14:textId="1E819416" w:rsidR="00145146" w:rsidRDefault="00090489" w:rsidP="00145146">
    <w:pPr>
      <w:pStyle w:val="En-tte"/>
      <w:jc w:val="right"/>
    </w:pPr>
    <w:r>
      <w:fldChar w:fldCharType="begin"/>
    </w:r>
    <w:r>
      <w:instrText xml:space="preserve"> TITLE  \* MERGEFORMAT </w:instrText>
    </w:r>
    <w:r>
      <w:fldChar w:fldCharType="separate"/>
    </w:r>
    <w:r w:rsidR="00EC4FDE">
      <w:t>A/79/10</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3C897" w14:textId="5CC0821F" w:rsidR="00145146" w:rsidRDefault="00090489" w:rsidP="00145146">
    <w:pPr>
      <w:pStyle w:val="En-tte"/>
      <w:jc w:val="right"/>
    </w:pPr>
    <w:r>
      <w:fldChar w:fldCharType="begin"/>
    </w:r>
    <w:r>
      <w:instrText xml:space="preserve"> TITLE  \* MERGEFORMAT </w:instrText>
    </w:r>
    <w:r>
      <w:fldChar w:fldCharType="separate"/>
    </w:r>
    <w:r w:rsidR="00EC4FDE">
      <w:t>A/79/10</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C0397" w14:textId="7E094236" w:rsidR="005D2955" w:rsidRPr="005D2955" w:rsidRDefault="00090489" w:rsidP="005A67A9">
    <w:pPr>
      <w:pStyle w:val="En-tte"/>
    </w:pPr>
    <w:r>
      <w:fldChar w:fldCharType="begin"/>
    </w:r>
    <w:r>
      <w:instrText xml:space="preserve"> TITLE  \* MERGEFORMAT </w:instrText>
    </w:r>
    <w:r>
      <w:fldChar w:fldCharType="separate"/>
    </w:r>
    <w:r w:rsidR="00EC4FDE">
      <w:t>A/79/10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153B14"/>
    <w:multiLevelType w:val="hybridMultilevel"/>
    <w:tmpl w:val="2586D360"/>
    <w:lvl w:ilvl="0" w:tplc="CF90581E">
      <w:start w:val="1"/>
      <w:numFmt w:val="decimal"/>
      <w:pStyle w:val="NumberedPara"/>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hint="default"/>
        <w:i/>
      </w:rPr>
    </w:lvl>
    <w:lvl w:ilvl="2" w:tplc="FFFFFFFF">
      <w:start w:val="1"/>
      <w:numFmt w:val="upperLetter"/>
      <w:lvlText w:val="%3."/>
      <w:lvlJc w:val="left"/>
      <w:pPr>
        <w:tabs>
          <w:tab w:val="num" w:pos="2203"/>
        </w:tabs>
        <w:ind w:left="2203" w:hanging="360"/>
      </w:pPr>
      <w:rPr>
        <w:rFonts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2131768"/>
    <w:multiLevelType w:val="multilevel"/>
    <w:tmpl w:val="63BC81AC"/>
    <w:lvl w:ilvl="0">
      <w:start w:val="1"/>
      <w:numFmt w:val="decimal"/>
      <w:lvlText w:val="%1."/>
      <w:lvlJc w:val="left"/>
      <w:pPr>
        <w:ind w:left="1080" w:hanging="360"/>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F04AE2"/>
    <w:multiLevelType w:val="hybridMultilevel"/>
    <w:tmpl w:val="1DFE09B2"/>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D4CE5"/>
    <w:multiLevelType w:val="hybridMultilevel"/>
    <w:tmpl w:val="058C0700"/>
    <w:lvl w:ilvl="0" w:tplc="FFFFFFFF">
      <w:start w:val="1"/>
      <w:numFmt w:val="decimal"/>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0" w15:restartNumberingAfterBreak="0">
    <w:nsid w:val="3A422D70"/>
    <w:multiLevelType w:val="multilevel"/>
    <w:tmpl w:val="CF1E374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3B5E4F1C"/>
    <w:multiLevelType w:val="hybridMultilevel"/>
    <w:tmpl w:val="D3840850"/>
    <w:lvl w:ilvl="0" w:tplc="525E4296">
      <w:start w:val="1"/>
      <w:numFmt w:val="upperLetter"/>
      <w:lvlText w:val="%1."/>
      <w:lvlJc w:val="left"/>
      <w:pPr>
        <w:ind w:left="1566" w:hanging="432"/>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23" w15:restartNumberingAfterBreak="0">
    <w:nsid w:val="3D0E79FE"/>
    <w:multiLevelType w:val="hybridMultilevel"/>
    <w:tmpl w:val="058C0700"/>
    <w:lvl w:ilvl="0" w:tplc="230E254A">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59682AB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B901E9"/>
    <w:multiLevelType w:val="hybridMultilevel"/>
    <w:tmpl w:val="03C87702"/>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29" w15:restartNumberingAfterBreak="0">
    <w:nsid w:val="68B65C01"/>
    <w:multiLevelType w:val="hybridMultilevel"/>
    <w:tmpl w:val="20C8DFA8"/>
    <w:lvl w:ilvl="0" w:tplc="040C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EF4F39"/>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83907618">
    <w:abstractNumId w:val="28"/>
  </w:num>
  <w:num w:numId="2" w16cid:durableId="1279918773">
    <w:abstractNumId w:val="21"/>
  </w:num>
  <w:num w:numId="3" w16cid:durableId="26880538">
    <w:abstractNumId w:val="13"/>
  </w:num>
  <w:num w:numId="4" w16cid:durableId="645549782">
    <w:abstractNumId w:val="22"/>
  </w:num>
  <w:num w:numId="5" w16cid:durableId="1323002755">
    <w:abstractNumId w:val="12"/>
  </w:num>
  <w:num w:numId="6" w16cid:durableId="1462652306">
    <w:abstractNumId w:val="8"/>
  </w:num>
  <w:num w:numId="7" w16cid:durableId="1831483658">
    <w:abstractNumId w:val="3"/>
  </w:num>
  <w:num w:numId="8" w16cid:durableId="1441300308">
    <w:abstractNumId w:val="2"/>
  </w:num>
  <w:num w:numId="9" w16cid:durableId="725491993">
    <w:abstractNumId w:val="1"/>
  </w:num>
  <w:num w:numId="10" w16cid:durableId="1546984488">
    <w:abstractNumId w:val="0"/>
  </w:num>
  <w:num w:numId="11" w16cid:durableId="1546678446">
    <w:abstractNumId w:val="9"/>
  </w:num>
  <w:num w:numId="12" w16cid:durableId="1927767969">
    <w:abstractNumId w:val="7"/>
  </w:num>
  <w:num w:numId="13" w16cid:durableId="1338775548">
    <w:abstractNumId w:val="6"/>
  </w:num>
  <w:num w:numId="14" w16cid:durableId="1101416476">
    <w:abstractNumId w:val="5"/>
  </w:num>
  <w:num w:numId="15" w16cid:durableId="2055152341">
    <w:abstractNumId w:val="4"/>
  </w:num>
  <w:num w:numId="16" w16cid:durableId="1497500192">
    <w:abstractNumId w:val="23"/>
  </w:num>
  <w:num w:numId="17" w16cid:durableId="1235431538">
    <w:abstractNumId w:val="13"/>
    <w:lvlOverride w:ilvl="0">
      <w:startOverride w:val="1"/>
    </w:lvlOverride>
  </w:num>
  <w:num w:numId="18" w16cid:durableId="1275358081">
    <w:abstractNumId w:val="19"/>
  </w:num>
  <w:num w:numId="19" w16cid:durableId="105924922">
    <w:abstractNumId w:val="20"/>
  </w:num>
  <w:num w:numId="20" w16cid:durableId="139808440">
    <w:abstractNumId w:val="14"/>
  </w:num>
  <w:num w:numId="21" w16cid:durableId="534923769">
    <w:abstractNumId w:val="18"/>
  </w:num>
  <w:num w:numId="22" w16cid:durableId="373699070">
    <w:abstractNumId w:val="25"/>
  </w:num>
  <w:num w:numId="23" w16cid:durableId="484054305">
    <w:abstractNumId w:val="29"/>
  </w:num>
  <w:num w:numId="24" w16cid:durableId="1175728794">
    <w:abstractNumId w:val="17"/>
  </w:num>
  <w:num w:numId="25" w16cid:durableId="494877107">
    <w:abstractNumId w:val="16"/>
  </w:num>
  <w:num w:numId="26" w16cid:durableId="1008672485">
    <w:abstractNumId w:val="10"/>
  </w:num>
  <w:num w:numId="27" w16cid:durableId="1594895956">
    <w:abstractNumId w:val="26"/>
  </w:num>
  <w:num w:numId="28" w16cid:durableId="522331521">
    <w:abstractNumId w:val="30"/>
  </w:num>
  <w:num w:numId="29" w16cid:durableId="917330450">
    <w:abstractNumId w:val="24"/>
  </w:num>
  <w:num w:numId="30" w16cid:durableId="714039551">
    <w:abstractNumId w:val="15"/>
  </w:num>
  <w:num w:numId="31" w16cid:durableId="433283899">
    <w:abstractNumId w:val="11"/>
  </w:num>
  <w:num w:numId="32" w16cid:durableId="1577740564">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ctiveWritingStyle w:appName="MSWord" w:lang="en-GB" w:vendorID="64" w:dllVersion="5" w:nlCheck="1" w:checkStyle="1"/>
  <w:activeWritingStyle w:appName="MSWord" w:lang="fr-CH" w:vendorID="64" w:dllVersion="6" w:nlCheck="1" w:checkStyle="1"/>
  <w:activeWritingStyle w:appName="MSWord" w:lang="fr-FR" w:vendorID="64" w:dllVersion="6"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26"/>
    <w:rsid w:val="000067A6"/>
    <w:rsid w:val="000126E9"/>
    <w:rsid w:val="0001470D"/>
    <w:rsid w:val="00016165"/>
    <w:rsid w:val="00016AC5"/>
    <w:rsid w:val="00021907"/>
    <w:rsid w:val="000233A5"/>
    <w:rsid w:val="0002445D"/>
    <w:rsid w:val="00024C50"/>
    <w:rsid w:val="00025E92"/>
    <w:rsid w:val="000276A3"/>
    <w:rsid w:val="00031C3D"/>
    <w:rsid w:val="00032060"/>
    <w:rsid w:val="00040539"/>
    <w:rsid w:val="00040598"/>
    <w:rsid w:val="00042735"/>
    <w:rsid w:val="0004446A"/>
    <w:rsid w:val="00047F10"/>
    <w:rsid w:val="00052157"/>
    <w:rsid w:val="0005346D"/>
    <w:rsid w:val="00055FE4"/>
    <w:rsid w:val="00056C51"/>
    <w:rsid w:val="000603F4"/>
    <w:rsid w:val="000641CE"/>
    <w:rsid w:val="00067141"/>
    <w:rsid w:val="00067310"/>
    <w:rsid w:val="0007548B"/>
    <w:rsid w:val="00077E35"/>
    <w:rsid w:val="0008669E"/>
    <w:rsid w:val="00086AAF"/>
    <w:rsid w:val="00090599"/>
    <w:rsid w:val="00096270"/>
    <w:rsid w:val="000A097F"/>
    <w:rsid w:val="000A1501"/>
    <w:rsid w:val="000A2494"/>
    <w:rsid w:val="000A6B7E"/>
    <w:rsid w:val="000B2AF5"/>
    <w:rsid w:val="000B7A07"/>
    <w:rsid w:val="000C0EDF"/>
    <w:rsid w:val="000C6CDB"/>
    <w:rsid w:val="000D156C"/>
    <w:rsid w:val="000D5C25"/>
    <w:rsid w:val="000E25A7"/>
    <w:rsid w:val="000E4F06"/>
    <w:rsid w:val="000E5601"/>
    <w:rsid w:val="000F41F2"/>
    <w:rsid w:val="000F61C7"/>
    <w:rsid w:val="0010373B"/>
    <w:rsid w:val="00113EFC"/>
    <w:rsid w:val="00125446"/>
    <w:rsid w:val="00126DCC"/>
    <w:rsid w:val="001358D9"/>
    <w:rsid w:val="00140CC7"/>
    <w:rsid w:val="00141E26"/>
    <w:rsid w:val="00143EB9"/>
    <w:rsid w:val="00145051"/>
    <w:rsid w:val="00145146"/>
    <w:rsid w:val="0015389C"/>
    <w:rsid w:val="00160540"/>
    <w:rsid w:val="00164B95"/>
    <w:rsid w:val="00166C68"/>
    <w:rsid w:val="001732E4"/>
    <w:rsid w:val="00174814"/>
    <w:rsid w:val="00175CD3"/>
    <w:rsid w:val="00175F0A"/>
    <w:rsid w:val="00181A90"/>
    <w:rsid w:val="00181D60"/>
    <w:rsid w:val="0019002B"/>
    <w:rsid w:val="00190D5D"/>
    <w:rsid w:val="00191EEB"/>
    <w:rsid w:val="00192660"/>
    <w:rsid w:val="00192EEB"/>
    <w:rsid w:val="00194484"/>
    <w:rsid w:val="0019559B"/>
    <w:rsid w:val="001A2040"/>
    <w:rsid w:val="001A20FB"/>
    <w:rsid w:val="001A376F"/>
    <w:rsid w:val="001A6AD1"/>
    <w:rsid w:val="001B09BB"/>
    <w:rsid w:val="001B2081"/>
    <w:rsid w:val="001B261C"/>
    <w:rsid w:val="001C3D8D"/>
    <w:rsid w:val="001C6497"/>
    <w:rsid w:val="001D12EC"/>
    <w:rsid w:val="001D7F8A"/>
    <w:rsid w:val="001E0447"/>
    <w:rsid w:val="001E1495"/>
    <w:rsid w:val="001E227F"/>
    <w:rsid w:val="001E34CB"/>
    <w:rsid w:val="001E3FEB"/>
    <w:rsid w:val="001E4541"/>
    <w:rsid w:val="001E4A02"/>
    <w:rsid w:val="001E4E3F"/>
    <w:rsid w:val="001E5979"/>
    <w:rsid w:val="001E653B"/>
    <w:rsid w:val="001E6DF0"/>
    <w:rsid w:val="001F0402"/>
    <w:rsid w:val="001F3E68"/>
    <w:rsid w:val="001F4635"/>
    <w:rsid w:val="001F4931"/>
    <w:rsid w:val="001F6DE4"/>
    <w:rsid w:val="001F6EA4"/>
    <w:rsid w:val="00200A7F"/>
    <w:rsid w:val="00200CBA"/>
    <w:rsid w:val="00204B66"/>
    <w:rsid w:val="002059CE"/>
    <w:rsid w:val="00206AD4"/>
    <w:rsid w:val="002134B9"/>
    <w:rsid w:val="00214004"/>
    <w:rsid w:val="00222253"/>
    <w:rsid w:val="002243AC"/>
    <w:rsid w:val="00224B8B"/>
    <w:rsid w:val="0022511D"/>
    <w:rsid w:val="002253B5"/>
    <w:rsid w:val="00225A8C"/>
    <w:rsid w:val="00231A7F"/>
    <w:rsid w:val="00232F03"/>
    <w:rsid w:val="00242BBD"/>
    <w:rsid w:val="00244EE0"/>
    <w:rsid w:val="00245505"/>
    <w:rsid w:val="0024586F"/>
    <w:rsid w:val="00246BC8"/>
    <w:rsid w:val="00251F95"/>
    <w:rsid w:val="00252317"/>
    <w:rsid w:val="00254B8E"/>
    <w:rsid w:val="002659F1"/>
    <w:rsid w:val="00270821"/>
    <w:rsid w:val="00271E41"/>
    <w:rsid w:val="00284C19"/>
    <w:rsid w:val="00286E23"/>
    <w:rsid w:val="002876A1"/>
    <w:rsid w:val="00287CA6"/>
    <w:rsid w:val="00287E79"/>
    <w:rsid w:val="00290049"/>
    <w:rsid w:val="002928F9"/>
    <w:rsid w:val="00294D5B"/>
    <w:rsid w:val="002A2A2C"/>
    <w:rsid w:val="002A5D07"/>
    <w:rsid w:val="002A6877"/>
    <w:rsid w:val="002B0F7E"/>
    <w:rsid w:val="002B1B6E"/>
    <w:rsid w:val="002B58F7"/>
    <w:rsid w:val="002C22FA"/>
    <w:rsid w:val="002C2BCB"/>
    <w:rsid w:val="002C3607"/>
    <w:rsid w:val="002C7840"/>
    <w:rsid w:val="002D1BED"/>
    <w:rsid w:val="002D25CA"/>
    <w:rsid w:val="002D3DA4"/>
    <w:rsid w:val="002D64CF"/>
    <w:rsid w:val="002E2F5C"/>
    <w:rsid w:val="002F0C48"/>
    <w:rsid w:val="003016B7"/>
    <w:rsid w:val="00305BCD"/>
    <w:rsid w:val="00306ABA"/>
    <w:rsid w:val="0030754C"/>
    <w:rsid w:val="00314264"/>
    <w:rsid w:val="00317E54"/>
    <w:rsid w:val="00322DF1"/>
    <w:rsid w:val="00324EBF"/>
    <w:rsid w:val="0032556C"/>
    <w:rsid w:val="00327C90"/>
    <w:rsid w:val="00330508"/>
    <w:rsid w:val="0033286A"/>
    <w:rsid w:val="00333130"/>
    <w:rsid w:val="0034168A"/>
    <w:rsid w:val="00345B76"/>
    <w:rsid w:val="00346E32"/>
    <w:rsid w:val="003515AA"/>
    <w:rsid w:val="00364F13"/>
    <w:rsid w:val="0036776C"/>
    <w:rsid w:val="00372A7A"/>
    <w:rsid w:val="00372D1D"/>
    <w:rsid w:val="00374106"/>
    <w:rsid w:val="0037569D"/>
    <w:rsid w:val="003759BF"/>
    <w:rsid w:val="0037679A"/>
    <w:rsid w:val="0038047C"/>
    <w:rsid w:val="0038638C"/>
    <w:rsid w:val="00390EEF"/>
    <w:rsid w:val="00394410"/>
    <w:rsid w:val="0039590A"/>
    <w:rsid w:val="003976D5"/>
    <w:rsid w:val="003B53B6"/>
    <w:rsid w:val="003B594B"/>
    <w:rsid w:val="003C64A9"/>
    <w:rsid w:val="003D02F9"/>
    <w:rsid w:val="003D346F"/>
    <w:rsid w:val="003D38AC"/>
    <w:rsid w:val="003D3C77"/>
    <w:rsid w:val="003D6C68"/>
    <w:rsid w:val="003E01D0"/>
    <w:rsid w:val="003E2A77"/>
    <w:rsid w:val="003E49B9"/>
    <w:rsid w:val="003E5F12"/>
    <w:rsid w:val="003E786C"/>
    <w:rsid w:val="003F2A89"/>
    <w:rsid w:val="003F311C"/>
    <w:rsid w:val="003F4433"/>
    <w:rsid w:val="003F4A54"/>
    <w:rsid w:val="003F7DA4"/>
    <w:rsid w:val="0040144C"/>
    <w:rsid w:val="004067AE"/>
    <w:rsid w:val="00406BCB"/>
    <w:rsid w:val="00410521"/>
    <w:rsid w:val="00413BB0"/>
    <w:rsid w:val="00414AA0"/>
    <w:rsid w:val="00415805"/>
    <w:rsid w:val="004159D0"/>
    <w:rsid w:val="00417326"/>
    <w:rsid w:val="0042102D"/>
    <w:rsid w:val="00422499"/>
    <w:rsid w:val="00425153"/>
    <w:rsid w:val="0043024B"/>
    <w:rsid w:val="004342E2"/>
    <w:rsid w:val="00434354"/>
    <w:rsid w:val="00434F55"/>
    <w:rsid w:val="00440BC8"/>
    <w:rsid w:val="00441AA4"/>
    <w:rsid w:val="004522A3"/>
    <w:rsid w:val="00454F8D"/>
    <w:rsid w:val="004566AA"/>
    <w:rsid w:val="004567EB"/>
    <w:rsid w:val="00460E72"/>
    <w:rsid w:val="00467412"/>
    <w:rsid w:val="00476265"/>
    <w:rsid w:val="00481132"/>
    <w:rsid w:val="00482250"/>
    <w:rsid w:val="00483E94"/>
    <w:rsid w:val="00490F56"/>
    <w:rsid w:val="00491F39"/>
    <w:rsid w:val="004937A0"/>
    <w:rsid w:val="004A038B"/>
    <w:rsid w:val="004A49A5"/>
    <w:rsid w:val="004A66A2"/>
    <w:rsid w:val="004B51CD"/>
    <w:rsid w:val="004C54C0"/>
    <w:rsid w:val="004C56B2"/>
    <w:rsid w:val="004C5E26"/>
    <w:rsid w:val="004D00B2"/>
    <w:rsid w:val="004E1476"/>
    <w:rsid w:val="004E4963"/>
    <w:rsid w:val="004E6809"/>
    <w:rsid w:val="004E7CF9"/>
    <w:rsid w:val="004E7F24"/>
    <w:rsid w:val="004F3FE4"/>
    <w:rsid w:val="004F49A4"/>
    <w:rsid w:val="005111B1"/>
    <w:rsid w:val="00513C47"/>
    <w:rsid w:val="0051457E"/>
    <w:rsid w:val="00516D6F"/>
    <w:rsid w:val="0051714B"/>
    <w:rsid w:val="00517F90"/>
    <w:rsid w:val="00520F80"/>
    <w:rsid w:val="005239FF"/>
    <w:rsid w:val="00523D8B"/>
    <w:rsid w:val="00523DB8"/>
    <w:rsid w:val="00532BF6"/>
    <w:rsid w:val="00533150"/>
    <w:rsid w:val="00541BE4"/>
    <w:rsid w:val="00543B57"/>
    <w:rsid w:val="00543C47"/>
    <w:rsid w:val="00543D5E"/>
    <w:rsid w:val="00546FC9"/>
    <w:rsid w:val="00550C89"/>
    <w:rsid w:val="00552260"/>
    <w:rsid w:val="00552777"/>
    <w:rsid w:val="00555494"/>
    <w:rsid w:val="00555CBA"/>
    <w:rsid w:val="005565EB"/>
    <w:rsid w:val="005629D6"/>
    <w:rsid w:val="00563869"/>
    <w:rsid w:val="00565B29"/>
    <w:rsid w:val="00567F8A"/>
    <w:rsid w:val="00571BC1"/>
    <w:rsid w:val="00571F41"/>
    <w:rsid w:val="00575476"/>
    <w:rsid w:val="005813E3"/>
    <w:rsid w:val="00584373"/>
    <w:rsid w:val="00591DB3"/>
    <w:rsid w:val="005928F1"/>
    <w:rsid w:val="005939ED"/>
    <w:rsid w:val="005947BC"/>
    <w:rsid w:val="00595E8A"/>
    <w:rsid w:val="005A0268"/>
    <w:rsid w:val="005A478D"/>
    <w:rsid w:val="005A6014"/>
    <w:rsid w:val="005A67A9"/>
    <w:rsid w:val="005B473C"/>
    <w:rsid w:val="005C24CA"/>
    <w:rsid w:val="005C549A"/>
    <w:rsid w:val="005C59E8"/>
    <w:rsid w:val="005D1772"/>
    <w:rsid w:val="005D2036"/>
    <w:rsid w:val="005D2955"/>
    <w:rsid w:val="005D7719"/>
    <w:rsid w:val="005E1B9B"/>
    <w:rsid w:val="005E32D1"/>
    <w:rsid w:val="005E5D1F"/>
    <w:rsid w:val="005F0002"/>
    <w:rsid w:val="005F612B"/>
    <w:rsid w:val="005F7217"/>
    <w:rsid w:val="005F7996"/>
    <w:rsid w:val="00600A00"/>
    <w:rsid w:val="0061113B"/>
    <w:rsid w:val="00611D43"/>
    <w:rsid w:val="00612D48"/>
    <w:rsid w:val="00613A5E"/>
    <w:rsid w:val="00614FBD"/>
    <w:rsid w:val="006164C1"/>
    <w:rsid w:val="00616B45"/>
    <w:rsid w:val="00620907"/>
    <w:rsid w:val="006241C6"/>
    <w:rsid w:val="00624DBA"/>
    <w:rsid w:val="006269FF"/>
    <w:rsid w:val="00627593"/>
    <w:rsid w:val="00630D9B"/>
    <w:rsid w:val="00631953"/>
    <w:rsid w:val="0063208D"/>
    <w:rsid w:val="0063210E"/>
    <w:rsid w:val="00632FB9"/>
    <w:rsid w:val="00643814"/>
    <w:rsid w:val="006439EC"/>
    <w:rsid w:val="00645090"/>
    <w:rsid w:val="00647059"/>
    <w:rsid w:val="00647162"/>
    <w:rsid w:val="0065029A"/>
    <w:rsid w:val="00650770"/>
    <w:rsid w:val="006517A4"/>
    <w:rsid w:val="00653942"/>
    <w:rsid w:val="00661667"/>
    <w:rsid w:val="00661E96"/>
    <w:rsid w:val="00662143"/>
    <w:rsid w:val="00662C99"/>
    <w:rsid w:val="006655EB"/>
    <w:rsid w:val="00665786"/>
    <w:rsid w:val="00671C93"/>
    <w:rsid w:val="00671F00"/>
    <w:rsid w:val="006729C8"/>
    <w:rsid w:val="00675501"/>
    <w:rsid w:val="0068562A"/>
    <w:rsid w:val="00690A7C"/>
    <w:rsid w:val="006957F9"/>
    <w:rsid w:val="00696ED1"/>
    <w:rsid w:val="006A6B31"/>
    <w:rsid w:val="006A6C95"/>
    <w:rsid w:val="006A7B29"/>
    <w:rsid w:val="006B0EB2"/>
    <w:rsid w:val="006B0FF8"/>
    <w:rsid w:val="006B3D5C"/>
    <w:rsid w:val="006B4590"/>
    <w:rsid w:val="006C340C"/>
    <w:rsid w:val="006C3AB5"/>
    <w:rsid w:val="006C43F7"/>
    <w:rsid w:val="006E492F"/>
    <w:rsid w:val="006F1D0B"/>
    <w:rsid w:val="006F27A8"/>
    <w:rsid w:val="006F3493"/>
    <w:rsid w:val="006F3544"/>
    <w:rsid w:val="006F5A52"/>
    <w:rsid w:val="00702F0F"/>
    <w:rsid w:val="0070347C"/>
    <w:rsid w:val="007102D2"/>
    <w:rsid w:val="00710F31"/>
    <w:rsid w:val="00714647"/>
    <w:rsid w:val="00714A66"/>
    <w:rsid w:val="007176C1"/>
    <w:rsid w:val="00720BC0"/>
    <w:rsid w:val="0072116B"/>
    <w:rsid w:val="0072150C"/>
    <w:rsid w:val="00722620"/>
    <w:rsid w:val="00724308"/>
    <w:rsid w:val="00725063"/>
    <w:rsid w:val="0072777F"/>
    <w:rsid w:val="00727DFE"/>
    <w:rsid w:val="00732E72"/>
    <w:rsid w:val="007339B9"/>
    <w:rsid w:val="00737BD1"/>
    <w:rsid w:val="00741D90"/>
    <w:rsid w:val="007607B1"/>
    <w:rsid w:val="00765296"/>
    <w:rsid w:val="00766D28"/>
    <w:rsid w:val="00770C5C"/>
    <w:rsid w:val="007723C2"/>
    <w:rsid w:val="007749AF"/>
    <w:rsid w:val="007815B9"/>
    <w:rsid w:val="00785F1F"/>
    <w:rsid w:val="00790B9D"/>
    <w:rsid w:val="007955DA"/>
    <w:rsid w:val="00796316"/>
    <w:rsid w:val="007A1C58"/>
    <w:rsid w:val="007A20D2"/>
    <w:rsid w:val="007A322E"/>
    <w:rsid w:val="007A79CD"/>
    <w:rsid w:val="007B0ECA"/>
    <w:rsid w:val="007D2668"/>
    <w:rsid w:val="007D3119"/>
    <w:rsid w:val="007D385C"/>
    <w:rsid w:val="007D4934"/>
    <w:rsid w:val="007E0E29"/>
    <w:rsid w:val="007E4F09"/>
    <w:rsid w:val="007F1867"/>
    <w:rsid w:val="007F1EC4"/>
    <w:rsid w:val="007F55CB"/>
    <w:rsid w:val="007F6597"/>
    <w:rsid w:val="007F768E"/>
    <w:rsid w:val="008021D4"/>
    <w:rsid w:val="0080329A"/>
    <w:rsid w:val="008149F9"/>
    <w:rsid w:val="00822AA6"/>
    <w:rsid w:val="008245B7"/>
    <w:rsid w:val="0082755E"/>
    <w:rsid w:val="00827FD1"/>
    <w:rsid w:val="00831A18"/>
    <w:rsid w:val="00837345"/>
    <w:rsid w:val="00844750"/>
    <w:rsid w:val="00851A74"/>
    <w:rsid w:val="00853AB8"/>
    <w:rsid w:val="008544D8"/>
    <w:rsid w:val="00854C34"/>
    <w:rsid w:val="0085586A"/>
    <w:rsid w:val="00860B1B"/>
    <w:rsid w:val="00865A3F"/>
    <w:rsid w:val="008729F8"/>
    <w:rsid w:val="00876289"/>
    <w:rsid w:val="00895DE5"/>
    <w:rsid w:val="008A0FA8"/>
    <w:rsid w:val="008A1EC0"/>
    <w:rsid w:val="008A6CA7"/>
    <w:rsid w:val="008B44C4"/>
    <w:rsid w:val="008B6DFA"/>
    <w:rsid w:val="008C322B"/>
    <w:rsid w:val="008C4B74"/>
    <w:rsid w:val="008D1156"/>
    <w:rsid w:val="008D59DB"/>
    <w:rsid w:val="008D6C4B"/>
    <w:rsid w:val="008D6DE1"/>
    <w:rsid w:val="008E0319"/>
    <w:rsid w:val="008E0D4F"/>
    <w:rsid w:val="008E3E7D"/>
    <w:rsid w:val="008E4DE2"/>
    <w:rsid w:val="008E7CE2"/>
    <w:rsid w:val="008E7FAE"/>
    <w:rsid w:val="008F4823"/>
    <w:rsid w:val="008F52F2"/>
    <w:rsid w:val="00911611"/>
    <w:rsid w:val="00911BF7"/>
    <w:rsid w:val="0091594A"/>
    <w:rsid w:val="00916621"/>
    <w:rsid w:val="009230F1"/>
    <w:rsid w:val="0092727A"/>
    <w:rsid w:val="009348B2"/>
    <w:rsid w:val="00935490"/>
    <w:rsid w:val="009418DE"/>
    <w:rsid w:val="00942491"/>
    <w:rsid w:val="00942F80"/>
    <w:rsid w:val="009516B7"/>
    <w:rsid w:val="0095776B"/>
    <w:rsid w:val="00957CE5"/>
    <w:rsid w:val="009624E2"/>
    <w:rsid w:val="00974023"/>
    <w:rsid w:val="00977EC8"/>
    <w:rsid w:val="0098040C"/>
    <w:rsid w:val="00983432"/>
    <w:rsid w:val="009A0AF0"/>
    <w:rsid w:val="009A3048"/>
    <w:rsid w:val="009A6294"/>
    <w:rsid w:val="009A6C26"/>
    <w:rsid w:val="009B17AD"/>
    <w:rsid w:val="009B3F8C"/>
    <w:rsid w:val="009B45E0"/>
    <w:rsid w:val="009B540F"/>
    <w:rsid w:val="009B6E35"/>
    <w:rsid w:val="009D3A8C"/>
    <w:rsid w:val="009D4757"/>
    <w:rsid w:val="009E1BA9"/>
    <w:rsid w:val="009E2876"/>
    <w:rsid w:val="009E2F0B"/>
    <w:rsid w:val="009E7956"/>
    <w:rsid w:val="009F072F"/>
    <w:rsid w:val="009F26C1"/>
    <w:rsid w:val="009F3F95"/>
    <w:rsid w:val="00A023FC"/>
    <w:rsid w:val="00A0338D"/>
    <w:rsid w:val="00A05DD1"/>
    <w:rsid w:val="00A06EE6"/>
    <w:rsid w:val="00A077E9"/>
    <w:rsid w:val="00A10FB9"/>
    <w:rsid w:val="00A178A3"/>
    <w:rsid w:val="00A21D7D"/>
    <w:rsid w:val="00A2492E"/>
    <w:rsid w:val="00A271C5"/>
    <w:rsid w:val="00A31163"/>
    <w:rsid w:val="00A31388"/>
    <w:rsid w:val="00A34593"/>
    <w:rsid w:val="00A364DB"/>
    <w:rsid w:val="00A3772E"/>
    <w:rsid w:val="00A42850"/>
    <w:rsid w:val="00A45801"/>
    <w:rsid w:val="00A45E90"/>
    <w:rsid w:val="00A4770F"/>
    <w:rsid w:val="00A50D6B"/>
    <w:rsid w:val="00A51050"/>
    <w:rsid w:val="00A56945"/>
    <w:rsid w:val="00A57027"/>
    <w:rsid w:val="00A5750C"/>
    <w:rsid w:val="00A669DA"/>
    <w:rsid w:val="00A713AF"/>
    <w:rsid w:val="00A72C35"/>
    <w:rsid w:val="00A752BB"/>
    <w:rsid w:val="00A77064"/>
    <w:rsid w:val="00A81F93"/>
    <w:rsid w:val="00A9247E"/>
    <w:rsid w:val="00AA7796"/>
    <w:rsid w:val="00AC22F6"/>
    <w:rsid w:val="00AC3B0A"/>
    <w:rsid w:val="00AC447C"/>
    <w:rsid w:val="00AC67A1"/>
    <w:rsid w:val="00AC7977"/>
    <w:rsid w:val="00AC7E56"/>
    <w:rsid w:val="00AE2617"/>
    <w:rsid w:val="00AE352C"/>
    <w:rsid w:val="00AE79AC"/>
    <w:rsid w:val="00AF4E47"/>
    <w:rsid w:val="00AF50C2"/>
    <w:rsid w:val="00B01AAD"/>
    <w:rsid w:val="00B101DB"/>
    <w:rsid w:val="00B10DD9"/>
    <w:rsid w:val="00B21751"/>
    <w:rsid w:val="00B256F0"/>
    <w:rsid w:val="00B31D7D"/>
    <w:rsid w:val="00B32E2D"/>
    <w:rsid w:val="00B41D3C"/>
    <w:rsid w:val="00B43741"/>
    <w:rsid w:val="00B44441"/>
    <w:rsid w:val="00B45642"/>
    <w:rsid w:val="00B52F29"/>
    <w:rsid w:val="00B5388D"/>
    <w:rsid w:val="00B5722C"/>
    <w:rsid w:val="00B61990"/>
    <w:rsid w:val="00B6249B"/>
    <w:rsid w:val="00B6516D"/>
    <w:rsid w:val="00B66EF8"/>
    <w:rsid w:val="00B70CCD"/>
    <w:rsid w:val="00B7180A"/>
    <w:rsid w:val="00B75E66"/>
    <w:rsid w:val="00B773BF"/>
    <w:rsid w:val="00B7748F"/>
    <w:rsid w:val="00B840C1"/>
    <w:rsid w:val="00B85302"/>
    <w:rsid w:val="00B85429"/>
    <w:rsid w:val="00B93C7D"/>
    <w:rsid w:val="00B94A3F"/>
    <w:rsid w:val="00B97B57"/>
    <w:rsid w:val="00BA15EF"/>
    <w:rsid w:val="00BB0DAE"/>
    <w:rsid w:val="00BC3F20"/>
    <w:rsid w:val="00BC4613"/>
    <w:rsid w:val="00BD03A2"/>
    <w:rsid w:val="00BD28B2"/>
    <w:rsid w:val="00BD5A8D"/>
    <w:rsid w:val="00BD7343"/>
    <w:rsid w:val="00BE7736"/>
    <w:rsid w:val="00BF0556"/>
    <w:rsid w:val="00BF2362"/>
    <w:rsid w:val="00BF37EE"/>
    <w:rsid w:val="00C024A1"/>
    <w:rsid w:val="00C02C42"/>
    <w:rsid w:val="00C031A5"/>
    <w:rsid w:val="00C1033C"/>
    <w:rsid w:val="00C10FB1"/>
    <w:rsid w:val="00C11282"/>
    <w:rsid w:val="00C12CA3"/>
    <w:rsid w:val="00C14108"/>
    <w:rsid w:val="00C2512C"/>
    <w:rsid w:val="00C261F8"/>
    <w:rsid w:val="00C27662"/>
    <w:rsid w:val="00C324CF"/>
    <w:rsid w:val="00C33100"/>
    <w:rsid w:val="00C374F4"/>
    <w:rsid w:val="00C451B9"/>
    <w:rsid w:val="00C467A6"/>
    <w:rsid w:val="00C5181B"/>
    <w:rsid w:val="00C51D9C"/>
    <w:rsid w:val="00C53168"/>
    <w:rsid w:val="00C533BE"/>
    <w:rsid w:val="00C54DA4"/>
    <w:rsid w:val="00C55118"/>
    <w:rsid w:val="00C577D1"/>
    <w:rsid w:val="00C57A2D"/>
    <w:rsid w:val="00C6018C"/>
    <w:rsid w:val="00C66C3B"/>
    <w:rsid w:val="00C67D23"/>
    <w:rsid w:val="00C71827"/>
    <w:rsid w:val="00C825E5"/>
    <w:rsid w:val="00C872B4"/>
    <w:rsid w:val="00C92339"/>
    <w:rsid w:val="00C95EB8"/>
    <w:rsid w:val="00C979F6"/>
    <w:rsid w:val="00CB02C5"/>
    <w:rsid w:val="00CB21DA"/>
    <w:rsid w:val="00CB39CD"/>
    <w:rsid w:val="00CB78C4"/>
    <w:rsid w:val="00CC2174"/>
    <w:rsid w:val="00CC7CE6"/>
    <w:rsid w:val="00CD044C"/>
    <w:rsid w:val="00CD1A71"/>
    <w:rsid w:val="00CD1FBB"/>
    <w:rsid w:val="00CE033D"/>
    <w:rsid w:val="00CE08E5"/>
    <w:rsid w:val="00CF12B3"/>
    <w:rsid w:val="00CF26DB"/>
    <w:rsid w:val="00D016B5"/>
    <w:rsid w:val="00D034F1"/>
    <w:rsid w:val="00D07ED4"/>
    <w:rsid w:val="00D14F42"/>
    <w:rsid w:val="00D171D4"/>
    <w:rsid w:val="00D22258"/>
    <w:rsid w:val="00D26F76"/>
    <w:rsid w:val="00D27D5E"/>
    <w:rsid w:val="00D32B08"/>
    <w:rsid w:val="00D407D1"/>
    <w:rsid w:val="00D43E5F"/>
    <w:rsid w:val="00D4480B"/>
    <w:rsid w:val="00D51CE6"/>
    <w:rsid w:val="00D639BD"/>
    <w:rsid w:val="00D65777"/>
    <w:rsid w:val="00D65BEA"/>
    <w:rsid w:val="00D66E0D"/>
    <w:rsid w:val="00D71812"/>
    <w:rsid w:val="00D7425A"/>
    <w:rsid w:val="00D74F7E"/>
    <w:rsid w:val="00D7695F"/>
    <w:rsid w:val="00D77453"/>
    <w:rsid w:val="00D836ED"/>
    <w:rsid w:val="00D83B6C"/>
    <w:rsid w:val="00D9039B"/>
    <w:rsid w:val="00D93582"/>
    <w:rsid w:val="00D944F3"/>
    <w:rsid w:val="00DA1F8B"/>
    <w:rsid w:val="00DA41A2"/>
    <w:rsid w:val="00DA43A1"/>
    <w:rsid w:val="00DA5E1D"/>
    <w:rsid w:val="00DC4F43"/>
    <w:rsid w:val="00DE447F"/>
    <w:rsid w:val="00DE585C"/>
    <w:rsid w:val="00DE6D90"/>
    <w:rsid w:val="00DF002F"/>
    <w:rsid w:val="00DF128E"/>
    <w:rsid w:val="00DF4D0D"/>
    <w:rsid w:val="00DF52C6"/>
    <w:rsid w:val="00E0244D"/>
    <w:rsid w:val="00E026DF"/>
    <w:rsid w:val="00E02F48"/>
    <w:rsid w:val="00E03712"/>
    <w:rsid w:val="00E0650A"/>
    <w:rsid w:val="00E06B3F"/>
    <w:rsid w:val="00E10A73"/>
    <w:rsid w:val="00E14F27"/>
    <w:rsid w:val="00E171D2"/>
    <w:rsid w:val="00E22B0A"/>
    <w:rsid w:val="00E24505"/>
    <w:rsid w:val="00E25402"/>
    <w:rsid w:val="00E25534"/>
    <w:rsid w:val="00E25AB0"/>
    <w:rsid w:val="00E26EF3"/>
    <w:rsid w:val="00E3092A"/>
    <w:rsid w:val="00E319B6"/>
    <w:rsid w:val="00E32145"/>
    <w:rsid w:val="00E32F5A"/>
    <w:rsid w:val="00E37E21"/>
    <w:rsid w:val="00E46585"/>
    <w:rsid w:val="00E510F3"/>
    <w:rsid w:val="00E60012"/>
    <w:rsid w:val="00E61B26"/>
    <w:rsid w:val="00E62CFF"/>
    <w:rsid w:val="00E665EE"/>
    <w:rsid w:val="00E679AE"/>
    <w:rsid w:val="00E71225"/>
    <w:rsid w:val="00E71570"/>
    <w:rsid w:val="00E73B13"/>
    <w:rsid w:val="00E75C58"/>
    <w:rsid w:val="00E76819"/>
    <w:rsid w:val="00E81E94"/>
    <w:rsid w:val="00E82607"/>
    <w:rsid w:val="00E84A82"/>
    <w:rsid w:val="00E85025"/>
    <w:rsid w:val="00E9227E"/>
    <w:rsid w:val="00E9483E"/>
    <w:rsid w:val="00E96710"/>
    <w:rsid w:val="00EA2885"/>
    <w:rsid w:val="00EA3B1D"/>
    <w:rsid w:val="00EA5197"/>
    <w:rsid w:val="00EB5C11"/>
    <w:rsid w:val="00EB77B9"/>
    <w:rsid w:val="00EB7D07"/>
    <w:rsid w:val="00EC4FDE"/>
    <w:rsid w:val="00EC5A10"/>
    <w:rsid w:val="00EC6080"/>
    <w:rsid w:val="00ED3A26"/>
    <w:rsid w:val="00ED7CF2"/>
    <w:rsid w:val="00EE695C"/>
    <w:rsid w:val="00EF33E0"/>
    <w:rsid w:val="00EF4723"/>
    <w:rsid w:val="00EF70BB"/>
    <w:rsid w:val="00EF797B"/>
    <w:rsid w:val="00EF7D1D"/>
    <w:rsid w:val="00F02FA9"/>
    <w:rsid w:val="00F06660"/>
    <w:rsid w:val="00F115C8"/>
    <w:rsid w:val="00F116EB"/>
    <w:rsid w:val="00F146D6"/>
    <w:rsid w:val="00F1794E"/>
    <w:rsid w:val="00F17DC0"/>
    <w:rsid w:val="00F211AF"/>
    <w:rsid w:val="00F25C2E"/>
    <w:rsid w:val="00F25EC3"/>
    <w:rsid w:val="00F31AB9"/>
    <w:rsid w:val="00F31D51"/>
    <w:rsid w:val="00F32ADB"/>
    <w:rsid w:val="00F32C98"/>
    <w:rsid w:val="00F355A0"/>
    <w:rsid w:val="00F37E12"/>
    <w:rsid w:val="00F37F9F"/>
    <w:rsid w:val="00F424BD"/>
    <w:rsid w:val="00F515AD"/>
    <w:rsid w:val="00F57DD7"/>
    <w:rsid w:val="00F636AD"/>
    <w:rsid w:val="00F666F3"/>
    <w:rsid w:val="00F70677"/>
    <w:rsid w:val="00F7316E"/>
    <w:rsid w:val="00F734D9"/>
    <w:rsid w:val="00F73F83"/>
    <w:rsid w:val="00F7416D"/>
    <w:rsid w:val="00F74902"/>
    <w:rsid w:val="00F753FA"/>
    <w:rsid w:val="00F81BE0"/>
    <w:rsid w:val="00F85A4E"/>
    <w:rsid w:val="00F9353A"/>
    <w:rsid w:val="00F93FB1"/>
    <w:rsid w:val="00F94769"/>
    <w:rsid w:val="00F94EBB"/>
    <w:rsid w:val="00F965C2"/>
    <w:rsid w:val="00FA1D61"/>
    <w:rsid w:val="00FA27D4"/>
    <w:rsid w:val="00FA3798"/>
    <w:rsid w:val="00FA5A79"/>
    <w:rsid w:val="00FB0BFE"/>
    <w:rsid w:val="00FB1C8F"/>
    <w:rsid w:val="00FB4300"/>
    <w:rsid w:val="00FB4C51"/>
    <w:rsid w:val="00FB734D"/>
    <w:rsid w:val="00FC21B2"/>
    <w:rsid w:val="00FC4149"/>
    <w:rsid w:val="00FD02A2"/>
    <w:rsid w:val="00FD1DF8"/>
    <w:rsid w:val="00FD5E64"/>
    <w:rsid w:val="00FD7985"/>
    <w:rsid w:val="00FE1AB2"/>
    <w:rsid w:val="00FE6526"/>
    <w:rsid w:val="00FF0F1C"/>
    <w:rsid w:val="00FF1DBD"/>
    <w:rsid w:val="00FF1E4B"/>
    <w:rsid w:val="00FF1F47"/>
    <w:rsid w:val="00FF26F2"/>
    <w:rsid w:val="00FF4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F5E2E82"/>
  <w15:docId w15:val="{42C5E67D-CFBB-40AC-A1FE-AFAD2714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semiHidden="1"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semiHidden="1" w:uiPriority="11" w:qFormat="1"/>
    <w:lsdException w:name="Salutation" w:semiHidden="1"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qFormat="1"/>
    <w:lsdException w:name="FollowedHyperlink" w:semiHidden="1" w:unhideWhenUsed="1"/>
    <w:lsdException w:name="Strong" w:semiHidden="1" w:uiPriority="99" w:qFormat="1"/>
    <w:lsdException w:name="Emphasis" w:semiHidden="1"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21" w:qFormat="1"/>
    <w:lsdException w:name="Subtle Reference" w:semiHidden="1" w:uiPriority="99" w:qFormat="1"/>
    <w:lsdException w:name="Intense Reference" w:semiHidden="1" w:uiPriority="32" w:qFormat="1"/>
    <w:lsdException w:name="Book Title" w:semiHidden="1" w:uiPriority="99"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44F3"/>
    <w:pPr>
      <w:suppressAutoHyphens/>
      <w:kinsoku w:val="0"/>
      <w:overflowPunct w:val="0"/>
      <w:autoSpaceDE w:val="0"/>
      <w:autoSpaceDN w:val="0"/>
      <w:adjustRightInd w:val="0"/>
      <w:snapToGrid w:val="0"/>
      <w:spacing w:line="240" w:lineRule="atLeast"/>
    </w:pPr>
    <w:rPr>
      <w:rFonts w:eastAsiaTheme="minorHAnsi"/>
      <w:lang w:val="fr-CH" w:eastAsia="en-US"/>
    </w:rPr>
  </w:style>
  <w:style w:type="paragraph" w:styleId="Titre1">
    <w:name w:val="heading 1"/>
    <w:aliases w:val="Table_G"/>
    <w:basedOn w:val="SingleTxtG"/>
    <w:next w:val="SingleTxtG"/>
    <w:link w:val="Titre1Car"/>
    <w:qFormat/>
    <w:rsid w:val="00B5722C"/>
    <w:pPr>
      <w:keepNext/>
      <w:keepLines/>
      <w:spacing w:after="0" w:line="240" w:lineRule="auto"/>
      <w:ind w:right="0"/>
      <w:jc w:val="left"/>
      <w:outlineLvl w:val="0"/>
    </w:pPr>
  </w:style>
  <w:style w:type="paragraph" w:styleId="Titre2">
    <w:name w:val="heading 2"/>
    <w:basedOn w:val="Normal"/>
    <w:next w:val="Normal"/>
    <w:link w:val="Titre2Car"/>
    <w:semiHidden/>
    <w:qFormat/>
    <w:rsid w:val="00B5722C"/>
    <w:pPr>
      <w:outlineLvl w:val="1"/>
    </w:pPr>
  </w:style>
  <w:style w:type="paragraph" w:styleId="Titre3">
    <w:name w:val="heading 3"/>
    <w:basedOn w:val="Normal"/>
    <w:next w:val="Normal"/>
    <w:link w:val="Titre3Car"/>
    <w:semiHidden/>
    <w:qFormat/>
    <w:rsid w:val="00B5722C"/>
    <w:pPr>
      <w:outlineLvl w:val="2"/>
    </w:pPr>
  </w:style>
  <w:style w:type="paragraph" w:styleId="Titre4">
    <w:name w:val="heading 4"/>
    <w:basedOn w:val="Normal"/>
    <w:next w:val="Normal"/>
    <w:link w:val="Titre4Car"/>
    <w:qFormat/>
    <w:rsid w:val="00B5722C"/>
    <w:pPr>
      <w:outlineLvl w:val="3"/>
    </w:pPr>
  </w:style>
  <w:style w:type="paragraph" w:styleId="Titre5">
    <w:name w:val="heading 5"/>
    <w:basedOn w:val="Normal"/>
    <w:next w:val="Normal"/>
    <w:link w:val="Titre5Car"/>
    <w:semiHidden/>
    <w:qFormat/>
    <w:rsid w:val="00B5722C"/>
    <w:pPr>
      <w:outlineLvl w:val="4"/>
    </w:pPr>
  </w:style>
  <w:style w:type="paragraph" w:styleId="Titre6">
    <w:name w:val="heading 6"/>
    <w:basedOn w:val="Normal"/>
    <w:next w:val="Normal"/>
    <w:link w:val="Titre6Car"/>
    <w:semiHidden/>
    <w:qFormat/>
    <w:rsid w:val="00B5722C"/>
    <w:pPr>
      <w:outlineLvl w:val="5"/>
    </w:pPr>
  </w:style>
  <w:style w:type="paragraph" w:styleId="Titre7">
    <w:name w:val="heading 7"/>
    <w:basedOn w:val="Normal"/>
    <w:next w:val="Normal"/>
    <w:link w:val="Titre7Car"/>
    <w:semiHidden/>
    <w:qFormat/>
    <w:rsid w:val="00B5722C"/>
    <w:pPr>
      <w:outlineLvl w:val="6"/>
    </w:pPr>
  </w:style>
  <w:style w:type="paragraph" w:styleId="Titre8">
    <w:name w:val="heading 8"/>
    <w:basedOn w:val="Normal"/>
    <w:next w:val="Normal"/>
    <w:link w:val="Titre8Car"/>
    <w:semiHidden/>
    <w:qFormat/>
    <w:rsid w:val="00B5722C"/>
    <w:pPr>
      <w:outlineLvl w:val="7"/>
    </w:pPr>
  </w:style>
  <w:style w:type="paragraph" w:styleId="Titre9">
    <w:name w:val="heading 9"/>
    <w:basedOn w:val="Normal"/>
    <w:next w:val="Normal"/>
    <w:link w:val="Titre9Car"/>
    <w:semiHidden/>
    <w:qFormat/>
    <w:rsid w:val="00B5722C"/>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ar"/>
    <w:qFormat/>
    <w:rsid w:val="00B5722C"/>
    <w:pPr>
      <w:tabs>
        <w:tab w:val="left" w:pos="1701"/>
        <w:tab w:val="left" w:pos="2268"/>
        <w:tab w:val="left" w:pos="2835"/>
      </w:tabs>
      <w:spacing w:after="120"/>
      <w:ind w:left="1134" w:right="1134"/>
      <w:jc w:val="both"/>
    </w:pPr>
  </w:style>
  <w:style w:type="paragraph" w:styleId="Notedefin">
    <w:name w:val="endnote text"/>
    <w:aliases w:val="2_G"/>
    <w:basedOn w:val="Notedebasdepage"/>
    <w:link w:val="NotedefinCar"/>
    <w:qFormat/>
    <w:rsid w:val="00B5722C"/>
  </w:style>
  <w:style w:type="paragraph" w:styleId="Notedebasdepage">
    <w:name w:val="footnote text"/>
    <w:aliases w:val="5_G,Footnote reference,FA Fu,Footnote Text Char Char Char Char Char,Footnote Text Char Char Char Char,Footnote Text Char Char Char,Footnotes,Note de bas de page2,fn,Fußnotentext RAXEN,Footnote Text Char2 Char,Footnote Text Cha,ft,ADB"/>
    <w:basedOn w:val="Normal"/>
    <w:link w:val="NotedebasdepageCar"/>
    <w:qFormat/>
    <w:rsid w:val="00B5722C"/>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B5722C"/>
    <w:pPr>
      <w:spacing w:line="240" w:lineRule="auto"/>
    </w:pPr>
    <w:rPr>
      <w:sz w:val="16"/>
    </w:rPr>
  </w:style>
  <w:style w:type="character" w:styleId="Appeldenotedefin">
    <w:name w:val="endnote reference"/>
    <w:aliases w:val="1_G"/>
    <w:basedOn w:val="Appelnotedebasdep"/>
    <w:qFormat/>
    <w:rsid w:val="00B5722C"/>
    <w:rPr>
      <w:rFonts w:ascii="Times New Roman" w:hAnsi="Times New Roman"/>
      <w:sz w:val="18"/>
      <w:vertAlign w:val="superscript"/>
      <w:lang w:val="fr-CH"/>
    </w:rPr>
  </w:style>
  <w:style w:type="character" w:styleId="Appelnotedebasdep">
    <w:name w:val="footnote reference"/>
    <w:aliases w:val="4_G,Footnotes refss,Footnote Ref,16 Point,Superscript 6 Point,callout,Ref,de nota al pie,Texto de nota al pie,referencia nota al pie,BVI fnr,Appel note de bas de page,Footnote symbol,Footnote,f,Footnote number,FZ Char,fr,FZ,註腳內容"/>
    <w:basedOn w:val="Policepardfaut"/>
    <w:link w:val="4GCharCharChar"/>
    <w:qFormat/>
    <w:rsid w:val="00B5722C"/>
    <w:rPr>
      <w:rFonts w:ascii="Times New Roman" w:hAnsi="Times New Roman"/>
      <w:sz w:val="18"/>
      <w:vertAlign w:val="superscript"/>
      <w:lang w:val="fr-CH"/>
    </w:rPr>
  </w:style>
  <w:style w:type="character" w:styleId="Numrodepage">
    <w:name w:val="page number"/>
    <w:aliases w:val="7_G"/>
    <w:basedOn w:val="Policepardfaut"/>
    <w:qFormat/>
    <w:rsid w:val="00B5722C"/>
    <w:rPr>
      <w:rFonts w:ascii="Times New Roman" w:hAnsi="Times New Roman"/>
      <w:b/>
      <w:sz w:val="18"/>
      <w:lang w:val="fr-CH"/>
    </w:rPr>
  </w:style>
  <w:style w:type="paragraph" w:styleId="En-tte">
    <w:name w:val="header"/>
    <w:aliases w:val="6_G"/>
    <w:basedOn w:val="Normal"/>
    <w:next w:val="Normal"/>
    <w:link w:val="En-tteCar"/>
    <w:qFormat/>
    <w:rsid w:val="00067141"/>
    <w:pPr>
      <w:pBdr>
        <w:bottom w:val="single" w:sz="4" w:space="4" w:color="auto"/>
      </w:pBdr>
      <w:spacing w:line="240" w:lineRule="auto"/>
    </w:pPr>
    <w:rPr>
      <w:b/>
      <w:sz w:val="18"/>
    </w:rPr>
  </w:style>
  <w:style w:type="paragraph" w:customStyle="1" w:styleId="H1G">
    <w:name w:val="_ H_1_G"/>
    <w:basedOn w:val="Normal"/>
    <w:next w:val="Normal"/>
    <w:link w:val="H1GChar"/>
    <w:qFormat/>
    <w:rsid w:val="00B5722C"/>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B5722C"/>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B5722C"/>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link w:val="H23GChar"/>
    <w:qFormat/>
    <w:rsid w:val="00B5722C"/>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B5722C"/>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B5722C"/>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FC4149"/>
    <w:pPr>
      <w:keepNext/>
      <w:keepLines/>
      <w:spacing w:line="420" w:lineRule="exact"/>
      <w:ind w:left="1134" w:right="1134"/>
      <w:outlineLvl w:val="0"/>
    </w:pPr>
    <w:rPr>
      <w:b/>
      <w:sz w:val="40"/>
    </w:rPr>
  </w:style>
  <w:style w:type="paragraph" w:customStyle="1" w:styleId="SLG">
    <w:name w:val="__S_L_G"/>
    <w:basedOn w:val="Normal"/>
    <w:next w:val="Normal"/>
    <w:rsid w:val="00FC4149"/>
    <w:pPr>
      <w:keepNext/>
      <w:keepLines/>
      <w:spacing w:line="580" w:lineRule="exact"/>
      <w:ind w:left="1134" w:right="1134"/>
      <w:outlineLvl w:val="0"/>
    </w:pPr>
    <w:rPr>
      <w:b/>
      <w:sz w:val="57"/>
    </w:rPr>
  </w:style>
  <w:style w:type="paragraph" w:customStyle="1" w:styleId="SSG">
    <w:name w:val="__S_S_G"/>
    <w:basedOn w:val="Normal"/>
    <w:next w:val="Normal"/>
    <w:rsid w:val="00FC4149"/>
    <w:pPr>
      <w:keepNext/>
      <w:keepLines/>
      <w:spacing w:line="300" w:lineRule="exact"/>
      <w:ind w:left="1134" w:right="1134"/>
      <w:outlineLvl w:val="0"/>
    </w:pPr>
    <w:rPr>
      <w:b/>
      <w:sz w:val="28"/>
    </w:rPr>
  </w:style>
  <w:style w:type="paragraph" w:customStyle="1" w:styleId="XLargeG">
    <w:name w:val="__XLarge_G"/>
    <w:basedOn w:val="Normal"/>
    <w:next w:val="Normal"/>
    <w:rsid w:val="00FC4149"/>
    <w:pPr>
      <w:keepNext/>
      <w:keepLines/>
      <w:spacing w:line="420" w:lineRule="exact"/>
      <w:ind w:left="1134" w:right="1134"/>
      <w:outlineLvl w:val="0"/>
    </w:pPr>
    <w:rPr>
      <w:b/>
      <w:sz w:val="40"/>
    </w:rPr>
  </w:style>
  <w:style w:type="paragraph" w:customStyle="1" w:styleId="Bullet1G">
    <w:name w:val="_Bullet 1_G"/>
    <w:basedOn w:val="Normal"/>
    <w:qFormat/>
    <w:rsid w:val="00B5722C"/>
    <w:pPr>
      <w:numPr>
        <w:numId w:val="1"/>
      </w:numPr>
      <w:spacing w:after="120"/>
      <w:ind w:right="1134"/>
      <w:jc w:val="both"/>
    </w:pPr>
  </w:style>
  <w:style w:type="paragraph" w:customStyle="1" w:styleId="Bullet2G">
    <w:name w:val="_Bullet 2_G"/>
    <w:basedOn w:val="Normal"/>
    <w:qFormat/>
    <w:rsid w:val="00B5722C"/>
    <w:pPr>
      <w:numPr>
        <w:numId w:val="2"/>
      </w:numPr>
      <w:spacing w:after="120"/>
      <w:ind w:right="1134"/>
      <w:jc w:val="both"/>
    </w:pPr>
  </w:style>
  <w:style w:type="table" w:styleId="Grilledutableau">
    <w:name w:val="Table Grid"/>
    <w:basedOn w:val="TableauNormal"/>
    <w:rsid w:val="00B5722C"/>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basedOn w:val="Policepardfaut"/>
    <w:link w:val="SingleTxtG"/>
    <w:rsid w:val="00541BE4"/>
    <w:rPr>
      <w:rFonts w:eastAsiaTheme="minorHAnsi"/>
      <w:lang w:val="fr-CH" w:eastAsia="en-US"/>
    </w:rPr>
  </w:style>
  <w:style w:type="character" w:styleId="Lienhypertexte">
    <w:name w:val="Hyperlink"/>
    <w:basedOn w:val="Policepardfaut"/>
    <w:qFormat/>
    <w:rsid w:val="00B5722C"/>
    <w:rPr>
      <w:color w:val="0000FF"/>
      <w:u w:val="none"/>
    </w:rPr>
  </w:style>
  <w:style w:type="character" w:styleId="Lienhypertextesuivivisit">
    <w:name w:val="FollowedHyperlink"/>
    <w:basedOn w:val="Policepardfaut"/>
    <w:rsid w:val="00B5722C"/>
    <w:rPr>
      <w:color w:val="0000FF"/>
      <w:u w:val="none"/>
    </w:rPr>
  </w:style>
  <w:style w:type="paragraph" w:customStyle="1" w:styleId="ParNoG">
    <w:name w:val="_ParNo_G"/>
    <w:basedOn w:val="Normal"/>
    <w:qFormat/>
    <w:rsid w:val="00B5722C"/>
    <w:pPr>
      <w:numPr>
        <w:numId w:val="3"/>
      </w:numPr>
      <w:tabs>
        <w:tab w:val="left" w:pos="1701"/>
        <w:tab w:val="left" w:pos="2268"/>
        <w:tab w:val="left" w:pos="2835"/>
      </w:tabs>
      <w:spacing w:after="120"/>
      <w:ind w:right="1134"/>
      <w:jc w:val="both"/>
    </w:pPr>
  </w:style>
  <w:style w:type="paragraph" w:styleId="Textedebulles">
    <w:name w:val="Balloon Text"/>
    <w:basedOn w:val="Normal"/>
    <w:link w:val="TextedebullesCar"/>
    <w:uiPriority w:val="99"/>
    <w:semiHidden/>
    <w:rsid w:val="00550C8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467A6"/>
    <w:rPr>
      <w:rFonts w:ascii="Tahoma" w:hAnsi="Tahoma" w:cs="Tahoma"/>
      <w:sz w:val="16"/>
      <w:szCs w:val="16"/>
      <w:lang w:val="fr-CH" w:eastAsia="en-US"/>
    </w:rPr>
  </w:style>
  <w:style w:type="character" w:customStyle="1" w:styleId="En-tteCar">
    <w:name w:val="En-tête Car"/>
    <w:aliases w:val="6_G Car"/>
    <w:basedOn w:val="Policepardfaut"/>
    <w:link w:val="En-tte"/>
    <w:rsid w:val="00067141"/>
    <w:rPr>
      <w:rFonts w:eastAsiaTheme="minorHAnsi"/>
      <w:b/>
      <w:sz w:val="18"/>
      <w:lang w:val="fr-CH" w:eastAsia="en-US"/>
    </w:rPr>
  </w:style>
  <w:style w:type="character" w:customStyle="1" w:styleId="NotedebasdepageCar">
    <w:name w:val="Note de bas de page Car"/>
    <w:aliases w:val="5_G Car,Footnote reference Car,FA Fu Car,Footnote Text Char Char Char Char Char Car,Footnote Text Char Char Char Char Car,Footnote Text Char Char Char Car,Footnotes Car,Note de bas de page2 Car,fn Car,Fußnotentext RAXEN Car"/>
    <w:basedOn w:val="Policepardfaut"/>
    <w:link w:val="Notedebasdepage"/>
    <w:qFormat/>
    <w:rsid w:val="00B5722C"/>
    <w:rPr>
      <w:rFonts w:eastAsiaTheme="minorHAnsi"/>
      <w:sz w:val="18"/>
      <w:lang w:val="fr-CH" w:eastAsia="en-US"/>
    </w:rPr>
  </w:style>
  <w:style w:type="character" w:customStyle="1" w:styleId="NotedefinCar">
    <w:name w:val="Note de fin Car"/>
    <w:aliases w:val="2_G Car"/>
    <w:basedOn w:val="Policepardfaut"/>
    <w:link w:val="Notedefin"/>
    <w:rsid w:val="00B5722C"/>
    <w:rPr>
      <w:rFonts w:eastAsiaTheme="minorHAnsi"/>
      <w:sz w:val="18"/>
      <w:lang w:val="fr-CH" w:eastAsia="en-US"/>
    </w:rPr>
  </w:style>
  <w:style w:type="character" w:customStyle="1" w:styleId="PieddepageCar">
    <w:name w:val="Pied de page Car"/>
    <w:aliases w:val="3_G Car"/>
    <w:basedOn w:val="Policepardfaut"/>
    <w:link w:val="Pieddepage"/>
    <w:rsid w:val="00B5722C"/>
    <w:rPr>
      <w:rFonts w:eastAsiaTheme="minorHAnsi"/>
      <w:sz w:val="16"/>
      <w:lang w:val="fr-CH" w:eastAsia="en-US"/>
    </w:rPr>
  </w:style>
  <w:style w:type="character" w:customStyle="1" w:styleId="Titre1Car">
    <w:name w:val="Titre 1 Car"/>
    <w:aliases w:val="Table_G Car"/>
    <w:basedOn w:val="Policepardfaut"/>
    <w:link w:val="Titre1"/>
    <w:rsid w:val="00B5722C"/>
    <w:rPr>
      <w:rFonts w:eastAsiaTheme="minorHAnsi"/>
      <w:lang w:val="fr-CH" w:eastAsia="en-US"/>
    </w:rPr>
  </w:style>
  <w:style w:type="character" w:customStyle="1" w:styleId="Titre2Car">
    <w:name w:val="Titre 2 Car"/>
    <w:basedOn w:val="Policepardfaut"/>
    <w:link w:val="Titre2"/>
    <w:semiHidden/>
    <w:rsid w:val="00B5722C"/>
    <w:rPr>
      <w:rFonts w:eastAsiaTheme="minorHAnsi"/>
      <w:lang w:val="fr-CH" w:eastAsia="en-US"/>
    </w:rPr>
  </w:style>
  <w:style w:type="character" w:customStyle="1" w:styleId="Titre3Car">
    <w:name w:val="Titre 3 Car"/>
    <w:basedOn w:val="Policepardfaut"/>
    <w:link w:val="Titre3"/>
    <w:semiHidden/>
    <w:rsid w:val="00B5722C"/>
    <w:rPr>
      <w:rFonts w:eastAsiaTheme="minorHAnsi"/>
      <w:lang w:val="fr-CH" w:eastAsia="en-US"/>
    </w:rPr>
  </w:style>
  <w:style w:type="character" w:customStyle="1" w:styleId="Titre4Car">
    <w:name w:val="Titre 4 Car"/>
    <w:basedOn w:val="Policepardfaut"/>
    <w:link w:val="Titre4"/>
    <w:rsid w:val="00B5722C"/>
    <w:rPr>
      <w:rFonts w:eastAsiaTheme="minorHAnsi"/>
      <w:lang w:val="fr-CH" w:eastAsia="en-US"/>
    </w:rPr>
  </w:style>
  <w:style w:type="character" w:customStyle="1" w:styleId="Titre5Car">
    <w:name w:val="Titre 5 Car"/>
    <w:basedOn w:val="Policepardfaut"/>
    <w:link w:val="Titre5"/>
    <w:semiHidden/>
    <w:rsid w:val="00B5722C"/>
    <w:rPr>
      <w:rFonts w:eastAsiaTheme="minorHAnsi"/>
      <w:lang w:val="fr-CH" w:eastAsia="en-US"/>
    </w:rPr>
  </w:style>
  <w:style w:type="character" w:customStyle="1" w:styleId="Titre6Car">
    <w:name w:val="Titre 6 Car"/>
    <w:basedOn w:val="Policepardfaut"/>
    <w:link w:val="Titre6"/>
    <w:semiHidden/>
    <w:rsid w:val="00B5722C"/>
    <w:rPr>
      <w:rFonts w:eastAsiaTheme="minorHAnsi"/>
      <w:lang w:val="fr-CH" w:eastAsia="en-US"/>
    </w:rPr>
  </w:style>
  <w:style w:type="character" w:customStyle="1" w:styleId="Titre7Car">
    <w:name w:val="Titre 7 Car"/>
    <w:basedOn w:val="Policepardfaut"/>
    <w:link w:val="Titre7"/>
    <w:semiHidden/>
    <w:rsid w:val="00B5722C"/>
    <w:rPr>
      <w:rFonts w:eastAsiaTheme="minorHAnsi"/>
      <w:lang w:val="fr-CH" w:eastAsia="en-US"/>
    </w:rPr>
  </w:style>
  <w:style w:type="character" w:customStyle="1" w:styleId="Titre8Car">
    <w:name w:val="Titre 8 Car"/>
    <w:basedOn w:val="Policepardfaut"/>
    <w:link w:val="Titre8"/>
    <w:semiHidden/>
    <w:rsid w:val="00B5722C"/>
    <w:rPr>
      <w:rFonts w:eastAsiaTheme="minorHAnsi"/>
      <w:lang w:val="fr-CH" w:eastAsia="en-US"/>
    </w:rPr>
  </w:style>
  <w:style w:type="character" w:customStyle="1" w:styleId="Titre9Car">
    <w:name w:val="Titre 9 Car"/>
    <w:basedOn w:val="Policepardfaut"/>
    <w:link w:val="Titre9"/>
    <w:semiHidden/>
    <w:rsid w:val="00B5722C"/>
    <w:rPr>
      <w:rFonts w:eastAsiaTheme="minorHAnsi"/>
      <w:lang w:val="fr-CH" w:eastAsia="en-US"/>
    </w:rPr>
  </w:style>
  <w:style w:type="paragraph" w:customStyle="1" w:styleId="STitleLG">
    <w:name w:val="S_Title_L_G"/>
    <w:basedOn w:val="SLG"/>
    <w:uiPriority w:val="2"/>
    <w:qFormat/>
    <w:rsid w:val="00D944F3"/>
    <w:pPr>
      <w:spacing w:after="240"/>
    </w:pPr>
    <w:rPr>
      <w:szCs w:val="57"/>
      <w:lang w:val="fr-FR"/>
    </w:rPr>
  </w:style>
  <w:style w:type="paragraph" w:customStyle="1" w:styleId="STitleMG">
    <w:name w:val="S_Title_M_G"/>
    <w:basedOn w:val="SMG"/>
    <w:uiPriority w:val="2"/>
    <w:qFormat/>
    <w:rsid w:val="00D944F3"/>
    <w:rPr>
      <w:lang w:val="fr-FR"/>
    </w:rPr>
  </w:style>
  <w:style w:type="paragraph" w:customStyle="1" w:styleId="STitleSG">
    <w:name w:val="S_Title_S_G"/>
    <w:basedOn w:val="SSG"/>
    <w:uiPriority w:val="2"/>
    <w:qFormat/>
    <w:rsid w:val="00D944F3"/>
  </w:style>
  <w:style w:type="character" w:customStyle="1" w:styleId="SingleTxtGChar">
    <w:name w:val="_ Single Txt_G Char"/>
    <w:rsid w:val="00C324CF"/>
    <w:rPr>
      <w:rFonts w:ascii="Times New Roman" w:hAnsi="Times New Roman" w:cs="Times New Roman"/>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Appelnotedebasdep"/>
    <w:uiPriority w:val="99"/>
    <w:rsid w:val="00C324CF"/>
    <w:pPr>
      <w:suppressAutoHyphens w:val="0"/>
      <w:kinsoku/>
      <w:overflowPunct/>
      <w:autoSpaceDE/>
      <w:autoSpaceDN/>
      <w:adjustRightInd/>
      <w:snapToGrid/>
      <w:spacing w:line="240" w:lineRule="exact"/>
      <w:jc w:val="both"/>
    </w:pPr>
    <w:rPr>
      <w:rFonts w:eastAsia="Times New Roman"/>
      <w:sz w:val="18"/>
      <w:vertAlign w:val="superscript"/>
      <w:lang w:eastAsia="en-GB"/>
    </w:rPr>
  </w:style>
  <w:style w:type="character" w:styleId="Mentionnonrsolue">
    <w:name w:val="Unresolved Mention"/>
    <w:basedOn w:val="Policepardfaut"/>
    <w:uiPriority w:val="99"/>
    <w:semiHidden/>
    <w:unhideWhenUsed/>
    <w:rsid w:val="00C324CF"/>
    <w:rPr>
      <w:color w:val="605E5C"/>
      <w:shd w:val="clear" w:color="auto" w:fill="E1DFDD"/>
    </w:rPr>
  </w:style>
  <w:style w:type="paragraph" w:styleId="Rvision">
    <w:name w:val="Revision"/>
    <w:hidden/>
    <w:uiPriority w:val="99"/>
    <w:semiHidden/>
    <w:rsid w:val="00C324CF"/>
    <w:rPr>
      <w:rFonts w:eastAsiaTheme="minorHAnsi"/>
      <w:lang w:val="fr-CH" w:eastAsia="en-US"/>
    </w:rPr>
  </w:style>
  <w:style w:type="character" w:styleId="Marquedecommentaire">
    <w:name w:val="annotation reference"/>
    <w:basedOn w:val="Policepardfaut"/>
    <w:uiPriority w:val="99"/>
    <w:semiHidden/>
    <w:unhideWhenUsed/>
    <w:rsid w:val="00C324CF"/>
    <w:rPr>
      <w:sz w:val="16"/>
      <w:szCs w:val="16"/>
    </w:rPr>
  </w:style>
  <w:style w:type="paragraph" w:styleId="Commentaire">
    <w:name w:val="annotation text"/>
    <w:basedOn w:val="Normal"/>
    <w:link w:val="CommentaireCar"/>
    <w:uiPriority w:val="99"/>
    <w:unhideWhenUsed/>
    <w:rsid w:val="00C324CF"/>
    <w:pPr>
      <w:spacing w:line="240" w:lineRule="auto"/>
    </w:pPr>
  </w:style>
  <w:style w:type="character" w:customStyle="1" w:styleId="CommentaireCar">
    <w:name w:val="Commentaire Car"/>
    <w:basedOn w:val="Policepardfaut"/>
    <w:link w:val="Commentaire"/>
    <w:uiPriority w:val="99"/>
    <w:rsid w:val="00C324CF"/>
    <w:rPr>
      <w:rFonts w:eastAsiaTheme="minorHAnsi"/>
      <w:lang w:val="fr-CH" w:eastAsia="en-US"/>
    </w:rPr>
  </w:style>
  <w:style w:type="paragraph" w:styleId="Objetducommentaire">
    <w:name w:val="annotation subject"/>
    <w:basedOn w:val="Commentaire"/>
    <w:next w:val="Commentaire"/>
    <w:link w:val="ObjetducommentaireCar"/>
    <w:uiPriority w:val="99"/>
    <w:semiHidden/>
    <w:unhideWhenUsed/>
    <w:rsid w:val="00C324CF"/>
    <w:rPr>
      <w:b/>
      <w:bCs/>
    </w:rPr>
  </w:style>
  <w:style w:type="character" w:customStyle="1" w:styleId="ObjetducommentaireCar">
    <w:name w:val="Objet du commentaire Car"/>
    <w:basedOn w:val="CommentaireCar"/>
    <w:link w:val="Objetducommentaire"/>
    <w:uiPriority w:val="99"/>
    <w:semiHidden/>
    <w:rsid w:val="00C324CF"/>
    <w:rPr>
      <w:rFonts w:eastAsiaTheme="minorHAnsi"/>
      <w:b/>
      <w:bCs/>
      <w:lang w:val="fr-CH" w:eastAsia="en-US"/>
    </w:rPr>
  </w:style>
  <w:style w:type="paragraph" w:customStyle="1" w:styleId="paragraph">
    <w:name w:val="paragraph"/>
    <w:basedOn w:val="Normal"/>
    <w:rsid w:val="00C324CF"/>
    <w:pPr>
      <w:spacing w:before="100" w:beforeAutospacing="1" w:after="100" w:afterAutospacing="1" w:line="240" w:lineRule="auto"/>
    </w:pPr>
    <w:rPr>
      <w:rFonts w:eastAsia="Times New Roman"/>
      <w:sz w:val="24"/>
      <w:szCs w:val="24"/>
    </w:rPr>
  </w:style>
  <w:style w:type="character" w:customStyle="1" w:styleId="H23GChar">
    <w:name w:val="_ H_2/3_G Char"/>
    <w:link w:val="H23G"/>
    <w:rsid w:val="00C324CF"/>
    <w:rPr>
      <w:rFonts w:eastAsiaTheme="minorHAnsi"/>
      <w:b/>
      <w:lang w:val="fr-CH" w:eastAsia="en-US"/>
    </w:rPr>
  </w:style>
  <w:style w:type="paragraph" w:customStyle="1" w:styleId="NumberedPara">
    <w:name w:val="Numbered Para"/>
    <w:basedOn w:val="Normal"/>
    <w:qFormat/>
    <w:rsid w:val="00C324CF"/>
    <w:pPr>
      <w:numPr>
        <w:numId w:val="5"/>
      </w:numPr>
      <w:spacing w:after="240" w:line="360" w:lineRule="auto"/>
      <w:jc w:val="both"/>
    </w:pPr>
    <w:rPr>
      <w:rFonts w:eastAsia="Times New Roman"/>
      <w:sz w:val="24"/>
      <w:szCs w:val="24"/>
      <w:lang w:val="en-GB" w:eastAsia="de-DE"/>
    </w:rPr>
  </w:style>
  <w:style w:type="paragraph" w:styleId="NormalWeb">
    <w:name w:val="Normal (Web)"/>
    <w:basedOn w:val="Normal"/>
    <w:uiPriority w:val="99"/>
    <w:unhideWhenUsed/>
    <w:rsid w:val="005D2955"/>
    <w:pPr>
      <w:suppressAutoHyphens w:val="0"/>
      <w:kinsoku/>
      <w:overflowPunct/>
      <w:autoSpaceDE/>
      <w:autoSpaceDN/>
      <w:adjustRightInd/>
      <w:snapToGrid/>
      <w:spacing w:before="100" w:beforeAutospacing="1" w:after="100" w:afterAutospacing="1" w:line="240" w:lineRule="auto"/>
    </w:pPr>
    <w:rPr>
      <w:rFonts w:eastAsia="Times New Roman"/>
      <w:sz w:val="24"/>
      <w:szCs w:val="24"/>
      <w:lang w:val="en-GB" w:eastAsia="en-GB"/>
    </w:rPr>
  </w:style>
  <w:style w:type="character" w:customStyle="1" w:styleId="UnresolvedMention1">
    <w:name w:val="Unresolved Mention1"/>
    <w:basedOn w:val="Policepardfaut"/>
    <w:uiPriority w:val="99"/>
    <w:semiHidden/>
    <w:unhideWhenUsed/>
    <w:rsid w:val="005D2955"/>
    <w:rPr>
      <w:color w:val="605E5C"/>
      <w:shd w:val="clear" w:color="auto" w:fill="E1DFDD"/>
    </w:rPr>
  </w:style>
  <w:style w:type="character" w:customStyle="1" w:styleId="H1GChar">
    <w:name w:val="_ H_1_G Char"/>
    <w:link w:val="H1G"/>
    <w:locked/>
    <w:rsid w:val="005D2955"/>
    <w:rPr>
      <w:rFonts w:eastAsiaTheme="minorHAnsi"/>
      <w:b/>
      <w:sz w:val="24"/>
      <w:lang w:val="fr-CH" w:eastAsia="en-US"/>
    </w:rPr>
  </w:style>
  <w:style w:type="paragraph" w:styleId="Date">
    <w:name w:val="Date"/>
    <w:basedOn w:val="Normal"/>
    <w:next w:val="Normal"/>
    <w:link w:val="DateCar"/>
    <w:uiPriority w:val="99"/>
    <w:semiHidden/>
    <w:unhideWhenUsed/>
    <w:rsid w:val="005D2955"/>
    <w:pPr>
      <w:suppressAutoHyphens w:val="0"/>
      <w:kinsoku/>
      <w:overflowPunct/>
      <w:autoSpaceDE/>
      <w:autoSpaceDN/>
      <w:adjustRightInd/>
      <w:snapToGrid/>
      <w:spacing w:after="160" w:line="259" w:lineRule="auto"/>
    </w:pPr>
    <w:rPr>
      <w:rFonts w:asciiTheme="minorHAnsi" w:hAnsiTheme="minorHAnsi" w:cstheme="minorBidi"/>
      <w:kern w:val="2"/>
      <w:sz w:val="22"/>
      <w:szCs w:val="22"/>
      <w:lang w:val="en-GB"/>
      <w14:ligatures w14:val="standardContextual"/>
    </w:rPr>
  </w:style>
  <w:style w:type="character" w:customStyle="1" w:styleId="DateCar">
    <w:name w:val="Date Car"/>
    <w:basedOn w:val="Policepardfaut"/>
    <w:link w:val="Date"/>
    <w:uiPriority w:val="99"/>
    <w:semiHidden/>
    <w:rsid w:val="005D2955"/>
    <w:rPr>
      <w:rFonts w:asciiTheme="minorHAnsi" w:eastAsiaTheme="minorHAnsi" w:hAnsiTheme="minorHAnsi" w:cstheme="minorBidi"/>
      <w:kern w:val="2"/>
      <w:sz w:val="22"/>
      <w:szCs w:val="22"/>
      <w:lang w:eastAsia="en-US"/>
      <w14:ligatures w14:val="standardContextual"/>
    </w:rPr>
  </w:style>
  <w:style w:type="character" w:customStyle="1" w:styleId="UnresolvedMention2">
    <w:name w:val="Unresolved Mention2"/>
    <w:basedOn w:val="Policepardfaut"/>
    <w:uiPriority w:val="99"/>
    <w:semiHidden/>
    <w:unhideWhenUsed/>
    <w:rsid w:val="005D2955"/>
    <w:rPr>
      <w:color w:val="605E5C"/>
      <w:shd w:val="clear" w:color="auto" w:fill="E1DFDD"/>
    </w:rPr>
  </w:style>
  <w:style w:type="character" w:customStyle="1" w:styleId="UnresolvedMention3">
    <w:name w:val="Unresolved Mention3"/>
    <w:basedOn w:val="Policepardfaut"/>
    <w:uiPriority w:val="99"/>
    <w:semiHidden/>
    <w:unhideWhenUsed/>
    <w:rsid w:val="005D2955"/>
    <w:rPr>
      <w:color w:val="605E5C"/>
      <w:shd w:val="clear" w:color="auto" w:fill="E1DFDD"/>
    </w:rPr>
  </w:style>
  <w:style w:type="character" w:customStyle="1" w:styleId="Mentionnonrsolue1">
    <w:name w:val="Mention non résolue1"/>
    <w:basedOn w:val="Policepardfaut"/>
    <w:uiPriority w:val="99"/>
    <w:semiHidden/>
    <w:unhideWhenUsed/>
    <w:rsid w:val="005D2955"/>
    <w:rPr>
      <w:color w:val="605E5C"/>
      <w:shd w:val="clear" w:color="auto" w:fill="E1DFDD"/>
    </w:rPr>
  </w:style>
  <w:style w:type="character" w:styleId="Accentuation">
    <w:name w:val="Emphasis"/>
    <w:basedOn w:val="Policepardfaut"/>
    <w:uiPriority w:val="20"/>
    <w:qFormat/>
    <w:rsid w:val="00164B95"/>
    <w:rPr>
      <w:i/>
      <w:iCs/>
    </w:rPr>
  </w:style>
  <w:style w:type="paragraph" w:styleId="Titre">
    <w:name w:val="Title"/>
    <w:basedOn w:val="Normal"/>
    <w:next w:val="Normal"/>
    <w:link w:val="TitreCar"/>
    <w:uiPriority w:val="10"/>
    <w:qFormat/>
    <w:rsid w:val="005A67A9"/>
    <w:pPr>
      <w:spacing w:after="80" w:line="240" w:lineRule="auto"/>
      <w:contextualSpacing/>
    </w:pPr>
    <w:rPr>
      <w:rFonts w:asciiTheme="majorHAnsi" w:eastAsiaTheme="majorEastAsia" w:hAnsiTheme="majorHAnsi" w:cstheme="majorBidi"/>
      <w:spacing w:val="-10"/>
      <w:kern w:val="28"/>
      <w:sz w:val="56"/>
      <w:szCs w:val="56"/>
      <w:lang w:val="en-US"/>
    </w:rPr>
  </w:style>
  <w:style w:type="character" w:customStyle="1" w:styleId="TitreCar">
    <w:name w:val="Titre Car"/>
    <w:basedOn w:val="Policepardfaut"/>
    <w:link w:val="Titre"/>
    <w:uiPriority w:val="10"/>
    <w:rsid w:val="005A67A9"/>
    <w:rPr>
      <w:rFonts w:asciiTheme="majorHAnsi" w:eastAsiaTheme="majorEastAsia" w:hAnsiTheme="majorHAnsi" w:cstheme="majorBidi"/>
      <w:spacing w:val="-10"/>
      <w:kern w:val="28"/>
      <w:sz w:val="56"/>
      <w:szCs w:val="56"/>
      <w:lang w:val="en-US" w:eastAsia="en-US"/>
    </w:rPr>
  </w:style>
  <w:style w:type="paragraph" w:styleId="Sous-titre">
    <w:name w:val="Subtitle"/>
    <w:basedOn w:val="Normal"/>
    <w:next w:val="Normal"/>
    <w:link w:val="Sous-titreCar"/>
    <w:uiPriority w:val="11"/>
    <w:qFormat/>
    <w:rsid w:val="005A67A9"/>
    <w:pPr>
      <w:numPr>
        <w:ilvl w:val="1"/>
      </w:numPr>
      <w:spacing w:after="160"/>
    </w:pPr>
    <w:rPr>
      <w:rFonts w:asciiTheme="minorHAnsi" w:eastAsiaTheme="majorEastAsia" w:hAnsiTheme="minorHAnsi" w:cstheme="majorBidi"/>
      <w:color w:val="595959" w:themeColor="text1" w:themeTint="A6"/>
      <w:spacing w:val="15"/>
      <w:sz w:val="28"/>
      <w:szCs w:val="28"/>
      <w:lang w:val="en-US"/>
    </w:rPr>
  </w:style>
  <w:style w:type="character" w:customStyle="1" w:styleId="Sous-titreCar">
    <w:name w:val="Sous-titre Car"/>
    <w:basedOn w:val="Policepardfaut"/>
    <w:link w:val="Sous-titre"/>
    <w:uiPriority w:val="11"/>
    <w:rsid w:val="005A67A9"/>
    <w:rPr>
      <w:rFonts w:asciiTheme="minorHAnsi" w:eastAsiaTheme="majorEastAsia" w:hAnsiTheme="minorHAnsi" w:cstheme="majorBidi"/>
      <w:color w:val="595959" w:themeColor="text1" w:themeTint="A6"/>
      <w:spacing w:val="15"/>
      <w:sz w:val="28"/>
      <w:szCs w:val="28"/>
      <w:lang w:val="en-US" w:eastAsia="en-US"/>
    </w:rPr>
  </w:style>
  <w:style w:type="paragraph" w:styleId="Citation">
    <w:name w:val="Quote"/>
    <w:basedOn w:val="Normal"/>
    <w:next w:val="Normal"/>
    <w:link w:val="CitationCar"/>
    <w:uiPriority w:val="29"/>
    <w:qFormat/>
    <w:rsid w:val="005A67A9"/>
    <w:pPr>
      <w:spacing w:before="160" w:after="160"/>
      <w:jc w:val="center"/>
    </w:pPr>
    <w:rPr>
      <w:i/>
      <w:iCs/>
      <w:color w:val="404040" w:themeColor="text1" w:themeTint="BF"/>
      <w:lang w:val="en-US"/>
    </w:rPr>
  </w:style>
  <w:style w:type="character" w:customStyle="1" w:styleId="CitationCar">
    <w:name w:val="Citation Car"/>
    <w:basedOn w:val="Policepardfaut"/>
    <w:link w:val="Citation"/>
    <w:uiPriority w:val="29"/>
    <w:rsid w:val="005A67A9"/>
    <w:rPr>
      <w:rFonts w:eastAsiaTheme="minorHAnsi"/>
      <w:i/>
      <w:iCs/>
      <w:color w:val="404040" w:themeColor="text1" w:themeTint="BF"/>
      <w:lang w:val="en-US" w:eastAsia="en-US"/>
    </w:rPr>
  </w:style>
  <w:style w:type="paragraph" w:styleId="Paragraphedeliste">
    <w:name w:val="List Paragraph"/>
    <w:basedOn w:val="Normal"/>
    <w:link w:val="ParagraphedelisteCar"/>
    <w:uiPriority w:val="34"/>
    <w:qFormat/>
    <w:rsid w:val="005A67A9"/>
    <w:pPr>
      <w:ind w:left="720"/>
      <w:contextualSpacing/>
    </w:pPr>
    <w:rPr>
      <w:lang w:val="en-US"/>
    </w:rPr>
  </w:style>
  <w:style w:type="character" w:styleId="Accentuationintense">
    <w:name w:val="Intense Emphasis"/>
    <w:basedOn w:val="Policepardfaut"/>
    <w:uiPriority w:val="21"/>
    <w:qFormat/>
    <w:rsid w:val="005A67A9"/>
    <w:rPr>
      <w:i/>
      <w:iCs/>
      <w:color w:val="365F91" w:themeColor="accent1" w:themeShade="BF"/>
    </w:rPr>
  </w:style>
  <w:style w:type="paragraph" w:styleId="Citationintense">
    <w:name w:val="Intense Quote"/>
    <w:basedOn w:val="Normal"/>
    <w:next w:val="Normal"/>
    <w:link w:val="CitationintenseCar"/>
    <w:uiPriority w:val="30"/>
    <w:qFormat/>
    <w:rsid w:val="005A67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lang w:val="en-US"/>
    </w:rPr>
  </w:style>
  <w:style w:type="character" w:customStyle="1" w:styleId="CitationintenseCar">
    <w:name w:val="Citation intense Car"/>
    <w:basedOn w:val="Policepardfaut"/>
    <w:link w:val="Citationintense"/>
    <w:uiPriority w:val="30"/>
    <w:rsid w:val="005A67A9"/>
    <w:rPr>
      <w:rFonts w:eastAsiaTheme="minorHAnsi"/>
      <w:i/>
      <w:iCs/>
      <w:color w:val="365F91" w:themeColor="accent1" w:themeShade="BF"/>
      <w:lang w:val="en-US" w:eastAsia="en-US"/>
    </w:rPr>
  </w:style>
  <w:style w:type="character" w:styleId="Rfrenceintense">
    <w:name w:val="Intense Reference"/>
    <w:basedOn w:val="Policepardfaut"/>
    <w:uiPriority w:val="32"/>
    <w:qFormat/>
    <w:rsid w:val="005A67A9"/>
    <w:rPr>
      <w:b/>
      <w:bCs/>
      <w:smallCaps/>
      <w:color w:val="365F91" w:themeColor="accent1" w:themeShade="BF"/>
      <w:spacing w:val="5"/>
    </w:rPr>
  </w:style>
  <w:style w:type="character" w:customStyle="1" w:styleId="normaltextrun">
    <w:name w:val="normaltextrun"/>
    <w:basedOn w:val="Policepardfaut"/>
    <w:rsid w:val="005A67A9"/>
  </w:style>
  <w:style w:type="character" w:customStyle="1" w:styleId="eop">
    <w:name w:val="eop"/>
    <w:basedOn w:val="Policepardfaut"/>
    <w:rsid w:val="005A67A9"/>
  </w:style>
  <w:style w:type="character" w:customStyle="1" w:styleId="ParagraphedelisteCar">
    <w:name w:val="Paragraphe de liste Car"/>
    <w:basedOn w:val="Policepardfaut"/>
    <w:link w:val="Paragraphedeliste"/>
    <w:uiPriority w:val="34"/>
    <w:rsid w:val="005A67A9"/>
    <w:rPr>
      <w:rFonts w:eastAsiaTheme="minorHAnsi"/>
      <w:lang w:val="en-US" w:eastAsia="en-US"/>
    </w:rPr>
  </w:style>
  <w:style w:type="paragraph" w:customStyle="1" w:styleId="H1">
    <w:name w:val="_ H_1"/>
    <w:basedOn w:val="Normal"/>
    <w:next w:val="Normal"/>
    <w:qFormat/>
    <w:rsid w:val="004C5E26"/>
    <w:pPr>
      <w:keepNext/>
      <w:keepLines/>
      <w:kinsoku/>
      <w:overflowPunct/>
      <w:autoSpaceDE/>
      <w:autoSpaceDN/>
      <w:adjustRightInd/>
      <w:snapToGrid/>
      <w:spacing w:line="270" w:lineRule="exact"/>
      <w:outlineLvl w:val="0"/>
    </w:pPr>
    <w:rPr>
      <w:b/>
      <w:spacing w:val="4"/>
      <w:w w:val="103"/>
      <w:kern w:val="14"/>
      <w:sz w:val="24"/>
      <w:szCs w:val="22"/>
      <w:lang w:val="fr-CA"/>
      <w14:ligatures w14:val="standardContextual"/>
    </w:rPr>
  </w:style>
  <w:style w:type="paragraph" w:customStyle="1" w:styleId="Session">
    <w:name w:val="Session"/>
    <w:basedOn w:val="Normal"/>
    <w:qFormat/>
    <w:rsid w:val="004C5E26"/>
    <w:pPr>
      <w:keepNext/>
      <w:keepLines/>
      <w:kinsoku/>
      <w:overflowPunct/>
      <w:autoSpaceDE/>
      <w:autoSpaceDN/>
      <w:adjustRightInd/>
      <w:snapToGrid/>
      <w:spacing w:line="240" w:lineRule="exact"/>
      <w:outlineLvl w:val="1"/>
    </w:pPr>
    <w:rPr>
      <w:b/>
      <w:spacing w:val="2"/>
      <w:w w:val="103"/>
      <w:kern w:val="14"/>
      <w:szCs w:val="22"/>
      <w:lang w:val="fr-FR"/>
      <w14:ligatures w14:val="standardContextual"/>
    </w:rPr>
  </w:style>
  <w:style w:type="paragraph" w:customStyle="1" w:styleId="SingleTxt">
    <w:name w:val="__Single Txt"/>
    <w:basedOn w:val="Normal"/>
    <w:rsid w:val="004C5E26"/>
    <w:pPr>
      <w:tabs>
        <w:tab w:val="left" w:pos="1267"/>
        <w:tab w:val="left" w:pos="1742"/>
        <w:tab w:val="left" w:pos="2218"/>
        <w:tab w:val="left" w:pos="2693"/>
        <w:tab w:val="left" w:pos="3182"/>
        <w:tab w:val="left" w:pos="3658"/>
        <w:tab w:val="left" w:pos="4133"/>
        <w:tab w:val="left" w:pos="4622"/>
        <w:tab w:val="left" w:pos="5098"/>
        <w:tab w:val="left" w:pos="5573"/>
        <w:tab w:val="left" w:pos="6048"/>
      </w:tabs>
      <w:kinsoku/>
      <w:overflowPunct/>
      <w:autoSpaceDE/>
      <w:autoSpaceDN/>
      <w:adjustRightInd/>
      <w:snapToGrid/>
      <w:spacing w:after="120"/>
      <w:ind w:left="1267" w:right="1267"/>
      <w:jc w:val="both"/>
    </w:pPr>
    <w:rPr>
      <w:spacing w:val="4"/>
      <w:w w:val="103"/>
      <w:kern w:val="14"/>
      <w:lang w:val="en-GB"/>
    </w:rPr>
  </w:style>
  <w:style w:type="character" w:customStyle="1" w:styleId="preferred">
    <w:name w:val="preferred"/>
    <w:basedOn w:val="Policepardfaut"/>
    <w:rsid w:val="004C5E26"/>
  </w:style>
  <w:style w:type="character" w:customStyle="1" w:styleId="ui-provider">
    <w:name w:val="ui-provider"/>
    <w:basedOn w:val="Policepardfaut"/>
    <w:rsid w:val="003F7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yperlink" Target="http://undocs.org/fr/A/RES/77/103" TargetMode="External"/><Relationship Id="rId42" Type="http://schemas.openxmlformats.org/officeDocument/2006/relationships/hyperlink" Target="http://undocs.org/fr/A/CN.4/771/Add.2" TargetMode="External"/><Relationship Id="rId47" Type="http://schemas.openxmlformats.org/officeDocument/2006/relationships/hyperlink" Target="http://undocs.org/fr/A/RES/78/108" TargetMode="External"/><Relationship Id="rId63" Type="http://schemas.openxmlformats.org/officeDocument/2006/relationships/hyperlink" Target="http://undocs.org/fr/A/CN.4/755" TargetMode="External"/><Relationship Id="rId68" Type="http://schemas.openxmlformats.org/officeDocument/2006/relationships/hyperlink" Target="http://undocs.org/fr/A/RES/78/108" TargetMode="External"/><Relationship Id="rId84" Type="http://schemas.openxmlformats.org/officeDocument/2006/relationships/hyperlink" Target="http://undocs.org/fr/A/RES/78/108" TargetMode="External"/><Relationship Id="rId89" Type="http://schemas.openxmlformats.org/officeDocument/2006/relationships/hyperlink" Target="http://undocs.org/fr/A/RES/78/108" TargetMode="Externa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undocs.org/fr/A/CN.4/764" TargetMode="External"/><Relationship Id="rId107" Type="http://schemas.openxmlformats.org/officeDocument/2006/relationships/footer" Target="footer10.xml"/><Relationship Id="rId11" Type="http://schemas.openxmlformats.org/officeDocument/2006/relationships/image" Target="media/image4.png"/><Relationship Id="rId24" Type="http://schemas.openxmlformats.org/officeDocument/2006/relationships/footer" Target="footer5.xml"/><Relationship Id="rId32" Type="http://schemas.openxmlformats.org/officeDocument/2006/relationships/hyperlink" Target="http://undocs.org/fr/A/CN.4/769" TargetMode="External"/><Relationship Id="rId37" Type="http://schemas.openxmlformats.org/officeDocument/2006/relationships/hyperlink" Target="http://undocs.org/fr/A/CN.4/767" TargetMode="External"/><Relationship Id="rId40" Type="http://schemas.openxmlformats.org/officeDocument/2006/relationships/hyperlink" Target="http://undocs.org/fr/A/CN.4/771" TargetMode="External"/><Relationship Id="rId45" Type="http://schemas.openxmlformats.org/officeDocument/2006/relationships/hyperlink" Target="http://undocs.org/fr/A/CN.4/774/Add.1" TargetMode="External"/><Relationship Id="rId53" Type="http://schemas.openxmlformats.org/officeDocument/2006/relationships/hyperlink" Target="http://undocs.org/fr/A/RES/77/103" TargetMode="External"/><Relationship Id="rId58" Type="http://schemas.openxmlformats.org/officeDocument/2006/relationships/hyperlink" Target="http://undocs.org/fr/A/CN.4/758" TargetMode="External"/><Relationship Id="rId66" Type="http://schemas.openxmlformats.org/officeDocument/2006/relationships/hyperlink" Target="http://undocs.org/fr/A/CN.4/771/Add.2" TargetMode="External"/><Relationship Id="rId74" Type="http://schemas.openxmlformats.org/officeDocument/2006/relationships/hyperlink" Target="http://undocs.org/fr/A/CN.4/L.1002" TargetMode="External"/><Relationship Id="rId79" Type="http://schemas.openxmlformats.org/officeDocument/2006/relationships/hyperlink" Target="http://undocs.org/fr/A/CN.4/763" TargetMode="External"/><Relationship Id="rId87" Type="http://schemas.openxmlformats.org/officeDocument/2006/relationships/hyperlink" Target="http://undocs.org/fr/A/RES/76/268" TargetMode="External"/><Relationship Id="rId102" Type="http://schemas.openxmlformats.org/officeDocument/2006/relationships/header" Target="header8.xml"/><Relationship Id="rId110" Type="http://schemas.openxmlformats.org/officeDocument/2006/relationships/footer" Target="footer11.xml"/><Relationship Id="rId5" Type="http://schemas.openxmlformats.org/officeDocument/2006/relationships/webSettings" Target="webSettings.xml"/><Relationship Id="rId61" Type="http://schemas.openxmlformats.org/officeDocument/2006/relationships/hyperlink" Target="http://undocs.org/fr/A/CN.4/767" TargetMode="External"/><Relationship Id="rId82" Type="http://schemas.openxmlformats.org/officeDocument/2006/relationships/hyperlink" Target="http://undocs.org/fr/A/RES/78/112" TargetMode="External"/><Relationship Id="rId90" Type="http://schemas.openxmlformats.org/officeDocument/2006/relationships/hyperlink" Target="http://undocs.org/fr/A/RES/77/103" TargetMode="External"/><Relationship Id="rId95" Type="http://schemas.openxmlformats.org/officeDocument/2006/relationships/hyperlink" Target="http://undocs.org/fr/A/CN.4/767" TargetMode="External"/><Relationship Id="rId19" Type="http://schemas.openxmlformats.org/officeDocument/2006/relationships/hyperlink" Target="http://undocs.org/fr/A/CN.4/774/Add.1" TargetMode="Externa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yperlink" Target="http://undocs.org/fr/A/CN.4/L.998" TargetMode="External"/><Relationship Id="rId35" Type="http://schemas.openxmlformats.org/officeDocument/2006/relationships/hyperlink" Target="http://undocs.org/fr/A/CN.4/L.985/Add.1" TargetMode="External"/><Relationship Id="rId43" Type="http://schemas.openxmlformats.org/officeDocument/2006/relationships/hyperlink" Target="http://undocs.org/fr/A/CN.4/772" TargetMode="External"/><Relationship Id="rId48" Type="http://schemas.openxmlformats.org/officeDocument/2006/relationships/hyperlink" Target="http://undocs.org/fr/A/RES/77/103" TargetMode="External"/><Relationship Id="rId56" Type="http://schemas.openxmlformats.org/officeDocument/2006/relationships/hyperlink" Target="http://undocs.org/fr/A/CN.4/L.999" TargetMode="External"/><Relationship Id="rId64" Type="http://schemas.openxmlformats.org/officeDocument/2006/relationships/hyperlink" Target="http://undocs.org/fr/A/CN.4/771" TargetMode="External"/><Relationship Id="rId69" Type="http://schemas.openxmlformats.org/officeDocument/2006/relationships/hyperlink" Target="http://undocs.org/fr/A/CN.4/772" TargetMode="External"/><Relationship Id="rId77" Type="http://schemas.openxmlformats.org/officeDocument/2006/relationships/hyperlink" Target="http://undocs.org/fr/A/CN.4/768" TargetMode="External"/><Relationship Id="rId100" Type="http://schemas.openxmlformats.org/officeDocument/2006/relationships/hyperlink" Target="http://undocs.org/fr/A/RES/78/108" TargetMode="External"/><Relationship Id="rId105" Type="http://schemas.openxmlformats.org/officeDocument/2006/relationships/header" Target="header10.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hyperlink" Target="http://undocs.org/fr/A/CN.4/L.998" TargetMode="External"/><Relationship Id="rId72" Type="http://schemas.openxmlformats.org/officeDocument/2006/relationships/hyperlink" Target="http://undocs.org/fr/A/CN.4/774" TargetMode="External"/><Relationship Id="rId80" Type="http://schemas.openxmlformats.org/officeDocument/2006/relationships/hyperlink" Target="http://undocs.org/fr/A/RES/78/108" TargetMode="External"/><Relationship Id="rId85" Type="http://schemas.openxmlformats.org/officeDocument/2006/relationships/hyperlink" Target="http://undocs.org/fr/A/RES/56/272" TargetMode="External"/><Relationship Id="rId93" Type="http://schemas.openxmlformats.org/officeDocument/2006/relationships/hyperlink" Target="http://undocs.org/fr/A/CN.4/764" TargetMode="External"/><Relationship Id="rId98" Type="http://schemas.openxmlformats.org/officeDocument/2006/relationships/hyperlink" Target="http://undocs.org/fr/A/CN.4/771/Add.1"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6.xml"/><Relationship Id="rId33" Type="http://schemas.openxmlformats.org/officeDocument/2006/relationships/hyperlink" Target="http://undocs.org/fr/A/CN.4/765" TargetMode="External"/><Relationship Id="rId38" Type="http://schemas.openxmlformats.org/officeDocument/2006/relationships/hyperlink" Target="http://undocs.org/fr/A/CN.4/L.1000" TargetMode="External"/><Relationship Id="rId46" Type="http://schemas.openxmlformats.org/officeDocument/2006/relationships/hyperlink" Target="http://undocs.org/fr/A/CN.4/768" TargetMode="External"/><Relationship Id="rId59" Type="http://schemas.openxmlformats.org/officeDocument/2006/relationships/hyperlink" Target="http://undocs.org/fr/A/CN.4/757" TargetMode="External"/><Relationship Id="rId67" Type="http://schemas.openxmlformats.org/officeDocument/2006/relationships/hyperlink" Target="http://undocs.org/fr/A/CN.4/L.1001" TargetMode="External"/><Relationship Id="rId103" Type="http://schemas.openxmlformats.org/officeDocument/2006/relationships/footer" Target="footer8.xml"/><Relationship Id="rId108" Type="http://schemas.openxmlformats.org/officeDocument/2006/relationships/header" Target="header11.xml"/><Relationship Id="rId20" Type="http://schemas.openxmlformats.org/officeDocument/2006/relationships/hyperlink" Target="http://undocs.org/fr/A/RES/78/112" TargetMode="External"/><Relationship Id="rId41" Type="http://schemas.openxmlformats.org/officeDocument/2006/relationships/hyperlink" Target="http://undocs.org/fr/A/CN.4/771/Add.1" TargetMode="External"/><Relationship Id="rId54" Type="http://schemas.openxmlformats.org/officeDocument/2006/relationships/hyperlink" Target="http://undocs.org/fr/A/CN.4/769" TargetMode="External"/><Relationship Id="rId62" Type="http://schemas.openxmlformats.org/officeDocument/2006/relationships/hyperlink" Target="http://undocs.org/fr/A/CN.4/L.1000" TargetMode="External"/><Relationship Id="rId70" Type="http://schemas.openxmlformats.org/officeDocument/2006/relationships/hyperlink" Target="http://undocs.org/fr/A/RES/72/116" TargetMode="External"/><Relationship Id="rId75" Type="http://schemas.openxmlformats.org/officeDocument/2006/relationships/hyperlink" Target="http://undocs.org/fr/A/CN.4/774" TargetMode="External"/><Relationship Id="rId83" Type="http://schemas.openxmlformats.org/officeDocument/2006/relationships/hyperlink" Target="http://undocs.org/fr/A/RES/78/112" TargetMode="External"/><Relationship Id="rId88" Type="http://schemas.openxmlformats.org/officeDocument/2006/relationships/hyperlink" Target="http://undocs.org/fr/A/RES/78/108" TargetMode="External"/><Relationship Id="rId91" Type="http://schemas.openxmlformats.org/officeDocument/2006/relationships/hyperlink" Target="http://undocs.org/fr/A/RES/78/108" TargetMode="External"/><Relationship Id="rId96" Type="http://schemas.openxmlformats.org/officeDocument/2006/relationships/hyperlink" Target="http://undocs.org/fr/A/CN.4/768" TargetMode="External"/><Relationship Id="rId11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undocs.org/fr/A/CN.4/766" TargetMode="External"/><Relationship Id="rId36" Type="http://schemas.openxmlformats.org/officeDocument/2006/relationships/hyperlink" Target="http://undocs.org/fr/A/CN.4/770" TargetMode="External"/><Relationship Id="rId49" Type="http://schemas.openxmlformats.org/officeDocument/2006/relationships/hyperlink" Target="http://undocs.org/fr/A/CN.4/766" TargetMode="External"/><Relationship Id="rId57" Type="http://schemas.openxmlformats.org/officeDocument/2006/relationships/hyperlink" Target="http://undocs.org/fr/A/RES/77/103" TargetMode="External"/><Relationship Id="rId106" Type="http://schemas.openxmlformats.org/officeDocument/2006/relationships/footer" Target="footer9.xml"/><Relationship Id="rId10" Type="http://schemas.openxmlformats.org/officeDocument/2006/relationships/footer" Target="footer1.xml"/><Relationship Id="rId31" Type="http://schemas.openxmlformats.org/officeDocument/2006/relationships/hyperlink" Target="http://undocs.org/fr/A/CN.4/L.998/Add.1" TargetMode="External"/><Relationship Id="rId44" Type="http://schemas.openxmlformats.org/officeDocument/2006/relationships/hyperlink" Target="http://undocs.org/fr/A/CN.4/774" TargetMode="External"/><Relationship Id="rId52" Type="http://schemas.openxmlformats.org/officeDocument/2006/relationships/hyperlink" Target="http://undocs.org/fr/A/CN.4/L.998/Add.1" TargetMode="External"/><Relationship Id="rId60" Type="http://schemas.openxmlformats.org/officeDocument/2006/relationships/hyperlink" Target="http://undocs.org/fr/A/CN.4/770" TargetMode="External"/><Relationship Id="rId65" Type="http://schemas.openxmlformats.org/officeDocument/2006/relationships/hyperlink" Target="http://undocs.org/fr/A/CN.4/771/Add.1" TargetMode="External"/><Relationship Id="rId73" Type="http://schemas.openxmlformats.org/officeDocument/2006/relationships/hyperlink" Target="http://undocs.org/fr/A/CN.4/774/Add.1" TargetMode="External"/><Relationship Id="rId78" Type="http://schemas.openxmlformats.org/officeDocument/2006/relationships/hyperlink" Target="http://undocs.org/fr/A/CN.4/768" TargetMode="External"/><Relationship Id="rId81" Type="http://schemas.openxmlformats.org/officeDocument/2006/relationships/hyperlink" Target="http://undocs.org/fr/A/RES/78/112" TargetMode="External"/><Relationship Id="rId86" Type="http://schemas.openxmlformats.org/officeDocument/2006/relationships/hyperlink" Target="http://undocs.org/fr/A/RES/77/103" TargetMode="External"/><Relationship Id="rId94" Type="http://schemas.openxmlformats.org/officeDocument/2006/relationships/hyperlink" Target="http://undocs.org/fr/A/CN.4/765" TargetMode="External"/><Relationship Id="rId99" Type="http://schemas.openxmlformats.org/officeDocument/2006/relationships/hyperlink" Target="https://documents.un.org/symbol-explorer?s=A/CN.4/771/ADD.2&amp;i=A/CN.4/771/ADD.2_1716228404326" TargetMode="External"/><Relationship Id="rId101" Type="http://schemas.openxmlformats.org/officeDocument/2006/relationships/hyperlink" Target="http://undocs.org/fr/A/RES/78/108" TargetMode="Externa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undocs.org/fr/A/CN.4/774" TargetMode="External"/><Relationship Id="rId39" Type="http://schemas.openxmlformats.org/officeDocument/2006/relationships/hyperlink" Target="http://undocs.org/fr/A/CN.4/775" TargetMode="External"/><Relationship Id="rId109" Type="http://schemas.openxmlformats.org/officeDocument/2006/relationships/header" Target="header12.xml"/><Relationship Id="rId34" Type="http://schemas.openxmlformats.org/officeDocument/2006/relationships/hyperlink" Target="http://undocs.org/fr/A/CN.4/L.999" TargetMode="External"/><Relationship Id="rId50" Type="http://schemas.openxmlformats.org/officeDocument/2006/relationships/hyperlink" Target="http://undocs.org/fr/A/CN.4/764" TargetMode="External"/><Relationship Id="rId55" Type="http://schemas.openxmlformats.org/officeDocument/2006/relationships/hyperlink" Target="http://undocs.org/fr/A/CN.4/765" TargetMode="External"/><Relationship Id="rId76" Type="http://schemas.openxmlformats.org/officeDocument/2006/relationships/hyperlink" Target="http://undocs.org/fr/A/CN.4/774/Add.1" TargetMode="External"/><Relationship Id="rId97" Type="http://schemas.openxmlformats.org/officeDocument/2006/relationships/hyperlink" Target="http://undocs.org/fr/A/CN.4/771" TargetMode="External"/><Relationship Id="rId104" Type="http://schemas.openxmlformats.org/officeDocument/2006/relationships/header" Target="header9.xml"/><Relationship Id="rId7" Type="http://schemas.openxmlformats.org/officeDocument/2006/relationships/endnotes" Target="endnotes.xml"/><Relationship Id="rId71" Type="http://schemas.openxmlformats.org/officeDocument/2006/relationships/hyperlink" Target="http://undocs.org/fr/A/CN.4/L.1003" TargetMode="External"/><Relationship Id="rId92" Type="http://schemas.openxmlformats.org/officeDocument/2006/relationships/hyperlink" Target="http://undocs.org/fr/A/RES/77/103"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17" Type="http://schemas.openxmlformats.org/officeDocument/2006/relationships/hyperlink" Target="http://undocs.org/fr/A/CN.4/673" TargetMode="External"/><Relationship Id="rId21" Type="http://schemas.openxmlformats.org/officeDocument/2006/relationships/hyperlink" Target="http://undocs.org/fr/A/CN.4/766" TargetMode="External"/><Relationship Id="rId42" Type="http://schemas.openxmlformats.org/officeDocument/2006/relationships/hyperlink" Target="http://undocs.org/fr/A/76/17" TargetMode="External"/><Relationship Id="rId63" Type="http://schemas.openxmlformats.org/officeDocument/2006/relationships/hyperlink" Target="https://legal.un.org/repertory/art94/english/rep_orig_vol5_art94.pdf" TargetMode="External"/><Relationship Id="rId84" Type="http://schemas.openxmlformats.org/officeDocument/2006/relationships/hyperlink" Target="http://undocs.org/fr/A/77/10" TargetMode="External"/><Relationship Id="rId138" Type="http://schemas.openxmlformats.org/officeDocument/2006/relationships/hyperlink" Target="http://undocs.org/fr/A/CN.4/743" TargetMode="External"/><Relationship Id="rId159" Type="http://schemas.openxmlformats.org/officeDocument/2006/relationships/hyperlink" Target="http://undocs.org/fr/CCPR/C/127/D/2728/2016" TargetMode="External"/><Relationship Id="rId170" Type="http://schemas.openxmlformats.org/officeDocument/2006/relationships/hyperlink" Target="http://undocs.org/fr/S/2013/341" TargetMode="External"/><Relationship Id="rId191" Type="http://schemas.openxmlformats.org/officeDocument/2006/relationships/hyperlink" Target="http://undocs.org/fr/A/CN.4/96" TargetMode="External"/><Relationship Id="rId205" Type="http://schemas.openxmlformats.org/officeDocument/2006/relationships/hyperlink" Target="http://undocs.org/fr/CEDAW/C/GC/38" TargetMode="External"/><Relationship Id="rId226" Type="http://schemas.openxmlformats.org/officeDocument/2006/relationships/hyperlink" Target="http://undocs.org/fr/A/74/10" TargetMode="External"/><Relationship Id="rId247" Type="http://schemas.openxmlformats.org/officeDocument/2006/relationships/hyperlink" Target="http://undocs.org/fr/A/76/10" TargetMode="External"/><Relationship Id="rId107" Type="http://schemas.openxmlformats.org/officeDocument/2006/relationships/hyperlink" Target="http://undocs.org/fr/A/CN.4/596" TargetMode="External"/><Relationship Id="rId11" Type="http://schemas.openxmlformats.org/officeDocument/2006/relationships/hyperlink" Target="https://legal.un.org/ilc/publications/yearbooks/french/ilc_2016_v2_p2.pdf" TargetMode="External"/><Relationship Id="rId32" Type="http://schemas.openxmlformats.org/officeDocument/2006/relationships/hyperlink" Target="http://undocs.org/fr/A/CN.4/766" TargetMode="External"/><Relationship Id="rId53" Type="http://schemas.openxmlformats.org/officeDocument/2006/relationships/hyperlink" Target="http://undocs.org/fr/A/CN.4/759" TargetMode="External"/><Relationship Id="rId74" Type="http://schemas.openxmlformats.org/officeDocument/2006/relationships/hyperlink" Target="http://undocs.org/fr/A/73/10" TargetMode="External"/><Relationship Id="rId128" Type="http://schemas.openxmlformats.org/officeDocument/2006/relationships/hyperlink" Target="http://undocs.org/fr/A/RES/59/38" TargetMode="External"/><Relationship Id="rId149" Type="http://schemas.openxmlformats.org/officeDocument/2006/relationships/hyperlink" Target="http://undocs.org/fr/A/CN.4/752/Add.1" TargetMode="External"/><Relationship Id="rId5" Type="http://schemas.openxmlformats.org/officeDocument/2006/relationships/hyperlink" Target="http://undocs.org/fr/A/77/10" TargetMode="External"/><Relationship Id="rId95" Type="http://schemas.openxmlformats.org/officeDocument/2006/relationships/hyperlink" Target="http://undocs.org/fr/A/78/10" TargetMode="External"/><Relationship Id="rId160" Type="http://schemas.openxmlformats.org/officeDocument/2006/relationships/hyperlink" Target="http://undocs.org/fr/A/RES/73/195" TargetMode="External"/><Relationship Id="rId181" Type="http://schemas.openxmlformats.org/officeDocument/2006/relationships/hyperlink" Target="http://undocs.org/fr/A/RES/32/151" TargetMode="External"/><Relationship Id="rId216" Type="http://schemas.openxmlformats.org/officeDocument/2006/relationships/hyperlink" Target="http://undocs.org/fr/A/77/10" TargetMode="External"/><Relationship Id="rId237" Type="http://schemas.openxmlformats.org/officeDocument/2006/relationships/hyperlink" Target="http://undocs.org/fr/A/CN.4/507/Add.1" TargetMode="External"/><Relationship Id="rId22" Type="http://schemas.openxmlformats.org/officeDocument/2006/relationships/hyperlink" Target="https://www.wto.org/english/thewto_e/countries_e/european_communities_f.htm" TargetMode="External"/><Relationship Id="rId43" Type="http://schemas.openxmlformats.org/officeDocument/2006/relationships/hyperlink" Target="http://undocs.org/fr/A/RES/67/1" TargetMode="External"/><Relationship Id="rId64" Type="http://schemas.openxmlformats.org/officeDocument/2006/relationships/hyperlink" Target="http://undocs.org/fr/A/78/10" TargetMode="External"/><Relationship Id="rId118" Type="http://schemas.openxmlformats.org/officeDocument/2006/relationships/hyperlink" Target="http://undocs.org/fr/A/CN.4/686" TargetMode="External"/><Relationship Id="rId139" Type="http://schemas.openxmlformats.org/officeDocument/2006/relationships/hyperlink" Target="http://undocs.org/fr/A/CN.4/743/Corr.1" TargetMode="External"/><Relationship Id="rId85" Type="http://schemas.openxmlformats.org/officeDocument/2006/relationships/hyperlink" Target="http://undocs.org/fr/A/78/10" TargetMode="External"/><Relationship Id="rId150" Type="http://schemas.openxmlformats.org/officeDocument/2006/relationships/hyperlink" Target="http://undocs.org/fr/A/77/10" TargetMode="External"/><Relationship Id="rId171" Type="http://schemas.openxmlformats.org/officeDocument/2006/relationships/hyperlink" Target="http://undocs.org/fr/A/RES/77/276" TargetMode="External"/><Relationship Id="rId192" Type="http://schemas.openxmlformats.org/officeDocument/2006/relationships/hyperlink" Target="https://www.icj-cij.org/" TargetMode="External"/><Relationship Id="rId206" Type="http://schemas.openxmlformats.org/officeDocument/2006/relationships/hyperlink" Target="http://undocs.org/fr/A/RES/ES-10/17" TargetMode="External"/><Relationship Id="rId227" Type="http://schemas.openxmlformats.org/officeDocument/2006/relationships/hyperlink" Target="http://undocs.org/fr/A/77/10" TargetMode="External"/><Relationship Id="rId248" Type="http://schemas.openxmlformats.org/officeDocument/2006/relationships/hyperlink" Target="http://undocs.org/fr/A/77/10" TargetMode="External"/><Relationship Id="rId12" Type="http://schemas.openxmlformats.org/officeDocument/2006/relationships/hyperlink" Target="http://undocs.org/fr/A/CN.4/756" TargetMode="External"/><Relationship Id="rId17" Type="http://schemas.openxmlformats.org/officeDocument/2006/relationships/hyperlink" Target="https://pca-cpa.org/fr/cases/158/" TargetMode="External"/><Relationship Id="rId33" Type="http://schemas.openxmlformats.org/officeDocument/2006/relationships/hyperlink" Target="http://undocs.org/fr/A/7209/Rev.1(SUPP)" TargetMode="External"/><Relationship Id="rId38" Type="http://schemas.openxmlformats.org/officeDocument/2006/relationships/hyperlink" Target="http://undocs.org/fr/A/RES/77/110" TargetMode="External"/><Relationship Id="rId59" Type="http://schemas.openxmlformats.org/officeDocument/2006/relationships/hyperlink" Target="http://undocs.org/fr/A/77/10" TargetMode="External"/><Relationship Id="rId103" Type="http://schemas.openxmlformats.org/officeDocument/2006/relationships/hyperlink" Target="http://undocs.org/fr/A/62/10" TargetMode="External"/><Relationship Id="rId108" Type="http://schemas.openxmlformats.org/officeDocument/2006/relationships/hyperlink" Target="http://undocs.org/fr/A/CN.4/596/Corr.1" TargetMode="External"/><Relationship Id="rId124" Type="http://schemas.openxmlformats.org/officeDocument/2006/relationships/hyperlink" Target="http://undocs.org/fr/A/78/10" TargetMode="External"/><Relationship Id="rId129" Type="http://schemas.openxmlformats.org/officeDocument/2006/relationships/hyperlink" Target="https://legal.un.org/ilc/documentation/english/statements/2022_dc_chair_statement_iso.pdf" TargetMode="External"/><Relationship Id="rId54" Type="http://schemas.openxmlformats.org/officeDocument/2006/relationships/hyperlink" Target="http://undocs.org/fr/A/CN.4/L.985/Add.1" TargetMode="External"/><Relationship Id="rId70" Type="http://schemas.openxmlformats.org/officeDocument/2006/relationships/hyperlink" Target="http://undocs.org/fr/A/73/10" TargetMode="External"/><Relationship Id="rId75" Type="http://schemas.openxmlformats.org/officeDocument/2006/relationships/hyperlink" Target="http://undocs.org/fr/A/78/10" TargetMode="External"/><Relationship Id="rId91" Type="http://schemas.openxmlformats.org/officeDocument/2006/relationships/hyperlink" Target="http://undocs.org/fr/A/CN.4/765" TargetMode="External"/><Relationship Id="rId96" Type="http://schemas.openxmlformats.org/officeDocument/2006/relationships/hyperlink" Target="https://legal.un.org/ilc/guide/7_8.shtml" TargetMode="External"/><Relationship Id="rId140" Type="http://schemas.openxmlformats.org/officeDocument/2006/relationships/hyperlink" Target="http://undocs.org/fr/A/CN.4/751" TargetMode="External"/><Relationship Id="rId145" Type="http://schemas.openxmlformats.org/officeDocument/2006/relationships/hyperlink" Target="http://undocs.org/fr/A/CN.4/740/Corr.1" TargetMode="External"/><Relationship Id="rId161" Type="http://schemas.openxmlformats.org/officeDocument/2006/relationships/hyperlink" Target="http://www.oas.org/dil/1984_Cartagena_Declaration_on_Refugees.pdf" TargetMode="External"/><Relationship Id="rId166" Type="http://schemas.openxmlformats.org/officeDocument/2006/relationships/hyperlink" Target="http://undocs.org/fr/A/76/10" TargetMode="External"/><Relationship Id="rId182" Type="http://schemas.openxmlformats.org/officeDocument/2006/relationships/hyperlink" Target="http://undocs.org/fr/A/RES/37/111" TargetMode="External"/><Relationship Id="rId187" Type="http://schemas.openxmlformats.org/officeDocument/2006/relationships/hyperlink" Target="http://undocs.org/fr/A/RES/78/108" TargetMode="External"/><Relationship Id="rId217" Type="http://schemas.openxmlformats.org/officeDocument/2006/relationships/hyperlink" Target="http://undocs.org/fr/A/77/10" TargetMode="External"/><Relationship Id="rId1" Type="http://schemas.openxmlformats.org/officeDocument/2006/relationships/hyperlink" Target="http://undocs.org/fr/A/CN.4/773" TargetMode="External"/><Relationship Id="rId6" Type="http://schemas.openxmlformats.org/officeDocument/2006/relationships/hyperlink" Target="http://undocs.org/fr/A/78/10" TargetMode="External"/><Relationship Id="rId212" Type="http://schemas.openxmlformats.org/officeDocument/2006/relationships/hyperlink" Target="http://undocs.org/fr/A/CN.4/507/Add.1" TargetMode="External"/><Relationship Id="rId233" Type="http://schemas.openxmlformats.org/officeDocument/2006/relationships/hyperlink" Target="http://undocs.org/fr/A/CN.4/517/Add.1" TargetMode="External"/><Relationship Id="rId238" Type="http://schemas.openxmlformats.org/officeDocument/2006/relationships/hyperlink" Target="http://undocs.org/fr/A/CN.4/743" TargetMode="External"/><Relationship Id="rId23" Type="http://schemas.openxmlformats.org/officeDocument/2006/relationships/hyperlink" Target="http://undocs.org/fr/A/78/10" TargetMode="External"/><Relationship Id="rId28" Type="http://schemas.openxmlformats.org/officeDocument/2006/relationships/hyperlink" Target="http://undocs.org/fr/A/CN.4/766" TargetMode="External"/><Relationship Id="rId49" Type="http://schemas.openxmlformats.org/officeDocument/2006/relationships/hyperlink" Target="https://prd-echr.coe.int/documents/d/echr/Rules_Court_FRA" TargetMode="External"/><Relationship Id="rId114" Type="http://schemas.openxmlformats.org/officeDocument/2006/relationships/hyperlink" Target="http://undocs.org/fr/A/67/10" TargetMode="External"/><Relationship Id="rId119" Type="http://schemas.openxmlformats.org/officeDocument/2006/relationships/hyperlink" Target="http://undocs.org/fr/A/CN.4/701" TargetMode="External"/><Relationship Id="rId44" Type="http://schemas.openxmlformats.org/officeDocument/2006/relationships/hyperlink" Target="http://undocs.org/fr/E/CN.4/2003/65" TargetMode="External"/><Relationship Id="rId60" Type="http://schemas.openxmlformats.org/officeDocument/2006/relationships/hyperlink" Target="http://undocs.org/fr/A/78/10" TargetMode="External"/><Relationship Id="rId65" Type="http://schemas.openxmlformats.org/officeDocument/2006/relationships/hyperlink" Target="http://undocs.org/fr/A/77/10" TargetMode="External"/><Relationship Id="rId81" Type="http://schemas.openxmlformats.org/officeDocument/2006/relationships/hyperlink" Target="http://undocs.org/fr/A/CN.4/760" TargetMode="External"/><Relationship Id="rId86" Type="http://schemas.openxmlformats.org/officeDocument/2006/relationships/hyperlink" Target="http://www.idi-iil.org/fr/" TargetMode="External"/><Relationship Id="rId130" Type="http://schemas.openxmlformats.org/officeDocument/2006/relationships/hyperlink" Target="http://undocs.org/fr/A/77/10" TargetMode="External"/><Relationship Id="rId135" Type="http://schemas.openxmlformats.org/officeDocument/2006/relationships/hyperlink" Target="http://undocs.org/fr/A/CN.4/708" TargetMode="External"/><Relationship Id="rId151" Type="http://schemas.openxmlformats.org/officeDocument/2006/relationships/hyperlink" Target="http://undocs.org/fr/A/CN.4/761" TargetMode="External"/><Relationship Id="rId156" Type="http://schemas.openxmlformats.org/officeDocument/2006/relationships/hyperlink" Target="http://undocs.org/fr/A/RES/61/295" TargetMode="External"/><Relationship Id="rId177" Type="http://schemas.openxmlformats.org/officeDocument/2006/relationships/hyperlink" Target="http://undocs.org/fr/A/74/10" TargetMode="External"/><Relationship Id="rId198" Type="http://schemas.openxmlformats.org/officeDocument/2006/relationships/hyperlink" Target="http://undocs.org/fr/a/cn.4/425/Add.1" TargetMode="External"/><Relationship Id="rId172" Type="http://schemas.openxmlformats.org/officeDocument/2006/relationships/hyperlink" Target="https://legal.un.org/ilc/" TargetMode="External"/><Relationship Id="rId193" Type="http://schemas.openxmlformats.org/officeDocument/2006/relationships/hyperlink" Target="http://undocs.org/fr/A/CN.4/507" TargetMode="External"/><Relationship Id="rId202" Type="http://schemas.openxmlformats.org/officeDocument/2006/relationships/hyperlink" Target="http://undocs.org/fr/A/59/40" TargetMode="External"/><Relationship Id="rId207" Type="http://schemas.openxmlformats.org/officeDocument/2006/relationships/hyperlink" Target="http://undocs.org/fr/A/ES-10/949" TargetMode="External"/><Relationship Id="rId223" Type="http://schemas.openxmlformats.org/officeDocument/2006/relationships/hyperlink" Target="http://undocs.org/fr/A/CN.9/1160" TargetMode="External"/><Relationship Id="rId228" Type="http://schemas.openxmlformats.org/officeDocument/2006/relationships/hyperlink" Target="http://undocs.org/fr/A/CN.4/425" TargetMode="External"/><Relationship Id="rId244" Type="http://schemas.openxmlformats.org/officeDocument/2006/relationships/hyperlink" Target="http://undocs.org/fr/A/70/174" TargetMode="External"/><Relationship Id="rId249" Type="http://schemas.openxmlformats.org/officeDocument/2006/relationships/hyperlink" Target="https://documents.un.org/doc/undoc/gen/n13/249/99/pdf/n1324999.pdf" TargetMode="External"/><Relationship Id="rId13" Type="http://schemas.openxmlformats.org/officeDocument/2006/relationships/hyperlink" Target="http://undocs.org/fr/A/78/10" TargetMode="External"/><Relationship Id="rId18" Type="http://schemas.openxmlformats.org/officeDocument/2006/relationships/hyperlink" Target="http://undocs.org/fr/A/CN.4/764" TargetMode="External"/><Relationship Id="rId39" Type="http://schemas.openxmlformats.org/officeDocument/2006/relationships/hyperlink" Target="http://undocs.org/fr/A/RES/76/117" TargetMode="External"/><Relationship Id="rId109" Type="http://schemas.openxmlformats.org/officeDocument/2006/relationships/hyperlink" Target="http://undocs.org/fr/A/CN.4/601" TargetMode="External"/><Relationship Id="rId34" Type="http://schemas.openxmlformats.org/officeDocument/2006/relationships/hyperlink" Target="http://undocs.org/fr/A/CN.4/230" TargetMode="External"/><Relationship Id="rId50" Type="http://schemas.openxmlformats.org/officeDocument/2006/relationships/hyperlink" Target="http://undocs.org/fr/A/RES/67/1" TargetMode="External"/><Relationship Id="rId55" Type="http://schemas.openxmlformats.org/officeDocument/2006/relationships/hyperlink" Target="http://undocs.org/fr/A/78/10" TargetMode="External"/><Relationship Id="rId76" Type="http://schemas.openxmlformats.org/officeDocument/2006/relationships/hyperlink" Target="http://undocs.org/fr/A/77/10" TargetMode="External"/><Relationship Id="rId97" Type="http://schemas.openxmlformats.org/officeDocument/2006/relationships/hyperlink" Target="https://au.int/sites/default/files/newsevents/workingdocuments/27463-wd-code_de_conduite.pdf" TargetMode="External"/><Relationship Id="rId104" Type="http://schemas.openxmlformats.org/officeDocument/2006/relationships/hyperlink" Target="http://undocs.org/fr/A/RES/62/66" TargetMode="External"/><Relationship Id="rId120" Type="http://schemas.openxmlformats.org/officeDocument/2006/relationships/hyperlink" Target="http://undocs.org/fr/A/CN.4/722" TargetMode="External"/><Relationship Id="rId125" Type="http://schemas.openxmlformats.org/officeDocument/2006/relationships/hyperlink" Target="https://legal.un.org/ilc/guide/4_2.shtml" TargetMode="External"/><Relationship Id="rId141" Type="http://schemas.openxmlformats.org/officeDocument/2006/relationships/hyperlink" Target="http://undocs.org/fr/A/CN.4/730" TargetMode="External"/><Relationship Id="rId146" Type="http://schemas.openxmlformats.org/officeDocument/2006/relationships/hyperlink" Target="http://undocs.org/fr/A/CN.4/740/Add.1" TargetMode="External"/><Relationship Id="rId167" Type="http://schemas.openxmlformats.org/officeDocument/2006/relationships/hyperlink" Target="http://undocs.org/fr/A/77/10" TargetMode="External"/><Relationship Id="rId188" Type="http://schemas.openxmlformats.org/officeDocument/2006/relationships/hyperlink" Target="http://legal.un.org/ilc" TargetMode="External"/><Relationship Id="rId7" Type="http://schemas.openxmlformats.org/officeDocument/2006/relationships/hyperlink" Target="http://undocs.org/fr/A/74/10" TargetMode="External"/><Relationship Id="rId71" Type="http://schemas.openxmlformats.org/officeDocument/2006/relationships/hyperlink" Target="http://undocs.org/fr/A/73/10" TargetMode="External"/><Relationship Id="rId92" Type="http://schemas.openxmlformats.org/officeDocument/2006/relationships/hyperlink" Target="http://undocs.org/fr/A/77/10" TargetMode="External"/><Relationship Id="rId162" Type="http://schemas.openxmlformats.org/officeDocument/2006/relationships/hyperlink" Target="http://undocs.org/fr/A/73/10" TargetMode="External"/><Relationship Id="rId183" Type="http://schemas.openxmlformats.org/officeDocument/2006/relationships/hyperlink" Target="http://undocs.org/fr/A/RES/69/324" TargetMode="External"/><Relationship Id="rId213" Type="http://schemas.openxmlformats.org/officeDocument/2006/relationships/hyperlink" Target="http://undocs.org/fr/A/CN.4/764" TargetMode="External"/><Relationship Id="rId218" Type="http://schemas.openxmlformats.org/officeDocument/2006/relationships/hyperlink" Target="https://www.icj-cij.org/" TargetMode="External"/><Relationship Id="rId234" Type="http://schemas.openxmlformats.org/officeDocument/2006/relationships/hyperlink" Target="http://undocs.org/fr/A/CN.4/507" TargetMode="External"/><Relationship Id="rId239" Type="http://schemas.openxmlformats.org/officeDocument/2006/relationships/hyperlink" Target="http://undocs.org/fr/A/77/10" TargetMode="External"/><Relationship Id="rId2" Type="http://schemas.openxmlformats.org/officeDocument/2006/relationships/hyperlink" Target="http://undocs.org/fr/A/CN.4/773/Add.1" TargetMode="External"/><Relationship Id="rId29" Type="http://schemas.openxmlformats.org/officeDocument/2006/relationships/hyperlink" Target="http://undocs.org/fr/A/CN.4/764" TargetMode="External"/><Relationship Id="rId250" Type="http://schemas.openxmlformats.org/officeDocument/2006/relationships/hyperlink" Target="http://undocs.org/fr/A/HRC/17/31" TargetMode="External"/><Relationship Id="rId24" Type="http://schemas.openxmlformats.org/officeDocument/2006/relationships/hyperlink" Target="https://pcacases.com/web/view/109" TargetMode="External"/><Relationship Id="rId40" Type="http://schemas.openxmlformats.org/officeDocument/2006/relationships/hyperlink" Target="http://undocs.org/fr/A/RES/67/1" TargetMode="External"/><Relationship Id="rId45" Type="http://schemas.openxmlformats.org/officeDocument/2006/relationships/hyperlink" Target="http://undocs.org/fr/E/2006/99(SUPP)" TargetMode="External"/><Relationship Id="rId66" Type="http://schemas.openxmlformats.org/officeDocument/2006/relationships/hyperlink" Target="http://undocs.org/fr/A/73/10" TargetMode="External"/><Relationship Id="rId87" Type="http://schemas.openxmlformats.org/officeDocument/2006/relationships/hyperlink" Target="https://curia.europa.eu/jcms/upload/docs/application/pdf/2016-08/tra-doc-fr-div-c-0000-2016-201606984-05_00.pdf" TargetMode="External"/><Relationship Id="rId110" Type="http://schemas.openxmlformats.org/officeDocument/2006/relationships/hyperlink" Target="http://undocs.org/fr/A/CN.4/631" TargetMode="External"/><Relationship Id="rId115" Type="http://schemas.openxmlformats.org/officeDocument/2006/relationships/hyperlink" Target="http://undocs.org/fr/A/CN.4/654" TargetMode="External"/><Relationship Id="rId131" Type="http://schemas.openxmlformats.org/officeDocument/2006/relationships/hyperlink" Target="http://undocs.org/fr/A/73/10" TargetMode="External"/><Relationship Id="rId136" Type="http://schemas.openxmlformats.org/officeDocument/2006/relationships/hyperlink" Target="http://undocs.org/fr/A/CN.4/719" TargetMode="External"/><Relationship Id="rId157" Type="http://schemas.openxmlformats.org/officeDocument/2006/relationships/hyperlink" Target="http://undocs.org/fr/A/RES/55/153" TargetMode="External"/><Relationship Id="rId178" Type="http://schemas.openxmlformats.org/officeDocument/2006/relationships/hyperlink" Target="http://undocs.org/fr/A/76/10" TargetMode="External"/><Relationship Id="rId61" Type="http://schemas.openxmlformats.org/officeDocument/2006/relationships/hyperlink" Target="http://undocs.org/fr/A/CN.4/759" TargetMode="External"/><Relationship Id="rId82" Type="http://schemas.openxmlformats.org/officeDocument/2006/relationships/hyperlink" Target="http://undocs.org/fr/A/73/10" TargetMode="External"/><Relationship Id="rId152" Type="http://schemas.openxmlformats.org/officeDocument/2006/relationships/hyperlink" Target="http://undocs.org/fr/A/CN.4/761/Add.1" TargetMode="External"/><Relationship Id="rId173" Type="http://schemas.openxmlformats.org/officeDocument/2006/relationships/hyperlink" Target="http://undocs.org/fr/A/RES/78/112" TargetMode="External"/><Relationship Id="rId194" Type="http://schemas.openxmlformats.org/officeDocument/2006/relationships/hyperlink" Target="http://undocs.org/fr/A/CN.4/507/Add.1" TargetMode="External"/><Relationship Id="rId199" Type="http://schemas.openxmlformats.org/officeDocument/2006/relationships/hyperlink" Target="http://undocs.org/fr/A/CN.4/679/Add.1" TargetMode="External"/><Relationship Id="rId203" Type="http://schemas.openxmlformats.org/officeDocument/2006/relationships/hyperlink" Target="http://undocs.org/fr/A/68/44" TargetMode="External"/><Relationship Id="rId208" Type="http://schemas.openxmlformats.org/officeDocument/2006/relationships/hyperlink" Target="http://undocs.org/fr/A/RES/ES-11/5" TargetMode="External"/><Relationship Id="rId229" Type="http://schemas.openxmlformats.org/officeDocument/2006/relationships/hyperlink" Target="http://undocs.org/fr/A/CN.4/425/Add.1" TargetMode="External"/><Relationship Id="rId19" Type="http://schemas.openxmlformats.org/officeDocument/2006/relationships/hyperlink" Target="https://documents.un.org/doc/resolution/gen/nr0/329/89/pdf/nr032989.pdf" TargetMode="External"/><Relationship Id="rId224" Type="http://schemas.openxmlformats.org/officeDocument/2006/relationships/hyperlink" Target="http://undocs.org/fr/A/78/10" TargetMode="External"/><Relationship Id="rId240" Type="http://schemas.openxmlformats.org/officeDocument/2006/relationships/hyperlink" Target="http://undocs.org/fr/A/74/10" TargetMode="External"/><Relationship Id="rId245" Type="http://schemas.openxmlformats.org/officeDocument/2006/relationships/hyperlink" Target="http://undocs.org/fr/A/RES/52/156" TargetMode="External"/><Relationship Id="rId14" Type="http://schemas.openxmlformats.org/officeDocument/2006/relationships/hyperlink" Target="https://legal.un.org/ilc/documentation/english/statements/2024_dc_chair_statement_sidio.pdf" TargetMode="External"/><Relationship Id="rId30" Type="http://schemas.openxmlformats.org/officeDocument/2006/relationships/hyperlink" Target="http://undocs.org/fr/A/CN.4/764" TargetMode="External"/><Relationship Id="rId35" Type="http://schemas.openxmlformats.org/officeDocument/2006/relationships/hyperlink" Target="http://undocs.org/fr/A/CN.4/679" TargetMode="External"/><Relationship Id="rId56" Type="http://schemas.openxmlformats.org/officeDocument/2006/relationships/hyperlink" Target="http://undocs.org/fr/A/73/10" TargetMode="External"/><Relationship Id="rId77" Type="http://schemas.openxmlformats.org/officeDocument/2006/relationships/hyperlink" Target="https://www.un.org/en/ga/sixth/78/summaries.shtml" TargetMode="External"/><Relationship Id="rId100" Type="http://schemas.openxmlformats.org/officeDocument/2006/relationships/hyperlink" Target="https://www.idi-iil.org/fr/publications-par-categorie/resolutions/" TargetMode="External"/><Relationship Id="rId105" Type="http://schemas.openxmlformats.org/officeDocument/2006/relationships/hyperlink" Target="http://undocs.org/fr/A/61/10" TargetMode="External"/><Relationship Id="rId126" Type="http://schemas.openxmlformats.org/officeDocument/2006/relationships/hyperlink" Target="http://undocs.org/fr/A/925(SUPP)" TargetMode="External"/><Relationship Id="rId147" Type="http://schemas.openxmlformats.org/officeDocument/2006/relationships/hyperlink" Target="http://undocs.org/fr/A/76/10" TargetMode="External"/><Relationship Id="rId168" Type="http://schemas.openxmlformats.org/officeDocument/2006/relationships/hyperlink" Target="http://undocs.org/fr/A/77/10" TargetMode="External"/><Relationship Id="rId8" Type="http://schemas.openxmlformats.org/officeDocument/2006/relationships/hyperlink" Target="http://undocs.org/fr/A/76/10" TargetMode="External"/><Relationship Id="rId51" Type="http://schemas.openxmlformats.org/officeDocument/2006/relationships/hyperlink" Target="http://undocs.org/fr/A/76/10" TargetMode="External"/><Relationship Id="rId72" Type="http://schemas.openxmlformats.org/officeDocument/2006/relationships/hyperlink" Target="http://undocs.org/fr/A/78/10" TargetMode="External"/><Relationship Id="rId93" Type="http://schemas.openxmlformats.org/officeDocument/2006/relationships/hyperlink" Target="http://undocs.org/fr/A/74/10" TargetMode="External"/><Relationship Id="rId98" Type="http://schemas.openxmlformats.org/officeDocument/2006/relationships/hyperlink" Target="https://www.imo.org/fr/OurWork/Security/Pages/DCoC.aspx" TargetMode="External"/><Relationship Id="rId121" Type="http://schemas.openxmlformats.org/officeDocument/2006/relationships/hyperlink" Target="http://undocs.org/fr/A/CN.4/729" TargetMode="External"/><Relationship Id="rId142" Type="http://schemas.openxmlformats.org/officeDocument/2006/relationships/hyperlink" Target="https://www.idi-iil.org/app/uploads/2017/06/2015_Tallinn_14_fr.pdf" TargetMode="External"/><Relationship Id="rId163" Type="http://schemas.openxmlformats.org/officeDocument/2006/relationships/hyperlink" Target="http://undocs.org/fr/A/74/10" TargetMode="External"/><Relationship Id="rId184" Type="http://schemas.openxmlformats.org/officeDocument/2006/relationships/hyperlink" Target="http://undocs.org/fr/A/RES/71/328" TargetMode="External"/><Relationship Id="rId189" Type="http://schemas.openxmlformats.org/officeDocument/2006/relationships/hyperlink" Target="http://legal.un.org/cod/" TargetMode="External"/><Relationship Id="rId219" Type="http://schemas.openxmlformats.org/officeDocument/2006/relationships/hyperlink" Target="https://uwitv.global/news/reparations-symposium-brattle-paper" TargetMode="External"/><Relationship Id="rId3" Type="http://schemas.openxmlformats.org/officeDocument/2006/relationships/hyperlink" Target="http://undocs.org/fr/A/CN.4/776" TargetMode="External"/><Relationship Id="rId214" Type="http://schemas.openxmlformats.org/officeDocument/2006/relationships/hyperlink" Target="http://undocs.org/fr/A/CN.4/425" TargetMode="External"/><Relationship Id="rId230" Type="http://schemas.openxmlformats.org/officeDocument/2006/relationships/hyperlink" Target="http://undocs.org/fr/A/CN.4/507" TargetMode="External"/><Relationship Id="rId235" Type="http://schemas.openxmlformats.org/officeDocument/2006/relationships/hyperlink" Target="http://undocs.org/fr/A/CN.4/507/Add.1" TargetMode="External"/><Relationship Id="rId25" Type="http://schemas.openxmlformats.org/officeDocument/2006/relationships/hyperlink" Target="http://undocs.org/fr/A/CN.4/766" TargetMode="External"/><Relationship Id="rId46" Type="http://schemas.openxmlformats.org/officeDocument/2006/relationships/hyperlink" Target="http://undocs.org/fr/A/RES/66/106" TargetMode="External"/><Relationship Id="rId67" Type="http://schemas.openxmlformats.org/officeDocument/2006/relationships/hyperlink" Target="http://undocs.org/fr/A/73/10" TargetMode="External"/><Relationship Id="rId116" Type="http://schemas.openxmlformats.org/officeDocument/2006/relationships/hyperlink" Target="http://undocs.org/fr/A/CN.4/661" TargetMode="External"/><Relationship Id="rId137" Type="http://schemas.openxmlformats.org/officeDocument/2006/relationships/hyperlink" Target="http://undocs.org/fr/A/CN.4/731" TargetMode="External"/><Relationship Id="rId158" Type="http://schemas.openxmlformats.org/officeDocument/2006/relationships/hyperlink" Target="http://undocs.org/fr/CCPR/C/135/D/3624/2019" TargetMode="External"/><Relationship Id="rId20" Type="http://schemas.openxmlformats.org/officeDocument/2006/relationships/hyperlink" Target="https://www.wipo.int/wipolex/en/treaties/details/401" TargetMode="External"/><Relationship Id="rId41" Type="http://schemas.openxmlformats.org/officeDocument/2006/relationships/hyperlink" Target="http://undocs.org/fr/A/RES/50/50" TargetMode="External"/><Relationship Id="rId62" Type="http://schemas.openxmlformats.org/officeDocument/2006/relationships/hyperlink" Target="https://crsreports.congress.gov/product/pdf/LSB/LSB10206" TargetMode="External"/><Relationship Id="rId83" Type="http://schemas.openxmlformats.org/officeDocument/2006/relationships/hyperlink" Target="http://undocs.org/fr/A/78/10" TargetMode="External"/><Relationship Id="rId88" Type="http://schemas.openxmlformats.org/officeDocument/2006/relationships/hyperlink" Target="https://opil.ouplaw.com/display/10.1093/law-mpeipro/e3634.013.3634/law-mpeipro-e3634" TargetMode="External"/><Relationship Id="rId111" Type="http://schemas.openxmlformats.org/officeDocument/2006/relationships/hyperlink" Target="http://undocs.org/fr/A/CN.4/646" TargetMode="External"/><Relationship Id="rId132" Type="http://schemas.openxmlformats.org/officeDocument/2006/relationships/hyperlink" Target="http://undocs.org/fr/A/78/10" TargetMode="External"/><Relationship Id="rId153" Type="http://schemas.openxmlformats.org/officeDocument/2006/relationships/hyperlink" Target="http://undocs.org/fr/A/78/10" TargetMode="External"/><Relationship Id="rId174" Type="http://schemas.openxmlformats.org/officeDocument/2006/relationships/hyperlink" Target="http://undocs.org/fr/A/RES/78/108" TargetMode="External"/><Relationship Id="rId179" Type="http://schemas.openxmlformats.org/officeDocument/2006/relationships/hyperlink" Target="http://undocs.org/fr/A/77/10" TargetMode="External"/><Relationship Id="rId195" Type="http://schemas.openxmlformats.org/officeDocument/2006/relationships/hyperlink" Target="http://undocs.org/fr/A/CN.4/507" TargetMode="External"/><Relationship Id="rId209" Type="http://schemas.openxmlformats.org/officeDocument/2006/relationships/hyperlink" Target="http://undocs.org/fr/A/74/10" TargetMode="External"/><Relationship Id="rId190" Type="http://schemas.openxmlformats.org/officeDocument/2006/relationships/hyperlink" Target="http://legal.un.org/avl/intro/welcome_avl.html" TargetMode="External"/><Relationship Id="rId204" Type="http://schemas.openxmlformats.org/officeDocument/2006/relationships/hyperlink" Target="http://undocs.org/fr/E/C.12/GC/24" TargetMode="External"/><Relationship Id="rId220" Type="http://schemas.openxmlformats.org/officeDocument/2006/relationships/hyperlink" Target="http://undocs.org/fr/A/CN.9/WG.III/WP.242" TargetMode="External"/><Relationship Id="rId225" Type="http://schemas.openxmlformats.org/officeDocument/2006/relationships/hyperlink" Target="https://www.idi-iil.org/fr/%20commissions/page/2/" TargetMode="External"/><Relationship Id="rId241" Type="http://schemas.openxmlformats.org/officeDocument/2006/relationships/hyperlink" Target="http://undocs.org/fr/A/77/10" TargetMode="External"/><Relationship Id="rId246" Type="http://schemas.openxmlformats.org/officeDocument/2006/relationships/hyperlink" Target="http://undocs.org/fr/A/71/10" TargetMode="External"/><Relationship Id="rId15" Type="http://schemas.openxmlformats.org/officeDocument/2006/relationships/hyperlink" Target="http://undocs.org/fr/A/CN.4/766" TargetMode="External"/><Relationship Id="rId36" Type="http://schemas.openxmlformats.org/officeDocument/2006/relationships/hyperlink" Target="http://undocs.org/fr/A/RES/67/1" TargetMode="External"/><Relationship Id="rId57" Type="http://schemas.openxmlformats.org/officeDocument/2006/relationships/hyperlink" Target="http://undocs.org/fr/A/73/10" TargetMode="External"/><Relationship Id="rId106" Type="http://schemas.openxmlformats.org/officeDocument/2006/relationships/hyperlink" Target="http://undocs.org/fr/A/62/10" TargetMode="External"/><Relationship Id="rId127" Type="http://schemas.openxmlformats.org/officeDocument/2006/relationships/hyperlink" Target="http://undocs.org/fr/A/59/49" TargetMode="External"/><Relationship Id="rId10" Type="http://schemas.openxmlformats.org/officeDocument/2006/relationships/hyperlink" Target="http://undocs.org/fr/A/78/10" TargetMode="External"/><Relationship Id="rId31" Type="http://schemas.openxmlformats.org/officeDocument/2006/relationships/hyperlink" Target="http://undocs.org/fr/A/RES/37/10" TargetMode="External"/><Relationship Id="rId52" Type="http://schemas.openxmlformats.org/officeDocument/2006/relationships/hyperlink" Target="http://undocs.org/fr/A/CN.4/760" TargetMode="External"/><Relationship Id="rId73" Type="http://schemas.openxmlformats.org/officeDocument/2006/relationships/hyperlink" Target="http://undocs.org/fr/A/77/10" TargetMode="External"/><Relationship Id="rId78" Type="http://schemas.openxmlformats.org/officeDocument/2006/relationships/hyperlink" Target="http://undocs.org/fr/A/CN.4/769" TargetMode="External"/><Relationship Id="rId94" Type="http://schemas.openxmlformats.org/officeDocument/2006/relationships/hyperlink" Target="http://undocs.org/fr/A/77/10" TargetMode="External"/><Relationship Id="rId99" Type="http://schemas.openxmlformats.org/officeDocument/2006/relationships/hyperlink" Target="https://au.int/fr/treaties/african-charter-maritime-security-and-safety-anddevelopment-africa-lome-charter" TargetMode="External"/><Relationship Id="rId101" Type="http://schemas.openxmlformats.org/officeDocument/2006/relationships/hyperlink" Target="https://www.idi-iil.org/fr/publications-par-categorie/resolutions/" TargetMode="External"/><Relationship Id="rId122" Type="http://schemas.openxmlformats.org/officeDocument/2006/relationships/hyperlink" Target="http://undocs.org/fr/A/CN.4/739" TargetMode="External"/><Relationship Id="rId143" Type="http://schemas.openxmlformats.org/officeDocument/2006/relationships/hyperlink" Target="http://undocs.org/fr/A/74/10" TargetMode="External"/><Relationship Id="rId148" Type="http://schemas.openxmlformats.org/officeDocument/2006/relationships/hyperlink" Target="http://undocs.org/fr/A/CN.4/752" TargetMode="External"/><Relationship Id="rId164" Type="http://schemas.openxmlformats.org/officeDocument/2006/relationships/hyperlink" Target="http://undocs.org/fr/A/73/10" TargetMode="External"/><Relationship Id="rId169" Type="http://schemas.openxmlformats.org/officeDocument/2006/relationships/hyperlink" Target="http://undocs.org/fr/A/RES/67/1" TargetMode="External"/><Relationship Id="rId185" Type="http://schemas.openxmlformats.org/officeDocument/2006/relationships/hyperlink" Target="http://undocs.org/fr/A/RES/73/346" TargetMode="External"/><Relationship Id="rId4" Type="http://schemas.openxmlformats.org/officeDocument/2006/relationships/hyperlink" Target="http://undocs.org/fr/A/CN.4/776/Add.1" TargetMode="External"/><Relationship Id="rId9" Type="http://schemas.openxmlformats.org/officeDocument/2006/relationships/hyperlink" Target="http://undocs.org/fr/A/77/10" TargetMode="External"/><Relationship Id="rId180" Type="http://schemas.openxmlformats.org/officeDocument/2006/relationships/hyperlink" Target="http://undocs.org/fr/A/78/10" TargetMode="External"/><Relationship Id="rId210" Type="http://schemas.openxmlformats.org/officeDocument/2006/relationships/hyperlink" Target="http://undocs.org/fr/A/77/10" TargetMode="External"/><Relationship Id="rId215" Type="http://schemas.openxmlformats.org/officeDocument/2006/relationships/hyperlink" Target="http://undocs.org/fr/A/CN.4/425/Add.1" TargetMode="External"/><Relationship Id="rId236" Type="http://schemas.openxmlformats.org/officeDocument/2006/relationships/hyperlink" Target="http://undocs.org/fr/A/CN.4/507" TargetMode="External"/><Relationship Id="rId26" Type="http://schemas.openxmlformats.org/officeDocument/2006/relationships/hyperlink" Target="http://undocs.org/fr/A/CN.4/752" TargetMode="External"/><Relationship Id="rId231" Type="http://schemas.openxmlformats.org/officeDocument/2006/relationships/hyperlink" Target="http://undocs.org/fr/A/CN.4/507/Add.1" TargetMode="External"/><Relationship Id="rId47" Type="http://schemas.openxmlformats.org/officeDocument/2006/relationships/hyperlink" Target="http://undocs.org/fr/A/CN.9/1148" TargetMode="External"/><Relationship Id="rId68" Type="http://schemas.openxmlformats.org/officeDocument/2006/relationships/hyperlink" Target="http://undocs.org/fr/A/78/10" TargetMode="External"/><Relationship Id="rId89" Type="http://schemas.openxmlformats.org/officeDocument/2006/relationships/hyperlink" Target="https://www.minrel.gob.cl/minrel/noticias-anteriores/comunicado-de-prensa-ministerio-de-relaciones-exteriores-ministerio-de" TargetMode="External"/><Relationship Id="rId112" Type="http://schemas.openxmlformats.org/officeDocument/2006/relationships/hyperlink" Target="http://undocs.org/fr/A/64/10" TargetMode="External"/><Relationship Id="rId133" Type="http://schemas.openxmlformats.org/officeDocument/2006/relationships/hyperlink" Target="http://undocs.org/fr/A/RES/76/113" TargetMode="External"/><Relationship Id="rId154" Type="http://schemas.openxmlformats.org/officeDocument/2006/relationships/hyperlink" Target="http://undocs.org/fr/A/CN.4/776" TargetMode="External"/><Relationship Id="rId175" Type="http://schemas.openxmlformats.org/officeDocument/2006/relationships/hyperlink" Target="https://legal.un.org/ilc/sessions/75/index.shtml" TargetMode="External"/><Relationship Id="rId196" Type="http://schemas.openxmlformats.org/officeDocument/2006/relationships/hyperlink" Target="http://undocs.org/fr/A/CN.4/507/Add.1" TargetMode="External"/><Relationship Id="rId200" Type="http://schemas.openxmlformats.org/officeDocument/2006/relationships/hyperlink" Target="https://www.icj-cij.org/" TargetMode="External"/><Relationship Id="rId16" Type="http://schemas.openxmlformats.org/officeDocument/2006/relationships/hyperlink" Target="https://pca-cpa.org/fr/cases/157/" TargetMode="External"/><Relationship Id="rId221" Type="http://schemas.openxmlformats.org/officeDocument/2006/relationships/hyperlink" Target="http://undocs.org/fr/A/CN.9/WG.III/WP.220" TargetMode="External"/><Relationship Id="rId242" Type="http://schemas.openxmlformats.org/officeDocument/2006/relationships/hyperlink" Target="http://undocs.org/fr/A/77/10" TargetMode="External"/><Relationship Id="rId37" Type="http://schemas.openxmlformats.org/officeDocument/2006/relationships/hyperlink" Target="http://undocs.org/fr/A/RES/78/112" TargetMode="External"/><Relationship Id="rId58" Type="http://schemas.openxmlformats.org/officeDocument/2006/relationships/hyperlink" Target="http://undocs.org/fr/A/73/10" TargetMode="External"/><Relationship Id="rId79" Type="http://schemas.openxmlformats.org/officeDocument/2006/relationships/hyperlink" Target="http://undocs.org/fr/A/78/10" TargetMode="External"/><Relationship Id="rId102" Type="http://schemas.openxmlformats.org/officeDocument/2006/relationships/hyperlink" Target="https://www.idi-iil.org/fr/publications-par-categorie/resolutions/" TargetMode="External"/><Relationship Id="rId123" Type="http://schemas.openxmlformats.org/officeDocument/2006/relationships/hyperlink" Target="http://undocs.org/fr/A/77/10" TargetMode="External"/><Relationship Id="rId144" Type="http://schemas.openxmlformats.org/officeDocument/2006/relationships/hyperlink" Target="http://undocs.org/fr/A/CN.4/740" TargetMode="External"/><Relationship Id="rId90" Type="http://schemas.openxmlformats.org/officeDocument/2006/relationships/hyperlink" Target="http://undocs.org/fr/A/78/10" TargetMode="External"/><Relationship Id="rId165" Type="http://schemas.openxmlformats.org/officeDocument/2006/relationships/hyperlink" Target="http://undocs.org/fr/A/74/10" TargetMode="External"/><Relationship Id="rId186" Type="http://schemas.openxmlformats.org/officeDocument/2006/relationships/hyperlink" Target="http://undocs.org/fr/A/RES/77/103" TargetMode="External"/><Relationship Id="rId211" Type="http://schemas.openxmlformats.org/officeDocument/2006/relationships/hyperlink" Target="http://undocs.org/fr/A/CN.4/507" TargetMode="External"/><Relationship Id="rId232" Type="http://schemas.openxmlformats.org/officeDocument/2006/relationships/hyperlink" Target="http://undocs.org/fr/A/CN.4/517" TargetMode="External"/><Relationship Id="rId27" Type="http://schemas.openxmlformats.org/officeDocument/2006/relationships/hyperlink" Target="https://documents.un.org/doc/resolution/gen/nr0/043/88/pdf/nr004388.pdf" TargetMode="External"/><Relationship Id="rId48" Type="http://schemas.openxmlformats.org/officeDocument/2006/relationships/hyperlink" Target="https://au.int/" TargetMode="External"/><Relationship Id="rId69" Type="http://schemas.openxmlformats.org/officeDocument/2006/relationships/hyperlink" Target="http://undocs.org/fr/A/77/10" TargetMode="External"/><Relationship Id="rId113" Type="http://schemas.openxmlformats.org/officeDocument/2006/relationships/hyperlink" Target="http://undocs.org/fr/A/65/10" TargetMode="External"/><Relationship Id="rId134" Type="http://schemas.openxmlformats.org/officeDocument/2006/relationships/hyperlink" Target="http://undocs.org/fr/A/71/10" TargetMode="External"/><Relationship Id="rId80" Type="http://schemas.openxmlformats.org/officeDocument/2006/relationships/hyperlink" Target="http://undocs.org/fr/A/CN.4/769" TargetMode="External"/><Relationship Id="rId155" Type="http://schemas.openxmlformats.org/officeDocument/2006/relationships/hyperlink" Target="https://legal.un.org/ilc/guide/8_9.shtml" TargetMode="External"/><Relationship Id="rId176" Type="http://schemas.openxmlformats.org/officeDocument/2006/relationships/hyperlink" Target="http://undocs.org/fr/A/73/10" TargetMode="External"/><Relationship Id="rId197" Type="http://schemas.openxmlformats.org/officeDocument/2006/relationships/hyperlink" Target="http://undocs.org/fr/A/CN.4/425" TargetMode="External"/><Relationship Id="rId201" Type="http://schemas.openxmlformats.org/officeDocument/2006/relationships/hyperlink" Target="http://undocs.org/fr/A/RES/60/147" TargetMode="External"/><Relationship Id="rId222" Type="http://schemas.openxmlformats.org/officeDocument/2006/relationships/hyperlink" Target="http://undocs.org/fr/A/CN.9/1124" TargetMode="External"/><Relationship Id="rId243" Type="http://schemas.openxmlformats.org/officeDocument/2006/relationships/hyperlink" Target="https://brill.com/view/serial/HAPB"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Rapport_AG.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A6B-693F-4263-A1F1-ED6084B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Rapport_AG.dotm</Template>
  <TotalTime>1</TotalTime>
  <Pages>184</Pages>
  <Words>90976</Words>
  <Characters>500373</Characters>
  <Application>Microsoft Office Word</Application>
  <DocSecurity>0</DocSecurity>
  <Lines>4169</Lines>
  <Paragraphs>1180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A/79/10</vt:lpstr>
      <vt:lpstr>A/…</vt:lpstr>
    </vt:vector>
  </TitlesOfParts>
  <Manager>Corinne</Manager>
  <Company>CSD</Company>
  <LinksUpToDate>false</LinksUpToDate>
  <CharactersWithSpaces>590169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A/79/10</dc:title>
  <dc:subject/>
  <dc:creator>Sandrine CLERE</dc:creator>
  <cp:keywords/>
  <cp:lastModifiedBy>Sandrine CLERE</cp:lastModifiedBy>
  <cp:revision>2</cp:revision>
  <cp:lastPrinted>2024-08-30T09:42:00Z</cp:lastPrinted>
  <dcterms:created xsi:type="dcterms:W3CDTF">2024-09-04T16:03:00Z</dcterms:created>
  <dcterms:modified xsi:type="dcterms:W3CDTF">2024-09-04T16:03:00Z</dcterms:modified>
</cp:coreProperties>
</file>